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Ex1.xml" ContentType="application/vnd.ms-office.chartex+xml"/>
  <Override PartName="/word/charts/chartEx2.xml" ContentType="application/vnd.ms-office.chartex+xml"/>
  <Override PartName="/word/charts/chartEx3.xml" ContentType="application/vnd.ms-office.chartex+xml"/>
  <Override PartName="/word/charts/colors1.xml" ContentType="application/vnd.ms-office.chartcolorstyle+xml"/>
  <Override PartName="/word/charts/style1.xml" ContentType="application/vnd.ms-office.chartstyle+xml"/>
  <Override PartName="/word/theme/themeOverride1.xml" ContentType="application/vnd.openxmlformats-officedocument.themeOverride+xml"/>
  <Override PartName="/word/charts/colors2.xml" ContentType="application/vnd.ms-office.chartcolorstyle+xml"/>
  <Override PartName="/word/charts/style2.xml" ContentType="application/vnd.ms-office.chartstyle+xml"/>
  <Override PartName="/word/theme/themeOverride2.xml" ContentType="application/vnd.openxmlformats-officedocument.themeOverride+xml"/>
  <Override PartName="/word/charts/colors3.xml" ContentType="application/vnd.ms-office.chartcolorstyle+xml"/>
  <Override PartName="/word/charts/style3.xml" ContentType="application/vnd.ms-office.chartstyle+xml"/>
  <Override PartName="/word/theme/themeOverride3.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A04AE" w14:textId="2787C995" w:rsidR="0017459B" w:rsidRPr="004F62C9" w:rsidRDefault="007B422C" w:rsidP="00C375B3">
      <w:pPr>
        <w:pStyle w:val="Heading1"/>
        <w:numPr>
          <w:ilvl w:val="0"/>
          <w:numId w:val="0"/>
        </w:numPr>
        <w:ind w:left="432" w:hanging="432"/>
        <w:rPr>
          <w:color w:val="auto"/>
        </w:rPr>
      </w:pPr>
      <w:bookmarkStart w:id="0" w:name="_Ref96592218"/>
      <w:r w:rsidRPr="004F62C9">
        <w:rPr>
          <w:color w:val="auto"/>
        </w:rPr>
        <w:t>Supplementary material</w:t>
      </w:r>
      <w:bookmarkEnd w:id="0"/>
    </w:p>
    <w:p w14:paraId="21F8B79C" w14:textId="77777777" w:rsidR="005830EC" w:rsidRPr="004F62C9" w:rsidRDefault="005830EC" w:rsidP="005830EC">
      <w:pPr>
        <w:pStyle w:val="Heading2"/>
        <w:numPr>
          <w:ilvl w:val="0"/>
          <w:numId w:val="0"/>
        </w:numPr>
        <w:ind w:left="576" w:hanging="576"/>
        <w:rPr>
          <w:color w:val="auto"/>
        </w:rPr>
      </w:pPr>
      <w:bookmarkStart w:id="1" w:name="_Toc70697031"/>
      <w:bookmarkStart w:id="2" w:name="_Ref70697176"/>
      <w:r w:rsidRPr="004F62C9">
        <w:rPr>
          <w:color w:val="auto"/>
        </w:rPr>
        <w:t>Comparison of TTO disutility values with prior research</w:t>
      </w:r>
    </w:p>
    <w:p w14:paraId="5DA8A879" w14:textId="45EB4CAA" w:rsidR="005830EC" w:rsidRPr="004F62C9" w:rsidRDefault="005830EC" w:rsidP="005830EC">
      <w:pPr>
        <w:pStyle w:val="Caption"/>
        <w:rPr>
          <w:color w:val="auto"/>
        </w:rPr>
      </w:pPr>
      <w:bookmarkStart w:id="3" w:name="_Ref93924157"/>
      <w:r w:rsidRPr="004F62C9">
        <w:rPr>
          <w:color w:val="auto"/>
        </w:rPr>
        <w:t xml:space="preserve">Table </w:t>
      </w:r>
      <w:r w:rsidR="00B2211B" w:rsidRPr="004F62C9">
        <w:rPr>
          <w:color w:val="auto"/>
        </w:rPr>
        <w:fldChar w:fldCharType="begin"/>
      </w:r>
      <w:r w:rsidR="00B2211B" w:rsidRPr="004F62C9">
        <w:rPr>
          <w:color w:val="auto"/>
        </w:rPr>
        <w:instrText xml:space="preserve"> SEQ Table \* ARABIC </w:instrText>
      </w:r>
      <w:r w:rsidR="00B2211B" w:rsidRPr="004F62C9">
        <w:rPr>
          <w:color w:val="auto"/>
        </w:rPr>
        <w:fldChar w:fldCharType="separate"/>
      </w:r>
      <w:r w:rsidR="000C3AF4" w:rsidRPr="004F62C9">
        <w:rPr>
          <w:noProof/>
          <w:color w:val="auto"/>
        </w:rPr>
        <w:t>6</w:t>
      </w:r>
      <w:r w:rsidR="00B2211B" w:rsidRPr="004F62C9">
        <w:rPr>
          <w:noProof/>
          <w:color w:val="auto"/>
        </w:rPr>
        <w:fldChar w:fldCharType="end"/>
      </w:r>
      <w:bookmarkEnd w:id="3"/>
      <w:r w:rsidRPr="004F62C9">
        <w:rPr>
          <w:color w:val="auto"/>
        </w:rPr>
        <w:t>. Differences between mean utility values caused with use of more frequent therapy regimens, as reported in the current study and in previous literature</w:t>
      </w:r>
      <w:r w:rsidRPr="004F62C9">
        <w:rPr>
          <w:color w:val="auto"/>
        </w:rPr>
        <w:fldChar w:fldCharType="begin">
          <w:fldData xml:space="preserve">PEVuZE5vdGU+PENpdGU+PEF1dGhvcj5Cb3llPC9BdXRob3I+PFllYXI+MjAxOTwvWWVhcj48UmVj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</w:fldData>
        </w:fldChar>
      </w:r>
      <w:r w:rsidRPr="004F62C9">
        <w:rPr>
          <w:color w:val="auto"/>
        </w:rPr>
        <w:instrText xml:space="preserve"> ADDIN EN.CITE </w:instrText>
      </w:r>
      <w:r w:rsidRPr="004F62C9">
        <w:rPr>
          <w:color w:val="auto"/>
        </w:rPr>
        <w:fldChar w:fldCharType="begin">
          <w:fldData xml:space="preserve">PEVuZE5vdGU+PENpdGU+PEF1dGhvcj5Cb3llPC9BdXRob3I+PFllYXI+MjAxOTwvWWVhcj48UmVj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</w:fldData>
        </w:fldChar>
      </w:r>
      <w:r w:rsidRPr="004F62C9">
        <w:rPr>
          <w:color w:val="auto"/>
        </w:rPr>
        <w:instrText xml:space="preserve"> ADDIN EN.CITE.DATA </w:instrText>
      </w:r>
      <w:r w:rsidRPr="004F62C9">
        <w:rPr>
          <w:color w:val="auto"/>
        </w:rPr>
      </w:r>
      <w:r w:rsidRPr="004F62C9">
        <w:rPr>
          <w:color w:val="auto"/>
        </w:rPr>
        <w:fldChar w:fldCharType="end"/>
      </w:r>
      <w:r w:rsidRPr="004F62C9">
        <w:rPr>
          <w:color w:val="auto"/>
        </w:rPr>
      </w:r>
      <w:r w:rsidRPr="004F62C9">
        <w:rPr>
          <w:color w:val="auto"/>
        </w:rPr>
        <w:fldChar w:fldCharType="separate"/>
      </w:r>
      <w:r w:rsidRPr="004F62C9">
        <w:rPr>
          <w:noProof/>
          <w:color w:val="auto"/>
        </w:rPr>
        <w:t>[16-18]</w:t>
      </w:r>
      <w:r w:rsidRPr="004F62C9">
        <w:rPr>
          <w:color w:val="auto"/>
        </w:rPr>
        <w:fldChar w:fldCharType="end"/>
      </w:r>
    </w:p>
    <w:tbl>
      <w:tblPr>
        <w:tblStyle w:val="PlainTable1"/>
        <w:tblW w:w="0" w:type="auto"/>
        <w:tblLayout w:type="fixed"/>
        <w:tblLook w:val="04A0" w:firstRow="1" w:lastRow="0" w:firstColumn="1" w:lastColumn="0" w:noHBand="0" w:noVBand="1"/>
      </w:tblPr>
      <w:tblGrid>
        <w:gridCol w:w="2122"/>
        <w:gridCol w:w="2126"/>
        <w:gridCol w:w="1072"/>
        <w:gridCol w:w="930"/>
        <w:gridCol w:w="930"/>
        <w:gridCol w:w="930"/>
        <w:gridCol w:w="930"/>
      </w:tblGrid>
      <w:tr w:rsidR="004F62C9" w:rsidRPr="004F62C9" w14:paraId="30A5D198" w14:textId="77777777" w:rsidTr="004F62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gridSpan w:val="2"/>
            <w:vMerge w:val="restart"/>
          </w:tcPr>
          <w:p w14:paraId="2A540AC4" w14:textId="77777777" w:rsidR="005830EC" w:rsidRPr="004F62C9" w:rsidRDefault="005830EC" w:rsidP="00E72CC3">
            <w:pPr>
              <w:pStyle w:val="Table-Normal"/>
              <w:jc w:val="center"/>
              <w:rPr>
                <w:b w:val="0"/>
                <w:bCs/>
                <w:color w:val="auto"/>
                <w:sz w:val="20"/>
                <w:szCs w:val="20"/>
              </w:rPr>
            </w:pPr>
            <w:r w:rsidRPr="004F62C9">
              <w:rPr>
                <w:color w:val="auto"/>
                <w:sz w:val="20"/>
                <w:szCs w:val="20"/>
              </w:rPr>
              <w:t>Health state comparison</w:t>
            </w:r>
          </w:p>
        </w:tc>
        <w:tc>
          <w:tcPr>
            <w:tcW w:w="1072" w:type="dxa"/>
          </w:tcPr>
          <w:p w14:paraId="752DCEC0" w14:textId="77777777" w:rsidR="005830EC" w:rsidRPr="004F62C9" w:rsidRDefault="005830EC" w:rsidP="00E72CC3">
            <w:pPr>
              <w:pStyle w:val="Table-Normal"/>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r w:rsidRPr="004F62C9">
              <w:rPr>
                <w:color w:val="auto"/>
                <w:sz w:val="20"/>
                <w:szCs w:val="20"/>
              </w:rPr>
              <w:t>Obesity</w:t>
            </w:r>
          </w:p>
        </w:tc>
        <w:tc>
          <w:tcPr>
            <w:tcW w:w="3720" w:type="dxa"/>
            <w:gridSpan w:val="4"/>
          </w:tcPr>
          <w:p w14:paraId="79619BE0" w14:textId="77777777" w:rsidR="005830EC" w:rsidRPr="004F62C9" w:rsidRDefault="005830EC" w:rsidP="00E72CC3">
            <w:pPr>
              <w:pStyle w:val="Table-Normal"/>
              <w:jc w:val="center"/>
              <w:cnfStyle w:val="100000000000" w:firstRow="1" w:lastRow="0" w:firstColumn="0" w:lastColumn="0" w:oddVBand="0" w:evenVBand="0" w:oddHBand="0" w:evenHBand="0" w:firstRowFirstColumn="0" w:firstRowLastColumn="0" w:lastRowFirstColumn="0" w:lastRowLastColumn="0"/>
              <w:rPr>
                <w:b w:val="0"/>
                <w:bCs/>
                <w:color w:val="auto"/>
                <w:sz w:val="20"/>
                <w:szCs w:val="20"/>
              </w:rPr>
            </w:pPr>
            <w:r w:rsidRPr="004F62C9">
              <w:rPr>
                <w:color w:val="auto"/>
                <w:sz w:val="20"/>
                <w:szCs w:val="20"/>
              </w:rPr>
              <w:t>T2DM</w:t>
            </w:r>
          </w:p>
        </w:tc>
      </w:tr>
      <w:tr w:rsidR="004F62C9" w:rsidRPr="004F62C9" w14:paraId="20BD273F" w14:textId="77777777" w:rsidTr="004F6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gridSpan w:val="2"/>
            <w:vMerge/>
          </w:tcPr>
          <w:p w14:paraId="64667960" w14:textId="77777777" w:rsidR="005830EC" w:rsidRPr="004F62C9" w:rsidRDefault="005830EC" w:rsidP="00E72CC3">
            <w:pPr>
              <w:pStyle w:val="Table-Normal"/>
              <w:jc w:val="center"/>
              <w:rPr>
                <w:color w:val="auto"/>
              </w:rPr>
            </w:pPr>
          </w:p>
        </w:tc>
        <w:tc>
          <w:tcPr>
            <w:tcW w:w="1072" w:type="dxa"/>
          </w:tcPr>
          <w:p w14:paraId="4A4B4AD1"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Current</w:t>
            </w:r>
          </w:p>
          <w:p w14:paraId="4581FFD4"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study</w:t>
            </w:r>
          </w:p>
        </w:tc>
        <w:tc>
          <w:tcPr>
            <w:tcW w:w="930" w:type="dxa"/>
          </w:tcPr>
          <w:p w14:paraId="274041EE"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Current</w:t>
            </w:r>
          </w:p>
          <w:p w14:paraId="672E2019"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study</w:t>
            </w:r>
          </w:p>
        </w:tc>
        <w:tc>
          <w:tcPr>
            <w:tcW w:w="930" w:type="dxa"/>
          </w:tcPr>
          <w:p w14:paraId="6F925AB6"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Boye</w:t>
            </w:r>
          </w:p>
          <w:p w14:paraId="5CAEED14"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i/>
                <w:iCs/>
                <w:color w:val="auto"/>
                <w:sz w:val="20"/>
                <w:szCs w:val="20"/>
              </w:rPr>
              <w:t>et al</w:t>
            </w:r>
            <w:r w:rsidRPr="004F62C9">
              <w:rPr>
                <w:color w:val="auto"/>
                <w:sz w:val="20"/>
                <w:szCs w:val="20"/>
              </w:rPr>
              <w:t>.</w:t>
            </w:r>
          </w:p>
          <w:p w14:paraId="3DCA06EF"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2019</w:t>
            </w:r>
          </w:p>
        </w:tc>
        <w:tc>
          <w:tcPr>
            <w:tcW w:w="930" w:type="dxa"/>
          </w:tcPr>
          <w:p w14:paraId="0A78E388"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Boye</w:t>
            </w:r>
          </w:p>
          <w:p w14:paraId="5ABD90AD"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i/>
                <w:iCs/>
                <w:color w:val="auto"/>
                <w:sz w:val="20"/>
                <w:szCs w:val="20"/>
              </w:rPr>
              <w:t>et al</w:t>
            </w:r>
            <w:r w:rsidRPr="004F62C9">
              <w:rPr>
                <w:color w:val="auto"/>
                <w:sz w:val="20"/>
                <w:szCs w:val="20"/>
              </w:rPr>
              <w:t>.</w:t>
            </w:r>
          </w:p>
          <w:p w14:paraId="3564267F"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2011</w:t>
            </w:r>
          </w:p>
        </w:tc>
        <w:tc>
          <w:tcPr>
            <w:tcW w:w="930" w:type="dxa"/>
          </w:tcPr>
          <w:p w14:paraId="5E25B452"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Matza</w:t>
            </w:r>
          </w:p>
          <w:p w14:paraId="678393FD"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i/>
                <w:iCs/>
                <w:color w:val="auto"/>
                <w:sz w:val="20"/>
                <w:szCs w:val="20"/>
              </w:rPr>
              <w:t>et al</w:t>
            </w:r>
            <w:r w:rsidRPr="004F62C9">
              <w:rPr>
                <w:color w:val="auto"/>
                <w:sz w:val="20"/>
                <w:szCs w:val="20"/>
              </w:rPr>
              <w:t>.</w:t>
            </w:r>
          </w:p>
          <w:p w14:paraId="3DD147D2"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2017</w:t>
            </w:r>
          </w:p>
        </w:tc>
      </w:tr>
      <w:tr w:rsidR="004F62C9" w:rsidRPr="004F62C9" w14:paraId="0E041CE3" w14:textId="77777777" w:rsidTr="004F62C9">
        <w:tc>
          <w:tcPr>
            <w:cnfStyle w:val="001000000000" w:firstRow="0" w:lastRow="0" w:firstColumn="1" w:lastColumn="0" w:oddVBand="0" w:evenVBand="0" w:oddHBand="0" w:evenHBand="0" w:firstRowFirstColumn="0" w:firstRowLastColumn="0" w:lastRowFirstColumn="0" w:lastRowLastColumn="0"/>
            <w:tcW w:w="2122" w:type="dxa"/>
            <w:vMerge w:val="restart"/>
          </w:tcPr>
          <w:p w14:paraId="13975B34" w14:textId="77777777" w:rsidR="005830EC" w:rsidRPr="004F62C9" w:rsidRDefault="005830EC" w:rsidP="00E72CC3">
            <w:pPr>
              <w:pStyle w:val="Table-Normal"/>
              <w:jc w:val="center"/>
              <w:rPr>
                <w:b w:val="0"/>
                <w:bCs/>
                <w:color w:val="auto"/>
                <w:sz w:val="18"/>
                <w:szCs w:val="18"/>
              </w:rPr>
            </w:pPr>
            <w:r w:rsidRPr="004F62C9">
              <w:rPr>
                <w:color w:val="auto"/>
                <w:sz w:val="18"/>
                <w:szCs w:val="18"/>
              </w:rPr>
              <w:t xml:space="preserve">Less frequent </w:t>
            </w:r>
          </w:p>
          <w:p w14:paraId="3092A006" w14:textId="77777777" w:rsidR="005830EC" w:rsidRPr="004F62C9" w:rsidRDefault="005830EC" w:rsidP="00E72CC3">
            <w:pPr>
              <w:pStyle w:val="Table-Normal"/>
              <w:jc w:val="center"/>
              <w:rPr>
                <w:b w:val="0"/>
                <w:bCs/>
                <w:color w:val="auto"/>
                <w:sz w:val="18"/>
                <w:szCs w:val="18"/>
              </w:rPr>
            </w:pPr>
            <w:r w:rsidRPr="004F62C9">
              <w:rPr>
                <w:color w:val="auto"/>
                <w:sz w:val="18"/>
                <w:szCs w:val="18"/>
              </w:rPr>
              <w:t>health</w:t>
            </w:r>
            <w:r w:rsidRPr="004F62C9">
              <w:rPr>
                <w:rFonts w:cstheme="minorHAnsi"/>
                <w:color w:val="auto"/>
                <w:sz w:val="18"/>
                <w:szCs w:val="18"/>
              </w:rPr>
              <w:t> </w:t>
            </w:r>
            <w:r w:rsidRPr="004F62C9">
              <w:rPr>
                <w:color w:val="auto"/>
                <w:sz w:val="18"/>
                <w:szCs w:val="18"/>
              </w:rPr>
              <w:t>state</w:t>
            </w:r>
          </w:p>
        </w:tc>
        <w:tc>
          <w:tcPr>
            <w:tcW w:w="2126" w:type="dxa"/>
            <w:vMerge w:val="restart"/>
          </w:tcPr>
          <w:p w14:paraId="0411E09F"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b/>
                <w:bCs w:val="0"/>
                <w:color w:val="auto"/>
                <w:sz w:val="18"/>
                <w:szCs w:val="18"/>
              </w:rPr>
            </w:pPr>
            <w:r w:rsidRPr="004F62C9">
              <w:rPr>
                <w:b/>
                <w:bCs w:val="0"/>
                <w:color w:val="auto"/>
                <w:sz w:val="18"/>
                <w:szCs w:val="18"/>
              </w:rPr>
              <w:t>More frequent health state</w:t>
            </w:r>
          </w:p>
        </w:tc>
        <w:tc>
          <w:tcPr>
            <w:tcW w:w="2002" w:type="dxa"/>
            <w:gridSpan w:val="2"/>
          </w:tcPr>
          <w:p w14:paraId="3CE2F074"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i/>
                <w:iCs/>
                <w:color w:val="auto"/>
                <w:sz w:val="16"/>
                <w:szCs w:val="16"/>
              </w:rPr>
            </w:pPr>
            <w:r w:rsidRPr="004F62C9">
              <w:rPr>
                <w:i/>
                <w:iCs/>
                <w:color w:val="auto"/>
                <w:sz w:val="16"/>
                <w:szCs w:val="16"/>
              </w:rPr>
              <w:t>Valuation by</w:t>
            </w:r>
          </w:p>
          <w:p w14:paraId="692F70EC"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i/>
                <w:iCs/>
                <w:color w:val="auto"/>
                <w:sz w:val="16"/>
                <w:szCs w:val="16"/>
              </w:rPr>
            </w:pPr>
            <w:r w:rsidRPr="004F62C9">
              <w:rPr>
                <w:i/>
                <w:iCs/>
                <w:color w:val="auto"/>
                <w:sz w:val="16"/>
                <w:szCs w:val="16"/>
              </w:rPr>
              <w:t>general public</w:t>
            </w:r>
          </w:p>
        </w:tc>
        <w:tc>
          <w:tcPr>
            <w:tcW w:w="2790" w:type="dxa"/>
            <w:gridSpan w:val="3"/>
          </w:tcPr>
          <w:p w14:paraId="5C0C0552"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i/>
                <w:iCs/>
                <w:color w:val="auto"/>
                <w:sz w:val="16"/>
                <w:szCs w:val="16"/>
              </w:rPr>
            </w:pPr>
            <w:r w:rsidRPr="004F62C9">
              <w:rPr>
                <w:i/>
                <w:iCs/>
                <w:color w:val="auto"/>
                <w:sz w:val="16"/>
                <w:szCs w:val="16"/>
              </w:rPr>
              <w:t>Valuation by</w:t>
            </w:r>
          </w:p>
          <w:p w14:paraId="5434F0BB"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i/>
                <w:iCs/>
                <w:color w:val="auto"/>
                <w:sz w:val="16"/>
                <w:szCs w:val="16"/>
              </w:rPr>
            </w:pPr>
            <w:r w:rsidRPr="004F62C9">
              <w:rPr>
                <w:i/>
                <w:iCs/>
                <w:color w:val="auto"/>
                <w:sz w:val="16"/>
                <w:szCs w:val="16"/>
              </w:rPr>
              <w:t>T2DM patients</w:t>
            </w:r>
          </w:p>
        </w:tc>
      </w:tr>
      <w:tr w:rsidR="004F62C9" w:rsidRPr="004F62C9" w14:paraId="29DAC831" w14:textId="77777777" w:rsidTr="004F6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Pr>
          <w:p w14:paraId="4ED4F9F8" w14:textId="77777777" w:rsidR="005830EC" w:rsidRPr="004F62C9" w:rsidRDefault="005830EC" w:rsidP="00E72CC3">
            <w:pPr>
              <w:pStyle w:val="Table-Normal"/>
              <w:jc w:val="center"/>
              <w:rPr>
                <w:color w:val="auto"/>
              </w:rPr>
            </w:pPr>
          </w:p>
        </w:tc>
        <w:tc>
          <w:tcPr>
            <w:tcW w:w="2126" w:type="dxa"/>
            <w:vMerge/>
          </w:tcPr>
          <w:p w14:paraId="5B868033"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rPr>
            </w:pPr>
          </w:p>
        </w:tc>
        <w:tc>
          <w:tcPr>
            <w:tcW w:w="2002" w:type="dxa"/>
            <w:gridSpan w:val="2"/>
          </w:tcPr>
          <w:p w14:paraId="51F10DF3"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i/>
                <w:iCs/>
                <w:color w:val="auto"/>
                <w:sz w:val="16"/>
                <w:szCs w:val="16"/>
              </w:rPr>
            </w:pPr>
            <w:r w:rsidRPr="004F62C9">
              <w:rPr>
                <w:i/>
                <w:iCs/>
                <w:color w:val="auto"/>
                <w:sz w:val="16"/>
                <w:szCs w:val="16"/>
              </w:rPr>
              <w:t>UK, Canada, China</w:t>
            </w:r>
            <w:r w:rsidRPr="004F62C9">
              <w:rPr>
                <w:i/>
                <w:iCs/>
                <w:color w:val="auto"/>
                <w:sz w:val="16"/>
                <w:szCs w:val="16"/>
                <w:vertAlign w:val="superscript"/>
              </w:rPr>
              <w:t>*</w:t>
            </w:r>
          </w:p>
        </w:tc>
        <w:tc>
          <w:tcPr>
            <w:tcW w:w="930" w:type="dxa"/>
          </w:tcPr>
          <w:p w14:paraId="27B112EC"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i/>
                <w:iCs/>
                <w:color w:val="auto"/>
                <w:sz w:val="16"/>
                <w:szCs w:val="16"/>
              </w:rPr>
            </w:pPr>
            <w:r w:rsidRPr="004F62C9">
              <w:rPr>
                <w:i/>
                <w:iCs/>
                <w:color w:val="auto"/>
                <w:sz w:val="16"/>
                <w:szCs w:val="16"/>
              </w:rPr>
              <w:t>Italy</w:t>
            </w:r>
          </w:p>
        </w:tc>
        <w:tc>
          <w:tcPr>
            <w:tcW w:w="930" w:type="dxa"/>
          </w:tcPr>
          <w:p w14:paraId="4F2FB3F0"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i/>
                <w:iCs/>
                <w:color w:val="auto"/>
                <w:sz w:val="16"/>
                <w:szCs w:val="16"/>
              </w:rPr>
            </w:pPr>
            <w:r w:rsidRPr="004F62C9">
              <w:rPr>
                <w:i/>
                <w:iCs/>
                <w:color w:val="auto"/>
                <w:sz w:val="16"/>
                <w:szCs w:val="16"/>
              </w:rPr>
              <w:t>Scotland</w:t>
            </w:r>
          </w:p>
        </w:tc>
        <w:tc>
          <w:tcPr>
            <w:tcW w:w="930" w:type="dxa"/>
          </w:tcPr>
          <w:p w14:paraId="7416CD9C"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i/>
                <w:iCs/>
                <w:color w:val="auto"/>
                <w:sz w:val="16"/>
                <w:szCs w:val="16"/>
              </w:rPr>
            </w:pPr>
            <w:r w:rsidRPr="004F62C9">
              <w:rPr>
                <w:i/>
                <w:iCs/>
                <w:color w:val="auto"/>
                <w:sz w:val="16"/>
                <w:szCs w:val="16"/>
              </w:rPr>
              <w:t>UK</w:t>
            </w:r>
          </w:p>
        </w:tc>
      </w:tr>
      <w:tr w:rsidR="004F62C9" w:rsidRPr="004F62C9" w14:paraId="542F84DE" w14:textId="77777777" w:rsidTr="004F62C9">
        <w:tc>
          <w:tcPr>
            <w:cnfStyle w:val="001000000000" w:firstRow="0" w:lastRow="0" w:firstColumn="1" w:lastColumn="0" w:oddVBand="0" w:evenVBand="0" w:oddHBand="0" w:evenHBand="0" w:firstRowFirstColumn="0" w:firstRowLastColumn="0" w:lastRowFirstColumn="0" w:lastRowLastColumn="0"/>
            <w:tcW w:w="2122" w:type="dxa"/>
          </w:tcPr>
          <w:p w14:paraId="493ED6A4" w14:textId="77777777" w:rsidR="005830EC" w:rsidRPr="004F62C9" w:rsidRDefault="005830EC" w:rsidP="00E72CC3">
            <w:pPr>
              <w:pStyle w:val="Table-Normal"/>
              <w:jc w:val="center"/>
              <w:rPr>
                <w:color w:val="auto"/>
                <w:sz w:val="20"/>
                <w:szCs w:val="20"/>
              </w:rPr>
            </w:pPr>
            <w:r w:rsidRPr="004F62C9">
              <w:rPr>
                <w:color w:val="auto"/>
                <w:sz w:val="20"/>
                <w:szCs w:val="20"/>
              </w:rPr>
              <w:t xml:space="preserve">Oral </w:t>
            </w:r>
          </w:p>
          <w:p w14:paraId="0ABD3F6D" w14:textId="77777777" w:rsidR="005830EC" w:rsidRPr="004F62C9" w:rsidRDefault="005830EC" w:rsidP="00E72CC3">
            <w:pPr>
              <w:pStyle w:val="Table-Normal"/>
              <w:jc w:val="center"/>
              <w:rPr>
                <w:i/>
                <w:iCs/>
                <w:color w:val="auto"/>
                <w:sz w:val="16"/>
                <w:szCs w:val="16"/>
              </w:rPr>
            </w:pPr>
            <w:r w:rsidRPr="004F62C9">
              <w:rPr>
                <w:color w:val="auto"/>
                <w:sz w:val="20"/>
                <w:szCs w:val="20"/>
              </w:rPr>
              <w:t>treatment</w:t>
            </w:r>
          </w:p>
        </w:tc>
        <w:tc>
          <w:tcPr>
            <w:tcW w:w="2126" w:type="dxa"/>
          </w:tcPr>
          <w:p w14:paraId="1936F704"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 xml:space="preserve">Once-weekly </w:t>
            </w:r>
          </w:p>
          <w:p w14:paraId="6CAF13B1"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GLP-1 RA</w:t>
            </w:r>
          </w:p>
        </w:tc>
        <w:tc>
          <w:tcPr>
            <w:tcW w:w="1072" w:type="dxa"/>
          </w:tcPr>
          <w:p w14:paraId="139352D5"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−0.020</w:t>
            </w:r>
          </w:p>
          <w:p w14:paraId="15DD6DA7"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 xml:space="preserve">−0.053 </w:t>
            </w:r>
          </w:p>
          <w:p w14:paraId="6AC462F4"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−0.070</w:t>
            </w:r>
          </w:p>
        </w:tc>
        <w:tc>
          <w:tcPr>
            <w:tcW w:w="930" w:type="dxa"/>
          </w:tcPr>
          <w:p w14:paraId="0B1508D4"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−0.011</w:t>
            </w:r>
          </w:p>
          <w:p w14:paraId="41006CEE"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−0.030</w:t>
            </w:r>
          </w:p>
          <w:p w14:paraId="485FBDFA"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−0.058</w:t>
            </w:r>
          </w:p>
        </w:tc>
        <w:tc>
          <w:tcPr>
            <w:tcW w:w="930" w:type="dxa"/>
          </w:tcPr>
          <w:p w14:paraId="1C07FFA8"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−0.013†</w:t>
            </w:r>
          </w:p>
          <w:p w14:paraId="79E78FB8"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−0.020†</w:t>
            </w:r>
          </w:p>
        </w:tc>
        <w:tc>
          <w:tcPr>
            <w:tcW w:w="930" w:type="dxa"/>
          </w:tcPr>
          <w:p w14:paraId="43816ED2"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4F62C9">
              <w:rPr>
                <w:color w:val="auto"/>
                <w:sz w:val="16"/>
                <w:szCs w:val="16"/>
              </w:rPr>
              <w:t>n/a</w:t>
            </w:r>
          </w:p>
        </w:tc>
        <w:tc>
          <w:tcPr>
            <w:tcW w:w="930" w:type="dxa"/>
          </w:tcPr>
          <w:p w14:paraId="57853432"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−0.010</w:t>
            </w:r>
            <w:r w:rsidRPr="004F62C9">
              <w:rPr>
                <w:color w:val="auto"/>
                <w:sz w:val="20"/>
                <w:szCs w:val="20"/>
                <w:vertAlign w:val="superscript"/>
              </w:rPr>
              <w:t>†</w:t>
            </w:r>
          </w:p>
          <w:p w14:paraId="2C304E10"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−0.030</w:t>
            </w:r>
            <w:r w:rsidRPr="004F62C9">
              <w:rPr>
                <w:color w:val="auto"/>
                <w:sz w:val="20"/>
                <w:szCs w:val="20"/>
                <w:vertAlign w:val="superscript"/>
              </w:rPr>
              <w:t>†</w:t>
            </w:r>
          </w:p>
        </w:tc>
      </w:tr>
      <w:tr w:rsidR="004F62C9" w:rsidRPr="004F62C9" w14:paraId="66D0FECF" w14:textId="77777777" w:rsidTr="004F62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E09164F" w14:textId="77777777" w:rsidR="005830EC" w:rsidRPr="004F62C9" w:rsidRDefault="005830EC" w:rsidP="00E72CC3">
            <w:pPr>
              <w:pStyle w:val="Table-Normal"/>
              <w:jc w:val="center"/>
              <w:rPr>
                <w:color w:val="auto"/>
                <w:sz w:val="20"/>
                <w:szCs w:val="20"/>
              </w:rPr>
            </w:pPr>
            <w:r w:rsidRPr="004F62C9">
              <w:rPr>
                <w:color w:val="auto"/>
                <w:sz w:val="20"/>
                <w:szCs w:val="20"/>
              </w:rPr>
              <w:t xml:space="preserve">Once-weekly </w:t>
            </w:r>
          </w:p>
          <w:p w14:paraId="7DA9B07C" w14:textId="77777777" w:rsidR="005830EC" w:rsidRPr="004F62C9" w:rsidRDefault="005830EC" w:rsidP="00E72CC3">
            <w:pPr>
              <w:pStyle w:val="Table-Normal"/>
              <w:jc w:val="center"/>
              <w:rPr>
                <w:i/>
                <w:iCs/>
                <w:color w:val="auto"/>
                <w:sz w:val="16"/>
                <w:szCs w:val="16"/>
              </w:rPr>
            </w:pPr>
            <w:r w:rsidRPr="004F62C9">
              <w:rPr>
                <w:color w:val="auto"/>
                <w:sz w:val="20"/>
                <w:szCs w:val="20"/>
              </w:rPr>
              <w:t>GLP-1 RA</w:t>
            </w:r>
          </w:p>
        </w:tc>
        <w:tc>
          <w:tcPr>
            <w:tcW w:w="2126" w:type="dxa"/>
          </w:tcPr>
          <w:p w14:paraId="71E47271"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 xml:space="preserve">Once-daily </w:t>
            </w:r>
          </w:p>
          <w:p w14:paraId="64073A61"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GLP-1 RA</w:t>
            </w:r>
          </w:p>
        </w:tc>
        <w:tc>
          <w:tcPr>
            <w:tcW w:w="1072" w:type="dxa"/>
          </w:tcPr>
          <w:p w14:paraId="045799A5"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 xml:space="preserve">−0.041 </w:t>
            </w:r>
          </w:p>
          <w:p w14:paraId="2FAE12D4"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−0.033</w:t>
            </w:r>
          </w:p>
          <w:p w14:paraId="44151838"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−0.095</w:t>
            </w:r>
          </w:p>
        </w:tc>
        <w:tc>
          <w:tcPr>
            <w:tcW w:w="930" w:type="dxa"/>
          </w:tcPr>
          <w:p w14:paraId="784F07F0"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−0.032</w:t>
            </w:r>
          </w:p>
          <w:p w14:paraId="0AF07C19"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−0.037</w:t>
            </w:r>
          </w:p>
          <w:p w14:paraId="46D592F0"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−0.090</w:t>
            </w:r>
          </w:p>
        </w:tc>
        <w:tc>
          <w:tcPr>
            <w:tcW w:w="930" w:type="dxa"/>
          </w:tcPr>
          <w:p w14:paraId="0A72E273"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16"/>
                <w:szCs w:val="16"/>
              </w:rPr>
            </w:pPr>
            <w:r w:rsidRPr="004F62C9">
              <w:rPr>
                <w:color w:val="auto"/>
                <w:sz w:val="16"/>
                <w:szCs w:val="16"/>
              </w:rPr>
              <w:t>n/a</w:t>
            </w:r>
          </w:p>
        </w:tc>
        <w:tc>
          <w:tcPr>
            <w:tcW w:w="930" w:type="dxa"/>
          </w:tcPr>
          <w:p w14:paraId="74660069"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−0.023</w:t>
            </w:r>
            <w:r w:rsidRPr="004F62C9">
              <w:rPr>
                <w:color w:val="auto"/>
                <w:sz w:val="20"/>
                <w:szCs w:val="20"/>
                <w:vertAlign w:val="superscript"/>
              </w:rPr>
              <w:t>‡</w:t>
            </w:r>
          </w:p>
        </w:tc>
        <w:tc>
          <w:tcPr>
            <w:tcW w:w="930" w:type="dxa"/>
          </w:tcPr>
          <w:p w14:paraId="082AA38D"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16"/>
                <w:szCs w:val="16"/>
              </w:rPr>
            </w:pPr>
            <w:r w:rsidRPr="004F62C9">
              <w:rPr>
                <w:color w:val="auto"/>
                <w:sz w:val="16"/>
                <w:szCs w:val="16"/>
              </w:rPr>
              <w:t>n/a</w:t>
            </w:r>
          </w:p>
        </w:tc>
      </w:tr>
      <w:tr w:rsidR="004F62C9" w:rsidRPr="004F62C9" w14:paraId="39B477CA" w14:textId="77777777" w:rsidTr="004F62C9">
        <w:tc>
          <w:tcPr>
            <w:cnfStyle w:val="001000000000" w:firstRow="0" w:lastRow="0" w:firstColumn="1" w:lastColumn="0" w:oddVBand="0" w:evenVBand="0" w:oddHBand="0" w:evenHBand="0" w:firstRowFirstColumn="0" w:firstRowLastColumn="0" w:lastRowFirstColumn="0" w:lastRowLastColumn="0"/>
            <w:tcW w:w="2122" w:type="dxa"/>
          </w:tcPr>
          <w:p w14:paraId="7ACC39F1" w14:textId="77777777" w:rsidR="005830EC" w:rsidRPr="004F62C9" w:rsidRDefault="005830EC" w:rsidP="00E72CC3">
            <w:pPr>
              <w:pStyle w:val="Table-Normal"/>
              <w:jc w:val="center"/>
              <w:rPr>
                <w:color w:val="auto"/>
                <w:sz w:val="20"/>
                <w:szCs w:val="20"/>
              </w:rPr>
            </w:pPr>
            <w:r w:rsidRPr="004F62C9">
              <w:rPr>
                <w:color w:val="auto"/>
                <w:sz w:val="20"/>
                <w:szCs w:val="20"/>
              </w:rPr>
              <w:t xml:space="preserve">Oral </w:t>
            </w:r>
          </w:p>
          <w:p w14:paraId="07D7BE3A" w14:textId="77777777" w:rsidR="005830EC" w:rsidRPr="004F62C9" w:rsidRDefault="005830EC" w:rsidP="00E72CC3">
            <w:pPr>
              <w:pStyle w:val="Table-Normal"/>
              <w:jc w:val="center"/>
              <w:rPr>
                <w:i/>
                <w:iCs/>
                <w:color w:val="auto"/>
                <w:sz w:val="16"/>
                <w:szCs w:val="16"/>
              </w:rPr>
            </w:pPr>
            <w:r w:rsidRPr="004F62C9">
              <w:rPr>
                <w:color w:val="auto"/>
                <w:sz w:val="20"/>
                <w:szCs w:val="20"/>
              </w:rPr>
              <w:t>treatment</w:t>
            </w:r>
          </w:p>
        </w:tc>
        <w:tc>
          <w:tcPr>
            <w:tcW w:w="2126" w:type="dxa"/>
          </w:tcPr>
          <w:p w14:paraId="7AA96B4B"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Once-weekly</w:t>
            </w:r>
          </w:p>
          <w:p w14:paraId="50860D3D"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insulin</w:t>
            </w:r>
          </w:p>
        </w:tc>
        <w:tc>
          <w:tcPr>
            <w:tcW w:w="1072" w:type="dxa"/>
          </w:tcPr>
          <w:p w14:paraId="41B6B3B4"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4F62C9">
              <w:rPr>
                <w:color w:val="auto"/>
                <w:sz w:val="16"/>
                <w:szCs w:val="16"/>
              </w:rPr>
              <w:t>n/a</w:t>
            </w:r>
          </w:p>
        </w:tc>
        <w:tc>
          <w:tcPr>
            <w:tcW w:w="930" w:type="dxa"/>
          </w:tcPr>
          <w:p w14:paraId="1918D25D"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−0.022</w:t>
            </w:r>
          </w:p>
          <w:p w14:paraId="684B08AF"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−0.050</w:t>
            </w:r>
          </w:p>
          <w:p w14:paraId="219905AE"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sidRPr="004F62C9">
              <w:rPr>
                <w:color w:val="auto"/>
                <w:sz w:val="20"/>
                <w:szCs w:val="20"/>
              </w:rPr>
              <w:t>−0.066</w:t>
            </w:r>
          </w:p>
        </w:tc>
        <w:tc>
          <w:tcPr>
            <w:tcW w:w="930" w:type="dxa"/>
          </w:tcPr>
          <w:p w14:paraId="067BB177"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4F62C9">
              <w:rPr>
                <w:color w:val="auto"/>
                <w:sz w:val="16"/>
                <w:szCs w:val="16"/>
              </w:rPr>
              <w:t>n/a</w:t>
            </w:r>
          </w:p>
        </w:tc>
        <w:tc>
          <w:tcPr>
            <w:tcW w:w="930" w:type="dxa"/>
          </w:tcPr>
          <w:p w14:paraId="5253E01F"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4F62C9">
              <w:rPr>
                <w:color w:val="auto"/>
                <w:sz w:val="16"/>
                <w:szCs w:val="16"/>
              </w:rPr>
              <w:t>n/a</w:t>
            </w:r>
          </w:p>
        </w:tc>
        <w:tc>
          <w:tcPr>
            <w:tcW w:w="930" w:type="dxa"/>
          </w:tcPr>
          <w:p w14:paraId="76C9E072" w14:textId="77777777" w:rsidR="005830EC" w:rsidRPr="004F62C9" w:rsidRDefault="005830EC" w:rsidP="00E72CC3">
            <w:pPr>
              <w:pStyle w:val="Table-Normal"/>
              <w:jc w:val="center"/>
              <w:cnfStyle w:val="000000000000" w:firstRow="0" w:lastRow="0" w:firstColumn="0" w:lastColumn="0" w:oddVBand="0" w:evenVBand="0" w:oddHBand="0" w:evenHBand="0" w:firstRowFirstColumn="0" w:firstRowLastColumn="0" w:lastRowFirstColumn="0" w:lastRowLastColumn="0"/>
              <w:rPr>
                <w:color w:val="auto"/>
                <w:sz w:val="16"/>
                <w:szCs w:val="16"/>
              </w:rPr>
            </w:pPr>
            <w:r w:rsidRPr="004F62C9">
              <w:rPr>
                <w:color w:val="auto"/>
                <w:sz w:val="16"/>
                <w:szCs w:val="16"/>
              </w:rPr>
              <w:t>n/a</w:t>
            </w:r>
          </w:p>
        </w:tc>
      </w:tr>
      <w:tr w:rsidR="004F62C9" w:rsidRPr="004F62C9" w14:paraId="7D4C664A" w14:textId="77777777" w:rsidTr="004F62C9">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122" w:type="dxa"/>
          </w:tcPr>
          <w:p w14:paraId="5B645C52" w14:textId="77777777" w:rsidR="005830EC" w:rsidRPr="004F62C9" w:rsidRDefault="005830EC" w:rsidP="00E72CC3">
            <w:pPr>
              <w:pStyle w:val="Table-Normal"/>
              <w:jc w:val="center"/>
              <w:rPr>
                <w:color w:val="auto"/>
                <w:sz w:val="20"/>
                <w:szCs w:val="20"/>
              </w:rPr>
            </w:pPr>
            <w:r w:rsidRPr="004F62C9">
              <w:rPr>
                <w:color w:val="auto"/>
                <w:sz w:val="20"/>
                <w:szCs w:val="20"/>
              </w:rPr>
              <w:t>Once-weekly</w:t>
            </w:r>
          </w:p>
          <w:p w14:paraId="34368AC2" w14:textId="77777777" w:rsidR="005830EC" w:rsidRPr="004F62C9" w:rsidRDefault="005830EC" w:rsidP="00E72CC3">
            <w:pPr>
              <w:pStyle w:val="Table-Normal"/>
              <w:jc w:val="center"/>
              <w:rPr>
                <w:i/>
                <w:iCs/>
                <w:color w:val="auto"/>
                <w:sz w:val="16"/>
                <w:szCs w:val="16"/>
              </w:rPr>
            </w:pPr>
            <w:r w:rsidRPr="004F62C9">
              <w:rPr>
                <w:color w:val="auto"/>
                <w:sz w:val="20"/>
                <w:szCs w:val="20"/>
              </w:rPr>
              <w:t>insulin</w:t>
            </w:r>
          </w:p>
        </w:tc>
        <w:tc>
          <w:tcPr>
            <w:tcW w:w="2126" w:type="dxa"/>
          </w:tcPr>
          <w:p w14:paraId="2B760D91"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Once-daily</w:t>
            </w:r>
          </w:p>
          <w:p w14:paraId="6AF34C63"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insulin</w:t>
            </w:r>
          </w:p>
        </w:tc>
        <w:tc>
          <w:tcPr>
            <w:tcW w:w="1072" w:type="dxa"/>
          </w:tcPr>
          <w:p w14:paraId="12C67491"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16"/>
                <w:szCs w:val="16"/>
              </w:rPr>
            </w:pPr>
            <w:r w:rsidRPr="004F62C9">
              <w:rPr>
                <w:color w:val="auto"/>
                <w:sz w:val="16"/>
                <w:szCs w:val="16"/>
              </w:rPr>
              <w:t>n/a</w:t>
            </w:r>
          </w:p>
        </w:tc>
        <w:tc>
          <w:tcPr>
            <w:tcW w:w="930" w:type="dxa"/>
          </w:tcPr>
          <w:p w14:paraId="6272A93A"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−0.039</w:t>
            </w:r>
          </w:p>
          <w:p w14:paraId="63D30C01"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−0.057 −0.095</w:t>
            </w:r>
          </w:p>
        </w:tc>
        <w:tc>
          <w:tcPr>
            <w:tcW w:w="930" w:type="dxa"/>
          </w:tcPr>
          <w:p w14:paraId="32807ED2"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16"/>
                <w:szCs w:val="16"/>
              </w:rPr>
            </w:pPr>
            <w:r w:rsidRPr="004F62C9">
              <w:rPr>
                <w:color w:val="auto"/>
                <w:sz w:val="16"/>
                <w:szCs w:val="16"/>
              </w:rPr>
              <w:t>n/a</w:t>
            </w:r>
          </w:p>
        </w:tc>
        <w:tc>
          <w:tcPr>
            <w:tcW w:w="930" w:type="dxa"/>
          </w:tcPr>
          <w:p w14:paraId="068E0CD1"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sidRPr="004F62C9">
              <w:rPr>
                <w:color w:val="auto"/>
                <w:sz w:val="20"/>
                <w:szCs w:val="20"/>
              </w:rPr>
              <w:t>−0.023</w:t>
            </w:r>
            <w:r w:rsidRPr="004F62C9">
              <w:rPr>
                <w:color w:val="auto"/>
                <w:sz w:val="20"/>
                <w:szCs w:val="20"/>
                <w:vertAlign w:val="superscript"/>
              </w:rPr>
              <w:t>‡</w:t>
            </w:r>
          </w:p>
        </w:tc>
        <w:tc>
          <w:tcPr>
            <w:tcW w:w="930" w:type="dxa"/>
          </w:tcPr>
          <w:p w14:paraId="128E6F31" w14:textId="77777777" w:rsidR="005830EC" w:rsidRPr="004F62C9" w:rsidRDefault="005830EC" w:rsidP="00E72CC3">
            <w:pPr>
              <w:pStyle w:val="Table-Normal"/>
              <w:jc w:val="center"/>
              <w:cnfStyle w:val="000000100000" w:firstRow="0" w:lastRow="0" w:firstColumn="0" w:lastColumn="0" w:oddVBand="0" w:evenVBand="0" w:oddHBand="1" w:evenHBand="0" w:firstRowFirstColumn="0" w:firstRowLastColumn="0" w:lastRowFirstColumn="0" w:lastRowLastColumn="0"/>
              <w:rPr>
                <w:color w:val="auto"/>
                <w:sz w:val="16"/>
                <w:szCs w:val="16"/>
              </w:rPr>
            </w:pPr>
            <w:r w:rsidRPr="004F62C9">
              <w:rPr>
                <w:color w:val="auto"/>
                <w:sz w:val="16"/>
                <w:szCs w:val="16"/>
              </w:rPr>
              <w:t>n/a</w:t>
            </w:r>
          </w:p>
        </w:tc>
      </w:tr>
    </w:tbl>
    <w:p w14:paraId="76FD2DA0" w14:textId="77777777" w:rsidR="005830EC" w:rsidRPr="004F62C9" w:rsidRDefault="005830EC" w:rsidP="005830EC">
      <w:pPr>
        <w:pStyle w:val="EndnoteText"/>
        <w:rPr>
          <w:color w:val="auto"/>
        </w:rPr>
      </w:pPr>
      <w:r w:rsidRPr="004F62C9">
        <w:rPr>
          <w:color w:val="auto"/>
        </w:rPr>
        <w:t>*Values from the current study are presented in the following order within each comparison: UK, Canada, China.</w:t>
      </w:r>
    </w:p>
    <w:p w14:paraId="69CC3FFE" w14:textId="77777777" w:rsidR="005830EC" w:rsidRPr="004F62C9" w:rsidRDefault="005830EC" w:rsidP="005830EC">
      <w:pPr>
        <w:pStyle w:val="EndnoteText"/>
        <w:rPr>
          <w:color w:val="auto"/>
        </w:rPr>
      </w:pPr>
      <w:r w:rsidRPr="004F62C9">
        <w:rPr>
          <w:color w:val="auto"/>
        </w:rPr>
        <w:t xml:space="preserve">†Heath states in Boye </w:t>
      </w:r>
      <w:r w:rsidRPr="004F62C9">
        <w:rPr>
          <w:i/>
          <w:iCs/>
          <w:color w:val="auto"/>
        </w:rPr>
        <w:t>et al</w:t>
      </w:r>
      <w:r w:rsidRPr="004F62C9">
        <w:rPr>
          <w:color w:val="auto"/>
        </w:rPr>
        <w:t xml:space="preserve">. 2019 and Matza </w:t>
      </w:r>
      <w:r w:rsidRPr="004F62C9">
        <w:rPr>
          <w:i/>
          <w:iCs/>
          <w:color w:val="auto"/>
        </w:rPr>
        <w:t>et al</w:t>
      </w:r>
      <w:r w:rsidRPr="004F62C9">
        <w:rPr>
          <w:color w:val="auto"/>
        </w:rPr>
        <w:t>. 2017 included more than one GLP-1 RA injection device; therefore, multiple values are presented.</w:t>
      </w:r>
    </w:p>
    <w:p w14:paraId="5BBFF0A1" w14:textId="77777777" w:rsidR="005830EC" w:rsidRPr="004F62C9" w:rsidRDefault="005830EC" w:rsidP="005830EC">
      <w:pPr>
        <w:pStyle w:val="EndnoteText"/>
        <w:rPr>
          <w:color w:val="auto"/>
        </w:rPr>
      </w:pPr>
      <w:r w:rsidRPr="004F62C9">
        <w:rPr>
          <w:color w:val="auto"/>
        </w:rPr>
        <w:t xml:space="preserve">‡Health states in Boye </w:t>
      </w:r>
      <w:r w:rsidRPr="004F62C9">
        <w:rPr>
          <w:i/>
          <w:iCs/>
          <w:color w:val="auto"/>
        </w:rPr>
        <w:t>et al</w:t>
      </w:r>
      <w:r w:rsidRPr="004F62C9">
        <w:rPr>
          <w:color w:val="auto"/>
        </w:rPr>
        <w:t>. 2011 were not specific to GLP-1 RA or insulin treatment; therefore, this value is presented in both the GLP-1 RA and insulin sections.</w:t>
      </w:r>
    </w:p>
    <w:p w14:paraId="768330EC" w14:textId="2B96D408" w:rsidR="00AC79C4" w:rsidRPr="004F62C9" w:rsidRDefault="005830EC" w:rsidP="005830EC">
      <w:pPr>
        <w:pStyle w:val="EndnoteText"/>
        <w:rPr>
          <w:color w:val="auto"/>
        </w:rPr>
      </w:pPr>
      <w:r w:rsidRPr="004F62C9">
        <w:rPr>
          <w:color w:val="auto"/>
        </w:rPr>
        <w:t>“n/a” indicates that the health state comparison was not conducted or not reported.</w:t>
      </w:r>
    </w:p>
    <w:p w14:paraId="5251EA50" w14:textId="44DF825A" w:rsidR="005830EC" w:rsidRPr="004F62C9" w:rsidRDefault="00AC79C4" w:rsidP="00AC79C4">
      <w:pPr>
        <w:spacing w:before="0" w:after="200"/>
        <w:rPr>
          <w:color w:val="auto"/>
          <w:sz w:val="18"/>
          <w:szCs w:val="20"/>
        </w:rPr>
      </w:pPr>
      <w:r w:rsidRPr="004F62C9">
        <w:rPr>
          <w:color w:val="auto"/>
        </w:rPr>
        <w:br w:type="page"/>
      </w:r>
    </w:p>
    <w:p w14:paraId="2BF8A85C" w14:textId="1AEE92DE" w:rsidR="00684E37" w:rsidRPr="004F62C9" w:rsidRDefault="00684E37" w:rsidP="00684E37">
      <w:pPr>
        <w:pStyle w:val="Heading2"/>
        <w:numPr>
          <w:ilvl w:val="0"/>
          <w:numId w:val="0"/>
        </w:numPr>
        <w:ind w:left="709" w:hanging="709"/>
        <w:rPr>
          <w:color w:val="auto"/>
        </w:rPr>
      </w:pPr>
      <w:r w:rsidRPr="004F62C9">
        <w:rPr>
          <w:color w:val="auto"/>
        </w:rPr>
        <w:t>Obesity introductory text and health state descriptions</w:t>
      </w:r>
      <w:bookmarkEnd w:id="1"/>
      <w:bookmarkEnd w:id="2"/>
    </w:p>
    <w:p w14:paraId="7D5F8EC9" w14:textId="77777777" w:rsidR="00684E37" w:rsidRPr="004F62C9" w:rsidRDefault="00684E37" w:rsidP="00684E37">
      <w:pPr>
        <w:rPr>
          <w:b/>
          <w:bCs/>
          <w:color w:val="auto"/>
        </w:rPr>
      </w:pPr>
      <w:r w:rsidRPr="004F62C9">
        <w:rPr>
          <w:b/>
          <w:bCs/>
          <w:color w:val="auto"/>
        </w:rPr>
        <w:t>Introductory text</w:t>
      </w:r>
    </w:p>
    <w:p w14:paraId="55F5AC28" w14:textId="77777777" w:rsidR="00684E37" w:rsidRPr="004F62C9" w:rsidRDefault="00684E37" w:rsidP="00684E37">
      <w:pPr>
        <w:rPr>
          <w:color w:val="auto"/>
        </w:rPr>
      </w:pPr>
      <w:r w:rsidRPr="004F62C9">
        <w:rPr>
          <w:color w:val="auto"/>
        </w:rPr>
        <w:t>Obesity is a condition where the body stores too much fat tissue, meaning that body weight and waist size increase to a degree that affects a person’s health and their ability to complete activities in their daily life. For example, a person who is 176 cm tall and who weighs 89 kg or more would be considered obese. Being obese increases the risk of complications that affect the heart (such as high blood pressure or cardiovascular disease), joints (such as osteoarthritis), risk of stroke, cancer and diabetes. In addition, a person with obesity may experience difficulties completing activities such as work, due to their condition. Therefore, reducing weight from an obese level is positive for health.</w:t>
      </w:r>
    </w:p>
    <w:p w14:paraId="4CDA4D2D" w14:textId="77777777" w:rsidR="00684E37" w:rsidRPr="004F62C9" w:rsidRDefault="00684E37" w:rsidP="00684E37">
      <w:pPr>
        <w:rPr>
          <w:b/>
          <w:bCs/>
          <w:color w:val="auto"/>
        </w:rPr>
      </w:pPr>
      <w:r w:rsidRPr="004F62C9">
        <w:rPr>
          <w:b/>
          <w:bCs/>
          <w:color w:val="auto"/>
        </w:rPr>
        <w:t>Anchor (diet and exercise only)</w:t>
      </w:r>
    </w:p>
    <w:tbl>
      <w:tblPr>
        <w:tblStyle w:val="TableGrid"/>
        <w:tblW w:w="0" w:type="auto"/>
        <w:tblLook w:val="04A0" w:firstRow="1" w:lastRow="0" w:firstColumn="1" w:lastColumn="0" w:noHBand="0" w:noVBand="1"/>
      </w:tblPr>
      <w:tblGrid>
        <w:gridCol w:w="9039"/>
      </w:tblGrid>
      <w:tr w:rsidR="00684E37" w:rsidRPr="004F62C9" w14:paraId="27C2C907" w14:textId="77777777" w:rsidTr="00900E1D">
        <w:tc>
          <w:tcPr>
            <w:tcW w:w="9039" w:type="dxa"/>
            <w:tcBorders>
              <w:top w:val="single" w:sz="4" w:space="0" w:color="4E5053"/>
              <w:left w:val="single" w:sz="4" w:space="0" w:color="4E5053"/>
              <w:bottom w:val="single" w:sz="4" w:space="0" w:color="4E5053"/>
              <w:right w:val="single" w:sz="4" w:space="0" w:color="4E5053"/>
            </w:tcBorders>
            <w:hideMark/>
          </w:tcPr>
          <w:p w14:paraId="6DCF9E99"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have obesity.</w:t>
            </w:r>
          </w:p>
          <w:p w14:paraId="510438F6"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Because of your obesity, your doctor has advised you to monitor your diet and exercise regularly.</w:t>
            </w:r>
          </w:p>
          <w:p w14:paraId="2A0A0611"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follow your doctor’s recommendations about your diet. </w:t>
            </w:r>
          </w:p>
          <w:p w14:paraId="5D9785B4"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count the number of calories in the foods that you eat, and you make sure that you do not exceed the daily limit that your doctor has recommended.</w:t>
            </w:r>
          </w:p>
          <w:p w14:paraId="18F127D4"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For certain foods, you limit the amount you eat, or how often you eat them.</w:t>
            </w:r>
          </w:p>
          <w:p w14:paraId="7691B6E5"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follow your doctor’s recommendations about exercise.</w:t>
            </w:r>
          </w:p>
          <w:p w14:paraId="4F2268F3"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do aerobic exercise (such as brisk walking) for 2½ hours per week, spread across three or more days.</w:t>
            </w:r>
          </w:p>
          <w:p w14:paraId="7621128F"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consistently follow this guidance, and your weight is maintained at a level between being obese and overweight, without further increasing or decreasing.</w:t>
            </w:r>
          </w:p>
          <w:p w14:paraId="6DD1E172"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Despite following the guidance, at this level, your risk of obesity-related complications is not significantly increased compared to a person who is overweight, but not obese, and you are more easily able to complete activities such as work.</w:t>
            </w:r>
          </w:p>
        </w:tc>
      </w:tr>
    </w:tbl>
    <w:p w14:paraId="76A6D9B2" w14:textId="77777777" w:rsidR="00684E37" w:rsidRPr="004F62C9" w:rsidRDefault="00684E37" w:rsidP="00684E37">
      <w:pPr>
        <w:rPr>
          <w:color w:val="auto"/>
        </w:rPr>
      </w:pPr>
    </w:p>
    <w:p w14:paraId="79FA7ECB" w14:textId="77777777" w:rsidR="00684E37" w:rsidRPr="004F62C9" w:rsidRDefault="00684E37" w:rsidP="00684E37">
      <w:pPr>
        <w:rPr>
          <w:color w:val="auto"/>
        </w:rPr>
      </w:pPr>
    </w:p>
    <w:p w14:paraId="19DF18C6" w14:textId="77777777" w:rsidR="00684E37" w:rsidRPr="004F62C9" w:rsidRDefault="00684E37" w:rsidP="00684E37">
      <w:pPr>
        <w:rPr>
          <w:color w:val="auto"/>
        </w:rPr>
      </w:pPr>
    </w:p>
    <w:p w14:paraId="1EC6347B" w14:textId="77777777" w:rsidR="00684E37" w:rsidRPr="004F62C9" w:rsidRDefault="00684E37" w:rsidP="00684E37">
      <w:pPr>
        <w:rPr>
          <w:color w:val="auto"/>
        </w:rPr>
      </w:pPr>
    </w:p>
    <w:p w14:paraId="34D81047" w14:textId="77777777" w:rsidR="00684E37" w:rsidRPr="004F62C9" w:rsidRDefault="00684E37" w:rsidP="00684E37">
      <w:pPr>
        <w:rPr>
          <w:color w:val="auto"/>
        </w:rPr>
      </w:pPr>
    </w:p>
    <w:p w14:paraId="5FF5331B" w14:textId="77777777" w:rsidR="00684E37" w:rsidRPr="004F62C9" w:rsidRDefault="00684E37" w:rsidP="00684E37">
      <w:pPr>
        <w:rPr>
          <w:color w:val="auto"/>
        </w:rPr>
      </w:pPr>
    </w:p>
    <w:p w14:paraId="5CB67F4E" w14:textId="77777777" w:rsidR="00684E37" w:rsidRPr="004F62C9" w:rsidRDefault="00684E37" w:rsidP="00684E37">
      <w:pPr>
        <w:rPr>
          <w:color w:val="auto"/>
        </w:rPr>
      </w:pPr>
    </w:p>
    <w:p w14:paraId="603EADC6" w14:textId="77777777" w:rsidR="00684E37" w:rsidRPr="004F62C9" w:rsidRDefault="00684E37" w:rsidP="00684E37">
      <w:pPr>
        <w:rPr>
          <w:color w:val="auto"/>
        </w:rPr>
      </w:pPr>
    </w:p>
    <w:p w14:paraId="5F9D67FC" w14:textId="77777777" w:rsidR="00684E37" w:rsidRPr="004F62C9" w:rsidRDefault="00684E37" w:rsidP="00684E37">
      <w:pPr>
        <w:rPr>
          <w:color w:val="auto"/>
        </w:rPr>
      </w:pPr>
    </w:p>
    <w:p w14:paraId="212B471A" w14:textId="0010F44A" w:rsidR="00684E37" w:rsidRPr="004F62C9" w:rsidRDefault="00DB6AA2" w:rsidP="00DB6AA2">
      <w:pPr>
        <w:spacing w:before="0" w:after="200"/>
        <w:rPr>
          <w:color w:val="auto"/>
        </w:rPr>
      </w:pPr>
      <w:r w:rsidRPr="004F62C9">
        <w:rPr>
          <w:color w:val="auto"/>
        </w:rPr>
        <w:br w:type="page"/>
      </w:r>
    </w:p>
    <w:p w14:paraId="14538664" w14:textId="77777777" w:rsidR="00684E37" w:rsidRPr="004F62C9" w:rsidRDefault="00684E37" w:rsidP="00684E37">
      <w:pPr>
        <w:rPr>
          <w:b/>
          <w:bCs/>
          <w:color w:val="auto"/>
        </w:rPr>
      </w:pPr>
      <w:r w:rsidRPr="004F62C9">
        <w:rPr>
          <w:b/>
          <w:bCs/>
          <w:color w:val="auto"/>
        </w:rPr>
        <w:t>#1 GLP-1 RA QW (once-weekly + oral therapy)</w:t>
      </w:r>
    </w:p>
    <w:tbl>
      <w:tblPr>
        <w:tblStyle w:val="TableGrid"/>
        <w:tblW w:w="0" w:type="auto"/>
        <w:tblLook w:val="04A0" w:firstRow="1" w:lastRow="0" w:firstColumn="1" w:lastColumn="0" w:noHBand="0" w:noVBand="1"/>
      </w:tblPr>
      <w:tblGrid>
        <w:gridCol w:w="9039"/>
      </w:tblGrid>
      <w:tr w:rsidR="00684E37" w:rsidRPr="004F62C9" w14:paraId="47E60551" w14:textId="77777777" w:rsidTr="00900E1D">
        <w:tc>
          <w:tcPr>
            <w:tcW w:w="9039" w:type="dxa"/>
            <w:tcBorders>
              <w:top w:val="single" w:sz="4" w:space="0" w:color="4E5053"/>
              <w:left w:val="single" w:sz="4" w:space="0" w:color="4E5053"/>
              <w:bottom w:val="single" w:sz="4" w:space="0" w:color="4E5053"/>
              <w:right w:val="single" w:sz="4" w:space="0" w:color="4E5053"/>
            </w:tcBorders>
            <w:hideMark/>
          </w:tcPr>
          <w:p w14:paraId="63576AEA"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have obesity.</w:t>
            </w:r>
          </w:p>
          <w:p w14:paraId="2BAD82E1"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Because of your obesity, your doctor has advised you to monitor your diet and exercise regularly.</w:t>
            </w:r>
          </w:p>
          <w:p w14:paraId="3A82AC7C"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follow your doctor’s recommendations about your diet. </w:t>
            </w:r>
          </w:p>
          <w:p w14:paraId="421FD41C"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count the number of calories in the foods that you eat, and you make sure that you do not exceed the daily limit that your doctor has recommended.</w:t>
            </w:r>
          </w:p>
          <w:p w14:paraId="5A18FF73"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For certain foods, you limit the amount you eat, or how often you eat them.</w:t>
            </w:r>
          </w:p>
          <w:p w14:paraId="0C0CD159"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follow your doctor’s recommendations about exercise.</w:t>
            </w:r>
          </w:p>
          <w:p w14:paraId="62C7EC64"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do aerobic exercise (such as brisk walking) for 2½ hours per week, spread across three or more days.</w:t>
            </w:r>
          </w:p>
          <w:p w14:paraId="2AC4A6D9"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Your doctor has also advised you to take medication that reduces your weight.</w:t>
            </w:r>
          </w:p>
          <w:p w14:paraId="5541A999"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tablets and injections.</w:t>
            </w:r>
          </w:p>
          <w:p w14:paraId="53143975"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daily tablets prescribed by your doctor.</w:t>
            </w:r>
          </w:p>
          <w:p w14:paraId="49ED2667"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give yourself an injection </w:t>
            </w:r>
            <w:r w:rsidRPr="004F62C9">
              <w:rPr>
                <w:b/>
                <w:bCs/>
                <w:color w:val="auto"/>
                <w:u w:val="single"/>
                <w:lang w:val="en-GB"/>
              </w:rPr>
              <w:t>once a week</w:t>
            </w:r>
            <w:r w:rsidRPr="004F62C9">
              <w:rPr>
                <w:color w:val="auto"/>
                <w:lang w:val="en-GB"/>
              </w:rPr>
              <w:t>, from a pre-filled injection device. (One injection per week.)</w:t>
            </w:r>
          </w:p>
          <w:p w14:paraId="29E722A6"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may choose the time of day when you give yourself the injection.</w:t>
            </w:r>
          </w:p>
          <w:p w14:paraId="2328FCFE"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Before beginning to use the injection device, you may store it in your refrigerator or at room temperature.</w:t>
            </w:r>
          </w:p>
          <w:p w14:paraId="767E6912"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Before giving yourself the injection, you must place a new needle on the device and remove both protective caps from the needle. Because of the protective cap, you do not directly handle the needle at any point. You must then dial up to priming dose, and press the button to test whether the medicine can clearly pass through this needle. When this is confirmed, you can dial up to the dose that your doctor has advised, and then administer the injection.</w:t>
            </w:r>
          </w:p>
          <w:p w14:paraId="6A91DEB5"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After you give yourself the injection, you safely dispose of the needle in a sharps disposal container (</w:t>
            </w:r>
            <w:r w:rsidRPr="004F62C9">
              <w:rPr>
                <w:color w:val="auto"/>
                <w:u w:val="single"/>
                <w:lang w:val="en-GB"/>
              </w:rPr>
              <w:t>once disposal per week</w:t>
            </w:r>
            <w:r w:rsidRPr="004F62C9">
              <w:rPr>
                <w:color w:val="auto"/>
                <w:lang w:val="en-GB"/>
              </w:rPr>
              <w:t>).</w:t>
            </w:r>
          </w:p>
          <w:p w14:paraId="7919B9AA"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consistently follow this guidance, and your weight is maintained at a level between being obese and overweight, without further increasing or decreasing.</w:t>
            </w:r>
          </w:p>
          <w:p w14:paraId="6AF4AEE2"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Despite following the guidance, at this level, your risk of obesity-related complications is not significantly increased compared to a person who is overweight, but not obese, and you are more easily able to complete activities such as work.</w:t>
            </w:r>
          </w:p>
        </w:tc>
      </w:tr>
    </w:tbl>
    <w:p w14:paraId="5E66DFF2" w14:textId="77777777" w:rsidR="00684E37" w:rsidRPr="004F62C9" w:rsidRDefault="00684E37" w:rsidP="00684E37">
      <w:pPr>
        <w:rPr>
          <w:color w:val="auto"/>
        </w:rPr>
      </w:pPr>
    </w:p>
    <w:p w14:paraId="2BAA39DB" w14:textId="77777777" w:rsidR="00684E37" w:rsidRPr="004F62C9" w:rsidRDefault="00684E37" w:rsidP="00684E37">
      <w:pPr>
        <w:spacing w:before="0" w:after="200"/>
        <w:rPr>
          <w:color w:val="auto"/>
        </w:rPr>
      </w:pPr>
      <w:r w:rsidRPr="004F62C9">
        <w:rPr>
          <w:color w:val="auto"/>
        </w:rPr>
        <w:br w:type="page"/>
      </w:r>
    </w:p>
    <w:p w14:paraId="3C7A5276" w14:textId="77777777" w:rsidR="00684E37" w:rsidRPr="004F62C9" w:rsidRDefault="00684E37" w:rsidP="00684E37">
      <w:pPr>
        <w:rPr>
          <w:b/>
          <w:bCs/>
          <w:color w:val="auto"/>
        </w:rPr>
      </w:pPr>
      <w:r w:rsidRPr="004F62C9">
        <w:rPr>
          <w:b/>
          <w:bCs/>
          <w:color w:val="auto"/>
        </w:rPr>
        <w:t>#2 GLP-1 RA QD (once-daily + oral therapy)</w:t>
      </w:r>
    </w:p>
    <w:tbl>
      <w:tblPr>
        <w:tblStyle w:val="TableGrid"/>
        <w:tblW w:w="0" w:type="auto"/>
        <w:tblLook w:val="04A0" w:firstRow="1" w:lastRow="0" w:firstColumn="1" w:lastColumn="0" w:noHBand="0" w:noVBand="1"/>
      </w:tblPr>
      <w:tblGrid>
        <w:gridCol w:w="9039"/>
      </w:tblGrid>
      <w:tr w:rsidR="00684E37" w:rsidRPr="004F62C9" w14:paraId="6071B210" w14:textId="77777777" w:rsidTr="00900E1D">
        <w:tc>
          <w:tcPr>
            <w:tcW w:w="9039" w:type="dxa"/>
            <w:tcBorders>
              <w:top w:val="single" w:sz="4" w:space="0" w:color="4E5053"/>
              <w:left w:val="single" w:sz="4" w:space="0" w:color="4E5053"/>
              <w:bottom w:val="single" w:sz="4" w:space="0" w:color="4E5053"/>
              <w:right w:val="single" w:sz="4" w:space="0" w:color="4E5053"/>
            </w:tcBorders>
            <w:hideMark/>
          </w:tcPr>
          <w:p w14:paraId="3BBA52C8"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have obesity.</w:t>
            </w:r>
          </w:p>
          <w:p w14:paraId="76069B4B"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Because of your obesity, your doctor has advised you to monitor your diet and exercise regularly.</w:t>
            </w:r>
          </w:p>
          <w:p w14:paraId="768087E0"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follow your doctor’s recommendations about your diet. </w:t>
            </w:r>
          </w:p>
          <w:p w14:paraId="3BE9917D"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count the number of calories in the foods that you eat, and you make sure that you do not exceed the daily limit that your doctor has recommended.</w:t>
            </w:r>
          </w:p>
          <w:p w14:paraId="0A7F3EA8"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For certain foods, you limit the amount you eat, or how often you eat them.</w:t>
            </w:r>
          </w:p>
          <w:p w14:paraId="4E936921"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follow your doctor’s recommendations about exercise.</w:t>
            </w:r>
          </w:p>
          <w:p w14:paraId="0834F660"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do aerobic exercise (such as brisk walking) for 2½ hours per week, spread across three or more days.</w:t>
            </w:r>
          </w:p>
          <w:p w14:paraId="72DC7D1D"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Your doctor has also advised you to take medication that reduces your weight.</w:t>
            </w:r>
          </w:p>
          <w:p w14:paraId="0FB8C33D"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tablets and injections.</w:t>
            </w:r>
          </w:p>
          <w:p w14:paraId="3E26BED2"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daily tablets prescribed by your doctor.</w:t>
            </w:r>
          </w:p>
          <w:p w14:paraId="6F7358F3"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give yourself an injection </w:t>
            </w:r>
            <w:r w:rsidRPr="004F62C9">
              <w:rPr>
                <w:b/>
                <w:bCs/>
                <w:color w:val="auto"/>
                <w:u w:val="single"/>
                <w:lang w:val="en-GB"/>
              </w:rPr>
              <w:t>once a day</w:t>
            </w:r>
            <w:r w:rsidRPr="004F62C9">
              <w:rPr>
                <w:color w:val="auto"/>
                <w:lang w:val="en-GB"/>
              </w:rPr>
              <w:t>, from a pre-filled injection device. (Seven injections per week.)</w:t>
            </w:r>
          </w:p>
          <w:p w14:paraId="37285A3D"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may choose the time of day when you give yourself the injection; however, this time of day should be kept consistent (for example, after dinner each evening).</w:t>
            </w:r>
          </w:p>
          <w:p w14:paraId="221AA8A9"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Before beginning to use the injection device, you may store it in your refrigerator or at room temperature.</w:t>
            </w:r>
          </w:p>
          <w:p w14:paraId="73C50E58"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Before giving yourself the injection, you must place a new needle on the device and remove both protective caps from the needle. Because of the protective cap, you do not directly handle the needle at any point. You must then dial up to priming dose, and press the button to test whether the medicine can clearly pass through this needle. When this is confirmed, you can dial up to the dose that your doctor has advised, and then administer the injection.</w:t>
            </w:r>
          </w:p>
          <w:p w14:paraId="69C43396"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After you give yourself the injection, you safely dispose of the needle in a sharps disposal container (</w:t>
            </w:r>
            <w:r w:rsidRPr="004F62C9">
              <w:rPr>
                <w:color w:val="auto"/>
                <w:u w:val="single"/>
                <w:lang w:val="en-GB"/>
              </w:rPr>
              <w:t>one disposal per day</w:t>
            </w:r>
            <w:r w:rsidRPr="004F62C9">
              <w:rPr>
                <w:color w:val="auto"/>
                <w:lang w:val="en-GB"/>
              </w:rPr>
              <w:t>).</w:t>
            </w:r>
          </w:p>
          <w:p w14:paraId="26FBF7CE"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consistently follow this guidance, and your weight is maintained at a level between being obese and overweight, without further increasing or decreasing.</w:t>
            </w:r>
          </w:p>
          <w:p w14:paraId="2B5E6C69"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Despite following the guidance, at this level, your risk of obesity-related complications is not significantly increased compared to a person who is overweight, but not obese, and you are more easily able to complete activities such as work.</w:t>
            </w:r>
          </w:p>
        </w:tc>
      </w:tr>
    </w:tbl>
    <w:p w14:paraId="04C8F951" w14:textId="77777777" w:rsidR="00684E37" w:rsidRPr="004F62C9" w:rsidRDefault="00684E37" w:rsidP="00684E37">
      <w:pPr>
        <w:tabs>
          <w:tab w:val="left" w:pos="1665"/>
        </w:tabs>
        <w:rPr>
          <w:color w:val="auto"/>
        </w:rPr>
      </w:pPr>
    </w:p>
    <w:p w14:paraId="2D114250" w14:textId="77777777" w:rsidR="00684E37" w:rsidRPr="004F62C9" w:rsidRDefault="00684E37" w:rsidP="00684E37">
      <w:pPr>
        <w:tabs>
          <w:tab w:val="left" w:pos="1665"/>
        </w:tabs>
        <w:rPr>
          <w:color w:val="auto"/>
        </w:rPr>
      </w:pPr>
    </w:p>
    <w:p w14:paraId="0A29BF26" w14:textId="77777777" w:rsidR="00684E37" w:rsidRPr="004F62C9" w:rsidRDefault="00684E37" w:rsidP="00684E37">
      <w:pPr>
        <w:tabs>
          <w:tab w:val="left" w:pos="1665"/>
        </w:tabs>
        <w:rPr>
          <w:color w:val="auto"/>
        </w:rPr>
      </w:pPr>
    </w:p>
    <w:p w14:paraId="7E96BE3D" w14:textId="77777777" w:rsidR="00684E37" w:rsidRPr="004F62C9" w:rsidRDefault="00684E37" w:rsidP="00684E37">
      <w:pPr>
        <w:tabs>
          <w:tab w:val="left" w:pos="1665"/>
        </w:tabs>
        <w:rPr>
          <w:color w:val="auto"/>
        </w:rPr>
      </w:pPr>
    </w:p>
    <w:p w14:paraId="780D1528" w14:textId="77777777" w:rsidR="00684E37" w:rsidRPr="004F62C9" w:rsidRDefault="00684E37" w:rsidP="00684E37">
      <w:pPr>
        <w:tabs>
          <w:tab w:val="left" w:pos="1665"/>
        </w:tabs>
        <w:rPr>
          <w:color w:val="auto"/>
        </w:rPr>
      </w:pPr>
    </w:p>
    <w:p w14:paraId="28F1880F" w14:textId="77777777" w:rsidR="00684E37" w:rsidRPr="004F62C9" w:rsidRDefault="00684E37" w:rsidP="00684E37">
      <w:pPr>
        <w:tabs>
          <w:tab w:val="left" w:pos="1665"/>
        </w:tabs>
        <w:rPr>
          <w:color w:val="auto"/>
        </w:rPr>
      </w:pPr>
    </w:p>
    <w:p w14:paraId="54FD69E9" w14:textId="77777777" w:rsidR="00684E37" w:rsidRPr="004F62C9" w:rsidRDefault="00684E37" w:rsidP="00684E37">
      <w:pPr>
        <w:tabs>
          <w:tab w:val="left" w:pos="1665"/>
        </w:tabs>
        <w:rPr>
          <w:color w:val="auto"/>
        </w:rPr>
      </w:pPr>
    </w:p>
    <w:p w14:paraId="0F1ED2C9" w14:textId="06B49D48" w:rsidR="00684E37" w:rsidRPr="004F62C9" w:rsidRDefault="00DB6AA2" w:rsidP="00DB6AA2">
      <w:pPr>
        <w:spacing w:before="0" w:after="200"/>
        <w:rPr>
          <w:color w:val="auto"/>
        </w:rPr>
      </w:pPr>
      <w:r w:rsidRPr="004F62C9">
        <w:rPr>
          <w:color w:val="auto"/>
        </w:rPr>
        <w:br w:type="page"/>
      </w:r>
    </w:p>
    <w:p w14:paraId="0A167B39" w14:textId="77777777" w:rsidR="00684E37" w:rsidRPr="004F62C9" w:rsidRDefault="00684E37" w:rsidP="00684E37">
      <w:pPr>
        <w:pStyle w:val="Heading2"/>
        <w:numPr>
          <w:ilvl w:val="0"/>
          <w:numId w:val="0"/>
        </w:numPr>
        <w:ind w:left="709" w:hanging="709"/>
        <w:rPr>
          <w:color w:val="auto"/>
        </w:rPr>
      </w:pPr>
      <w:bookmarkStart w:id="4" w:name="_Toc70697032"/>
      <w:bookmarkStart w:id="5" w:name="_Ref70697178"/>
      <w:r w:rsidRPr="004F62C9">
        <w:rPr>
          <w:color w:val="auto"/>
        </w:rPr>
        <w:t>T2DM introductory text and health state descriptions</w:t>
      </w:r>
      <w:bookmarkEnd w:id="4"/>
      <w:bookmarkEnd w:id="5"/>
    </w:p>
    <w:p w14:paraId="1B81F01C" w14:textId="77777777" w:rsidR="00684E37" w:rsidRPr="004F62C9" w:rsidRDefault="00684E37" w:rsidP="00684E37">
      <w:pPr>
        <w:rPr>
          <w:b/>
          <w:bCs/>
          <w:color w:val="auto"/>
        </w:rPr>
      </w:pPr>
      <w:r w:rsidRPr="004F62C9">
        <w:rPr>
          <w:b/>
          <w:bCs/>
          <w:color w:val="auto"/>
        </w:rPr>
        <w:t>Introductory text</w:t>
      </w:r>
    </w:p>
    <w:p w14:paraId="62E510B3" w14:textId="77777777" w:rsidR="00684E37" w:rsidRPr="004F62C9" w:rsidRDefault="00684E37" w:rsidP="00684E37">
      <w:pPr>
        <w:spacing w:after="0"/>
        <w:rPr>
          <w:rFonts w:eastAsia="Times New Roman" w:cstheme="minorHAnsi"/>
          <w:color w:val="auto"/>
          <w:kern w:val="24"/>
        </w:rPr>
      </w:pPr>
      <w:bookmarkStart w:id="6" w:name="_Hlk58408340"/>
      <w:r w:rsidRPr="004F62C9">
        <w:rPr>
          <w:rFonts w:eastAsia="Times New Roman" w:cstheme="minorHAnsi"/>
          <w:color w:val="auto"/>
          <w:kern w:val="24"/>
        </w:rPr>
        <w:t>Type 2 diabetes is a condition where the body does not produce enough insulin, or does not react properly to the insulin it does produce. (Insulin is the hormone that reduces the amount of sugar in a person’s blood.) Therefore, a person with this condition has uncontrolled levels of sugar in their blood compared to a person without diabetes. Uncontrolled levels of sugar in the blood increase the risk of complications that affect the heart, eyes, nerves, and other parts of the body. Therefore, reducing the level of sugar in the blood is positive for health.</w:t>
      </w:r>
      <w:bookmarkEnd w:id="6"/>
    </w:p>
    <w:p w14:paraId="08BE9B84" w14:textId="77777777" w:rsidR="00684E37" w:rsidRPr="004F62C9" w:rsidRDefault="00684E37" w:rsidP="00684E37">
      <w:pPr>
        <w:rPr>
          <w:rFonts w:eastAsia="Times New Roman"/>
          <w:b/>
          <w:bCs/>
          <w:color w:val="auto"/>
        </w:rPr>
      </w:pPr>
      <w:r w:rsidRPr="004F62C9">
        <w:rPr>
          <w:rFonts w:eastAsia="Times New Roman"/>
          <w:b/>
          <w:bCs/>
          <w:color w:val="auto"/>
        </w:rPr>
        <w:t>Anchor (diet and exercise only)</w:t>
      </w:r>
    </w:p>
    <w:tbl>
      <w:tblPr>
        <w:tblStyle w:val="TableGrid"/>
        <w:tblW w:w="0" w:type="auto"/>
        <w:tblLook w:val="04A0" w:firstRow="1" w:lastRow="0" w:firstColumn="1" w:lastColumn="0" w:noHBand="0" w:noVBand="1"/>
      </w:tblPr>
      <w:tblGrid>
        <w:gridCol w:w="9039"/>
      </w:tblGrid>
      <w:tr w:rsidR="00684E37" w:rsidRPr="004F62C9" w14:paraId="05F213F2" w14:textId="77777777" w:rsidTr="00900E1D">
        <w:tc>
          <w:tcPr>
            <w:tcW w:w="9039" w:type="dxa"/>
            <w:tcBorders>
              <w:top w:val="single" w:sz="4" w:space="0" w:color="4E5053"/>
              <w:left w:val="single" w:sz="4" w:space="0" w:color="4E5053"/>
              <w:bottom w:val="single" w:sz="4" w:space="0" w:color="4E5053"/>
              <w:right w:val="single" w:sz="4" w:space="0" w:color="4E5053"/>
            </w:tcBorders>
            <w:hideMark/>
          </w:tcPr>
          <w:p w14:paraId="1360CD6E" w14:textId="77777777" w:rsidR="00684E37" w:rsidRPr="004F62C9" w:rsidRDefault="00684E37" w:rsidP="00E94532">
            <w:pPr>
              <w:pStyle w:val="ListParagraph"/>
              <w:numPr>
                <w:ilvl w:val="0"/>
                <w:numId w:val="8"/>
              </w:numPr>
              <w:spacing w:before="0" w:after="0"/>
              <w:ind w:left="714" w:hanging="357"/>
              <w:rPr>
                <w:color w:val="auto"/>
                <w:lang w:val="en-GB"/>
              </w:rPr>
            </w:pPr>
            <w:bookmarkStart w:id="7" w:name="_Hlk58580402"/>
            <w:r w:rsidRPr="004F62C9">
              <w:rPr>
                <w:color w:val="auto"/>
                <w:lang w:val="en-GB"/>
              </w:rPr>
              <w:t xml:space="preserve">You have type 2 diabetes. </w:t>
            </w:r>
          </w:p>
          <w:p w14:paraId="03B5AA77"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Because of your diabetes, your doctor has advised you to monitor your diet and exercise regularly.</w:t>
            </w:r>
          </w:p>
          <w:p w14:paraId="6B593EDD"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follow your doctor’s recommendations about your diet. </w:t>
            </w:r>
          </w:p>
          <w:p w14:paraId="59CDA7DC"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eat meals and snacks at regular times each day.</w:t>
            </w:r>
          </w:p>
          <w:p w14:paraId="41AD7B43"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also count the amount of carbohydrate in the foods that you eat, and match the amount of carbohydrate with your activity level each day. </w:t>
            </w:r>
          </w:p>
          <w:p w14:paraId="375E9919"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For certain foods, you limit the amount you eat, or how often you eat them.</w:t>
            </w:r>
          </w:p>
          <w:p w14:paraId="4324332B"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follow your doctor’s recommendations about exercise.</w:t>
            </w:r>
          </w:p>
          <w:p w14:paraId="5ECBBF5A"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do aerobic exercise (such as brisk walking) for 2½ hours per week, spread across three or more days.</w:t>
            </w:r>
          </w:p>
          <w:p w14:paraId="4978CB84"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also do 2-3 sessions of resistance or strength exercise per week (for example lifting a weight that is suitable for your level of fitness).</w:t>
            </w:r>
          </w:p>
          <w:p w14:paraId="3A246F67"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consistently follow this guidance, and your blood sugar level is maintained at a controlled level similar to a person without diabetes, without further increasing or decreasing.</w:t>
            </w:r>
          </w:p>
          <w:p w14:paraId="22D2A434"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Despite following the guidance, at this level, you may experience temporary episodes where your blood sugar is too high or low. If your blood sugar is too high, you may feel tired and thirsty, and your vision may become blurred. If your blood sugar is too low, you may feel dizzy and shaky, and you may sweat excessively. You might require a food/drink source that contains high sugar, with more severe cases requiring hospitalisation. However, your risk of diabetes-related complications is not significantly increased compared to a person without diabetes.</w:t>
            </w:r>
          </w:p>
        </w:tc>
      </w:tr>
      <w:bookmarkEnd w:id="7"/>
    </w:tbl>
    <w:p w14:paraId="32F3CF1B" w14:textId="77777777" w:rsidR="00684E37" w:rsidRPr="004F62C9" w:rsidRDefault="00684E37" w:rsidP="00684E37">
      <w:pPr>
        <w:rPr>
          <w:color w:val="auto"/>
        </w:rPr>
      </w:pPr>
    </w:p>
    <w:p w14:paraId="4E5D0E62" w14:textId="77777777" w:rsidR="00684E37" w:rsidRPr="004F62C9" w:rsidRDefault="00684E37" w:rsidP="00684E37">
      <w:pPr>
        <w:rPr>
          <w:color w:val="auto"/>
        </w:rPr>
      </w:pPr>
    </w:p>
    <w:p w14:paraId="62FD9BB1" w14:textId="77777777" w:rsidR="00684E37" w:rsidRPr="004F62C9" w:rsidRDefault="00684E37" w:rsidP="00684E37">
      <w:pPr>
        <w:rPr>
          <w:color w:val="auto"/>
        </w:rPr>
      </w:pPr>
    </w:p>
    <w:p w14:paraId="364ACA31" w14:textId="77777777" w:rsidR="00684E37" w:rsidRPr="004F62C9" w:rsidRDefault="00684E37" w:rsidP="00684E37">
      <w:pPr>
        <w:rPr>
          <w:color w:val="auto"/>
        </w:rPr>
      </w:pPr>
    </w:p>
    <w:p w14:paraId="6E3B7B10" w14:textId="77777777" w:rsidR="00684E37" w:rsidRPr="004F62C9" w:rsidRDefault="00684E37" w:rsidP="00684E37">
      <w:pPr>
        <w:spacing w:before="0" w:after="200"/>
        <w:rPr>
          <w:color w:val="auto"/>
        </w:rPr>
      </w:pPr>
      <w:r w:rsidRPr="004F62C9">
        <w:rPr>
          <w:color w:val="auto"/>
        </w:rPr>
        <w:br w:type="page"/>
      </w:r>
    </w:p>
    <w:p w14:paraId="7AECF6AA" w14:textId="77777777" w:rsidR="00684E37" w:rsidRPr="004F62C9" w:rsidRDefault="00684E37" w:rsidP="00684E37">
      <w:pPr>
        <w:rPr>
          <w:b/>
          <w:bCs/>
          <w:color w:val="auto"/>
        </w:rPr>
      </w:pPr>
      <w:r w:rsidRPr="004F62C9">
        <w:rPr>
          <w:b/>
          <w:bCs/>
          <w:color w:val="auto"/>
        </w:rPr>
        <w:t>#1 GLP-1 RA QW (once-weekly + oral therapy)</w:t>
      </w:r>
    </w:p>
    <w:tbl>
      <w:tblPr>
        <w:tblStyle w:val="TableGrid"/>
        <w:tblW w:w="0" w:type="auto"/>
        <w:tblLook w:val="04A0" w:firstRow="1" w:lastRow="0" w:firstColumn="1" w:lastColumn="0" w:noHBand="0" w:noVBand="1"/>
      </w:tblPr>
      <w:tblGrid>
        <w:gridCol w:w="9039"/>
      </w:tblGrid>
      <w:tr w:rsidR="00684E37" w:rsidRPr="004F62C9" w14:paraId="1E7B6993" w14:textId="77777777" w:rsidTr="00900E1D">
        <w:tc>
          <w:tcPr>
            <w:tcW w:w="9039" w:type="dxa"/>
            <w:tcBorders>
              <w:top w:val="single" w:sz="4" w:space="0" w:color="4E5053"/>
              <w:left w:val="single" w:sz="4" w:space="0" w:color="4E5053"/>
              <w:bottom w:val="single" w:sz="4" w:space="0" w:color="4E5053"/>
              <w:right w:val="single" w:sz="4" w:space="0" w:color="4E5053"/>
            </w:tcBorders>
            <w:hideMark/>
          </w:tcPr>
          <w:p w14:paraId="6FBFE0A6"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have type 2 diabetes. </w:t>
            </w:r>
          </w:p>
          <w:p w14:paraId="2F1A3B1D"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Because of your diabetes, your doctor has advised you to monitor your diet and exercise regularly.</w:t>
            </w:r>
          </w:p>
          <w:p w14:paraId="1C5A964A"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follow your doctor’s recommendations about your diet. </w:t>
            </w:r>
          </w:p>
          <w:p w14:paraId="5A4444B0"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eat meals and snacks at regular times each day.</w:t>
            </w:r>
          </w:p>
          <w:p w14:paraId="080BE96F"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also count the amount of carbohydrate in the foods that you eat, and match the amount of carbohydrate with your activity level each day. </w:t>
            </w:r>
          </w:p>
          <w:p w14:paraId="4C070477"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For certain foods, you limit the amount you eat, or how often you eat them.</w:t>
            </w:r>
          </w:p>
          <w:p w14:paraId="44432B76"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follow your doctor’s recommendations about exercise.</w:t>
            </w:r>
          </w:p>
          <w:p w14:paraId="5FE72CBA"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Your doctor has also advised you to take medication that reduces your blood sugar level.</w:t>
            </w:r>
          </w:p>
          <w:p w14:paraId="42ABB3C3"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a tablet and an injection.</w:t>
            </w:r>
          </w:p>
          <w:p w14:paraId="501C11A9"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one tablet a day with your evening meal.</w:t>
            </w:r>
          </w:p>
          <w:p w14:paraId="5FDE67B8"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give yourself an injection </w:t>
            </w:r>
            <w:r w:rsidRPr="004F62C9">
              <w:rPr>
                <w:b/>
                <w:bCs/>
                <w:color w:val="auto"/>
                <w:u w:val="single"/>
                <w:lang w:val="en-GB"/>
              </w:rPr>
              <w:t>once a week</w:t>
            </w:r>
            <w:r w:rsidRPr="004F62C9">
              <w:rPr>
                <w:color w:val="auto"/>
                <w:lang w:val="en-GB"/>
              </w:rPr>
              <w:t>, from a pre-filled injection device. (One injection per week.)</w:t>
            </w:r>
          </w:p>
          <w:p w14:paraId="723DEA30"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may choose the time of day when you give yourself the injection.</w:t>
            </w:r>
          </w:p>
          <w:p w14:paraId="4C4E264D"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Before beginning to use the injection device, you may store it in your refrigerator or at room temperature.</w:t>
            </w:r>
          </w:p>
          <w:p w14:paraId="6D204358"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Before giving yourself the injection, you must place a new needle on the device and remove both protective caps from the needle. Because of the protective cap, you do not directly handle the needle at any point. You must then dial up to priming dose, and press the button to test whether the medicine can clearly pass through this needle. When this is confirmed, you can dial up to the dose that your doctor has advised, and then administer the injection.</w:t>
            </w:r>
          </w:p>
          <w:p w14:paraId="09C46BFA"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After you give yourself the injection, you safely dispose of the needle in a sharps disposal container (</w:t>
            </w:r>
            <w:r w:rsidRPr="004F62C9">
              <w:rPr>
                <w:color w:val="auto"/>
                <w:u w:val="single"/>
                <w:lang w:val="en-GB"/>
              </w:rPr>
              <w:t>once disposal per week</w:t>
            </w:r>
            <w:r w:rsidRPr="004F62C9">
              <w:rPr>
                <w:color w:val="auto"/>
                <w:lang w:val="en-GB"/>
              </w:rPr>
              <w:t>).</w:t>
            </w:r>
          </w:p>
          <w:p w14:paraId="4F6F039A"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do aerobic exercise (such as brisk walking) for 2½ hours per week, spread across three or more days.</w:t>
            </w:r>
          </w:p>
          <w:p w14:paraId="70EA041B"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also do 2-3 sessions of resistance or strength exercise per week (for example lifting a weight that is suitable for your level of fitness).</w:t>
            </w:r>
          </w:p>
          <w:p w14:paraId="5CAC85DB"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consistently follow this guidance, and your blood sugar level is maintained at a controlled level similar to a person without diabetes, without further increasing or decreasing.</w:t>
            </w:r>
          </w:p>
          <w:p w14:paraId="6197FABF"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Despite following the guidance, at this level, you may experience temporary episodes where your blood sugar is too high or low. If your blood sugar is too high, you may feel tired and thirsty, and your vision may become blurred. If your blood sugar is too low, you may feel dizzy and shaky, and you may sweat excessively. You might require a food/drink source that contains high sugar, with more severe cases requiring hospitalisation. However, your risk of diabetes-related complications is not significantly increased compared to a person without diabetes.</w:t>
            </w:r>
          </w:p>
        </w:tc>
      </w:tr>
    </w:tbl>
    <w:p w14:paraId="7F8DED5D" w14:textId="77777777" w:rsidR="00684E37" w:rsidRPr="004F62C9" w:rsidRDefault="00684E37" w:rsidP="00684E37">
      <w:pPr>
        <w:rPr>
          <w:color w:val="auto"/>
        </w:rPr>
      </w:pPr>
    </w:p>
    <w:p w14:paraId="02D7F523" w14:textId="77777777" w:rsidR="00684E37" w:rsidRPr="004F62C9" w:rsidRDefault="00684E37" w:rsidP="00684E37">
      <w:pPr>
        <w:rPr>
          <w:color w:val="auto"/>
        </w:rPr>
      </w:pPr>
    </w:p>
    <w:p w14:paraId="31E3E601" w14:textId="77777777" w:rsidR="00684E37" w:rsidRPr="004F62C9" w:rsidRDefault="00684E37" w:rsidP="00684E37">
      <w:pPr>
        <w:spacing w:before="0" w:after="200"/>
        <w:rPr>
          <w:color w:val="auto"/>
        </w:rPr>
      </w:pPr>
      <w:r w:rsidRPr="004F62C9">
        <w:rPr>
          <w:color w:val="auto"/>
        </w:rPr>
        <w:br w:type="page"/>
      </w:r>
    </w:p>
    <w:p w14:paraId="0EFB873D" w14:textId="77777777" w:rsidR="00684E37" w:rsidRPr="004F62C9" w:rsidRDefault="00684E37" w:rsidP="00684E37">
      <w:pPr>
        <w:rPr>
          <w:b/>
          <w:bCs/>
          <w:color w:val="auto"/>
        </w:rPr>
      </w:pPr>
      <w:r w:rsidRPr="004F62C9">
        <w:rPr>
          <w:b/>
          <w:bCs/>
          <w:color w:val="auto"/>
        </w:rPr>
        <w:t>#2 GLP-1 RA QD (once-daily + oral therapy)</w:t>
      </w:r>
    </w:p>
    <w:tbl>
      <w:tblPr>
        <w:tblStyle w:val="TableGrid"/>
        <w:tblW w:w="0" w:type="auto"/>
        <w:tblLook w:val="04A0" w:firstRow="1" w:lastRow="0" w:firstColumn="1" w:lastColumn="0" w:noHBand="0" w:noVBand="1"/>
      </w:tblPr>
      <w:tblGrid>
        <w:gridCol w:w="9039"/>
      </w:tblGrid>
      <w:tr w:rsidR="00684E37" w:rsidRPr="004F62C9" w14:paraId="3E4D5DBF" w14:textId="77777777" w:rsidTr="00900E1D">
        <w:tc>
          <w:tcPr>
            <w:tcW w:w="9039" w:type="dxa"/>
            <w:tcBorders>
              <w:top w:val="single" w:sz="4" w:space="0" w:color="4E5053"/>
              <w:left w:val="single" w:sz="4" w:space="0" w:color="4E5053"/>
              <w:bottom w:val="single" w:sz="4" w:space="0" w:color="4E5053"/>
              <w:right w:val="single" w:sz="4" w:space="0" w:color="4E5053"/>
            </w:tcBorders>
            <w:hideMark/>
          </w:tcPr>
          <w:p w14:paraId="627FF597" w14:textId="77777777" w:rsidR="00684E37" w:rsidRPr="004F62C9" w:rsidRDefault="00684E37" w:rsidP="00E94532">
            <w:pPr>
              <w:pStyle w:val="ListParagraph"/>
              <w:numPr>
                <w:ilvl w:val="0"/>
                <w:numId w:val="8"/>
              </w:numPr>
              <w:spacing w:before="0" w:after="0"/>
              <w:rPr>
                <w:color w:val="auto"/>
                <w:lang w:val="en-GB"/>
              </w:rPr>
            </w:pPr>
            <w:bookmarkStart w:id="8" w:name="_Hlk58581983"/>
            <w:r w:rsidRPr="004F62C9">
              <w:rPr>
                <w:color w:val="auto"/>
                <w:lang w:val="en-GB"/>
              </w:rPr>
              <w:t xml:space="preserve">You have type 2 diabetes. </w:t>
            </w:r>
          </w:p>
          <w:p w14:paraId="61FD982A"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Because of your diabetes, your doctor has advised you to monitor your diet and exercise regularly.</w:t>
            </w:r>
          </w:p>
          <w:p w14:paraId="58C37C31"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follow your doctor’s recommendations about your diet. </w:t>
            </w:r>
          </w:p>
          <w:p w14:paraId="5E804415"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eat meals and snacks at regular times each day.</w:t>
            </w:r>
          </w:p>
          <w:p w14:paraId="79C0C320"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also count the amount of carbohydrate in the foods that you eat, and match the amount of carbohydrate with your activity level each day. </w:t>
            </w:r>
          </w:p>
          <w:p w14:paraId="730A993C"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For certain foods, you limit the amount you eat, or how often you eat them.</w:t>
            </w:r>
          </w:p>
          <w:p w14:paraId="78A58150"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follow your doctor’s recommendations about exercise.</w:t>
            </w:r>
          </w:p>
          <w:p w14:paraId="005ED746"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Your doctor has also advised you to take medication that reduces your blood sugar level.</w:t>
            </w:r>
          </w:p>
          <w:p w14:paraId="5175399F"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take tablets and injections.</w:t>
            </w:r>
          </w:p>
          <w:p w14:paraId="19307483"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take one tablet a day with your evening meal.</w:t>
            </w:r>
          </w:p>
          <w:p w14:paraId="72F28F17"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give yourself an injection </w:t>
            </w:r>
            <w:r w:rsidRPr="004F62C9">
              <w:rPr>
                <w:b/>
                <w:bCs/>
                <w:color w:val="auto"/>
                <w:u w:val="single"/>
                <w:lang w:val="en-GB"/>
              </w:rPr>
              <w:t>once a day</w:t>
            </w:r>
            <w:r w:rsidRPr="004F62C9">
              <w:rPr>
                <w:color w:val="auto"/>
                <w:lang w:val="en-GB"/>
              </w:rPr>
              <w:t>, from a pre-filled injection device. (Seven injections per week.)</w:t>
            </w:r>
          </w:p>
          <w:p w14:paraId="5E686CD3"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may choose the time of day when you give yourself the injection; however, this time of day should be kept consistent (for example, after dinner each evening).</w:t>
            </w:r>
          </w:p>
          <w:p w14:paraId="6723C413"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Before beginning to use the injection device, you may store it in your refrigerator or at room temperature.</w:t>
            </w:r>
          </w:p>
          <w:p w14:paraId="6225FC8B"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Before giving yourself the injection, you must place a new needle on the device and remove both protective caps from the needle. Because of the protective cap, you do not directly handle the needle at any point. You must then dial up to priming dose, and press the button to test whether the medicine can clearly pass through this needle. When this is confirmed, you can dial up to the dose that your doctor has advised, and then administer the injection.</w:t>
            </w:r>
          </w:p>
          <w:p w14:paraId="6656530F"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After you give yourself the injection, you safely dispose of the needle in a sharps disposal container (</w:t>
            </w:r>
            <w:r w:rsidRPr="004F62C9">
              <w:rPr>
                <w:color w:val="auto"/>
                <w:u w:val="single"/>
                <w:lang w:val="en-GB"/>
              </w:rPr>
              <w:t>one disposal per day</w:t>
            </w:r>
            <w:r w:rsidRPr="004F62C9">
              <w:rPr>
                <w:color w:val="auto"/>
                <w:lang w:val="en-GB"/>
              </w:rPr>
              <w:t>).</w:t>
            </w:r>
          </w:p>
          <w:p w14:paraId="18BD5C3D"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do aerobic exercise (such as brisk walking) for 2½ hours per week, spread across three or more days.</w:t>
            </w:r>
          </w:p>
          <w:p w14:paraId="33885851"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also do 2-3 sessions of resistance or strength exercise per week (for example lifting a weight that is suitable for your level of fitness).</w:t>
            </w:r>
          </w:p>
          <w:p w14:paraId="10B0F232"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consistently follow this guidance, and your blood sugar level is maintained at a controlled level similar to a person without diabetes, without further increasing or decreasing.</w:t>
            </w:r>
          </w:p>
          <w:p w14:paraId="6F4828AD"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Despite following the guidance, at this level, you may experience temporary episodes where your blood sugar is too high or low. If your blood sugar is too high, you may feel tired and thirsty, and your vision may become blurred. If your blood sugar is too low, you may feel dizzy and shaky, and you may sweat excessively. You might require a food/drink source that contains high sugar, with more severe cases requiring hospitalisation. However, your risk of diabetes-related complications is not significantly increased compared to a person without diabetes.</w:t>
            </w:r>
          </w:p>
        </w:tc>
      </w:tr>
      <w:bookmarkEnd w:id="8"/>
    </w:tbl>
    <w:p w14:paraId="39124D9E" w14:textId="77777777" w:rsidR="00684E37" w:rsidRPr="004F62C9" w:rsidRDefault="00684E37" w:rsidP="00684E37">
      <w:pPr>
        <w:ind w:left="1228" w:hanging="360"/>
        <w:rPr>
          <w:color w:val="auto"/>
        </w:rPr>
      </w:pPr>
    </w:p>
    <w:p w14:paraId="0E386917" w14:textId="77777777" w:rsidR="00684E37" w:rsidRPr="004F62C9" w:rsidRDefault="00684E37" w:rsidP="00684E37">
      <w:pPr>
        <w:spacing w:before="0" w:after="200"/>
        <w:rPr>
          <w:color w:val="auto"/>
        </w:rPr>
      </w:pPr>
      <w:r w:rsidRPr="004F62C9">
        <w:rPr>
          <w:color w:val="auto"/>
        </w:rPr>
        <w:br w:type="page"/>
      </w:r>
    </w:p>
    <w:p w14:paraId="25243DCC" w14:textId="77777777" w:rsidR="00684E37" w:rsidRPr="004F62C9" w:rsidRDefault="00684E37" w:rsidP="00684E37">
      <w:pPr>
        <w:rPr>
          <w:b/>
          <w:bCs/>
          <w:color w:val="auto"/>
        </w:rPr>
      </w:pPr>
      <w:r w:rsidRPr="004F62C9">
        <w:rPr>
          <w:b/>
          <w:bCs/>
          <w:color w:val="auto"/>
        </w:rPr>
        <w:t>#3 Insulin QW (once-weekly, with once-weekly blood test + oral therapy)</w:t>
      </w:r>
    </w:p>
    <w:tbl>
      <w:tblPr>
        <w:tblStyle w:val="TableGrid"/>
        <w:tblW w:w="0" w:type="auto"/>
        <w:tblLook w:val="04A0" w:firstRow="1" w:lastRow="0" w:firstColumn="1" w:lastColumn="0" w:noHBand="0" w:noVBand="1"/>
      </w:tblPr>
      <w:tblGrid>
        <w:gridCol w:w="9039"/>
      </w:tblGrid>
      <w:tr w:rsidR="00684E37" w:rsidRPr="004F62C9" w14:paraId="5D98DB04" w14:textId="77777777" w:rsidTr="00900E1D">
        <w:tc>
          <w:tcPr>
            <w:tcW w:w="9039" w:type="dxa"/>
            <w:tcBorders>
              <w:top w:val="single" w:sz="4" w:space="0" w:color="4E5053"/>
              <w:left w:val="single" w:sz="4" w:space="0" w:color="4E5053"/>
              <w:bottom w:val="single" w:sz="4" w:space="0" w:color="4E5053"/>
              <w:right w:val="single" w:sz="4" w:space="0" w:color="4E5053"/>
            </w:tcBorders>
            <w:hideMark/>
          </w:tcPr>
          <w:p w14:paraId="7A63758D" w14:textId="77777777" w:rsidR="00684E37" w:rsidRPr="004F62C9" w:rsidRDefault="00684E37" w:rsidP="00E94532">
            <w:pPr>
              <w:pStyle w:val="ListParagraph"/>
              <w:numPr>
                <w:ilvl w:val="0"/>
                <w:numId w:val="8"/>
              </w:numPr>
              <w:spacing w:before="0" w:after="0"/>
              <w:rPr>
                <w:color w:val="auto"/>
                <w:lang w:val="en-GB"/>
              </w:rPr>
            </w:pPr>
            <w:bookmarkStart w:id="9" w:name="_Hlk58581255"/>
            <w:r w:rsidRPr="004F62C9">
              <w:rPr>
                <w:color w:val="auto"/>
                <w:lang w:val="en-GB"/>
              </w:rPr>
              <w:t xml:space="preserve">You have type 2 diabetes. </w:t>
            </w:r>
          </w:p>
          <w:p w14:paraId="54A19623"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Because of your diabetes, your doctor has advised you to monitor your diet and exercise regularly.</w:t>
            </w:r>
          </w:p>
          <w:p w14:paraId="5609968E"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follow your doctor’s recommendations about your diet. </w:t>
            </w:r>
          </w:p>
          <w:p w14:paraId="48E19742"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eat meals and snacks at regular times each day.</w:t>
            </w:r>
          </w:p>
          <w:p w14:paraId="1174985F"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also count the amount of carbohydrate in the foods that you eat, and match the amount of carbohydrate with your activity level each day. </w:t>
            </w:r>
          </w:p>
          <w:p w14:paraId="41061C60"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For certain foods, you limit the amount you eat, or how often you eat them.</w:t>
            </w:r>
          </w:p>
          <w:p w14:paraId="227B5AA1"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follow your doctor’s recommendations about exercise.</w:t>
            </w:r>
          </w:p>
          <w:p w14:paraId="71509E76"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Your doctor has also advised you to take medication that reduces your blood sugar level.</w:t>
            </w:r>
          </w:p>
          <w:p w14:paraId="3CDC1C1D"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tablets and injections.</w:t>
            </w:r>
          </w:p>
          <w:p w14:paraId="632F5921"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one tablet a day with your evening meal.</w:t>
            </w:r>
          </w:p>
          <w:p w14:paraId="2A7B239A"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check your blood sugar level </w:t>
            </w:r>
            <w:r w:rsidRPr="004F62C9">
              <w:rPr>
                <w:color w:val="auto"/>
                <w:u w:val="single"/>
                <w:lang w:val="en-GB"/>
              </w:rPr>
              <w:t>once a week</w:t>
            </w:r>
            <w:r w:rsidRPr="004F62C9">
              <w:rPr>
                <w:color w:val="auto"/>
                <w:lang w:val="en-GB"/>
              </w:rPr>
              <w:t xml:space="preserve"> using a portable blood glucose meter, called a glucometer. This process uses a finger-prick test. Using a lancet, it lightly pricks your skin to obtain a small amount of blood. The meter tells you your current blood sugar.</w:t>
            </w:r>
          </w:p>
          <w:p w14:paraId="511191E7"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give yourself an injection </w:t>
            </w:r>
            <w:r w:rsidRPr="004F62C9">
              <w:rPr>
                <w:b/>
                <w:bCs/>
                <w:color w:val="auto"/>
                <w:u w:val="single"/>
                <w:lang w:val="en-GB"/>
              </w:rPr>
              <w:t>once a week</w:t>
            </w:r>
            <w:r w:rsidRPr="004F62C9">
              <w:rPr>
                <w:color w:val="auto"/>
                <w:lang w:val="en-GB"/>
              </w:rPr>
              <w:t>, from a pre-filled injection device. (One injection per week.)</w:t>
            </w:r>
          </w:p>
          <w:p w14:paraId="2A172548"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may choose the time of day when you give yourself the injection.</w:t>
            </w:r>
          </w:p>
          <w:p w14:paraId="54FE173E"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Before beginning to use the injection device, you may store it in your refrigerator or at room temperature.</w:t>
            </w:r>
          </w:p>
          <w:p w14:paraId="32CE886E"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Before giving yourself the injection, you must place a new needle on the device and remove both protective caps from the needle. Because of the protective cap, you do not directly handle the needle at any point. You must then dial up to priming dose, and press the button to test whether the medicine can clearly pass through this needle. When this is confirmed, you can dial up to the dose that your doctor has advised, and then administer the injection.</w:t>
            </w:r>
          </w:p>
          <w:p w14:paraId="3854B4CF"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After you give yourself the injection, you safely dispose of the needle in a sharps disposal container (</w:t>
            </w:r>
            <w:r w:rsidRPr="004F62C9">
              <w:rPr>
                <w:color w:val="auto"/>
                <w:u w:val="single"/>
                <w:lang w:val="en-GB"/>
              </w:rPr>
              <w:t>once disposal per week</w:t>
            </w:r>
            <w:r w:rsidRPr="004F62C9">
              <w:rPr>
                <w:color w:val="auto"/>
                <w:lang w:val="en-GB"/>
              </w:rPr>
              <w:t>).</w:t>
            </w:r>
          </w:p>
          <w:p w14:paraId="24A942AA"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do aerobic exercise (such as brisk walking) for 2½ hours per week, spread across three or more days.</w:t>
            </w:r>
          </w:p>
          <w:p w14:paraId="0C6F48F4"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also do 2-3 sessions of resistance or strength exercise per week (for example lifting a weight that is suitable for your level of fitness).</w:t>
            </w:r>
          </w:p>
          <w:p w14:paraId="244E8046"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consistently follow this guidance, and your blood sugar level is maintained at a controlled level similar to a person without diabetes, without further increasing or decreasing.</w:t>
            </w:r>
          </w:p>
          <w:p w14:paraId="729BC9C7"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Despite following the guidance, at this level, you may experience temporary episodes where your blood sugar is too high or low. If your blood sugar is too high, you may feel tired and thirsty, and your vision may become blurred. If your blood sugar is too low, you may feel dizzy and shaky, and you may sweat excessively. You might require a food/drink source that contains high sugar, with more severe cases requiring hospitalisation. However, your risk of diabetes-related complications is not significantly increased compared to a person without diabetes.</w:t>
            </w:r>
          </w:p>
        </w:tc>
      </w:tr>
      <w:bookmarkEnd w:id="9"/>
    </w:tbl>
    <w:p w14:paraId="4C170EE1" w14:textId="77777777" w:rsidR="00684E37" w:rsidRPr="004F62C9" w:rsidRDefault="00684E37" w:rsidP="00684E37">
      <w:pPr>
        <w:rPr>
          <w:color w:val="auto"/>
        </w:rPr>
      </w:pPr>
    </w:p>
    <w:p w14:paraId="2BA2B331" w14:textId="77777777" w:rsidR="00684E37" w:rsidRPr="004F62C9" w:rsidRDefault="00684E37" w:rsidP="00684E37">
      <w:pPr>
        <w:spacing w:before="0" w:after="200"/>
        <w:rPr>
          <w:color w:val="auto"/>
        </w:rPr>
      </w:pPr>
      <w:r w:rsidRPr="004F62C9">
        <w:rPr>
          <w:color w:val="auto"/>
        </w:rPr>
        <w:br w:type="page"/>
      </w:r>
    </w:p>
    <w:p w14:paraId="1BC13665" w14:textId="77777777" w:rsidR="00684E37" w:rsidRPr="004F62C9" w:rsidRDefault="00684E37" w:rsidP="00684E37">
      <w:pPr>
        <w:rPr>
          <w:b/>
          <w:bCs/>
          <w:color w:val="auto"/>
        </w:rPr>
      </w:pPr>
      <w:r w:rsidRPr="004F62C9">
        <w:rPr>
          <w:b/>
          <w:bCs/>
          <w:color w:val="auto"/>
        </w:rPr>
        <w:t>#4 Insulin QD (once-daily, with once-daily blood test + oral therapy)</w:t>
      </w:r>
    </w:p>
    <w:tbl>
      <w:tblPr>
        <w:tblStyle w:val="TableGrid"/>
        <w:tblW w:w="0" w:type="auto"/>
        <w:tblLook w:val="04A0" w:firstRow="1" w:lastRow="0" w:firstColumn="1" w:lastColumn="0" w:noHBand="0" w:noVBand="1"/>
      </w:tblPr>
      <w:tblGrid>
        <w:gridCol w:w="9039"/>
      </w:tblGrid>
      <w:tr w:rsidR="00684E37" w:rsidRPr="004F62C9" w14:paraId="42F1E349" w14:textId="77777777" w:rsidTr="00900E1D">
        <w:tc>
          <w:tcPr>
            <w:tcW w:w="9039" w:type="dxa"/>
            <w:tcBorders>
              <w:top w:val="single" w:sz="4" w:space="0" w:color="4E5053"/>
              <w:left w:val="single" w:sz="4" w:space="0" w:color="4E5053"/>
              <w:bottom w:val="single" w:sz="4" w:space="0" w:color="4E5053"/>
              <w:right w:val="single" w:sz="4" w:space="0" w:color="4E5053"/>
            </w:tcBorders>
            <w:hideMark/>
          </w:tcPr>
          <w:p w14:paraId="5E508121" w14:textId="77777777" w:rsidR="00684E37" w:rsidRPr="004F62C9" w:rsidRDefault="00684E37" w:rsidP="00E94532">
            <w:pPr>
              <w:pStyle w:val="ListParagraph"/>
              <w:numPr>
                <w:ilvl w:val="0"/>
                <w:numId w:val="8"/>
              </w:numPr>
              <w:spacing w:before="0" w:after="0"/>
              <w:rPr>
                <w:color w:val="auto"/>
                <w:lang w:val="en-GB"/>
              </w:rPr>
            </w:pPr>
            <w:bookmarkStart w:id="10" w:name="_Hlk58580899"/>
            <w:r w:rsidRPr="004F62C9">
              <w:rPr>
                <w:color w:val="auto"/>
                <w:lang w:val="en-GB"/>
              </w:rPr>
              <w:t xml:space="preserve">You have type 2 diabetes. </w:t>
            </w:r>
          </w:p>
          <w:p w14:paraId="5176B0EB"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Because of your diabetes, your doctor has advised you to monitor your diet and exercise regularly.</w:t>
            </w:r>
          </w:p>
          <w:p w14:paraId="516E10B8"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follow your doctor’s recommendations about your diet. </w:t>
            </w:r>
          </w:p>
          <w:p w14:paraId="06844B86"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eat meals and snacks at regular times each day.</w:t>
            </w:r>
          </w:p>
          <w:p w14:paraId="1C51FDA4"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also count the amount of carbohydrate in the foods that you eat, and match the amount of carbohydrate with your activity level each day. </w:t>
            </w:r>
          </w:p>
          <w:p w14:paraId="107C4BA1"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For certain foods, you limit the amount you eat, or how often you eat them.</w:t>
            </w:r>
          </w:p>
          <w:p w14:paraId="0B6E2B2B"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follow your doctor’s recommendations about exercise.</w:t>
            </w:r>
          </w:p>
          <w:p w14:paraId="1C7AD5A2"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Your doctor has also advised you to take medication that reduces your blood sugar level.</w:t>
            </w:r>
          </w:p>
          <w:p w14:paraId="2F62667E"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take tablets and injections.</w:t>
            </w:r>
          </w:p>
          <w:p w14:paraId="6D02C3EA"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take one tablet a day with your evening meal.</w:t>
            </w:r>
          </w:p>
          <w:p w14:paraId="1E22E78A"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check your blood sugar level </w:t>
            </w:r>
            <w:r w:rsidRPr="004F62C9">
              <w:rPr>
                <w:color w:val="auto"/>
                <w:u w:val="single"/>
                <w:lang w:val="en-GB"/>
              </w:rPr>
              <w:t>once a day</w:t>
            </w:r>
            <w:r w:rsidRPr="004F62C9">
              <w:rPr>
                <w:color w:val="auto"/>
                <w:lang w:val="en-GB"/>
              </w:rPr>
              <w:t xml:space="preserve"> using a portable blood glucose meter, called a glucometer. This process uses a finger-prick test. Using a lancet, it lightly pricks your skin to obtain a small amount of blood. The meter tells you your current blood sugar.</w:t>
            </w:r>
          </w:p>
          <w:p w14:paraId="3C19529A"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give yourself an injection </w:t>
            </w:r>
            <w:r w:rsidRPr="004F62C9">
              <w:rPr>
                <w:b/>
                <w:bCs/>
                <w:color w:val="auto"/>
                <w:u w:val="single"/>
                <w:lang w:val="en-GB"/>
              </w:rPr>
              <w:t>once a day</w:t>
            </w:r>
            <w:r w:rsidRPr="004F62C9">
              <w:rPr>
                <w:color w:val="auto"/>
                <w:lang w:val="en-GB"/>
              </w:rPr>
              <w:t>, from a pre-filled injection device. (Seven injections per week.)</w:t>
            </w:r>
          </w:p>
          <w:p w14:paraId="3282C400"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may choose the time of day when you give yourself the injection; however, this time of day should be kept consistent (for example, after dinner each evening).</w:t>
            </w:r>
          </w:p>
          <w:p w14:paraId="5DA5F69C"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Before beginning to use the injection device, you may store it in your refrigerator or at room temperature.</w:t>
            </w:r>
          </w:p>
          <w:p w14:paraId="42F2AADE"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Before giving yourself the injection, you must place a new needle on the device and remove both protective caps from the needle. Because of the protective cap, you do not directly handle the needle at any point. You must then dial up to priming dose, and press the button to test whether the medicine can clearly pass through this needle. When this is confirmed, you can dial up to the dose that your doctor has advised, and then administer the injection.</w:t>
            </w:r>
          </w:p>
          <w:p w14:paraId="7291EB93"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After you give yourself the injection, you safely dispose of the needle in a sharps disposal container (</w:t>
            </w:r>
            <w:r w:rsidRPr="004F62C9">
              <w:rPr>
                <w:color w:val="auto"/>
                <w:u w:val="single"/>
                <w:lang w:val="en-GB"/>
              </w:rPr>
              <w:t>one disposal per day</w:t>
            </w:r>
            <w:r w:rsidRPr="004F62C9">
              <w:rPr>
                <w:color w:val="auto"/>
                <w:lang w:val="en-GB"/>
              </w:rPr>
              <w:t>).</w:t>
            </w:r>
          </w:p>
          <w:p w14:paraId="630759F1"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do aerobic exercise (such as brisk walking) for 2½ hours per week, spread across three or more days.</w:t>
            </w:r>
          </w:p>
          <w:p w14:paraId="2C124FFD"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also do 2-3 sessions of resistance or strength exercise per week (for example lifting a weight that is suitable for your level of fitness).</w:t>
            </w:r>
          </w:p>
          <w:p w14:paraId="559363CB"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consistently follow this guidance, and your blood sugar level is maintained at a controlled level similar to a person without diabetes, without further increasing or decreasing.</w:t>
            </w:r>
          </w:p>
          <w:p w14:paraId="12683625"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Despite following the guidance, at this level, you may experience temporary episodes where your blood sugar is too high or low. If your blood sugar is too high, you may feel tired and thirsty, and your vision may become blurred. If your blood sugar is too low, you may feel dizzy and shaky, and you may sweat excessively. You might require a food/drink source that contains high sugar, with more severe cases requiring hospitalisation. However, your risk of diabetes-related complications is not significantly increased compared to a person without diabetes.</w:t>
            </w:r>
          </w:p>
        </w:tc>
      </w:tr>
      <w:bookmarkEnd w:id="10"/>
    </w:tbl>
    <w:p w14:paraId="54A94A0D" w14:textId="77777777" w:rsidR="00684E37" w:rsidRPr="004F62C9" w:rsidRDefault="00684E37" w:rsidP="00684E37">
      <w:pPr>
        <w:rPr>
          <w:color w:val="auto"/>
        </w:rPr>
      </w:pPr>
    </w:p>
    <w:p w14:paraId="7D8AA917" w14:textId="77777777" w:rsidR="00684E37" w:rsidRPr="004F62C9" w:rsidRDefault="00684E37" w:rsidP="00684E37">
      <w:pPr>
        <w:spacing w:before="0" w:after="200"/>
        <w:rPr>
          <w:color w:val="auto"/>
        </w:rPr>
      </w:pPr>
      <w:r w:rsidRPr="004F62C9">
        <w:rPr>
          <w:color w:val="auto"/>
        </w:rPr>
        <w:br w:type="page"/>
      </w:r>
    </w:p>
    <w:p w14:paraId="4B85C56D" w14:textId="749ACB17" w:rsidR="00684E37" w:rsidRPr="004F62C9" w:rsidRDefault="00684E37" w:rsidP="00684E37">
      <w:pPr>
        <w:rPr>
          <w:b/>
          <w:bCs/>
          <w:color w:val="auto"/>
        </w:rPr>
      </w:pPr>
      <w:r w:rsidRPr="004F62C9">
        <w:rPr>
          <w:b/>
          <w:bCs/>
          <w:color w:val="auto"/>
        </w:rPr>
        <w:t>#4 Insulin BB (4× daily, with 4</w:t>
      </w:r>
      <w:r w:rsidR="001B4E41" w:rsidRPr="004F62C9">
        <w:rPr>
          <w:b/>
          <w:bCs/>
          <w:color w:val="auto"/>
        </w:rPr>
        <w:t xml:space="preserve"> </w:t>
      </w:r>
      <w:r w:rsidRPr="004F62C9">
        <w:rPr>
          <w:b/>
          <w:bCs/>
          <w:color w:val="auto"/>
        </w:rPr>
        <w:t>× daily blood test + oral therapy)</w:t>
      </w:r>
    </w:p>
    <w:tbl>
      <w:tblPr>
        <w:tblStyle w:val="TableGrid"/>
        <w:tblW w:w="0" w:type="auto"/>
        <w:tblLook w:val="04A0" w:firstRow="1" w:lastRow="0" w:firstColumn="1" w:lastColumn="0" w:noHBand="0" w:noVBand="1"/>
      </w:tblPr>
      <w:tblGrid>
        <w:gridCol w:w="9039"/>
      </w:tblGrid>
      <w:tr w:rsidR="00684E37" w:rsidRPr="004F62C9" w14:paraId="6D2FFAA2" w14:textId="77777777" w:rsidTr="00900E1D">
        <w:tc>
          <w:tcPr>
            <w:tcW w:w="9039" w:type="dxa"/>
            <w:tcBorders>
              <w:top w:val="single" w:sz="4" w:space="0" w:color="4E5053"/>
              <w:left w:val="single" w:sz="4" w:space="0" w:color="4E5053"/>
              <w:bottom w:val="single" w:sz="4" w:space="0" w:color="4E5053"/>
              <w:right w:val="single" w:sz="4" w:space="0" w:color="4E5053"/>
            </w:tcBorders>
            <w:hideMark/>
          </w:tcPr>
          <w:p w14:paraId="65F3B9FE" w14:textId="77777777" w:rsidR="00684E37" w:rsidRPr="004F62C9" w:rsidRDefault="00684E37" w:rsidP="00E94532">
            <w:pPr>
              <w:pStyle w:val="ListParagraph"/>
              <w:numPr>
                <w:ilvl w:val="0"/>
                <w:numId w:val="8"/>
              </w:numPr>
              <w:spacing w:before="0" w:after="0"/>
              <w:rPr>
                <w:color w:val="auto"/>
                <w:lang w:val="en-GB"/>
              </w:rPr>
            </w:pPr>
            <w:bookmarkStart w:id="11" w:name="_Hlk58581439"/>
            <w:r w:rsidRPr="004F62C9">
              <w:rPr>
                <w:color w:val="auto"/>
                <w:lang w:val="en-GB"/>
              </w:rPr>
              <w:t xml:space="preserve">You have type 2 diabetes. </w:t>
            </w:r>
          </w:p>
          <w:p w14:paraId="5233257B"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Because of your diabetes, your doctor has advised you to monitor your diet and exercise regularly.</w:t>
            </w:r>
          </w:p>
          <w:p w14:paraId="0F31C238"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follow your doctor’s recommendations about your diet. </w:t>
            </w:r>
          </w:p>
          <w:p w14:paraId="02F48C5B"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eat meals and snacks at regular times each day.</w:t>
            </w:r>
          </w:p>
          <w:p w14:paraId="7AB92066"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 xml:space="preserve">You also count the amount of carbohydrate in the foods that you eat, and match the amount of carbohydrate with your activity level each day. </w:t>
            </w:r>
          </w:p>
          <w:p w14:paraId="2B1CE2BE"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For certain foods, you limit the amount you eat, or how often you eat them.</w:t>
            </w:r>
          </w:p>
          <w:p w14:paraId="0E335CFB"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follow your doctor’s recommendations about exercise.</w:t>
            </w:r>
          </w:p>
          <w:p w14:paraId="6382C75F"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Your doctor has also advised you to take medication that reduces your blood sugar level.</w:t>
            </w:r>
          </w:p>
          <w:p w14:paraId="2B277E93"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tablets and injections.</w:t>
            </w:r>
          </w:p>
          <w:p w14:paraId="252F98EF"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one tablet a day with your evening meal.</w:t>
            </w:r>
          </w:p>
          <w:p w14:paraId="2E0ABFE6"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check your blood sugar level </w:t>
            </w:r>
            <w:r w:rsidRPr="004F62C9">
              <w:rPr>
                <w:color w:val="auto"/>
                <w:u w:val="single"/>
                <w:lang w:val="en-GB"/>
              </w:rPr>
              <w:t>four times a day</w:t>
            </w:r>
            <w:r w:rsidRPr="004F62C9">
              <w:rPr>
                <w:color w:val="auto"/>
                <w:lang w:val="en-GB"/>
              </w:rPr>
              <w:t xml:space="preserve"> using a portable blood glucose meter, called a glucometer. This process uses a finger-prick test. Using a lancet, it lightly pricks your skin to obtain a small amount of blood. The meter tells you your current blood sugar.</w:t>
            </w:r>
          </w:p>
          <w:p w14:paraId="6D70A16F"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 xml:space="preserve">You give yourself an injection </w:t>
            </w:r>
            <w:r w:rsidRPr="004F62C9">
              <w:rPr>
                <w:b/>
                <w:bCs/>
                <w:color w:val="auto"/>
                <w:u w:val="single"/>
                <w:lang w:val="en-GB"/>
              </w:rPr>
              <w:t>four times a day</w:t>
            </w:r>
            <w:r w:rsidRPr="004F62C9">
              <w:rPr>
                <w:color w:val="auto"/>
                <w:lang w:val="en-GB"/>
              </w:rPr>
              <w:t>, from pre-filled injection devices. (Twenty-eight injections per week.)</w:t>
            </w:r>
          </w:p>
          <w:p w14:paraId="14EE1916"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You take an injection from one device before each main meal (breakfast, lunch, and dinner). You also take another injection from another device at a time of day that you choose; however, this time of day should be kept consistent (for example, after dinner each evening).</w:t>
            </w:r>
          </w:p>
          <w:p w14:paraId="0D451AEA"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Before beginning to use the injection device, you may store it in your refrigerator or at room temperature.</w:t>
            </w:r>
          </w:p>
          <w:p w14:paraId="2F264625"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Before giving yourself the injection, you must place a new needle on the device and remove both protective caps from the needle. Because of the protective cap, you do not directly handle the needle at any point. You must then dial up to priming dose, and press the button to test whether the medicine can clearly pass through this needle. When this is confirmed, you can dial up to the dose that your doctor has advised, and then administer the injection.</w:t>
            </w:r>
          </w:p>
          <w:p w14:paraId="6A5DC9B0" w14:textId="77777777" w:rsidR="00684E37" w:rsidRPr="004F62C9" w:rsidRDefault="00684E37" w:rsidP="00E94532">
            <w:pPr>
              <w:pStyle w:val="ListParagraph"/>
              <w:numPr>
                <w:ilvl w:val="0"/>
                <w:numId w:val="8"/>
              </w:numPr>
              <w:spacing w:before="0" w:after="0"/>
              <w:ind w:left="714" w:hanging="357"/>
              <w:rPr>
                <w:color w:val="auto"/>
                <w:lang w:val="en-GB"/>
              </w:rPr>
            </w:pPr>
            <w:r w:rsidRPr="004F62C9">
              <w:rPr>
                <w:color w:val="auto"/>
                <w:lang w:val="en-GB"/>
              </w:rPr>
              <w:t>After you give yourself the injection, you safely dispose of the needle in a sharps disposal container (</w:t>
            </w:r>
            <w:r w:rsidRPr="004F62C9">
              <w:rPr>
                <w:color w:val="auto"/>
                <w:u w:val="single"/>
                <w:lang w:val="en-GB"/>
              </w:rPr>
              <w:t>four times a day</w:t>
            </w:r>
            <w:r w:rsidRPr="004F62C9">
              <w:rPr>
                <w:color w:val="auto"/>
                <w:lang w:val="en-GB"/>
              </w:rPr>
              <w:t>).</w:t>
            </w:r>
          </w:p>
          <w:p w14:paraId="2B0F5362"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do aerobic exercise (such as brisk walking) for 2½ hours per week, spread across three or more days.</w:t>
            </w:r>
          </w:p>
          <w:p w14:paraId="05FEA667"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also do 2-3 sessions of resistance or strength exercise per week (for example lifting a weight that is suitable for your level of fitness).</w:t>
            </w:r>
          </w:p>
          <w:p w14:paraId="1542820E"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You consistently follow this guidance, and your blood sugar level is maintained at a controlled level similar to a person without diabetes, without further increasing or decreasing.</w:t>
            </w:r>
          </w:p>
          <w:p w14:paraId="33841540" w14:textId="77777777" w:rsidR="00684E37" w:rsidRPr="004F62C9" w:rsidRDefault="00684E37" w:rsidP="00E94532">
            <w:pPr>
              <w:pStyle w:val="ListParagraph"/>
              <w:numPr>
                <w:ilvl w:val="0"/>
                <w:numId w:val="8"/>
              </w:numPr>
              <w:spacing w:before="0" w:after="0"/>
              <w:rPr>
                <w:color w:val="auto"/>
                <w:lang w:val="en-GB"/>
              </w:rPr>
            </w:pPr>
            <w:r w:rsidRPr="004F62C9">
              <w:rPr>
                <w:color w:val="auto"/>
                <w:lang w:val="en-GB"/>
              </w:rPr>
              <w:t>Despite following the guidance, at this level, you may experience temporary episodes where your blood sugar is too high or low. If your blood sugar is too high, you may feel tired and thirsty, and your vision may become blurred. If your blood sugar is too low, you may feel dizzy and shaky, and you may sweat excessively. You might require a food/drink source that contains high sugar, with more severe cases requiring hospitalisation. However, your risk of diabetes-related complications is not significantly increased compared to a person without diabetes.</w:t>
            </w:r>
          </w:p>
        </w:tc>
      </w:tr>
      <w:bookmarkEnd w:id="11"/>
    </w:tbl>
    <w:p w14:paraId="6A2E0E92" w14:textId="77777777" w:rsidR="00684E37" w:rsidRPr="004F62C9" w:rsidRDefault="00684E37" w:rsidP="00684E37">
      <w:pPr>
        <w:rPr>
          <w:color w:val="auto"/>
        </w:rPr>
      </w:pPr>
    </w:p>
    <w:p w14:paraId="44A89B4E" w14:textId="77777777" w:rsidR="001B4E41" w:rsidRPr="004F62C9" w:rsidRDefault="001B4E41">
      <w:pPr>
        <w:spacing w:before="0" w:after="200"/>
        <w:rPr>
          <w:rFonts w:ascii="Calibri" w:eastAsiaTheme="majorEastAsia" w:hAnsi="Calibri" w:cstheme="majorBidi"/>
          <w:b/>
          <w:bCs/>
          <w:color w:val="auto"/>
          <w:sz w:val="28"/>
          <w:szCs w:val="26"/>
        </w:rPr>
      </w:pPr>
      <w:r w:rsidRPr="004F62C9">
        <w:rPr>
          <w:color w:val="auto"/>
        </w:rPr>
        <w:br w:type="page"/>
      </w:r>
    </w:p>
    <w:p w14:paraId="0E70B9C8" w14:textId="77777777" w:rsidR="001B4E41" w:rsidRPr="004F62C9" w:rsidRDefault="001B4E41" w:rsidP="001B4E41">
      <w:pPr>
        <w:pStyle w:val="Heading2"/>
        <w:numPr>
          <w:ilvl w:val="0"/>
          <w:numId w:val="0"/>
        </w:numPr>
        <w:ind w:left="709" w:hanging="709"/>
        <w:rPr>
          <w:color w:val="auto"/>
        </w:rPr>
      </w:pPr>
      <w:r w:rsidRPr="004F62C9">
        <w:rPr>
          <w:color w:val="auto"/>
        </w:rPr>
        <w:t xml:space="preserve">Further detailed TTO utility results </w:t>
      </w:r>
    </w:p>
    <w:p w14:paraId="6AA2216E" w14:textId="5E79F215" w:rsidR="00C521B9" w:rsidRPr="004F62C9" w:rsidRDefault="00C521B9" w:rsidP="00C521B9">
      <w:pPr>
        <w:pStyle w:val="Caption"/>
        <w:rPr>
          <w:color w:val="auto"/>
        </w:rPr>
      </w:pPr>
      <w:r w:rsidRPr="004F62C9">
        <w:rPr>
          <w:color w:val="auto"/>
        </w:rPr>
        <w:t xml:space="preserve">Table </w:t>
      </w:r>
      <w:r w:rsidR="00B2211B" w:rsidRPr="004F62C9">
        <w:rPr>
          <w:color w:val="auto"/>
        </w:rPr>
        <w:fldChar w:fldCharType="begin"/>
      </w:r>
      <w:r w:rsidR="00B2211B" w:rsidRPr="004F62C9">
        <w:rPr>
          <w:color w:val="auto"/>
        </w:rPr>
        <w:instrText xml:space="preserve"> SEQ Table \* ARABIC </w:instrText>
      </w:r>
      <w:r w:rsidR="00B2211B" w:rsidRPr="004F62C9">
        <w:rPr>
          <w:color w:val="auto"/>
        </w:rPr>
        <w:fldChar w:fldCharType="separate"/>
      </w:r>
      <w:r w:rsidR="000C3AF4" w:rsidRPr="004F62C9">
        <w:rPr>
          <w:noProof/>
          <w:color w:val="auto"/>
        </w:rPr>
        <w:t>7</w:t>
      </w:r>
      <w:r w:rsidR="00B2211B" w:rsidRPr="004F62C9">
        <w:rPr>
          <w:noProof/>
          <w:color w:val="auto"/>
        </w:rPr>
        <w:fldChar w:fldCharType="end"/>
      </w:r>
      <w:r w:rsidRPr="004F62C9">
        <w:rPr>
          <w:color w:val="auto"/>
        </w:rPr>
        <w:t>. TTO utility values in obesity and T2DM, in the UK, Canada, and China</w:t>
      </w:r>
    </w:p>
    <w:tbl>
      <w:tblPr>
        <w:tblStyle w:val="TableGridLight"/>
        <w:tblW w:w="0" w:type="auto"/>
        <w:tblLook w:val="04A0" w:firstRow="1" w:lastRow="0" w:firstColumn="1" w:lastColumn="0" w:noHBand="0" w:noVBand="1"/>
      </w:tblPr>
      <w:tblGrid>
        <w:gridCol w:w="1048"/>
        <w:gridCol w:w="904"/>
        <w:gridCol w:w="878"/>
        <w:gridCol w:w="878"/>
        <w:gridCol w:w="890"/>
        <w:gridCol w:w="878"/>
        <w:gridCol w:w="878"/>
        <w:gridCol w:w="895"/>
        <w:gridCol w:w="895"/>
        <w:gridCol w:w="895"/>
      </w:tblGrid>
      <w:tr w:rsidR="004F62C9" w:rsidRPr="004F62C9" w14:paraId="5BA1428E" w14:textId="77777777" w:rsidTr="004F62C9">
        <w:tc>
          <w:tcPr>
            <w:tcW w:w="9039" w:type="dxa"/>
            <w:gridSpan w:val="10"/>
          </w:tcPr>
          <w:p w14:paraId="68E95CFD" w14:textId="77777777" w:rsidR="00C521B9" w:rsidRPr="004F62C9" w:rsidRDefault="00C521B9" w:rsidP="00C71F6F">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UK (n=110)</w:t>
            </w:r>
          </w:p>
        </w:tc>
      </w:tr>
      <w:tr w:rsidR="004F62C9" w:rsidRPr="004F62C9" w14:paraId="20D5B411" w14:textId="77777777" w:rsidTr="004F62C9">
        <w:tc>
          <w:tcPr>
            <w:tcW w:w="1048" w:type="dxa"/>
            <w:vMerge w:val="restart"/>
          </w:tcPr>
          <w:p w14:paraId="548329F6" w14:textId="77777777" w:rsidR="00C521B9" w:rsidRPr="004F62C9" w:rsidRDefault="00C521B9" w:rsidP="00C71F6F">
            <w:pPr>
              <w:pStyle w:val="Table-Normal"/>
              <w:rPr>
                <w:color w:val="auto"/>
                <w:sz w:val="20"/>
                <w:szCs w:val="20"/>
              </w:rPr>
            </w:pPr>
          </w:p>
        </w:tc>
        <w:tc>
          <w:tcPr>
            <w:tcW w:w="2660" w:type="dxa"/>
            <w:gridSpan w:val="3"/>
          </w:tcPr>
          <w:p w14:paraId="46ED9D2E"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Obesity</w:t>
            </w:r>
          </w:p>
        </w:tc>
        <w:tc>
          <w:tcPr>
            <w:tcW w:w="5331" w:type="dxa"/>
            <w:gridSpan w:val="6"/>
          </w:tcPr>
          <w:p w14:paraId="24B3CD3F"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T2DM</w:t>
            </w:r>
          </w:p>
        </w:tc>
      </w:tr>
      <w:tr w:rsidR="004F62C9" w:rsidRPr="004F62C9" w14:paraId="621374BC" w14:textId="77777777" w:rsidTr="004F62C9">
        <w:tc>
          <w:tcPr>
            <w:tcW w:w="1048" w:type="dxa"/>
            <w:vMerge/>
          </w:tcPr>
          <w:p w14:paraId="4169C346" w14:textId="77777777" w:rsidR="00C521B9" w:rsidRPr="004F62C9" w:rsidRDefault="00C521B9" w:rsidP="00C71F6F">
            <w:pPr>
              <w:pStyle w:val="Table-Normal"/>
              <w:rPr>
                <w:color w:val="auto"/>
                <w:sz w:val="20"/>
                <w:szCs w:val="20"/>
              </w:rPr>
            </w:pPr>
          </w:p>
        </w:tc>
        <w:tc>
          <w:tcPr>
            <w:tcW w:w="904" w:type="dxa"/>
            <w:vMerge w:val="restart"/>
          </w:tcPr>
          <w:p w14:paraId="117518C4"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Anchor</w:t>
            </w:r>
          </w:p>
        </w:tc>
        <w:tc>
          <w:tcPr>
            <w:tcW w:w="1756" w:type="dxa"/>
            <w:gridSpan w:val="2"/>
          </w:tcPr>
          <w:p w14:paraId="5443E3DB"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890" w:type="dxa"/>
            <w:vMerge w:val="restart"/>
          </w:tcPr>
          <w:p w14:paraId="4B891B6E"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b/>
                <w:bCs w:val="0"/>
                <w:color w:val="auto"/>
                <w:sz w:val="20"/>
                <w:szCs w:val="20"/>
              </w:rPr>
              <w:t>Anchor</w:t>
            </w:r>
          </w:p>
        </w:tc>
        <w:tc>
          <w:tcPr>
            <w:tcW w:w="1756" w:type="dxa"/>
            <w:gridSpan w:val="2"/>
          </w:tcPr>
          <w:p w14:paraId="65EE20C0"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2685" w:type="dxa"/>
            <w:gridSpan w:val="3"/>
          </w:tcPr>
          <w:p w14:paraId="7B6B6520"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Insulin</w:t>
            </w:r>
          </w:p>
        </w:tc>
      </w:tr>
      <w:tr w:rsidR="004F62C9" w:rsidRPr="004F62C9" w14:paraId="6EF411A7" w14:textId="77777777" w:rsidTr="004F62C9">
        <w:tc>
          <w:tcPr>
            <w:tcW w:w="1048" w:type="dxa"/>
            <w:vMerge/>
          </w:tcPr>
          <w:p w14:paraId="1F7230BB" w14:textId="77777777" w:rsidR="00C521B9" w:rsidRPr="004F62C9" w:rsidRDefault="00C521B9" w:rsidP="00C71F6F">
            <w:pPr>
              <w:pStyle w:val="Table-Normal"/>
              <w:rPr>
                <w:color w:val="auto"/>
                <w:sz w:val="20"/>
                <w:szCs w:val="20"/>
              </w:rPr>
            </w:pPr>
          </w:p>
        </w:tc>
        <w:tc>
          <w:tcPr>
            <w:tcW w:w="904" w:type="dxa"/>
            <w:vMerge/>
          </w:tcPr>
          <w:p w14:paraId="7AC44701" w14:textId="77777777" w:rsidR="00C521B9" w:rsidRPr="004F62C9" w:rsidRDefault="00C521B9" w:rsidP="00C71F6F">
            <w:pPr>
              <w:pStyle w:val="Table-Normal"/>
              <w:rPr>
                <w:b/>
                <w:bCs w:val="0"/>
                <w:color w:val="auto"/>
                <w:sz w:val="20"/>
                <w:szCs w:val="20"/>
              </w:rPr>
            </w:pPr>
          </w:p>
        </w:tc>
        <w:tc>
          <w:tcPr>
            <w:tcW w:w="878" w:type="dxa"/>
          </w:tcPr>
          <w:p w14:paraId="56E4DFBB"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tcPr>
          <w:p w14:paraId="2567F834"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0" w:type="dxa"/>
            <w:vMerge/>
          </w:tcPr>
          <w:p w14:paraId="20A9B29E" w14:textId="77777777" w:rsidR="00C521B9" w:rsidRPr="004F62C9" w:rsidRDefault="00C521B9" w:rsidP="00C71F6F">
            <w:pPr>
              <w:pStyle w:val="Table-Normal"/>
              <w:jc w:val="center"/>
              <w:rPr>
                <w:b/>
                <w:bCs w:val="0"/>
                <w:color w:val="auto"/>
                <w:sz w:val="20"/>
                <w:szCs w:val="20"/>
              </w:rPr>
            </w:pPr>
          </w:p>
        </w:tc>
        <w:tc>
          <w:tcPr>
            <w:tcW w:w="878" w:type="dxa"/>
          </w:tcPr>
          <w:p w14:paraId="29361511"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tcPr>
          <w:p w14:paraId="1AD2F376"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tcPr>
          <w:p w14:paraId="29D2B7E1"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95" w:type="dxa"/>
          </w:tcPr>
          <w:p w14:paraId="13E50D8E"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tcPr>
          <w:p w14:paraId="5545B9C1"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BB</w:t>
            </w:r>
          </w:p>
        </w:tc>
      </w:tr>
      <w:tr w:rsidR="004F62C9" w:rsidRPr="004F62C9" w14:paraId="2F129798" w14:textId="77777777" w:rsidTr="004F62C9">
        <w:tc>
          <w:tcPr>
            <w:tcW w:w="1048" w:type="dxa"/>
          </w:tcPr>
          <w:p w14:paraId="24562D21" w14:textId="77777777" w:rsidR="00C521B9" w:rsidRPr="004F62C9" w:rsidRDefault="00C521B9" w:rsidP="00C71F6F">
            <w:pPr>
              <w:pStyle w:val="Table-Normal"/>
              <w:jc w:val="right"/>
              <w:rPr>
                <w:b/>
                <w:color w:val="auto"/>
                <w:sz w:val="20"/>
                <w:szCs w:val="20"/>
              </w:rPr>
            </w:pPr>
            <w:r w:rsidRPr="004F62C9">
              <w:rPr>
                <w:rFonts w:ascii="Calibri" w:hAnsi="Calibri" w:cs="Calibri"/>
                <w:b/>
                <w:color w:val="auto"/>
                <w:kern w:val="24"/>
                <w:sz w:val="20"/>
                <w:szCs w:val="20"/>
              </w:rPr>
              <w:t xml:space="preserve">Mean </w:t>
            </w:r>
          </w:p>
        </w:tc>
        <w:tc>
          <w:tcPr>
            <w:tcW w:w="904" w:type="dxa"/>
          </w:tcPr>
          <w:p w14:paraId="190E0F67"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0.877</w:t>
            </w:r>
          </w:p>
        </w:tc>
        <w:tc>
          <w:tcPr>
            <w:tcW w:w="878" w:type="dxa"/>
          </w:tcPr>
          <w:p w14:paraId="4B718FAD"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0.857</w:t>
            </w:r>
          </w:p>
        </w:tc>
        <w:tc>
          <w:tcPr>
            <w:tcW w:w="878" w:type="dxa"/>
          </w:tcPr>
          <w:p w14:paraId="5EA1AE99"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0.816</w:t>
            </w:r>
          </w:p>
        </w:tc>
        <w:tc>
          <w:tcPr>
            <w:tcW w:w="890" w:type="dxa"/>
          </w:tcPr>
          <w:p w14:paraId="7BB3F9BF"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0.888</w:t>
            </w:r>
          </w:p>
        </w:tc>
        <w:tc>
          <w:tcPr>
            <w:tcW w:w="878" w:type="dxa"/>
          </w:tcPr>
          <w:p w14:paraId="4281103E"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0.877</w:t>
            </w:r>
          </w:p>
        </w:tc>
        <w:tc>
          <w:tcPr>
            <w:tcW w:w="878" w:type="dxa"/>
          </w:tcPr>
          <w:p w14:paraId="6C58FE1A"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0.845</w:t>
            </w:r>
          </w:p>
        </w:tc>
        <w:tc>
          <w:tcPr>
            <w:tcW w:w="895" w:type="dxa"/>
          </w:tcPr>
          <w:p w14:paraId="2D1914A5"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0.866</w:t>
            </w:r>
          </w:p>
        </w:tc>
        <w:tc>
          <w:tcPr>
            <w:tcW w:w="895" w:type="dxa"/>
          </w:tcPr>
          <w:p w14:paraId="3639D8AE"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0.827</w:t>
            </w:r>
          </w:p>
        </w:tc>
        <w:tc>
          <w:tcPr>
            <w:tcW w:w="895" w:type="dxa"/>
          </w:tcPr>
          <w:p w14:paraId="643A63C6"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0.741</w:t>
            </w:r>
          </w:p>
        </w:tc>
      </w:tr>
      <w:tr w:rsidR="004F62C9" w:rsidRPr="004F62C9" w14:paraId="39CD4834" w14:textId="77777777" w:rsidTr="004F62C9">
        <w:tc>
          <w:tcPr>
            <w:tcW w:w="1048" w:type="dxa"/>
          </w:tcPr>
          <w:p w14:paraId="774E74F0" w14:textId="77777777" w:rsidR="00C521B9" w:rsidRPr="004F62C9" w:rsidRDefault="00C521B9" w:rsidP="00C71F6F">
            <w:pPr>
              <w:pStyle w:val="Table-Normal"/>
              <w:jc w:val="right"/>
              <w:rPr>
                <w:b/>
                <w:color w:val="auto"/>
                <w:sz w:val="20"/>
                <w:szCs w:val="20"/>
              </w:rPr>
            </w:pPr>
            <w:r w:rsidRPr="004F62C9">
              <w:rPr>
                <w:b/>
                <w:color w:val="auto"/>
                <w:sz w:val="20"/>
                <w:szCs w:val="20"/>
              </w:rPr>
              <w:t>SD</w:t>
            </w:r>
          </w:p>
        </w:tc>
        <w:tc>
          <w:tcPr>
            <w:tcW w:w="904" w:type="dxa"/>
          </w:tcPr>
          <w:p w14:paraId="17E90969"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0.165</w:t>
            </w:r>
          </w:p>
        </w:tc>
        <w:tc>
          <w:tcPr>
            <w:tcW w:w="878" w:type="dxa"/>
          </w:tcPr>
          <w:p w14:paraId="621ABC1D"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0.176</w:t>
            </w:r>
          </w:p>
        </w:tc>
        <w:tc>
          <w:tcPr>
            <w:tcW w:w="878" w:type="dxa"/>
          </w:tcPr>
          <w:p w14:paraId="36AF7C80"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0.194</w:t>
            </w:r>
          </w:p>
        </w:tc>
        <w:tc>
          <w:tcPr>
            <w:tcW w:w="890" w:type="dxa"/>
          </w:tcPr>
          <w:p w14:paraId="05481DC9"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0.161</w:t>
            </w:r>
          </w:p>
        </w:tc>
        <w:tc>
          <w:tcPr>
            <w:tcW w:w="878" w:type="dxa"/>
          </w:tcPr>
          <w:p w14:paraId="3AAB4EFC"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0.177</w:t>
            </w:r>
          </w:p>
        </w:tc>
        <w:tc>
          <w:tcPr>
            <w:tcW w:w="878" w:type="dxa"/>
          </w:tcPr>
          <w:p w14:paraId="5901DE68"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0.180</w:t>
            </w:r>
          </w:p>
        </w:tc>
        <w:tc>
          <w:tcPr>
            <w:tcW w:w="895" w:type="dxa"/>
          </w:tcPr>
          <w:p w14:paraId="37BE12D9"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0.179</w:t>
            </w:r>
          </w:p>
        </w:tc>
        <w:tc>
          <w:tcPr>
            <w:tcW w:w="895" w:type="dxa"/>
          </w:tcPr>
          <w:p w14:paraId="11E5EB39"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0.183</w:t>
            </w:r>
          </w:p>
        </w:tc>
        <w:tc>
          <w:tcPr>
            <w:tcW w:w="895" w:type="dxa"/>
          </w:tcPr>
          <w:p w14:paraId="3C7D9BC2"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0.210</w:t>
            </w:r>
          </w:p>
        </w:tc>
      </w:tr>
      <w:tr w:rsidR="004F62C9" w:rsidRPr="004F62C9" w14:paraId="7A7515B0" w14:textId="77777777" w:rsidTr="004F62C9">
        <w:tc>
          <w:tcPr>
            <w:tcW w:w="1048" w:type="dxa"/>
          </w:tcPr>
          <w:p w14:paraId="1357CDDB" w14:textId="77777777" w:rsidR="00C521B9" w:rsidRPr="004F62C9" w:rsidRDefault="00C521B9" w:rsidP="00C71F6F">
            <w:pPr>
              <w:pStyle w:val="Table-Normal"/>
              <w:jc w:val="right"/>
              <w:rPr>
                <w:b/>
                <w:color w:val="auto"/>
                <w:sz w:val="20"/>
                <w:szCs w:val="20"/>
              </w:rPr>
            </w:pPr>
            <w:r w:rsidRPr="004F62C9">
              <w:rPr>
                <w:rFonts w:ascii="Calibri" w:hAnsi="Calibri" w:cs="Calibri"/>
                <w:b/>
                <w:color w:val="auto"/>
                <w:kern w:val="24"/>
                <w:sz w:val="20"/>
                <w:szCs w:val="20"/>
              </w:rPr>
              <w:t>Median</w:t>
            </w:r>
          </w:p>
        </w:tc>
        <w:tc>
          <w:tcPr>
            <w:tcW w:w="904" w:type="dxa"/>
          </w:tcPr>
          <w:p w14:paraId="2A8111AB"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0.950</w:t>
            </w:r>
          </w:p>
        </w:tc>
        <w:tc>
          <w:tcPr>
            <w:tcW w:w="878" w:type="dxa"/>
          </w:tcPr>
          <w:p w14:paraId="348F8F0F"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0.900</w:t>
            </w:r>
          </w:p>
        </w:tc>
        <w:tc>
          <w:tcPr>
            <w:tcW w:w="878" w:type="dxa"/>
          </w:tcPr>
          <w:p w14:paraId="0270064C"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0.898</w:t>
            </w:r>
          </w:p>
        </w:tc>
        <w:tc>
          <w:tcPr>
            <w:tcW w:w="890" w:type="dxa"/>
          </w:tcPr>
          <w:p w14:paraId="1EAE4EE7"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0.950</w:t>
            </w:r>
          </w:p>
        </w:tc>
        <w:tc>
          <w:tcPr>
            <w:tcW w:w="878" w:type="dxa"/>
          </w:tcPr>
          <w:p w14:paraId="2015BDBA"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0.950</w:t>
            </w:r>
          </w:p>
        </w:tc>
        <w:tc>
          <w:tcPr>
            <w:tcW w:w="878" w:type="dxa"/>
          </w:tcPr>
          <w:p w14:paraId="7D1C4FD3"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0.900</w:t>
            </w:r>
          </w:p>
        </w:tc>
        <w:tc>
          <w:tcPr>
            <w:tcW w:w="895" w:type="dxa"/>
          </w:tcPr>
          <w:p w14:paraId="422F47E4"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0.904</w:t>
            </w:r>
          </w:p>
        </w:tc>
        <w:tc>
          <w:tcPr>
            <w:tcW w:w="895" w:type="dxa"/>
          </w:tcPr>
          <w:p w14:paraId="2AE5C195"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0.869</w:t>
            </w:r>
          </w:p>
        </w:tc>
        <w:tc>
          <w:tcPr>
            <w:tcW w:w="895" w:type="dxa"/>
          </w:tcPr>
          <w:p w14:paraId="4B403D1B"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0.800</w:t>
            </w:r>
          </w:p>
        </w:tc>
      </w:tr>
      <w:tr w:rsidR="004F62C9" w:rsidRPr="004F62C9" w14:paraId="16B624F7" w14:textId="77777777" w:rsidTr="004F62C9">
        <w:tc>
          <w:tcPr>
            <w:tcW w:w="1048" w:type="dxa"/>
            <w:vMerge w:val="restart"/>
          </w:tcPr>
          <w:p w14:paraId="78CDFBD1" w14:textId="77777777" w:rsidR="00C521B9" w:rsidRPr="004F62C9" w:rsidRDefault="00C521B9" w:rsidP="00C71F6F">
            <w:pPr>
              <w:pStyle w:val="Table-Normal"/>
              <w:jc w:val="right"/>
              <w:rPr>
                <w:b/>
                <w:color w:val="auto"/>
                <w:sz w:val="20"/>
                <w:szCs w:val="20"/>
              </w:rPr>
            </w:pPr>
            <w:r w:rsidRPr="004F62C9">
              <w:rPr>
                <w:rFonts w:ascii="Calibri" w:hAnsi="Calibri" w:cs="Calibri"/>
                <w:b/>
                <w:color w:val="auto"/>
                <w:kern w:val="24"/>
                <w:sz w:val="20"/>
                <w:szCs w:val="20"/>
              </w:rPr>
              <w:t>IQR</w:t>
            </w:r>
          </w:p>
        </w:tc>
        <w:tc>
          <w:tcPr>
            <w:tcW w:w="904" w:type="dxa"/>
          </w:tcPr>
          <w:p w14:paraId="11427CEF"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0.840</w:t>
            </w:r>
          </w:p>
        </w:tc>
        <w:tc>
          <w:tcPr>
            <w:tcW w:w="878" w:type="dxa"/>
          </w:tcPr>
          <w:p w14:paraId="3EBFA7FA"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0.825</w:t>
            </w:r>
          </w:p>
        </w:tc>
        <w:tc>
          <w:tcPr>
            <w:tcW w:w="878" w:type="dxa"/>
          </w:tcPr>
          <w:p w14:paraId="599C02C7"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0.750</w:t>
            </w:r>
          </w:p>
        </w:tc>
        <w:tc>
          <w:tcPr>
            <w:tcW w:w="890" w:type="dxa"/>
          </w:tcPr>
          <w:p w14:paraId="512367C8"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0.875</w:t>
            </w:r>
          </w:p>
        </w:tc>
        <w:tc>
          <w:tcPr>
            <w:tcW w:w="878" w:type="dxa"/>
          </w:tcPr>
          <w:p w14:paraId="5651352D"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0.877</w:t>
            </w:r>
          </w:p>
        </w:tc>
        <w:tc>
          <w:tcPr>
            <w:tcW w:w="878" w:type="dxa"/>
          </w:tcPr>
          <w:p w14:paraId="0471F12B"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0.800</w:t>
            </w:r>
          </w:p>
        </w:tc>
        <w:tc>
          <w:tcPr>
            <w:tcW w:w="895" w:type="dxa"/>
          </w:tcPr>
          <w:p w14:paraId="223DAEBA"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0.825</w:t>
            </w:r>
          </w:p>
        </w:tc>
        <w:tc>
          <w:tcPr>
            <w:tcW w:w="895" w:type="dxa"/>
          </w:tcPr>
          <w:p w14:paraId="3364E093"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0.800</w:t>
            </w:r>
          </w:p>
        </w:tc>
        <w:tc>
          <w:tcPr>
            <w:tcW w:w="895" w:type="dxa"/>
          </w:tcPr>
          <w:p w14:paraId="40083A6C"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0.693</w:t>
            </w:r>
          </w:p>
        </w:tc>
      </w:tr>
      <w:tr w:rsidR="004F62C9" w:rsidRPr="004F62C9" w14:paraId="2CA7A422" w14:textId="77777777" w:rsidTr="004F62C9">
        <w:tc>
          <w:tcPr>
            <w:tcW w:w="1048" w:type="dxa"/>
            <w:vMerge/>
          </w:tcPr>
          <w:p w14:paraId="64B4E880" w14:textId="77777777" w:rsidR="00C521B9" w:rsidRPr="004F62C9" w:rsidRDefault="00C521B9" w:rsidP="00C71F6F">
            <w:pPr>
              <w:pStyle w:val="Table-Normal"/>
              <w:rPr>
                <w:color w:val="auto"/>
                <w:sz w:val="20"/>
                <w:szCs w:val="20"/>
              </w:rPr>
            </w:pPr>
          </w:p>
        </w:tc>
        <w:tc>
          <w:tcPr>
            <w:tcW w:w="904" w:type="dxa"/>
          </w:tcPr>
          <w:p w14:paraId="0B486F5D"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0.996</w:t>
            </w:r>
          </w:p>
        </w:tc>
        <w:tc>
          <w:tcPr>
            <w:tcW w:w="878" w:type="dxa"/>
          </w:tcPr>
          <w:p w14:paraId="74E4F5BC"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0.950</w:t>
            </w:r>
          </w:p>
        </w:tc>
        <w:tc>
          <w:tcPr>
            <w:tcW w:w="878" w:type="dxa"/>
          </w:tcPr>
          <w:p w14:paraId="0EB41AEC"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0.950</w:t>
            </w:r>
          </w:p>
        </w:tc>
        <w:tc>
          <w:tcPr>
            <w:tcW w:w="890" w:type="dxa"/>
          </w:tcPr>
          <w:p w14:paraId="2E797952"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0.996</w:t>
            </w:r>
          </w:p>
        </w:tc>
        <w:tc>
          <w:tcPr>
            <w:tcW w:w="878" w:type="dxa"/>
          </w:tcPr>
          <w:p w14:paraId="0530115D"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0.963</w:t>
            </w:r>
          </w:p>
        </w:tc>
        <w:tc>
          <w:tcPr>
            <w:tcW w:w="878" w:type="dxa"/>
          </w:tcPr>
          <w:p w14:paraId="2016D6B5"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0.950</w:t>
            </w:r>
          </w:p>
        </w:tc>
        <w:tc>
          <w:tcPr>
            <w:tcW w:w="895" w:type="dxa"/>
          </w:tcPr>
          <w:p w14:paraId="2737A0E4"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0.970</w:t>
            </w:r>
          </w:p>
        </w:tc>
        <w:tc>
          <w:tcPr>
            <w:tcW w:w="895" w:type="dxa"/>
          </w:tcPr>
          <w:p w14:paraId="1C241B14"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0.950</w:t>
            </w:r>
          </w:p>
        </w:tc>
        <w:tc>
          <w:tcPr>
            <w:tcW w:w="895" w:type="dxa"/>
          </w:tcPr>
          <w:p w14:paraId="302F9659" w14:textId="77777777" w:rsidR="00C521B9" w:rsidRPr="004F62C9" w:rsidRDefault="00C521B9" w:rsidP="00C71F6F">
            <w:pPr>
              <w:pStyle w:val="Table-Normal"/>
              <w:spacing w:before="40" w:after="40"/>
              <w:jc w:val="center"/>
              <w:rPr>
                <w:color w:val="auto"/>
                <w:sz w:val="20"/>
                <w:szCs w:val="20"/>
              </w:rPr>
            </w:pPr>
            <w:r w:rsidRPr="004F62C9">
              <w:rPr>
                <w:rFonts w:ascii="Calibri" w:hAnsi="Calibri" w:cs="Calibri"/>
                <w:color w:val="auto"/>
                <w:kern w:val="24"/>
                <w:sz w:val="20"/>
                <w:szCs w:val="20"/>
              </w:rPr>
              <w:t>0.900</w:t>
            </w:r>
          </w:p>
        </w:tc>
      </w:tr>
      <w:tr w:rsidR="004F62C9" w:rsidRPr="004F62C9" w14:paraId="470B5C12" w14:textId="77777777" w:rsidTr="004F62C9">
        <w:tc>
          <w:tcPr>
            <w:tcW w:w="9039" w:type="dxa"/>
            <w:gridSpan w:val="10"/>
          </w:tcPr>
          <w:p w14:paraId="365070FD"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color w:val="auto"/>
                <w:kern w:val="24"/>
                <w:sz w:val="20"/>
                <w:szCs w:val="20"/>
              </w:rPr>
              <w:t>Canada (n=100)</w:t>
            </w:r>
          </w:p>
        </w:tc>
      </w:tr>
      <w:tr w:rsidR="004F62C9" w:rsidRPr="004F62C9" w14:paraId="65B635D8" w14:textId="77777777" w:rsidTr="004F62C9">
        <w:tc>
          <w:tcPr>
            <w:tcW w:w="1048" w:type="dxa"/>
            <w:vMerge w:val="restart"/>
          </w:tcPr>
          <w:p w14:paraId="19D8074B" w14:textId="77777777" w:rsidR="00C521B9" w:rsidRPr="004F62C9" w:rsidRDefault="00C521B9" w:rsidP="00C71F6F">
            <w:pPr>
              <w:pStyle w:val="Table-Normal"/>
              <w:rPr>
                <w:color w:val="auto"/>
                <w:sz w:val="20"/>
                <w:szCs w:val="20"/>
              </w:rPr>
            </w:pPr>
          </w:p>
        </w:tc>
        <w:tc>
          <w:tcPr>
            <w:tcW w:w="2660" w:type="dxa"/>
            <w:gridSpan w:val="3"/>
          </w:tcPr>
          <w:p w14:paraId="0F9C792D"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Obesity</w:t>
            </w:r>
          </w:p>
        </w:tc>
        <w:tc>
          <w:tcPr>
            <w:tcW w:w="5331" w:type="dxa"/>
            <w:gridSpan w:val="6"/>
          </w:tcPr>
          <w:p w14:paraId="00E17E48" w14:textId="77777777" w:rsidR="00C521B9" w:rsidRPr="004F62C9" w:rsidRDefault="00C521B9" w:rsidP="00C71F6F">
            <w:pPr>
              <w:pStyle w:val="Table-Normal"/>
              <w:jc w:val="center"/>
              <w:rPr>
                <w:rFonts w:ascii="Calibri" w:hAnsi="Calibri" w:cs="Calibri"/>
                <w:b/>
                <w:color w:val="auto"/>
                <w:kern w:val="24"/>
                <w:sz w:val="20"/>
                <w:szCs w:val="20"/>
              </w:rPr>
            </w:pPr>
            <w:r w:rsidRPr="004F62C9">
              <w:rPr>
                <w:rFonts w:ascii="Calibri" w:hAnsi="Calibri" w:cs="Calibri"/>
                <w:b/>
                <w:color w:val="auto"/>
                <w:kern w:val="24"/>
                <w:sz w:val="20"/>
                <w:szCs w:val="20"/>
              </w:rPr>
              <w:t>T2DM</w:t>
            </w:r>
          </w:p>
        </w:tc>
      </w:tr>
      <w:tr w:rsidR="004F62C9" w:rsidRPr="004F62C9" w14:paraId="059C6A89" w14:textId="77777777" w:rsidTr="004F62C9">
        <w:tc>
          <w:tcPr>
            <w:tcW w:w="1048" w:type="dxa"/>
            <w:vMerge/>
          </w:tcPr>
          <w:p w14:paraId="1A3C8753" w14:textId="77777777" w:rsidR="00C521B9" w:rsidRPr="004F62C9" w:rsidRDefault="00C521B9" w:rsidP="00C71F6F">
            <w:pPr>
              <w:pStyle w:val="Table-Normal"/>
              <w:rPr>
                <w:color w:val="auto"/>
                <w:sz w:val="20"/>
                <w:szCs w:val="20"/>
              </w:rPr>
            </w:pPr>
          </w:p>
        </w:tc>
        <w:tc>
          <w:tcPr>
            <w:tcW w:w="904" w:type="dxa"/>
            <w:vMerge w:val="restart"/>
          </w:tcPr>
          <w:p w14:paraId="1F2030A7"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Anchor</w:t>
            </w:r>
          </w:p>
        </w:tc>
        <w:tc>
          <w:tcPr>
            <w:tcW w:w="1756" w:type="dxa"/>
            <w:gridSpan w:val="2"/>
          </w:tcPr>
          <w:p w14:paraId="30F744AB"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890" w:type="dxa"/>
            <w:vMerge w:val="restart"/>
          </w:tcPr>
          <w:p w14:paraId="19123156"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b/>
                <w:bCs w:val="0"/>
                <w:color w:val="auto"/>
                <w:sz w:val="20"/>
                <w:szCs w:val="20"/>
              </w:rPr>
              <w:t>Anchor</w:t>
            </w:r>
          </w:p>
        </w:tc>
        <w:tc>
          <w:tcPr>
            <w:tcW w:w="1756" w:type="dxa"/>
            <w:gridSpan w:val="2"/>
          </w:tcPr>
          <w:p w14:paraId="69FB6238"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2685" w:type="dxa"/>
            <w:gridSpan w:val="3"/>
          </w:tcPr>
          <w:p w14:paraId="6BF3DE1A"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Insulin</w:t>
            </w:r>
          </w:p>
        </w:tc>
      </w:tr>
      <w:tr w:rsidR="004F62C9" w:rsidRPr="004F62C9" w14:paraId="32D346FD" w14:textId="77777777" w:rsidTr="004F62C9">
        <w:tc>
          <w:tcPr>
            <w:tcW w:w="1048" w:type="dxa"/>
            <w:vMerge/>
          </w:tcPr>
          <w:p w14:paraId="5CAFAA36" w14:textId="77777777" w:rsidR="00C521B9" w:rsidRPr="004F62C9" w:rsidRDefault="00C521B9" w:rsidP="00C71F6F">
            <w:pPr>
              <w:pStyle w:val="Table-Normal"/>
              <w:rPr>
                <w:color w:val="auto"/>
                <w:sz w:val="20"/>
                <w:szCs w:val="20"/>
              </w:rPr>
            </w:pPr>
          </w:p>
        </w:tc>
        <w:tc>
          <w:tcPr>
            <w:tcW w:w="904" w:type="dxa"/>
            <w:vMerge/>
          </w:tcPr>
          <w:p w14:paraId="5A21CC68" w14:textId="77777777" w:rsidR="00C521B9" w:rsidRPr="004F62C9" w:rsidRDefault="00C521B9" w:rsidP="00C71F6F">
            <w:pPr>
              <w:pStyle w:val="Table-Normal"/>
              <w:rPr>
                <w:b/>
                <w:bCs w:val="0"/>
                <w:color w:val="auto"/>
                <w:sz w:val="20"/>
                <w:szCs w:val="20"/>
              </w:rPr>
            </w:pPr>
          </w:p>
        </w:tc>
        <w:tc>
          <w:tcPr>
            <w:tcW w:w="878" w:type="dxa"/>
          </w:tcPr>
          <w:p w14:paraId="5DAB961C"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tcPr>
          <w:p w14:paraId="1AAA9255"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0" w:type="dxa"/>
            <w:vMerge/>
          </w:tcPr>
          <w:p w14:paraId="1CBC7869" w14:textId="77777777" w:rsidR="00C521B9" w:rsidRPr="004F62C9" w:rsidRDefault="00C521B9" w:rsidP="00C71F6F">
            <w:pPr>
              <w:pStyle w:val="Table-Normal"/>
              <w:jc w:val="center"/>
              <w:rPr>
                <w:b/>
                <w:bCs w:val="0"/>
                <w:color w:val="auto"/>
                <w:sz w:val="20"/>
                <w:szCs w:val="20"/>
              </w:rPr>
            </w:pPr>
          </w:p>
        </w:tc>
        <w:tc>
          <w:tcPr>
            <w:tcW w:w="878" w:type="dxa"/>
          </w:tcPr>
          <w:p w14:paraId="05640A19"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tcPr>
          <w:p w14:paraId="69E40C2A"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tcPr>
          <w:p w14:paraId="6CB3921A"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95" w:type="dxa"/>
          </w:tcPr>
          <w:p w14:paraId="3FF8F066"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tcPr>
          <w:p w14:paraId="4C2B43C2"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BB</w:t>
            </w:r>
          </w:p>
        </w:tc>
      </w:tr>
      <w:tr w:rsidR="004F62C9" w:rsidRPr="004F62C9" w14:paraId="5D421D33" w14:textId="77777777" w:rsidTr="004F62C9">
        <w:tc>
          <w:tcPr>
            <w:tcW w:w="1048" w:type="dxa"/>
          </w:tcPr>
          <w:p w14:paraId="6E5725C2" w14:textId="77777777" w:rsidR="00C521B9" w:rsidRPr="004F62C9" w:rsidRDefault="00C521B9" w:rsidP="00C71F6F">
            <w:pPr>
              <w:pStyle w:val="Table-Normal"/>
              <w:jc w:val="right"/>
              <w:rPr>
                <w:b/>
                <w:color w:val="auto"/>
                <w:sz w:val="20"/>
                <w:szCs w:val="20"/>
              </w:rPr>
            </w:pPr>
            <w:r w:rsidRPr="004F62C9">
              <w:rPr>
                <w:rFonts w:ascii="Calibri" w:hAnsi="Calibri" w:cs="Calibri"/>
                <w:b/>
                <w:color w:val="auto"/>
                <w:kern w:val="24"/>
                <w:sz w:val="20"/>
                <w:szCs w:val="20"/>
              </w:rPr>
              <w:t xml:space="preserve">Mean </w:t>
            </w:r>
          </w:p>
        </w:tc>
        <w:tc>
          <w:tcPr>
            <w:tcW w:w="904" w:type="dxa"/>
          </w:tcPr>
          <w:p w14:paraId="2050791E"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0.843</w:t>
            </w:r>
          </w:p>
        </w:tc>
        <w:tc>
          <w:tcPr>
            <w:tcW w:w="878" w:type="dxa"/>
          </w:tcPr>
          <w:p w14:paraId="4A432E44"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0.790</w:t>
            </w:r>
          </w:p>
        </w:tc>
        <w:tc>
          <w:tcPr>
            <w:tcW w:w="878" w:type="dxa"/>
          </w:tcPr>
          <w:p w14:paraId="0E52D3A7"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0.757</w:t>
            </w:r>
          </w:p>
        </w:tc>
        <w:tc>
          <w:tcPr>
            <w:tcW w:w="890" w:type="dxa"/>
          </w:tcPr>
          <w:p w14:paraId="1A8E6531"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0.872</w:t>
            </w:r>
          </w:p>
        </w:tc>
        <w:tc>
          <w:tcPr>
            <w:tcW w:w="878" w:type="dxa"/>
          </w:tcPr>
          <w:p w14:paraId="63CCD321"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0.842</w:t>
            </w:r>
          </w:p>
        </w:tc>
        <w:tc>
          <w:tcPr>
            <w:tcW w:w="878" w:type="dxa"/>
          </w:tcPr>
          <w:p w14:paraId="43CC7A05"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0.805</w:t>
            </w:r>
          </w:p>
        </w:tc>
        <w:tc>
          <w:tcPr>
            <w:tcW w:w="895" w:type="dxa"/>
          </w:tcPr>
          <w:p w14:paraId="1671F446"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0.822</w:t>
            </w:r>
          </w:p>
        </w:tc>
        <w:tc>
          <w:tcPr>
            <w:tcW w:w="895" w:type="dxa"/>
          </w:tcPr>
          <w:p w14:paraId="2CB4EED5"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0.765</w:t>
            </w:r>
          </w:p>
        </w:tc>
        <w:tc>
          <w:tcPr>
            <w:tcW w:w="895" w:type="dxa"/>
          </w:tcPr>
          <w:p w14:paraId="343B2D35"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0.669</w:t>
            </w:r>
          </w:p>
        </w:tc>
      </w:tr>
      <w:tr w:rsidR="004F62C9" w:rsidRPr="004F62C9" w14:paraId="098619A2" w14:textId="77777777" w:rsidTr="004F62C9">
        <w:tc>
          <w:tcPr>
            <w:tcW w:w="1048" w:type="dxa"/>
          </w:tcPr>
          <w:p w14:paraId="4C670A4A" w14:textId="77777777" w:rsidR="00C521B9" w:rsidRPr="004F62C9" w:rsidRDefault="00C521B9" w:rsidP="00C71F6F">
            <w:pPr>
              <w:pStyle w:val="Table-Normal"/>
              <w:jc w:val="right"/>
              <w:rPr>
                <w:b/>
                <w:color w:val="auto"/>
                <w:sz w:val="20"/>
                <w:szCs w:val="20"/>
              </w:rPr>
            </w:pPr>
            <w:r w:rsidRPr="004F62C9">
              <w:rPr>
                <w:b/>
                <w:color w:val="auto"/>
                <w:sz w:val="20"/>
                <w:szCs w:val="20"/>
              </w:rPr>
              <w:t>SD</w:t>
            </w:r>
          </w:p>
        </w:tc>
        <w:tc>
          <w:tcPr>
            <w:tcW w:w="904" w:type="dxa"/>
          </w:tcPr>
          <w:p w14:paraId="28028DC7"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0.222</w:t>
            </w:r>
          </w:p>
        </w:tc>
        <w:tc>
          <w:tcPr>
            <w:tcW w:w="878" w:type="dxa"/>
          </w:tcPr>
          <w:p w14:paraId="0505DD6B"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0.253</w:t>
            </w:r>
          </w:p>
        </w:tc>
        <w:tc>
          <w:tcPr>
            <w:tcW w:w="878" w:type="dxa"/>
          </w:tcPr>
          <w:p w14:paraId="4D0C0858"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0.268</w:t>
            </w:r>
          </w:p>
        </w:tc>
        <w:tc>
          <w:tcPr>
            <w:tcW w:w="890" w:type="dxa"/>
          </w:tcPr>
          <w:p w14:paraId="61A8F3D4"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0.200</w:t>
            </w:r>
          </w:p>
        </w:tc>
        <w:tc>
          <w:tcPr>
            <w:tcW w:w="878" w:type="dxa"/>
          </w:tcPr>
          <w:p w14:paraId="299F0062"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0.216</w:t>
            </w:r>
          </w:p>
        </w:tc>
        <w:tc>
          <w:tcPr>
            <w:tcW w:w="878" w:type="dxa"/>
          </w:tcPr>
          <w:p w14:paraId="53DE6673"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0.233</w:t>
            </w:r>
          </w:p>
        </w:tc>
        <w:tc>
          <w:tcPr>
            <w:tcW w:w="895" w:type="dxa"/>
          </w:tcPr>
          <w:p w14:paraId="160D221F"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0.229</w:t>
            </w:r>
          </w:p>
        </w:tc>
        <w:tc>
          <w:tcPr>
            <w:tcW w:w="895" w:type="dxa"/>
          </w:tcPr>
          <w:p w14:paraId="10E2B8A9"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0.263</w:t>
            </w:r>
          </w:p>
        </w:tc>
        <w:tc>
          <w:tcPr>
            <w:tcW w:w="895" w:type="dxa"/>
          </w:tcPr>
          <w:p w14:paraId="64D2E41D"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0.297</w:t>
            </w:r>
          </w:p>
        </w:tc>
      </w:tr>
      <w:tr w:rsidR="004F62C9" w:rsidRPr="004F62C9" w14:paraId="42823A28" w14:textId="77777777" w:rsidTr="004F62C9">
        <w:tc>
          <w:tcPr>
            <w:tcW w:w="1048" w:type="dxa"/>
          </w:tcPr>
          <w:p w14:paraId="7892214F" w14:textId="77777777" w:rsidR="00C521B9" w:rsidRPr="004F62C9" w:rsidRDefault="00C521B9" w:rsidP="00C71F6F">
            <w:pPr>
              <w:pStyle w:val="Table-Normal"/>
              <w:jc w:val="right"/>
              <w:rPr>
                <w:b/>
                <w:color w:val="auto"/>
                <w:sz w:val="20"/>
                <w:szCs w:val="20"/>
              </w:rPr>
            </w:pPr>
            <w:r w:rsidRPr="004F62C9">
              <w:rPr>
                <w:rFonts w:ascii="Calibri" w:hAnsi="Calibri" w:cs="Calibri"/>
                <w:b/>
                <w:color w:val="auto"/>
                <w:kern w:val="24"/>
                <w:sz w:val="20"/>
                <w:szCs w:val="20"/>
              </w:rPr>
              <w:t>Median</w:t>
            </w:r>
          </w:p>
        </w:tc>
        <w:tc>
          <w:tcPr>
            <w:tcW w:w="904" w:type="dxa"/>
          </w:tcPr>
          <w:p w14:paraId="1914BC27"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0.913</w:t>
            </w:r>
          </w:p>
        </w:tc>
        <w:tc>
          <w:tcPr>
            <w:tcW w:w="878" w:type="dxa"/>
          </w:tcPr>
          <w:p w14:paraId="4B82DFBC"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0.900</w:t>
            </w:r>
          </w:p>
        </w:tc>
        <w:tc>
          <w:tcPr>
            <w:tcW w:w="878" w:type="dxa"/>
          </w:tcPr>
          <w:p w14:paraId="76CE18A5"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0.800</w:t>
            </w:r>
          </w:p>
        </w:tc>
        <w:tc>
          <w:tcPr>
            <w:tcW w:w="890" w:type="dxa"/>
          </w:tcPr>
          <w:p w14:paraId="5B945A9D"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0.950</w:t>
            </w:r>
          </w:p>
        </w:tc>
        <w:tc>
          <w:tcPr>
            <w:tcW w:w="878" w:type="dxa"/>
          </w:tcPr>
          <w:p w14:paraId="65652FCB"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0.900</w:t>
            </w:r>
          </w:p>
        </w:tc>
        <w:tc>
          <w:tcPr>
            <w:tcW w:w="878" w:type="dxa"/>
          </w:tcPr>
          <w:p w14:paraId="75E77B20"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0.900</w:t>
            </w:r>
          </w:p>
        </w:tc>
        <w:tc>
          <w:tcPr>
            <w:tcW w:w="895" w:type="dxa"/>
          </w:tcPr>
          <w:p w14:paraId="4C6B688B"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0.900</w:t>
            </w:r>
          </w:p>
        </w:tc>
        <w:tc>
          <w:tcPr>
            <w:tcW w:w="895" w:type="dxa"/>
          </w:tcPr>
          <w:p w14:paraId="4F968851"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0.838</w:t>
            </w:r>
          </w:p>
        </w:tc>
        <w:tc>
          <w:tcPr>
            <w:tcW w:w="895" w:type="dxa"/>
          </w:tcPr>
          <w:p w14:paraId="5CF873E0"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0.700</w:t>
            </w:r>
          </w:p>
        </w:tc>
      </w:tr>
      <w:tr w:rsidR="004F62C9" w:rsidRPr="004F62C9" w14:paraId="59254FD2" w14:textId="77777777" w:rsidTr="004F62C9">
        <w:tc>
          <w:tcPr>
            <w:tcW w:w="1048" w:type="dxa"/>
            <w:vMerge w:val="restart"/>
          </w:tcPr>
          <w:p w14:paraId="18FDEBF2" w14:textId="77777777" w:rsidR="00C521B9" w:rsidRPr="004F62C9" w:rsidRDefault="00C521B9" w:rsidP="00C71F6F">
            <w:pPr>
              <w:pStyle w:val="Table-Normal"/>
              <w:jc w:val="right"/>
              <w:rPr>
                <w:b/>
                <w:color w:val="auto"/>
                <w:sz w:val="20"/>
                <w:szCs w:val="20"/>
              </w:rPr>
            </w:pPr>
            <w:r w:rsidRPr="004F62C9">
              <w:rPr>
                <w:rFonts w:ascii="Calibri" w:hAnsi="Calibri" w:cs="Calibri"/>
                <w:b/>
                <w:color w:val="auto"/>
                <w:kern w:val="24"/>
                <w:sz w:val="20"/>
                <w:szCs w:val="20"/>
              </w:rPr>
              <w:t>IQR</w:t>
            </w:r>
          </w:p>
        </w:tc>
        <w:tc>
          <w:tcPr>
            <w:tcW w:w="904" w:type="dxa"/>
          </w:tcPr>
          <w:p w14:paraId="60516D77"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0.800</w:t>
            </w:r>
          </w:p>
        </w:tc>
        <w:tc>
          <w:tcPr>
            <w:tcW w:w="878" w:type="dxa"/>
          </w:tcPr>
          <w:p w14:paraId="2EE1642B"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0.700</w:t>
            </w:r>
          </w:p>
        </w:tc>
        <w:tc>
          <w:tcPr>
            <w:tcW w:w="878" w:type="dxa"/>
          </w:tcPr>
          <w:p w14:paraId="17CC9BB7"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0.700</w:t>
            </w:r>
          </w:p>
        </w:tc>
        <w:tc>
          <w:tcPr>
            <w:tcW w:w="890" w:type="dxa"/>
          </w:tcPr>
          <w:p w14:paraId="1F7E8A02"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0.800</w:t>
            </w:r>
          </w:p>
        </w:tc>
        <w:tc>
          <w:tcPr>
            <w:tcW w:w="878" w:type="dxa"/>
          </w:tcPr>
          <w:p w14:paraId="54812FFD"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0.788</w:t>
            </w:r>
          </w:p>
        </w:tc>
        <w:tc>
          <w:tcPr>
            <w:tcW w:w="878" w:type="dxa"/>
          </w:tcPr>
          <w:p w14:paraId="7B1ADEC3"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0.700</w:t>
            </w:r>
          </w:p>
        </w:tc>
        <w:tc>
          <w:tcPr>
            <w:tcW w:w="895" w:type="dxa"/>
          </w:tcPr>
          <w:p w14:paraId="50E0E795"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0.744</w:t>
            </w:r>
          </w:p>
        </w:tc>
        <w:tc>
          <w:tcPr>
            <w:tcW w:w="895" w:type="dxa"/>
          </w:tcPr>
          <w:p w14:paraId="5F212C00"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0.688</w:t>
            </w:r>
          </w:p>
        </w:tc>
        <w:tc>
          <w:tcPr>
            <w:tcW w:w="895" w:type="dxa"/>
          </w:tcPr>
          <w:p w14:paraId="16A1D2EB"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0.500</w:t>
            </w:r>
          </w:p>
        </w:tc>
      </w:tr>
      <w:tr w:rsidR="004F62C9" w:rsidRPr="004F62C9" w14:paraId="1DF05C02" w14:textId="77777777" w:rsidTr="004F62C9">
        <w:tc>
          <w:tcPr>
            <w:tcW w:w="1048" w:type="dxa"/>
            <w:vMerge/>
          </w:tcPr>
          <w:p w14:paraId="07740BF3" w14:textId="77777777" w:rsidR="00C521B9" w:rsidRPr="004F62C9" w:rsidRDefault="00C521B9" w:rsidP="00C71F6F">
            <w:pPr>
              <w:pStyle w:val="Table-Normal"/>
              <w:rPr>
                <w:color w:val="auto"/>
                <w:sz w:val="20"/>
                <w:szCs w:val="20"/>
              </w:rPr>
            </w:pPr>
          </w:p>
        </w:tc>
        <w:tc>
          <w:tcPr>
            <w:tcW w:w="904" w:type="dxa"/>
          </w:tcPr>
          <w:p w14:paraId="09FB28E5"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1.000</w:t>
            </w:r>
          </w:p>
        </w:tc>
        <w:tc>
          <w:tcPr>
            <w:tcW w:w="878" w:type="dxa"/>
          </w:tcPr>
          <w:p w14:paraId="035C94D7"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0.993</w:t>
            </w:r>
          </w:p>
        </w:tc>
        <w:tc>
          <w:tcPr>
            <w:tcW w:w="878" w:type="dxa"/>
          </w:tcPr>
          <w:p w14:paraId="11C69FB3"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0.951</w:t>
            </w:r>
          </w:p>
        </w:tc>
        <w:tc>
          <w:tcPr>
            <w:tcW w:w="890" w:type="dxa"/>
          </w:tcPr>
          <w:p w14:paraId="0BE95439"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1.000</w:t>
            </w:r>
          </w:p>
        </w:tc>
        <w:tc>
          <w:tcPr>
            <w:tcW w:w="878" w:type="dxa"/>
          </w:tcPr>
          <w:p w14:paraId="1150B90B"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1.000</w:t>
            </w:r>
          </w:p>
        </w:tc>
        <w:tc>
          <w:tcPr>
            <w:tcW w:w="878" w:type="dxa"/>
          </w:tcPr>
          <w:p w14:paraId="60D7A686"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1.000</w:t>
            </w:r>
          </w:p>
        </w:tc>
        <w:tc>
          <w:tcPr>
            <w:tcW w:w="895" w:type="dxa"/>
          </w:tcPr>
          <w:p w14:paraId="4C1C401D"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1.000</w:t>
            </w:r>
          </w:p>
        </w:tc>
        <w:tc>
          <w:tcPr>
            <w:tcW w:w="895" w:type="dxa"/>
          </w:tcPr>
          <w:p w14:paraId="72D485C7"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0.996</w:t>
            </w:r>
          </w:p>
        </w:tc>
        <w:tc>
          <w:tcPr>
            <w:tcW w:w="895" w:type="dxa"/>
          </w:tcPr>
          <w:p w14:paraId="5E1D1D0D" w14:textId="77777777" w:rsidR="00C521B9" w:rsidRPr="004F62C9" w:rsidRDefault="00C521B9" w:rsidP="00C71F6F">
            <w:pPr>
              <w:pStyle w:val="Table-Normal"/>
              <w:spacing w:before="40" w:after="40"/>
              <w:jc w:val="center"/>
              <w:rPr>
                <w:rFonts w:cstheme="minorHAnsi"/>
                <w:color w:val="auto"/>
                <w:sz w:val="20"/>
                <w:szCs w:val="20"/>
              </w:rPr>
            </w:pPr>
            <w:r w:rsidRPr="004F62C9">
              <w:rPr>
                <w:rFonts w:cstheme="minorHAnsi"/>
                <w:color w:val="auto"/>
                <w:sz w:val="20"/>
                <w:szCs w:val="20"/>
              </w:rPr>
              <w:t>0.900</w:t>
            </w:r>
          </w:p>
        </w:tc>
      </w:tr>
      <w:tr w:rsidR="004F62C9" w:rsidRPr="004F62C9" w14:paraId="78CA9D88" w14:textId="77777777" w:rsidTr="004F62C9">
        <w:tc>
          <w:tcPr>
            <w:tcW w:w="9039" w:type="dxa"/>
            <w:gridSpan w:val="10"/>
          </w:tcPr>
          <w:p w14:paraId="29067BDD"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color w:val="auto"/>
                <w:kern w:val="24"/>
                <w:sz w:val="20"/>
                <w:szCs w:val="20"/>
              </w:rPr>
              <w:t>China (n=100)</w:t>
            </w:r>
          </w:p>
        </w:tc>
      </w:tr>
      <w:tr w:rsidR="004F62C9" w:rsidRPr="004F62C9" w14:paraId="4725C486" w14:textId="77777777" w:rsidTr="004F62C9">
        <w:tc>
          <w:tcPr>
            <w:tcW w:w="1048" w:type="dxa"/>
            <w:vMerge w:val="restart"/>
          </w:tcPr>
          <w:p w14:paraId="100A58DB" w14:textId="77777777" w:rsidR="00C521B9" w:rsidRPr="004F62C9" w:rsidRDefault="00C521B9" w:rsidP="00C71F6F">
            <w:pPr>
              <w:pStyle w:val="Table-Normal"/>
              <w:rPr>
                <w:b/>
                <w:bCs w:val="0"/>
                <w:color w:val="auto"/>
                <w:sz w:val="20"/>
                <w:szCs w:val="20"/>
              </w:rPr>
            </w:pPr>
          </w:p>
        </w:tc>
        <w:tc>
          <w:tcPr>
            <w:tcW w:w="2660" w:type="dxa"/>
            <w:gridSpan w:val="3"/>
          </w:tcPr>
          <w:p w14:paraId="77FF7324" w14:textId="77777777" w:rsidR="00C521B9" w:rsidRPr="004F62C9" w:rsidRDefault="00C521B9" w:rsidP="00C71F6F">
            <w:pPr>
              <w:pStyle w:val="Table-Normal"/>
              <w:jc w:val="center"/>
              <w:rPr>
                <w:rFonts w:ascii="Calibri" w:hAnsi="Calibri" w:cs="Calibri"/>
                <w:b/>
                <w:color w:val="auto"/>
                <w:kern w:val="24"/>
                <w:sz w:val="20"/>
                <w:szCs w:val="20"/>
              </w:rPr>
            </w:pPr>
            <w:r w:rsidRPr="004F62C9">
              <w:rPr>
                <w:rFonts w:ascii="Calibri" w:hAnsi="Calibri" w:cs="Calibri"/>
                <w:b/>
                <w:color w:val="auto"/>
                <w:kern w:val="24"/>
                <w:sz w:val="20"/>
                <w:szCs w:val="20"/>
              </w:rPr>
              <w:t>Obesity</w:t>
            </w:r>
          </w:p>
        </w:tc>
        <w:tc>
          <w:tcPr>
            <w:tcW w:w="5331" w:type="dxa"/>
            <w:gridSpan w:val="6"/>
          </w:tcPr>
          <w:p w14:paraId="1DF12504" w14:textId="77777777" w:rsidR="00C521B9" w:rsidRPr="004F62C9" w:rsidRDefault="00C521B9" w:rsidP="00C71F6F">
            <w:pPr>
              <w:pStyle w:val="Table-Normal"/>
              <w:jc w:val="center"/>
              <w:rPr>
                <w:rFonts w:ascii="Calibri" w:hAnsi="Calibri" w:cs="Calibri"/>
                <w:b/>
                <w:color w:val="auto"/>
                <w:kern w:val="24"/>
                <w:sz w:val="20"/>
                <w:szCs w:val="20"/>
              </w:rPr>
            </w:pPr>
            <w:r w:rsidRPr="004F62C9">
              <w:rPr>
                <w:rFonts w:ascii="Calibri" w:hAnsi="Calibri" w:cs="Calibri"/>
                <w:b/>
                <w:color w:val="auto"/>
                <w:kern w:val="24"/>
                <w:sz w:val="20"/>
                <w:szCs w:val="20"/>
              </w:rPr>
              <w:t>T2DM</w:t>
            </w:r>
          </w:p>
        </w:tc>
      </w:tr>
      <w:tr w:rsidR="004F62C9" w:rsidRPr="004F62C9" w14:paraId="3808A52A" w14:textId="77777777" w:rsidTr="004F62C9">
        <w:tc>
          <w:tcPr>
            <w:tcW w:w="1048" w:type="dxa"/>
            <w:vMerge/>
          </w:tcPr>
          <w:p w14:paraId="0EF119C1" w14:textId="77777777" w:rsidR="00C521B9" w:rsidRPr="004F62C9" w:rsidRDefault="00C521B9" w:rsidP="00C71F6F">
            <w:pPr>
              <w:pStyle w:val="Table-Normal"/>
              <w:rPr>
                <w:color w:val="auto"/>
                <w:sz w:val="20"/>
                <w:szCs w:val="20"/>
              </w:rPr>
            </w:pPr>
          </w:p>
        </w:tc>
        <w:tc>
          <w:tcPr>
            <w:tcW w:w="904" w:type="dxa"/>
            <w:vMerge w:val="restart"/>
          </w:tcPr>
          <w:p w14:paraId="5275C91E"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Anchor</w:t>
            </w:r>
          </w:p>
        </w:tc>
        <w:tc>
          <w:tcPr>
            <w:tcW w:w="1756" w:type="dxa"/>
            <w:gridSpan w:val="2"/>
          </w:tcPr>
          <w:p w14:paraId="0BB17318"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890" w:type="dxa"/>
            <w:vMerge w:val="restart"/>
          </w:tcPr>
          <w:p w14:paraId="3199287A"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b/>
                <w:bCs w:val="0"/>
                <w:color w:val="auto"/>
                <w:sz w:val="20"/>
                <w:szCs w:val="20"/>
              </w:rPr>
              <w:t>Anchor</w:t>
            </w:r>
          </w:p>
        </w:tc>
        <w:tc>
          <w:tcPr>
            <w:tcW w:w="1756" w:type="dxa"/>
            <w:gridSpan w:val="2"/>
          </w:tcPr>
          <w:p w14:paraId="5BB2921B"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2685" w:type="dxa"/>
            <w:gridSpan w:val="3"/>
          </w:tcPr>
          <w:p w14:paraId="6C9C0214" w14:textId="77777777" w:rsidR="00C521B9" w:rsidRPr="004F62C9" w:rsidRDefault="00C521B9" w:rsidP="00C71F6F">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Insulin</w:t>
            </w:r>
          </w:p>
        </w:tc>
      </w:tr>
      <w:tr w:rsidR="004F62C9" w:rsidRPr="004F62C9" w14:paraId="2D1984EB" w14:textId="77777777" w:rsidTr="004F62C9">
        <w:tc>
          <w:tcPr>
            <w:tcW w:w="1048" w:type="dxa"/>
            <w:vMerge/>
          </w:tcPr>
          <w:p w14:paraId="3EB50550" w14:textId="77777777" w:rsidR="00C521B9" w:rsidRPr="004F62C9" w:rsidRDefault="00C521B9" w:rsidP="00C71F6F">
            <w:pPr>
              <w:pStyle w:val="Table-Normal"/>
              <w:rPr>
                <w:color w:val="auto"/>
                <w:sz w:val="20"/>
                <w:szCs w:val="20"/>
              </w:rPr>
            </w:pPr>
          </w:p>
        </w:tc>
        <w:tc>
          <w:tcPr>
            <w:tcW w:w="904" w:type="dxa"/>
            <w:vMerge/>
          </w:tcPr>
          <w:p w14:paraId="4199ABB9" w14:textId="77777777" w:rsidR="00C521B9" w:rsidRPr="004F62C9" w:rsidRDefault="00C521B9" w:rsidP="00C71F6F">
            <w:pPr>
              <w:pStyle w:val="Table-Normal"/>
              <w:rPr>
                <w:b/>
                <w:bCs w:val="0"/>
                <w:color w:val="auto"/>
                <w:sz w:val="20"/>
                <w:szCs w:val="20"/>
              </w:rPr>
            </w:pPr>
          </w:p>
        </w:tc>
        <w:tc>
          <w:tcPr>
            <w:tcW w:w="878" w:type="dxa"/>
          </w:tcPr>
          <w:p w14:paraId="3F5DB3FF"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tcPr>
          <w:p w14:paraId="08CF04AC"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0" w:type="dxa"/>
            <w:vMerge/>
          </w:tcPr>
          <w:p w14:paraId="08F2F575" w14:textId="77777777" w:rsidR="00C521B9" w:rsidRPr="004F62C9" w:rsidRDefault="00C521B9" w:rsidP="00C71F6F">
            <w:pPr>
              <w:pStyle w:val="Table-Normal"/>
              <w:jc w:val="center"/>
              <w:rPr>
                <w:b/>
                <w:bCs w:val="0"/>
                <w:color w:val="auto"/>
                <w:sz w:val="20"/>
                <w:szCs w:val="20"/>
              </w:rPr>
            </w:pPr>
          </w:p>
        </w:tc>
        <w:tc>
          <w:tcPr>
            <w:tcW w:w="878" w:type="dxa"/>
          </w:tcPr>
          <w:p w14:paraId="6BBF3B1B"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tcPr>
          <w:p w14:paraId="224B5E17"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tcPr>
          <w:p w14:paraId="406565C2"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95" w:type="dxa"/>
          </w:tcPr>
          <w:p w14:paraId="0CFD8F4F"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tcPr>
          <w:p w14:paraId="766F7647" w14:textId="77777777" w:rsidR="00C521B9" w:rsidRPr="004F62C9" w:rsidRDefault="00C521B9" w:rsidP="00C71F6F">
            <w:pPr>
              <w:pStyle w:val="Table-Normal"/>
              <w:jc w:val="center"/>
              <w:rPr>
                <w:b/>
                <w:bCs w:val="0"/>
                <w:color w:val="auto"/>
                <w:sz w:val="20"/>
                <w:szCs w:val="20"/>
              </w:rPr>
            </w:pPr>
            <w:r w:rsidRPr="004F62C9">
              <w:rPr>
                <w:rFonts w:ascii="Calibri" w:hAnsi="Calibri" w:cs="Calibri"/>
                <w:b/>
                <w:bCs w:val="0"/>
                <w:color w:val="auto"/>
                <w:kern w:val="24"/>
                <w:sz w:val="20"/>
                <w:szCs w:val="20"/>
              </w:rPr>
              <w:t>BB</w:t>
            </w:r>
          </w:p>
        </w:tc>
      </w:tr>
      <w:tr w:rsidR="004F62C9" w:rsidRPr="004F62C9" w14:paraId="42266F98" w14:textId="77777777" w:rsidTr="004F62C9">
        <w:tc>
          <w:tcPr>
            <w:tcW w:w="1048" w:type="dxa"/>
          </w:tcPr>
          <w:p w14:paraId="470D006A" w14:textId="77777777" w:rsidR="00C521B9" w:rsidRPr="004F62C9" w:rsidRDefault="00C521B9" w:rsidP="00C71F6F">
            <w:pPr>
              <w:pStyle w:val="Table-Normal"/>
              <w:jc w:val="right"/>
              <w:rPr>
                <w:b/>
                <w:color w:val="auto"/>
                <w:sz w:val="20"/>
                <w:szCs w:val="20"/>
              </w:rPr>
            </w:pPr>
            <w:r w:rsidRPr="004F62C9">
              <w:rPr>
                <w:rFonts w:ascii="Calibri" w:hAnsi="Calibri" w:cs="Calibri"/>
                <w:b/>
                <w:color w:val="auto"/>
                <w:kern w:val="24"/>
                <w:sz w:val="20"/>
                <w:szCs w:val="20"/>
              </w:rPr>
              <w:t xml:space="preserve">Mean </w:t>
            </w:r>
          </w:p>
        </w:tc>
        <w:tc>
          <w:tcPr>
            <w:tcW w:w="904" w:type="dxa"/>
          </w:tcPr>
          <w:p w14:paraId="58D5C291"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0.939</w:t>
            </w:r>
          </w:p>
        </w:tc>
        <w:tc>
          <w:tcPr>
            <w:tcW w:w="878" w:type="dxa"/>
          </w:tcPr>
          <w:p w14:paraId="1B960946"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0.869</w:t>
            </w:r>
          </w:p>
        </w:tc>
        <w:tc>
          <w:tcPr>
            <w:tcW w:w="878" w:type="dxa"/>
          </w:tcPr>
          <w:p w14:paraId="65EE78AD"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0.774</w:t>
            </w:r>
          </w:p>
        </w:tc>
        <w:tc>
          <w:tcPr>
            <w:tcW w:w="890" w:type="dxa"/>
          </w:tcPr>
          <w:p w14:paraId="0898722C"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0.921</w:t>
            </w:r>
          </w:p>
        </w:tc>
        <w:tc>
          <w:tcPr>
            <w:tcW w:w="878" w:type="dxa"/>
          </w:tcPr>
          <w:p w14:paraId="5B60B5FC"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0.863</w:t>
            </w:r>
          </w:p>
        </w:tc>
        <w:tc>
          <w:tcPr>
            <w:tcW w:w="878" w:type="dxa"/>
          </w:tcPr>
          <w:p w14:paraId="283260A3"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0.773</w:t>
            </w:r>
          </w:p>
        </w:tc>
        <w:tc>
          <w:tcPr>
            <w:tcW w:w="895" w:type="dxa"/>
          </w:tcPr>
          <w:p w14:paraId="2FB209C2"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0.855</w:t>
            </w:r>
          </w:p>
        </w:tc>
        <w:tc>
          <w:tcPr>
            <w:tcW w:w="895" w:type="dxa"/>
          </w:tcPr>
          <w:p w14:paraId="5C2D2853"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0.760</w:t>
            </w:r>
          </w:p>
        </w:tc>
        <w:tc>
          <w:tcPr>
            <w:tcW w:w="895" w:type="dxa"/>
          </w:tcPr>
          <w:p w14:paraId="4B70D19E"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0.637</w:t>
            </w:r>
          </w:p>
        </w:tc>
      </w:tr>
      <w:tr w:rsidR="004F62C9" w:rsidRPr="004F62C9" w14:paraId="25272580" w14:textId="77777777" w:rsidTr="004F62C9">
        <w:tc>
          <w:tcPr>
            <w:tcW w:w="1048" w:type="dxa"/>
          </w:tcPr>
          <w:p w14:paraId="5793E1D9" w14:textId="77777777" w:rsidR="00C521B9" w:rsidRPr="004F62C9" w:rsidRDefault="00C521B9" w:rsidP="00C71F6F">
            <w:pPr>
              <w:pStyle w:val="Table-Normal"/>
              <w:jc w:val="right"/>
              <w:rPr>
                <w:b/>
                <w:color w:val="auto"/>
                <w:sz w:val="20"/>
                <w:szCs w:val="20"/>
              </w:rPr>
            </w:pPr>
            <w:r w:rsidRPr="004F62C9">
              <w:rPr>
                <w:b/>
                <w:color w:val="auto"/>
                <w:sz w:val="20"/>
                <w:szCs w:val="20"/>
              </w:rPr>
              <w:t>SD</w:t>
            </w:r>
          </w:p>
        </w:tc>
        <w:tc>
          <w:tcPr>
            <w:tcW w:w="904" w:type="dxa"/>
          </w:tcPr>
          <w:p w14:paraId="5F4C348C"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0.091</w:t>
            </w:r>
          </w:p>
        </w:tc>
        <w:tc>
          <w:tcPr>
            <w:tcW w:w="878" w:type="dxa"/>
          </w:tcPr>
          <w:p w14:paraId="0988BC39"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0.146</w:t>
            </w:r>
          </w:p>
        </w:tc>
        <w:tc>
          <w:tcPr>
            <w:tcW w:w="878" w:type="dxa"/>
          </w:tcPr>
          <w:p w14:paraId="5DA9969F"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0.198</w:t>
            </w:r>
          </w:p>
        </w:tc>
        <w:tc>
          <w:tcPr>
            <w:tcW w:w="890" w:type="dxa"/>
          </w:tcPr>
          <w:p w14:paraId="4E042947"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0.103</w:t>
            </w:r>
          </w:p>
        </w:tc>
        <w:tc>
          <w:tcPr>
            <w:tcW w:w="878" w:type="dxa"/>
          </w:tcPr>
          <w:p w14:paraId="10B068A1"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0.146</w:t>
            </w:r>
          </w:p>
        </w:tc>
        <w:tc>
          <w:tcPr>
            <w:tcW w:w="878" w:type="dxa"/>
          </w:tcPr>
          <w:p w14:paraId="5AAAA82D"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0.200</w:t>
            </w:r>
          </w:p>
        </w:tc>
        <w:tc>
          <w:tcPr>
            <w:tcW w:w="895" w:type="dxa"/>
          </w:tcPr>
          <w:p w14:paraId="6002AF52"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0.153</w:t>
            </w:r>
          </w:p>
        </w:tc>
        <w:tc>
          <w:tcPr>
            <w:tcW w:w="895" w:type="dxa"/>
          </w:tcPr>
          <w:p w14:paraId="620CC8FC"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0.204</w:t>
            </w:r>
          </w:p>
        </w:tc>
        <w:tc>
          <w:tcPr>
            <w:tcW w:w="895" w:type="dxa"/>
          </w:tcPr>
          <w:p w14:paraId="1F87507A"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0.249</w:t>
            </w:r>
          </w:p>
        </w:tc>
      </w:tr>
      <w:tr w:rsidR="004F62C9" w:rsidRPr="004F62C9" w14:paraId="3BF89FA9" w14:textId="77777777" w:rsidTr="004F62C9">
        <w:tc>
          <w:tcPr>
            <w:tcW w:w="1048" w:type="dxa"/>
          </w:tcPr>
          <w:p w14:paraId="69D6566C" w14:textId="77777777" w:rsidR="00C521B9" w:rsidRPr="004F62C9" w:rsidRDefault="00C521B9" w:rsidP="00C71F6F">
            <w:pPr>
              <w:pStyle w:val="Table-Normal"/>
              <w:jc w:val="right"/>
              <w:rPr>
                <w:b/>
                <w:color w:val="auto"/>
                <w:sz w:val="20"/>
                <w:szCs w:val="20"/>
              </w:rPr>
            </w:pPr>
            <w:r w:rsidRPr="004F62C9">
              <w:rPr>
                <w:rFonts w:ascii="Calibri" w:hAnsi="Calibri" w:cs="Calibri"/>
                <w:b/>
                <w:color w:val="auto"/>
                <w:kern w:val="24"/>
                <w:sz w:val="20"/>
                <w:szCs w:val="20"/>
              </w:rPr>
              <w:t>Median</w:t>
            </w:r>
          </w:p>
        </w:tc>
        <w:tc>
          <w:tcPr>
            <w:tcW w:w="904" w:type="dxa"/>
          </w:tcPr>
          <w:p w14:paraId="5EBE4C8B"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0.975</w:t>
            </w:r>
          </w:p>
        </w:tc>
        <w:tc>
          <w:tcPr>
            <w:tcW w:w="878" w:type="dxa"/>
          </w:tcPr>
          <w:p w14:paraId="458B4C22"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0.900</w:t>
            </w:r>
          </w:p>
        </w:tc>
        <w:tc>
          <w:tcPr>
            <w:tcW w:w="878" w:type="dxa"/>
          </w:tcPr>
          <w:p w14:paraId="0BF493D0"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0.800</w:t>
            </w:r>
          </w:p>
        </w:tc>
        <w:tc>
          <w:tcPr>
            <w:tcW w:w="890" w:type="dxa"/>
          </w:tcPr>
          <w:p w14:paraId="40D755C6"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0.950</w:t>
            </w:r>
          </w:p>
        </w:tc>
        <w:tc>
          <w:tcPr>
            <w:tcW w:w="878" w:type="dxa"/>
          </w:tcPr>
          <w:p w14:paraId="20026426"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0.900</w:t>
            </w:r>
          </w:p>
        </w:tc>
        <w:tc>
          <w:tcPr>
            <w:tcW w:w="878" w:type="dxa"/>
          </w:tcPr>
          <w:p w14:paraId="16C8C9C4"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0.800</w:t>
            </w:r>
          </w:p>
        </w:tc>
        <w:tc>
          <w:tcPr>
            <w:tcW w:w="895" w:type="dxa"/>
          </w:tcPr>
          <w:p w14:paraId="2FF13461"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0.900</w:t>
            </w:r>
          </w:p>
        </w:tc>
        <w:tc>
          <w:tcPr>
            <w:tcW w:w="895" w:type="dxa"/>
          </w:tcPr>
          <w:p w14:paraId="53732E5A"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0.800</w:t>
            </w:r>
          </w:p>
        </w:tc>
        <w:tc>
          <w:tcPr>
            <w:tcW w:w="895" w:type="dxa"/>
          </w:tcPr>
          <w:p w14:paraId="04C6069E"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0.700</w:t>
            </w:r>
          </w:p>
        </w:tc>
      </w:tr>
      <w:tr w:rsidR="004F62C9" w:rsidRPr="004F62C9" w14:paraId="5BFC8A8E" w14:textId="77777777" w:rsidTr="004F62C9">
        <w:tc>
          <w:tcPr>
            <w:tcW w:w="1048" w:type="dxa"/>
            <w:vMerge w:val="restart"/>
          </w:tcPr>
          <w:p w14:paraId="4C11DC14" w14:textId="77777777" w:rsidR="00C521B9" w:rsidRPr="004F62C9" w:rsidRDefault="00C521B9" w:rsidP="00C71F6F">
            <w:pPr>
              <w:pStyle w:val="Table-Normal"/>
              <w:jc w:val="right"/>
              <w:rPr>
                <w:b/>
                <w:color w:val="auto"/>
                <w:sz w:val="20"/>
                <w:szCs w:val="20"/>
              </w:rPr>
            </w:pPr>
            <w:r w:rsidRPr="004F62C9">
              <w:rPr>
                <w:rFonts w:ascii="Calibri" w:hAnsi="Calibri" w:cs="Calibri"/>
                <w:b/>
                <w:color w:val="auto"/>
                <w:kern w:val="24"/>
                <w:sz w:val="20"/>
                <w:szCs w:val="20"/>
              </w:rPr>
              <w:t>IQR</w:t>
            </w:r>
          </w:p>
        </w:tc>
        <w:tc>
          <w:tcPr>
            <w:tcW w:w="904" w:type="dxa"/>
          </w:tcPr>
          <w:p w14:paraId="6434C241"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0.900</w:t>
            </w:r>
          </w:p>
        </w:tc>
        <w:tc>
          <w:tcPr>
            <w:tcW w:w="878" w:type="dxa"/>
          </w:tcPr>
          <w:p w14:paraId="570D3365"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0.800</w:t>
            </w:r>
          </w:p>
        </w:tc>
        <w:tc>
          <w:tcPr>
            <w:tcW w:w="878" w:type="dxa"/>
          </w:tcPr>
          <w:p w14:paraId="3079863B"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0.700</w:t>
            </w:r>
          </w:p>
        </w:tc>
        <w:tc>
          <w:tcPr>
            <w:tcW w:w="890" w:type="dxa"/>
          </w:tcPr>
          <w:p w14:paraId="411F456C"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0.900</w:t>
            </w:r>
          </w:p>
        </w:tc>
        <w:tc>
          <w:tcPr>
            <w:tcW w:w="878" w:type="dxa"/>
          </w:tcPr>
          <w:p w14:paraId="67B71EB8"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0.800</w:t>
            </w:r>
          </w:p>
        </w:tc>
        <w:tc>
          <w:tcPr>
            <w:tcW w:w="878" w:type="dxa"/>
          </w:tcPr>
          <w:p w14:paraId="7722548E"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0.700</w:t>
            </w:r>
          </w:p>
        </w:tc>
        <w:tc>
          <w:tcPr>
            <w:tcW w:w="895" w:type="dxa"/>
          </w:tcPr>
          <w:p w14:paraId="7B12B202"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0.800</w:t>
            </w:r>
          </w:p>
        </w:tc>
        <w:tc>
          <w:tcPr>
            <w:tcW w:w="895" w:type="dxa"/>
          </w:tcPr>
          <w:p w14:paraId="1744029F"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0.700</w:t>
            </w:r>
          </w:p>
        </w:tc>
        <w:tc>
          <w:tcPr>
            <w:tcW w:w="895" w:type="dxa"/>
          </w:tcPr>
          <w:p w14:paraId="27254609"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0.500</w:t>
            </w:r>
          </w:p>
        </w:tc>
      </w:tr>
      <w:tr w:rsidR="004F62C9" w:rsidRPr="004F62C9" w14:paraId="483A93B3" w14:textId="77777777" w:rsidTr="004F62C9">
        <w:tc>
          <w:tcPr>
            <w:tcW w:w="1048" w:type="dxa"/>
            <w:vMerge/>
          </w:tcPr>
          <w:p w14:paraId="025C47C6" w14:textId="77777777" w:rsidR="00C521B9" w:rsidRPr="004F62C9" w:rsidRDefault="00C521B9" w:rsidP="00C71F6F">
            <w:pPr>
              <w:pStyle w:val="Table-Normal"/>
              <w:rPr>
                <w:color w:val="auto"/>
                <w:sz w:val="20"/>
                <w:szCs w:val="20"/>
              </w:rPr>
            </w:pPr>
          </w:p>
        </w:tc>
        <w:tc>
          <w:tcPr>
            <w:tcW w:w="904" w:type="dxa"/>
          </w:tcPr>
          <w:p w14:paraId="293A36C5"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0.996</w:t>
            </w:r>
          </w:p>
        </w:tc>
        <w:tc>
          <w:tcPr>
            <w:tcW w:w="878" w:type="dxa"/>
          </w:tcPr>
          <w:p w14:paraId="3953F41E"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0.966</w:t>
            </w:r>
          </w:p>
        </w:tc>
        <w:tc>
          <w:tcPr>
            <w:tcW w:w="878" w:type="dxa"/>
          </w:tcPr>
          <w:p w14:paraId="64C8F77E"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0.900</w:t>
            </w:r>
          </w:p>
        </w:tc>
        <w:tc>
          <w:tcPr>
            <w:tcW w:w="890" w:type="dxa"/>
          </w:tcPr>
          <w:p w14:paraId="0CCB7963"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0.996</w:t>
            </w:r>
          </w:p>
        </w:tc>
        <w:tc>
          <w:tcPr>
            <w:tcW w:w="878" w:type="dxa"/>
          </w:tcPr>
          <w:p w14:paraId="74FC91EB"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0.950</w:t>
            </w:r>
          </w:p>
        </w:tc>
        <w:tc>
          <w:tcPr>
            <w:tcW w:w="878" w:type="dxa"/>
          </w:tcPr>
          <w:p w14:paraId="1876E51A"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0.922</w:t>
            </w:r>
          </w:p>
        </w:tc>
        <w:tc>
          <w:tcPr>
            <w:tcW w:w="895" w:type="dxa"/>
          </w:tcPr>
          <w:p w14:paraId="243FCC52"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0.950</w:t>
            </w:r>
          </w:p>
        </w:tc>
        <w:tc>
          <w:tcPr>
            <w:tcW w:w="895" w:type="dxa"/>
          </w:tcPr>
          <w:p w14:paraId="3E8E3045"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0.900</w:t>
            </w:r>
          </w:p>
        </w:tc>
        <w:tc>
          <w:tcPr>
            <w:tcW w:w="895" w:type="dxa"/>
          </w:tcPr>
          <w:p w14:paraId="6FDE8FAB" w14:textId="77777777" w:rsidR="00C521B9" w:rsidRPr="004F62C9" w:rsidRDefault="00C521B9" w:rsidP="00C71F6F">
            <w:pPr>
              <w:pStyle w:val="Table-Normal"/>
              <w:spacing w:before="40" w:after="40"/>
              <w:jc w:val="center"/>
              <w:rPr>
                <w:color w:val="auto"/>
                <w:sz w:val="20"/>
                <w:szCs w:val="20"/>
              </w:rPr>
            </w:pPr>
            <w:r w:rsidRPr="004F62C9">
              <w:rPr>
                <w:color w:val="auto"/>
                <w:sz w:val="20"/>
                <w:szCs w:val="20"/>
              </w:rPr>
              <w:t>0.813</w:t>
            </w:r>
          </w:p>
        </w:tc>
      </w:tr>
    </w:tbl>
    <w:p w14:paraId="623EBED6" w14:textId="4D7CB015" w:rsidR="00C77CAB" w:rsidRPr="004F62C9" w:rsidRDefault="00C521B9" w:rsidP="00C521B9">
      <w:pPr>
        <w:pStyle w:val="EndnoteText"/>
        <w:rPr>
          <w:color w:val="auto"/>
        </w:rPr>
      </w:pPr>
      <w:r w:rsidRPr="004F62C9">
        <w:rPr>
          <w:color w:val="auto"/>
        </w:rPr>
        <w:t>BB: basal-bolus; GLP-1 RA: glucagon-like peptide-1 receptor agonist; IQR: interquartile range; QD: daily; QW: weekly; SD:</w:t>
      </w:r>
      <w:r w:rsidRPr="004F62C9">
        <w:rPr>
          <w:rFonts w:cstheme="minorHAnsi"/>
          <w:color w:val="auto"/>
        </w:rPr>
        <w:t> </w:t>
      </w:r>
      <w:r w:rsidRPr="004F62C9">
        <w:rPr>
          <w:color w:val="auto"/>
        </w:rPr>
        <w:t>standard deviation; TTO: time trade-off.</w:t>
      </w:r>
    </w:p>
    <w:p w14:paraId="792C7FD6" w14:textId="4F438F0E" w:rsidR="00497CCB" w:rsidRPr="004F62C9" w:rsidRDefault="00F41B7C" w:rsidP="00F41B7C">
      <w:pPr>
        <w:spacing w:before="0" w:after="200"/>
        <w:rPr>
          <w:color w:val="auto"/>
          <w:sz w:val="18"/>
          <w:szCs w:val="20"/>
        </w:rPr>
      </w:pPr>
      <w:r w:rsidRPr="004F62C9">
        <w:rPr>
          <w:color w:val="auto"/>
        </w:rPr>
        <w:br w:type="page"/>
      </w:r>
    </w:p>
    <w:p w14:paraId="36B86701" w14:textId="59652B76" w:rsidR="00497CCB" w:rsidRPr="004F62C9" w:rsidRDefault="00497CCB" w:rsidP="000F1E79">
      <w:pPr>
        <w:pStyle w:val="Caption"/>
        <w:rPr>
          <w:color w:val="auto"/>
        </w:rPr>
      </w:pPr>
      <w:r w:rsidRPr="004F62C9">
        <w:rPr>
          <w:color w:val="auto"/>
        </w:rPr>
        <w:t xml:space="preserve">Figure </w:t>
      </w:r>
      <w:r w:rsidR="00B2211B" w:rsidRPr="004F62C9">
        <w:rPr>
          <w:color w:val="auto"/>
        </w:rPr>
        <w:fldChar w:fldCharType="begin"/>
      </w:r>
      <w:r w:rsidR="00B2211B" w:rsidRPr="004F62C9">
        <w:rPr>
          <w:color w:val="auto"/>
        </w:rPr>
        <w:instrText xml:space="preserve"> SEQ Figure \* ARABIC </w:instrText>
      </w:r>
      <w:r w:rsidR="00B2211B" w:rsidRPr="004F62C9">
        <w:rPr>
          <w:color w:val="auto"/>
        </w:rPr>
        <w:fldChar w:fldCharType="separate"/>
      </w:r>
      <w:r w:rsidR="000C3AF4" w:rsidRPr="004F62C9">
        <w:rPr>
          <w:noProof/>
          <w:color w:val="auto"/>
        </w:rPr>
        <w:t>2</w:t>
      </w:r>
      <w:r w:rsidR="00B2211B" w:rsidRPr="004F62C9">
        <w:rPr>
          <w:noProof/>
          <w:color w:val="auto"/>
        </w:rPr>
        <w:fldChar w:fldCharType="end"/>
      </w:r>
      <w:r w:rsidRPr="004F62C9">
        <w:rPr>
          <w:color w:val="auto"/>
        </w:rPr>
        <w:t>: TTO utility values in obesity and T2DM</w:t>
      </w:r>
      <w:r w:rsidR="002C3181" w:rsidRPr="004F62C9">
        <w:rPr>
          <w:color w:val="auto"/>
        </w:rPr>
        <w:t xml:space="preserve"> </w:t>
      </w:r>
      <w:r w:rsidRPr="004F62C9">
        <w:rPr>
          <w:color w:val="auto"/>
        </w:rPr>
        <w:t>in the UK</w:t>
      </w:r>
      <w:r w:rsidR="002C3181" w:rsidRPr="004F62C9">
        <w:rPr>
          <w:color w:val="auto"/>
        </w:rPr>
        <w:t xml:space="preserve"> (n=110)</w:t>
      </w:r>
    </w:p>
    <w:p w14:paraId="48B17397" w14:textId="67A07533" w:rsidR="00C77CAB" w:rsidRPr="004F62C9" w:rsidRDefault="00497CCB" w:rsidP="00C521B9">
      <w:pPr>
        <w:pStyle w:val="EndnoteText"/>
        <w:rPr>
          <w:color w:val="auto"/>
        </w:rPr>
      </w:pPr>
      <w:r w:rsidRPr="004F62C9">
        <w:rPr>
          <w:noProof/>
          <w:color w:val="auto"/>
          <w:lang w:val="en-US"/>
        </w:rPr>
        <mc:AlternateContent>
          <mc:Choic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Requires="cx1">
            <w:drawing>
              <wp:inline distT="0" distB="0" distL="0" distR="0" wp14:anchorId="11BD2043" wp14:editId="0BF5F141">
                <wp:extent cx="4281237" cy="2679031"/>
                <wp:effectExtent l="0" t="0" r="5080" b="7620"/>
                <wp:docPr id="1" name="Chart 1">
                  <a:extLst xmlns:a="http://schemas.openxmlformats.org/drawingml/2006/main">
                    <a:ext uri="{FF2B5EF4-FFF2-40B4-BE49-F238E27FC236}">
                      <a16:creationId xmlns:a16="http://schemas.microsoft.com/office/drawing/2014/main" id="{27605531-3D10-4256-8752-37DF71EFD20B}"/>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6"/>
                  </a:graphicData>
                </a:graphic>
              </wp:inline>
            </w:drawing>
          </mc:Choice>
          <mc:Fallback>
            <w:drawing>
              <wp:inline distT="0" distB="0" distL="0" distR="0" wp14:anchorId="11BD2043" wp14:editId="0BF5F141">
                <wp:extent cx="4281237" cy="2679031"/>
                <wp:effectExtent l="0" t="0" r="5080" b="7620"/>
                <wp:docPr id="1"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7605531-3D10-4256-8752-37DF71EFD20B}"/>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Chart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7605531-3D10-4256-8752-37DF71EFD20B}"/>
                            </a:ext>
                          </a:extLst>
                        </pic:cNvPr>
                        <pic:cNvPicPr>
                          <a:picLocks noGrp="1" noRot="1" noChangeAspect="1" noMove="1" noResize="1" noEditPoints="1" noAdjustHandles="1" noChangeArrowheads="1" noChangeShapeType="1"/>
                        </pic:cNvPicPr>
                      </pic:nvPicPr>
                      <pic:blipFill>
                        <a:blip r:embed="rId27"/>
                        <a:stretch>
                          <a:fillRect/>
                        </a:stretch>
                      </pic:blipFill>
                      <pic:spPr>
                        <a:xfrm>
                          <a:off x="0" y="0"/>
                          <a:ext cx="4281170" cy="2678430"/>
                        </a:xfrm>
                        <a:prstGeom prst="rect">
                          <a:avLst/>
                        </a:prstGeom>
                      </pic:spPr>
                    </pic:pic>
                  </a:graphicData>
                </a:graphic>
              </wp:inline>
            </w:drawing>
          </mc:Fallback>
        </mc:AlternateContent>
      </w:r>
    </w:p>
    <w:p w14:paraId="3F6BF804" w14:textId="1541AA21" w:rsidR="00353C4D" w:rsidRPr="004F62C9" w:rsidRDefault="00E63B9F" w:rsidP="00353C4D">
      <w:pPr>
        <w:pStyle w:val="EndnoteText"/>
        <w:rPr>
          <w:color w:val="auto"/>
        </w:rPr>
      </w:pPr>
      <w:r w:rsidRPr="004F62C9">
        <w:rPr>
          <w:color w:val="auto"/>
        </w:rPr>
        <w:t xml:space="preserve">Order of presentation: </w:t>
      </w:r>
      <w:r w:rsidR="00353C4D" w:rsidRPr="004F62C9">
        <w:rPr>
          <w:color w:val="auto"/>
        </w:rPr>
        <w:t xml:space="preserve">obesity anchor state, GLP-1 RA QW, GLP-1 RA QD; T2DM anchor state, GLP-1 RA QW, GLP-1 RA QD, insulin QW, insulin QD, insulin BB; × mean, — median value, </w:t>
      </w:r>
      <w:r w:rsidR="00353C4D" w:rsidRPr="004F62C9">
        <w:rPr>
          <w:rFonts w:ascii="Segoe UI Emoji" w:hAnsi="Segoe UI Emoji" w:cs="Segoe UI Emoji"/>
          <w:color w:val="auto"/>
        </w:rPr>
        <w:t>◻</w:t>
      </w:r>
      <w:r w:rsidR="00353C4D" w:rsidRPr="004F62C9">
        <w:rPr>
          <w:color w:val="auto"/>
        </w:rPr>
        <w:t xml:space="preserve"> interquartile range (first quartile to third quartile), </w:t>
      </w:r>
    </w:p>
    <w:p w14:paraId="2C168620" w14:textId="77777777" w:rsidR="00353C4D" w:rsidRPr="004F62C9" w:rsidRDefault="00353C4D" w:rsidP="00353C4D">
      <w:pPr>
        <w:pStyle w:val="EndnoteText"/>
        <w:rPr>
          <w:color w:val="auto"/>
        </w:rPr>
      </w:pPr>
      <w:r w:rsidRPr="004F62C9">
        <w:rPr>
          <w:rFonts w:ascii="Calibri" w:hAnsi="Calibri" w:cs="Calibri"/>
          <w:color w:val="auto"/>
        </w:rPr>
        <w:t>○</w:t>
      </w:r>
      <w:r w:rsidRPr="004F62C9">
        <w:rPr>
          <w:color w:val="auto"/>
        </w:rPr>
        <w:t xml:space="preserve"> outlier value (outside 1.5× interquartile range).</w:t>
      </w:r>
    </w:p>
    <w:p w14:paraId="65994A20" w14:textId="4092C7FD" w:rsidR="00C77CAB" w:rsidRPr="004F62C9" w:rsidRDefault="00C77CAB" w:rsidP="00C521B9">
      <w:pPr>
        <w:pStyle w:val="EndnoteText"/>
        <w:rPr>
          <w:color w:val="auto"/>
        </w:rPr>
      </w:pPr>
    </w:p>
    <w:p w14:paraId="5A0F03CF" w14:textId="0D12004F" w:rsidR="00353C4D" w:rsidRPr="004F62C9" w:rsidRDefault="00353C4D" w:rsidP="00C521B9">
      <w:pPr>
        <w:pStyle w:val="EndnoteText"/>
        <w:rPr>
          <w:color w:val="auto"/>
        </w:rPr>
      </w:pPr>
    </w:p>
    <w:p w14:paraId="06A27D97" w14:textId="26E16CC7" w:rsidR="00353C4D" w:rsidRPr="004F62C9" w:rsidRDefault="00353C4D" w:rsidP="000F1E79">
      <w:pPr>
        <w:pStyle w:val="Caption"/>
        <w:rPr>
          <w:color w:val="auto"/>
        </w:rPr>
      </w:pPr>
      <w:r w:rsidRPr="004F62C9">
        <w:rPr>
          <w:color w:val="auto"/>
        </w:rPr>
        <w:t xml:space="preserve">Figure </w:t>
      </w:r>
      <w:r w:rsidR="00B2211B" w:rsidRPr="004F62C9">
        <w:rPr>
          <w:color w:val="auto"/>
        </w:rPr>
        <w:fldChar w:fldCharType="begin"/>
      </w:r>
      <w:r w:rsidR="00B2211B" w:rsidRPr="004F62C9">
        <w:rPr>
          <w:color w:val="auto"/>
        </w:rPr>
        <w:instrText xml:space="preserve"> SEQ Figure \* ARABIC </w:instrText>
      </w:r>
      <w:r w:rsidR="00B2211B" w:rsidRPr="004F62C9">
        <w:rPr>
          <w:color w:val="auto"/>
        </w:rPr>
        <w:fldChar w:fldCharType="separate"/>
      </w:r>
      <w:r w:rsidR="000C3AF4" w:rsidRPr="004F62C9">
        <w:rPr>
          <w:noProof/>
          <w:color w:val="auto"/>
        </w:rPr>
        <w:t>3</w:t>
      </w:r>
      <w:r w:rsidR="00B2211B" w:rsidRPr="004F62C9">
        <w:rPr>
          <w:noProof/>
          <w:color w:val="auto"/>
        </w:rPr>
        <w:fldChar w:fldCharType="end"/>
      </w:r>
      <w:r w:rsidRPr="004F62C9">
        <w:rPr>
          <w:color w:val="auto"/>
        </w:rPr>
        <w:t>: TTO utility values in obesity and T2DM in Canada</w:t>
      </w:r>
      <w:r w:rsidR="002C3181" w:rsidRPr="004F62C9">
        <w:rPr>
          <w:color w:val="auto"/>
        </w:rPr>
        <w:t xml:space="preserve"> (n=100)</w:t>
      </w:r>
    </w:p>
    <w:p w14:paraId="3A52803E" w14:textId="7A582781" w:rsidR="00C77CAB" w:rsidRPr="004F62C9" w:rsidRDefault="00353C4D" w:rsidP="00C521B9">
      <w:pPr>
        <w:pStyle w:val="EndnoteText"/>
        <w:rPr>
          <w:color w:val="auto"/>
        </w:rPr>
      </w:pPr>
      <w:r w:rsidRPr="004F62C9">
        <w:rPr>
          <w:noProof/>
          <w:color w:val="auto"/>
          <w:lang w:val="en-US"/>
        </w:rPr>
        <mc:AlternateContent>
          <mc:Choic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Requires="cx1">
            <w:drawing>
              <wp:anchor distT="0" distB="0" distL="114300" distR="114300" simplePos="0" relativeHeight="251658240" behindDoc="0" locked="0" layoutInCell="1" allowOverlap="1" wp14:anchorId="22F07042" wp14:editId="75351012">
                <wp:simplePos x="0" y="0"/>
                <wp:positionH relativeFrom="column">
                  <wp:posOffset>0</wp:posOffset>
                </wp:positionH>
                <wp:positionV relativeFrom="paragraph">
                  <wp:posOffset>3427</wp:posOffset>
                </wp:positionV>
                <wp:extent cx="4267200" cy="2686050"/>
                <wp:effectExtent l="0" t="0" r="0" b="0"/>
                <wp:wrapSquare wrapText="bothSides"/>
                <wp:docPr id="4" name="Chart 4">
                  <a:extLst xmlns:a="http://schemas.openxmlformats.org/drawingml/2006/main">
                    <a:ext uri="{FF2B5EF4-FFF2-40B4-BE49-F238E27FC236}">
                      <a16:creationId xmlns:a16="http://schemas.microsoft.com/office/drawing/2014/main" id="{B3EE0C84-E45F-4312-960A-82EED6ACFDF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8"/>
                  </a:graphicData>
                </a:graphic>
                <wp14:sizeRelH relativeFrom="page">
                  <wp14:pctWidth>0</wp14:pctWidth>
                </wp14:sizeRelH>
                <wp14:sizeRelV relativeFrom="page">
                  <wp14:pctHeight>0</wp14:pctHeight>
                </wp14:sizeRelV>
              </wp:anchor>
            </w:drawing>
          </mc:Choice>
          <mc:Fallback>
            <w:drawing>
              <wp:anchor distT="0" distB="0" distL="114300" distR="114300" simplePos="0" relativeHeight="251658240" behindDoc="0" locked="0" layoutInCell="1" allowOverlap="1" wp14:anchorId="22F07042" wp14:editId="75351012">
                <wp:simplePos x="0" y="0"/>
                <wp:positionH relativeFrom="column">
                  <wp:posOffset>0</wp:posOffset>
                </wp:positionH>
                <wp:positionV relativeFrom="paragraph">
                  <wp:posOffset>3427</wp:posOffset>
                </wp:positionV>
                <wp:extent cx="4267200" cy="2686050"/>
                <wp:effectExtent l="0" t="0" r="0" b="0"/>
                <wp:wrapSquare wrapText="bothSides"/>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3EE0C84-E45F-4312-960A-82EED6ACFDF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Chart 4">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3EE0C84-E45F-4312-960A-82EED6ACFDFD}"/>
                            </a:ext>
                          </a:extLst>
                        </pic:cNvPr>
                        <pic:cNvPicPr>
                          <a:picLocks noGrp="1" noRot="1" noChangeAspect="1" noMove="1" noResize="1" noEditPoints="1" noAdjustHandles="1" noChangeArrowheads="1" noChangeShapeType="1"/>
                        </pic:cNvPicPr>
                      </pic:nvPicPr>
                      <pic:blipFill>
                        <a:blip r:embed="rId29"/>
                        <a:stretch>
                          <a:fillRect/>
                        </a:stretch>
                      </pic:blipFill>
                      <pic:spPr>
                        <a:xfrm>
                          <a:off x="0" y="0"/>
                          <a:ext cx="4267200" cy="2686050"/>
                        </a:xfrm>
                        <a:prstGeom prst="rect">
                          <a:avLst/>
                        </a:prstGeom>
                      </pic:spPr>
                    </pic:pic>
                  </a:graphicData>
                </a:graphic>
                <wp14:sizeRelH relativeFrom="page">
                  <wp14:pctWidth>0</wp14:pctWidth>
                </wp14:sizeRelH>
                <wp14:sizeRelV relativeFrom="page">
                  <wp14:pctHeight>0</wp14:pctHeight>
                </wp14:sizeRelV>
              </wp:anchor>
            </w:drawing>
          </mc:Fallback>
        </mc:AlternateContent>
      </w:r>
    </w:p>
    <w:p w14:paraId="6D4326C9" w14:textId="4433D58B" w:rsidR="00C77CAB" w:rsidRPr="004F62C9" w:rsidRDefault="00C77CAB" w:rsidP="00C521B9">
      <w:pPr>
        <w:pStyle w:val="EndnoteText"/>
        <w:rPr>
          <w:color w:val="auto"/>
        </w:rPr>
      </w:pPr>
    </w:p>
    <w:p w14:paraId="13941E53" w14:textId="345C0E0D" w:rsidR="00C77CAB" w:rsidRPr="004F62C9" w:rsidRDefault="00C77CAB" w:rsidP="00C521B9">
      <w:pPr>
        <w:pStyle w:val="EndnoteText"/>
        <w:rPr>
          <w:color w:val="auto"/>
        </w:rPr>
      </w:pPr>
    </w:p>
    <w:p w14:paraId="4A93CF88" w14:textId="238D60D6" w:rsidR="00C77CAB" w:rsidRPr="004F62C9" w:rsidRDefault="00C77CAB" w:rsidP="00C521B9">
      <w:pPr>
        <w:pStyle w:val="EndnoteText"/>
        <w:rPr>
          <w:color w:val="auto"/>
        </w:rPr>
      </w:pPr>
    </w:p>
    <w:p w14:paraId="01C8AFB6" w14:textId="0B0994EA" w:rsidR="00C77CAB" w:rsidRPr="004F62C9" w:rsidRDefault="00C77CAB" w:rsidP="00C521B9">
      <w:pPr>
        <w:pStyle w:val="EndnoteText"/>
        <w:rPr>
          <w:color w:val="auto"/>
        </w:rPr>
      </w:pPr>
    </w:p>
    <w:p w14:paraId="09A2868B" w14:textId="3B102913" w:rsidR="00C77CAB" w:rsidRPr="004F62C9" w:rsidRDefault="00C77CAB" w:rsidP="00C521B9">
      <w:pPr>
        <w:pStyle w:val="EndnoteText"/>
        <w:rPr>
          <w:color w:val="auto"/>
        </w:rPr>
      </w:pPr>
    </w:p>
    <w:p w14:paraId="76049D63" w14:textId="2A16CFF5" w:rsidR="00C77CAB" w:rsidRPr="004F62C9" w:rsidRDefault="00C77CAB" w:rsidP="00C521B9">
      <w:pPr>
        <w:pStyle w:val="EndnoteText"/>
        <w:rPr>
          <w:color w:val="auto"/>
        </w:rPr>
      </w:pPr>
    </w:p>
    <w:p w14:paraId="4834C08C" w14:textId="2ACB8CD5" w:rsidR="00C77CAB" w:rsidRPr="004F62C9" w:rsidRDefault="00C77CAB" w:rsidP="00C521B9">
      <w:pPr>
        <w:pStyle w:val="EndnoteText"/>
        <w:rPr>
          <w:color w:val="auto"/>
        </w:rPr>
      </w:pPr>
    </w:p>
    <w:p w14:paraId="5DE69647" w14:textId="722005E5" w:rsidR="00C77CAB" w:rsidRPr="004F62C9" w:rsidRDefault="00C77CAB" w:rsidP="00C521B9">
      <w:pPr>
        <w:pStyle w:val="EndnoteText"/>
        <w:rPr>
          <w:color w:val="auto"/>
        </w:rPr>
      </w:pPr>
    </w:p>
    <w:p w14:paraId="518F15CE" w14:textId="79446429" w:rsidR="00C77CAB" w:rsidRPr="004F62C9" w:rsidRDefault="00C77CAB" w:rsidP="00C521B9">
      <w:pPr>
        <w:pStyle w:val="EndnoteText"/>
        <w:rPr>
          <w:color w:val="auto"/>
        </w:rPr>
      </w:pPr>
    </w:p>
    <w:p w14:paraId="4FC3816A" w14:textId="1A48978D" w:rsidR="00C77CAB" w:rsidRPr="004F62C9" w:rsidRDefault="00C77CAB" w:rsidP="00C521B9">
      <w:pPr>
        <w:pStyle w:val="EndnoteText"/>
        <w:rPr>
          <w:color w:val="auto"/>
        </w:rPr>
      </w:pPr>
    </w:p>
    <w:p w14:paraId="6DEAC01B" w14:textId="77777777" w:rsidR="00C77CAB" w:rsidRPr="004F62C9" w:rsidRDefault="00C77CAB" w:rsidP="00C521B9">
      <w:pPr>
        <w:pStyle w:val="EndnoteText"/>
        <w:rPr>
          <w:color w:val="auto"/>
        </w:rPr>
      </w:pPr>
    </w:p>
    <w:p w14:paraId="4FB0EF61" w14:textId="77777777" w:rsidR="00353C4D" w:rsidRPr="004F62C9" w:rsidRDefault="00353C4D" w:rsidP="00C521B9">
      <w:pPr>
        <w:pStyle w:val="EndnoteText"/>
        <w:rPr>
          <w:color w:val="auto"/>
        </w:rPr>
      </w:pPr>
    </w:p>
    <w:p w14:paraId="076CB671" w14:textId="77777777" w:rsidR="00353C4D" w:rsidRPr="004F62C9" w:rsidRDefault="00353C4D" w:rsidP="00C521B9">
      <w:pPr>
        <w:pStyle w:val="EndnoteText"/>
        <w:rPr>
          <w:color w:val="auto"/>
        </w:rPr>
      </w:pPr>
    </w:p>
    <w:p w14:paraId="3CEBBE3B" w14:textId="77777777" w:rsidR="00353C4D" w:rsidRPr="004F62C9" w:rsidRDefault="00353C4D" w:rsidP="00C521B9">
      <w:pPr>
        <w:pStyle w:val="EndnoteText"/>
        <w:rPr>
          <w:color w:val="auto"/>
        </w:rPr>
      </w:pPr>
    </w:p>
    <w:p w14:paraId="4C634CB0" w14:textId="77777777" w:rsidR="00353C4D" w:rsidRPr="004F62C9" w:rsidRDefault="00353C4D" w:rsidP="00C521B9">
      <w:pPr>
        <w:pStyle w:val="EndnoteText"/>
        <w:rPr>
          <w:color w:val="auto"/>
        </w:rPr>
      </w:pPr>
    </w:p>
    <w:p w14:paraId="48BC3BE9" w14:textId="77777777" w:rsidR="00353C4D" w:rsidRPr="004F62C9" w:rsidRDefault="00353C4D" w:rsidP="00C521B9">
      <w:pPr>
        <w:pStyle w:val="EndnoteText"/>
        <w:rPr>
          <w:color w:val="auto"/>
        </w:rPr>
      </w:pPr>
    </w:p>
    <w:p w14:paraId="2D9CCEAF" w14:textId="77777777" w:rsidR="00353C4D" w:rsidRPr="004F62C9" w:rsidRDefault="00353C4D" w:rsidP="00C521B9">
      <w:pPr>
        <w:pStyle w:val="EndnoteText"/>
        <w:rPr>
          <w:color w:val="auto"/>
        </w:rPr>
      </w:pPr>
    </w:p>
    <w:p w14:paraId="06CB0D6E" w14:textId="77777777" w:rsidR="00353C4D" w:rsidRPr="004F62C9" w:rsidRDefault="00353C4D" w:rsidP="00C521B9">
      <w:pPr>
        <w:pStyle w:val="EndnoteText"/>
        <w:rPr>
          <w:color w:val="auto"/>
        </w:rPr>
      </w:pPr>
    </w:p>
    <w:p w14:paraId="3CF6C87F" w14:textId="77777777" w:rsidR="00353C4D" w:rsidRPr="004F62C9" w:rsidRDefault="00353C4D" w:rsidP="00C521B9">
      <w:pPr>
        <w:pStyle w:val="EndnoteText"/>
        <w:rPr>
          <w:color w:val="auto"/>
        </w:rPr>
      </w:pPr>
    </w:p>
    <w:p w14:paraId="627676F1" w14:textId="04106D8E" w:rsidR="00353C4D" w:rsidRPr="004F62C9" w:rsidRDefault="00E63B9F" w:rsidP="00353C4D">
      <w:pPr>
        <w:pStyle w:val="EndnoteText"/>
        <w:rPr>
          <w:color w:val="auto"/>
        </w:rPr>
      </w:pPr>
      <w:r w:rsidRPr="004F62C9">
        <w:rPr>
          <w:color w:val="auto"/>
        </w:rPr>
        <w:t xml:space="preserve">Order of presentation: </w:t>
      </w:r>
      <w:r w:rsidR="00353C4D" w:rsidRPr="004F62C9">
        <w:rPr>
          <w:color w:val="auto"/>
        </w:rPr>
        <w:t xml:space="preserve">obesity anchor state, GLP-1 RA QW, GLP-1 RA QD; T2DM anchor state, GLP-1 RA QW, GLP-1 RA QD, insulin QW, insulin QD, insulin BB; × mean, — median value, </w:t>
      </w:r>
      <w:r w:rsidR="00353C4D" w:rsidRPr="004F62C9">
        <w:rPr>
          <w:rFonts w:ascii="Segoe UI Emoji" w:hAnsi="Segoe UI Emoji" w:cs="Segoe UI Emoji"/>
          <w:color w:val="auto"/>
        </w:rPr>
        <w:t>◻</w:t>
      </w:r>
      <w:r w:rsidR="00353C4D" w:rsidRPr="004F62C9">
        <w:rPr>
          <w:color w:val="auto"/>
        </w:rPr>
        <w:t xml:space="preserve"> interquartile range (first quartile to third quartile), </w:t>
      </w:r>
    </w:p>
    <w:p w14:paraId="75BDEE57" w14:textId="77777777" w:rsidR="00353C4D" w:rsidRPr="004F62C9" w:rsidRDefault="00353C4D" w:rsidP="00353C4D">
      <w:pPr>
        <w:pStyle w:val="EndnoteText"/>
        <w:rPr>
          <w:color w:val="auto"/>
        </w:rPr>
      </w:pPr>
      <w:r w:rsidRPr="004F62C9">
        <w:rPr>
          <w:rFonts w:ascii="Calibri" w:hAnsi="Calibri" w:cs="Calibri"/>
          <w:color w:val="auto"/>
        </w:rPr>
        <w:t>○</w:t>
      </w:r>
      <w:r w:rsidRPr="004F62C9">
        <w:rPr>
          <w:color w:val="auto"/>
        </w:rPr>
        <w:t xml:space="preserve"> outlier value (outside 1.5× interquartile range).</w:t>
      </w:r>
    </w:p>
    <w:p w14:paraId="099FAA0F" w14:textId="77777777" w:rsidR="00353C4D" w:rsidRPr="004F62C9" w:rsidRDefault="00353C4D" w:rsidP="00C521B9">
      <w:pPr>
        <w:pStyle w:val="EndnoteText"/>
        <w:rPr>
          <w:color w:val="auto"/>
        </w:rPr>
      </w:pPr>
    </w:p>
    <w:p w14:paraId="6D29511A" w14:textId="70501454" w:rsidR="00353C4D" w:rsidRPr="004F62C9" w:rsidRDefault="00353C4D" w:rsidP="00C521B9">
      <w:pPr>
        <w:pStyle w:val="EndnoteText"/>
        <w:rPr>
          <w:color w:val="auto"/>
        </w:rPr>
      </w:pPr>
    </w:p>
    <w:p w14:paraId="4B28CCEE" w14:textId="2DEE05ED" w:rsidR="001C663A" w:rsidRPr="004F62C9" w:rsidRDefault="001C663A" w:rsidP="00C521B9">
      <w:pPr>
        <w:pStyle w:val="EndnoteText"/>
        <w:rPr>
          <w:color w:val="auto"/>
        </w:rPr>
      </w:pPr>
    </w:p>
    <w:p w14:paraId="1F662AF8" w14:textId="2D8B25B7" w:rsidR="001C663A" w:rsidRPr="004F62C9" w:rsidRDefault="001C663A" w:rsidP="00C521B9">
      <w:pPr>
        <w:pStyle w:val="EndnoteText"/>
        <w:rPr>
          <w:color w:val="auto"/>
        </w:rPr>
      </w:pPr>
    </w:p>
    <w:p w14:paraId="4E32AB1B" w14:textId="08DB0B8B" w:rsidR="001C663A" w:rsidRPr="004F62C9" w:rsidRDefault="001C663A" w:rsidP="00C521B9">
      <w:pPr>
        <w:pStyle w:val="EndnoteText"/>
        <w:rPr>
          <w:color w:val="auto"/>
        </w:rPr>
      </w:pPr>
    </w:p>
    <w:p w14:paraId="56569A14" w14:textId="5361CF26" w:rsidR="001C663A" w:rsidRPr="004F62C9" w:rsidRDefault="001C663A" w:rsidP="00C521B9">
      <w:pPr>
        <w:pStyle w:val="EndnoteText"/>
        <w:rPr>
          <w:color w:val="auto"/>
        </w:rPr>
      </w:pPr>
    </w:p>
    <w:p w14:paraId="6A54D57F" w14:textId="538F4A2B" w:rsidR="001C663A" w:rsidRPr="004F62C9" w:rsidRDefault="001C663A" w:rsidP="00C521B9">
      <w:pPr>
        <w:pStyle w:val="EndnoteText"/>
        <w:rPr>
          <w:color w:val="auto"/>
        </w:rPr>
      </w:pPr>
    </w:p>
    <w:p w14:paraId="3B1D3614" w14:textId="6AB06AAA" w:rsidR="001C663A" w:rsidRPr="004F62C9" w:rsidRDefault="001C663A" w:rsidP="00C521B9">
      <w:pPr>
        <w:pStyle w:val="EndnoteText"/>
        <w:rPr>
          <w:color w:val="auto"/>
        </w:rPr>
      </w:pPr>
    </w:p>
    <w:p w14:paraId="0CF8EDF4" w14:textId="44CD5639" w:rsidR="001C663A" w:rsidRPr="004F62C9" w:rsidRDefault="001C663A" w:rsidP="00C521B9">
      <w:pPr>
        <w:pStyle w:val="EndnoteText"/>
        <w:rPr>
          <w:color w:val="auto"/>
        </w:rPr>
      </w:pPr>
    </w:p>
    <w:p w14:paraId="1471A579" w14:textId="66E5C17C" w:rsidR="001C663A" w:rsidRPr="004F62C9" w:rsidRDefault="001C663A" w:rsidP="00C521B9">
      <w:pPr>
        <w:pStyle w:val="EndnoteText"/>
        <w:rPr>
          <w:color w:val="auto"/>
        </w:rPr>
      </w:pPr>
    </w:p>
    <w:p w14:paraId="173CAA89" w14:textId="0D67003F" w:rsidR="001C663A" w:rsidRPr="004F62C9" w:rsidRDefault="001C663A" w:rsidP="00C521B9">
      <w:pPr>
        <w:pStyle w:val="EndnoteText"/>
        <w:rPr>
          <w:color w:val="auto"/>
        </w:rPr>
      </w:pPr>
    </w:p>
    <w:p w14:paraId="43812663" w14:textId="77777777" w:rsidR="001C663A" w:rsidRPr="004F62C9" w:rsidRDefault="001C663A" w:rsidP="00C521B9">
      <w:pPr>
        <w:pStyle w:val="EndnoteText"/>
        <w:rPr>
          <w:color w:val="auto"/>
        </w:rPr>
      </w:pPr>
    </w:p>
    <w:p w14:paraId="02DBDED9" w14:textId="6E8A2AD7" w:rsidR="001C663A" w:rsidRPr="004F62C9" w:rsidRDefault="001C663A" w:rsidP="000F1E79">
      <w:pPr>
        <w:pStyle w:val="Caption"/>
        <w:rPr>
          <w:color w:val="auto"/>
        </w:rPr>
      </w:pPr>
      <w:r w:rsidRPr="004F62C9">
        <w:rPr>
          <w:color w:val="auto"/>
        </w:rPr>
        <w:t xml:space="preserve">Figure </w:t>
      </w:r>
      <w:r w:rsidR="00B2211B" w:rsidRPr="004F62C9">
        <w:rPr>
          <w:color w:val="auto"/>
        </w:rPr>
        <w:fldChar w:fldCharType="begin"/>
      </w:r>
      <w:r w:rsidR="00B2211B" w:rsidRPr="004F62C9">
        <w:rPr>
          <w:color w:val="auto"/>
        </w:rPr>
        <w:instrText xml:space="preserve"> SEQ Figure \* ARABIC </w:instrText>
      </w:r>
      <w:r w:rsidR="00B2211B" w:rsidRPr="004F62C9">
        <w:rPr>
          <w:color w:val="auto"/>
        </w:rPr>
        <w:fldChar w:fldCharType="separate"/>
      </w:r>
      <w:r w:rsidR="000C3AF4" w:rsidRPr="004F62C9">
        <w:rPr>
          <w:noProof/>
          <w:color w:val="auto"/>
        </w:rPr>
        <w:t>4</w:t>
      </w:r>
      <w:r w:rsidR="00B2211B" w:rsidRPr="004F62C9">
        <w:rPr>
          <w:noProof/>
          <w:color w:val="auto"/>
        </w:rPr>
        <w:fldChar w:fldCharType="end"/>
      </w:r>
      <w:r w:rsidRPr="004F62C9">
        <w:rPr>
          <w:color w:val="auto"/>
        </w:rPr>
        <w:t>: TTO utility values in obesity and T2DM in China</w:t>
      </w:r>
      <w:r w:rsidR="002C3181" w:rsidRPr="004F62C9">
        <w:rPr>
          <w:color w:val="auto"/>
        </w:rPr>
        <w:t xml:space="preserve"> (n=100)</w:t>
      </w:r>
    </w:p>
    <w:p w14:paraId="31511344" w14:textId="77777777" w:rsidR="001C663A" w:rsidRPr="004F62C9" w:rsidRDefault="001C663A" w:rsidP="00C521B9">
      <w:pPr>
        <w:pStyle w:val="EndnoteText"/>
        <w:rPr>
          <w:color w:val="auto"/>
        </w:rPr>
      </w:pPr>
      <w:r w:rsidRPr="004F62C9">
        <w:rPr>
          <w:noProof/>
          <w:color w:val="auto"/>
          <w:lang w:val="en-US"/>
        </w:rPr>
        <mc:AlternateContent>
          <mc:Choic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Requires="cx1">
            <w:drawing>
              <wp:anchor distT="0" distB="0" distL="114300" distR="114300" simplePos="0" relativeHeight="251659264" behindDoc="0" locked="0" layoutInCell="1" allowOverlap="1" wp14:anchorId="526D4697" wp14:editId="0FB66AFE">
                <wp:simplePos x="0" y="0"/>
                <wp:positionH relativeFrom="column">
                  <wp:posOffset>0</wp:posOffset>
                </wp:positionH>
                <wp:positionV relativeFrom="paragraph">
                  <wp:posOffset>2209</wp:posOffset>
                </wp:positionV>
                <wp:extent cx="4267200" cy="2686050"/>
                <wp:effectExtent l="0" t="0" r="0" b="0"/>
                <wp:wrapSquare wrapText="bothSides"/>
                <wp:docPr id="15" name="Chart 15">
                  <a:extLst xmlns:a="http://schemas.openxmlformats.org/drawingml/2006/main">
                    <a:ext uri="{FF2B5EF4-FFF2-40B4-BE49-F238E27FC236}">
                      <a16:creationId xmlns:a16="http://schemas.microsoft.com/office/drawing/2014/main" id="{3E5CFA88-EFD8-4819-AF26-72EF184EA23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0"/>
                  </a:graphicData>
                </a:graphic>
              </wp:anchor>
            </w:drawing>
          </mc:Choice>
          <mc:Fallback>
            <w:drawing>
              <wp:anchor distT="0" distB="0" distL="114300" distR="114300" simplePos="0" relativeHeight="251659264" behindDoc="0" locked="0" layoutInCell="1" allowOverlap="1" wp14:anchorId="526D4697" wp14:editId="0FB66AFE">
                <wp:simplePos x="0" y="0"/>
                <wp:positionH relativeFrom="column">
                  <wp:posOffset>0</wp:posOffset>
                </wp:positionH>
                <wp:positionV relativeFrom="paragraph">
                  <wp:posOffset>2209</wp:posOffset>
                </wp:positionV>
                <wp:extent cx="4267200" cy="2686050"/>
                <wp:effectExtent l="0" t="0" r="0" b="0"/>
                <wp:wrapSquare wrapText="bothSides"/>
                <wp:docPr id="15" name="Chart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E5CFA88-EFD8-4819-AF26-72EF184EA23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5" name="Chart 15">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E5CFA88-EFD8-4819-AF26-72EF184EA230}"/>
                            </a:ext>
                          </a:extLst>
                        </pic:cNvPr>
                        <pic:cNvPicPr>
                          <a:picLocks noGrp="1" noRot="1" noChangeAspect="1" noMove="1" noResize="1" noEditPoints="1" noAdjustHandles="1" noChangeArrowheads="1" noChangeShapeType="1"/>
                        </pic:cNvPicPr>
                      </pic:nvPicPr>
                      <pic:blipFill>
                        <a:blip r:embed="rId31"/>
                        <a:stretch>
                          <a:fillRect/>
                        </a:stretch>
                      </pic:blipFill>
                      <pic:spPr>
                        <a:xfrm>
                          <a:off x="0" y="0"/>
                          <a:ext cx="4267200" cy="2686050"/>
                        </a:xfrm>
                        <a:prstGeom prst="rect">
                          <a:avLst/>
                        </a:prstGeom>
                      </pic:spPr>
                    </pic:pic>
                  </a:graphicData>
                </a:graphic>
              </wp:anchor>
            </w:drawing>
          </mc:Fallback>
        </mc:AlternateContent>
      </w:r>
    </w:p>
    <w:p w14:paraId="487D9550" w14:textId="77777777" w:rsidR="001C663A" w:rsidRPr="004F62C9" w:rsidRDefault="001C663A" w:rsidP="001C663A">
      <w:pPr>
        <w:pStyle w:val="EndnoteText"/>
        <w:rPr>
          <w:color w:val="auto"/>
        </w:rPr>
      </w:pPr>
    </w:p>
    <w:p w14:paraId="7096DEF3" w14:textId="77777777" w:rsidR="001C663A" w:rsidRPr="004F62C9" w:rsidRDefault="001C663A" w:rsidP="001C663A">
      <w:pPr>
        <w:pStyle w:val="EndnoteText"/>
        <w:rPr>
          <w:color w:val="auto"/>
        </w:rPr>
      </w:pPr>
    </w:p>
    <w:p w14:paraId="3840BD70" w14:textId="77777777" w:rsidR="001C663A" w:rsidRPr="004F62C9" w:rsidRDefault="001C663A" w:rsidP="001C663A">
      <w:pPr>
        <w:pStyle w:val="EndnoteText"/>
        <w:rPr>
          <w:color w:val="auto"/>
        </w:rPr>
      </w:pPr>
    </w:p>
    <w:p w14:paraId="51BC0954" w14:textId="77777777" w:rsidR="001C663A" w:rsidRPr="004F62C9" w:rsidRDefault="001C663A" w:rsidP="001C663A">
      <w:pPr>
        <w:pStyle w:val="EndnoteText"/>
        <w:rPr>
          <w:color w:val="auto"/>
        </w:rPr>
      </w:pPr>
    </w:p>
    <w:p w14:paraId="73A16ECD" w14:textId="77777777" w:rsidR="001C663A" w:rsidRPr="004F62C9" w:rsidRDefault="001C663A" w:rsidP="001C663A">
      <w:pPr>
        <w:pStyle w:val="EndnoteText"/>
        <w:rPr>
          <w:color w:val="auto"/>
        </w:rPr>
      </w:pPr>
    </w:p>
    <w:p w14:paraId="7F512B8E" w14:textId="77777777" w:rsidR="001C663A" w:rsidRPr="004F62C9" w:rsidRDefault="001C663A" w:rsidP="001C663A">
      <w:pPr>
        <w:pStyle w:val="EndnoteText"/>
        <w:rPr>
          <w:color w:val="auto"/>
        </w:rPr>
      </w:pPr>
    </w:p>
    <w:p w14:paraId="07BC2D06" w14:textId="77777777" w:rsidR="001C663A" w:rsidRPr="004F62C9" w:rsidRDefault="001C663A" w:rsidP="001C663A">
      <w:pPr>
        <w:pStyle w:val="EndnoteText"/>
        <w:rPr>
          <w:color w:val="auto"/>
        </w:rPr>
      </w:pPr>
    </w:p>
    <w:p w14:paraId="0848F73F" w14:textId="77777777" w:rsidR="001C663A" w:rsidRPr="004F62C9" w:rsidRDefault="001C663A" w:rsidP="001C663A">
      <w:pPr>
        <w:pStyle w:val="EndnoteText"/>
        <w:rPr>
          <w:color w:val="auto"/>
        </w:rPr>
      </w:pPr>
    </w:p>
    <w:p w14:paraId="66EE8441" w14:textId="77777777" w:rsidR="001C663A" w:rsidRPr="004F62C9" w:rsidRDefault="001C663A" w:rsidP="001C663A">
      <w:pPr>
        <w:pStyle w:val="EndnoteText"/>
        <w:rPr>
          <w:color w:val="auto"/>
        </w:rPr>
      </w:pPr>
    </w:p>
    <w:p w14:paraId="32DB22C7" w14:textId="77777777" w:rsidR="001C663A" w:rsidRPr="004F62C9" w:rsidRDefault="001C663A" w:rsidP="001C663A">
      <w:pPr>
        <w:pStyle w:val="EndnoteText"/>
        <w:rPr>
          <w:color w:val="auto"/>
        </w:rPr>
      </w:pPr>
    </w:p>
    <w:p w14:paraId="61596E02" w14:textId="77777777" w:rsidR="001C663A" w:rsidRPr="004F62C9" w:rsidRDefault="001C663A" w:rsidP="001C663A">
      <w:pPr>
        <w:pStyle w:val="EndnoteText"/>
        <w:rPr>
          <w:color w:val="auto"/>
        </w:rPr>
      </w:pPr>
    </w:p>
    <w:p w14:paraId="6B6AA7CB" w14:textId="77777777" w:rsidR="001C663A" w:rsidRPr="004F62C9" w:rsidRDefault="001C663A" w:rsidP="001C663A">
      <w:pPr>
        <w:pStyle w:val="EndnoteText"/>
        <w:rPr>
          <w:color w:val="auto"/>
        </w:rPr>
      </w:pPr>
    </w:p>
    <w:p w14:paraId="14802C77" w14:textId="77777777" w:rsidR="001C663A" w:rsidRPr="004F62C9" w:rsidRDefault="001C663A" w:rsidP="001C663A">
      <w:pPr>
        <w:pStyle w:val="EndnoteText"/>
        <w:rPr>
          <w:color w:val="auto"/>
        </w:rPr>
      </w:pPr>
    </w:p>
    <w:p w14:paraId="0AEFA108" w14:textId="77777777" w:rsidR="001C663A" w:rsidRPr="004F62C9" w:rsidRDefault="001C663A" w:rsidP="001C663A">
      <w:pPr>
        <w:pStyle w:val="EndnoteText"/>
        <w:rPr>
          <w:color w:val="auto"/>
        </w:rPr>
      </w:pPr>
    </w:p>
    <w:p w14:paraId="203CE208" w14:textId="77777777" w:rsidR="001C663A" w:rsidRPr="004F62C9" w:rsidRDefault="001C663A" w:rsidP="001C663A">
      <w:pPr>
        <w:pStyle w:val="EndnoteText"/>
        <w:rPr>
          <w:color w:val="auto"/>
        </w:rPr>
      </w:pPr>
    </w:p>
    <w:p w14:paraId="62E49F63" w14:textId="77777777" w:rsidR="001C663A" w:rsidRPr="004F62C9" w:rsidRDefault="001C663A" w:rsidP="001C663A">
      <w:pPr>
        <w:pStyle w:val="EndnoteText"/>
        <w:rPr>
          <w:color w:val="auto"/>
        </w:rPr>
      </w:pPr>
    </w:p>
    <w:p w14:paraId="24F1E2A4" w14:textId="77777777" w:rsidR="001C663A" w:rsidRPr="004F62C9" w:rsidRDefault="001C663A" w:rsidP="001C663A">
      <w:pPr>
        <w:pStyle w:val="EndnoteText"/>
        <w:rPr>
          <w:color w:val="auto"/>
        </w:rPr>
      </w:pPr>
    </w:p>
    <w:p w14:paraId="374680F6" w14:textId="77777777" w:rsidR="001C663A" w:rsidRPr="004F62C9" w:rsidRDefault="001C663A" w:rsidP="001C663A">
      <w:pPr>
        <w:pStyle w:val="EndnoteText"/>
        <w:rPr>
          <w:color w:val="auto"/>
        </w:rPr>
      </w:pPr>
    </w:p>
    <w:p w14:paraId="4ECFCD72" w14:textId="77777777" w:rsidR="001C663A" w:rsidRPr="004F62C9" w:rsidRDefault="001C663A" w:rsidP="001C663A">
      <w:pPr>
        <w:pStyle w:val="EndnoteText"/>
        <w:rPr>
          <w:color w:val="auto"/>
        </w:rPr>
      </w:pPr>
    </w:p>
    <w:p w14:paraId="0E5CDA65" w14:textId="278EE9E6" w:rsidR="001C663A" w:rsidRPr="004F62C9" w:rsidRDefault="00E63B9F" w:rsidP="001C663A">
      <w:pPr>
        <w:pStyle w:val="EndnoteText"/>
        <w:rPr>
          <w:color w:val="auto"/>
        </w:rPr>
      </w:pPr>
      <w:r w:rsidRPr="004F62C9">
        <w:rPr>
          <w:color w:val="auto"/>
        </w:rPr>
        <w:t xml:space="preserve">Order of presentation: </w:t>
      </w:r>
      <w:r w:rsidR="001C663A" w:rsidRPr="004F62C9">
        <w:rPr>
          <w:color w:val="auto"/>
        </w:rPr>
        <w:t xml:space="preserve">obesity anchor state, GLP-1 RA QW, GLP-1 RA QD; T2DM anchor state, GLP-1 RA QW, GLP-1 RA QD, insulin QW, insulin QD, insulin BB; × mean, — median value, </w:t>
      </w:r>
      <w:r w:rsidR="001C663A" w:rsidRPr="004F62C9">
        <w:rPr>
          <w:rFonts w:ascii="Segoe UI Emoji" w:hAnsi="Segoe UI Emoji" w:cs="Segoe UI Emoji"/>
          <w:color w:val="auto"/>
        </w:rPr>
        <w:t>◻</w:t>
      </w:r>
      <w:r w:rsidR="001C663A" w:rsidRPr="004F62C9">
        <w:rPr>
          <w:color w:val="auto"/>
        </w:rPr>
        <w:t xml:space="preserve"> interquartile range (first quartile to third quartile), </w:t>
      </w:r>
    </w:p>
    <w:p w14:paraId="1B32FB22" w14:textId="77777777" w:rsidR="001C663A" w:rsidRPr="004F62C9" w:rsidRDefault="001C663A" w:rsidP="001C663A">
      <w:pPr>
        <w:pStyle w:val="EndnoteText"/>
        <w:rPr>
          <w:color w:val="auto"/>
        </w:rPr>
      </w:pPr>
      <w:r w:rsidRPr="004F62C9">
        <w:rPr>
          <w:rFonts w:ascii="Calibri" w:hAnsi="Calibri" w:cs="Calibri"/>
          <w:color w:val="auto"/>
        </w:rPr>
        <w:t>○</w:t>
      </w:r>
      <w:r w:rsidRPr="004F62C9">
        <w:rPr>
          <w:color w:val="auto"/>
        </w:rPr>
        <w:t xml:space="preserve"> outlier value (outside 1.5× interquartile range).</w:t>
      </w:r>
    </w:p>
    <w:p w14:paraId="20053C9E" w14:textId="0BE6D39E" w:rsidR="001B4E41" w:rsidRPr="004F62C9" w:rsidRDefault="001B4E41" w:rsidP="00C521B9">
      <w:pPr>
        <w:pStyle w:val="EndnoteText"/>
        <w:rPr>
          <w:color w:val="auto"/>
        </w:rPr>
      </w:pPr>
      <w:r w:rsidRPr="004F62C9">
        <w:rPr>
          <w:color w:val="auto"/>
        </w:rPr>
        <w:br w:type="page"/>
      </w:r>
    </w:p>
    <w:p w14:paraId="600CE884" w14:textId="135ADE0C" w:rsidR="007B422C" w:rsidRPr="004F62C9" w:rsidRDefault="007B422C" w:rsidP="007B422C">
      <w:pPr>
        <w:pStyle w:val="Heading2"/>
        <w:numPr>
          <w:ilvl w:val="0"/>
          <w:numId w:val="0"/>
        </w:numPr>
        <w:ind w:left="709" w:hanging="709"/>
        <w:rPr>
          <w:color w:val="auto"/>
        </w:rPr>
      </w:pPr>
      <w:r w:rsidRPr="004F62C9">
        <w:rPr>
          <w:color w:val="auto"/>
        </w:rPr>
        <w:t>Subgroup analyses of TTO utility results</w:t>
      </w:r>
    </w:p>
    <w:p w14:paraId="5C461A06" w14:textId="0748EBA5" w:rsidR="007B422C" w:rsidRPr="004F62C9" w:rsidRDefault="007B422C" w:rsidP="007B422C">
      <w:pPr>
        <w:pStyle w:val="Caption"/>
        <w:rPr>
          <w:color w:val="auto"/>
        </w:rPr>
      </w:pPr>
      <w:bookmarkStart w:id="12" w:name="_Ref70337187"/>
      <w:r w:rsidRPr="004F62C9">
        <w:rPr>
          <w:color w:val="auto"/>
        </w:rPr>
        <w:t xml:space="preserve">Table </w:t>
      </w:r>
      <w:r w:rsidR="00B2211B" w:rsidRPr="004F62C9">
        <w:rPr>
          <w:color w:val="auto"/>
        </w:rPr>
        <w:fldChar w:fldCharType="begin"/>
      </w:r>
      <w:r w:rsidR="00B2211B" w:rsidRPr="004F62C9">
        <w:rPr>
          <w:color w:val="auto"/>
        </w:rPr>
        <w:instrText xml:space="preserve"> SEQ Table \* ARABIC </w:instrText>
      </w:r>
      <w:r w:rsidR="00B2211B" w:rsidRPr="004F62C9">
        <w:rPr>
          <w:color w:val="auto"/>
        </w:rPr>
        <w:fldChar w:fldCharType="separate"/>
      </w:r>
      <w:r w:rsidR="000C3AF4" w:rsidRPr="004F62C9">
        <w:rPr>
          <w:noProof/>
          <w:color w:val="auto"/>
        </w:rPr>
        <w:t>8</w:t>
      </w:r>
      <w:r w:rsidR="00B2211B" w:rsidRPr="004F62C9">
        <w:rPr>
          <w:noProof/>
          <w:color w:val="auto"/>
        </w:rPr>
        <w:fldChar w:fldCharType="end"/>
      </w:r>
      <w:bookmarkEnd w:id="12"/>
      <w:r w:rsidRPr="004F62C9">
        <w:rPr>
          <w:color w:val="auto"/>
        </w:rPr>
        <w:t xml:space="preserve">. Utility values elicited by TTO from </w:t>
      </w:r>
      <w:r w:rsidR="003F5E06" w:rsidRPr="004F62C9">
        <w:rPr>
          <w:color w:val="auto"/>
        </w:rPr>
        <w:t>participant</w:t>
      </w:r>
      <w:r w:rsidRPr="004F62C9">
        <w:rPr>
          <w:color w:val="auto"/>
        </w:rPr>
        <w:t xml:space="preserve"> subgroups in the UK</w:t>
      </w:r>
    </w:p>
    <w:tbl>
      <w:tblPr>
        <w:tblStyle w:val="TableGridLight"/>
        <w:tblW w:w="0" w:type="auto"/>
        <w:tblLook w:val="04A0" w:firstRow="1" w:lastRow="0" w:firstColumn="1" w:lastColumn="0" w:noHBand="0" w:noVBand="1"/>
      </w:tblPr>
      <w:tblGrid>
        <w:gridCol w:w="1238"/>
        <w:gridCol w:w="815"/>
        <w:gridCol w:w="864"/>
        <w:gridCol w:w="864"/>
        <w:gridCol w:w="885"/>
        <w:gridCol w:w="865"/>
        <w:gridCol w:w="865"/>
        <w:gridCol w:w="881"/>
        <w:gridCol w:w="881"/>
        <w:gridCol w:w="881"/>
      </w:tblGrid>
      <w:tr w:rsidR="004F62C9" w:rsidRPr="004F62C9" w14:paraId="332D32C0" w14:textId="77777777" w:rsidTr="008516B8">
        <w:tc>
          <w:tcPr>
            <w:tcW w:w="1238" w:type="dxa"/>
            <w:vMerge w:val="restart"/>
          </w:tcPr>
          <w:p w14:paraId="08612DFA" w14:textId="77777777" w:rsidR="007B422C" w:rsidRPr="004F62C9" w:rsidRDefault="007B422C" w:rsidP="00900E1D">
            <w:pPr>
              <w:pStyle w:val="Table-Normal"/>
              <w:rPr>
                <w:color w:val="auto"/>
                <w:sz w:val="16"/>
                <w:szCs w:val="16"/>
              </w:rPr>
            </w:pPr>
          </w:p>
        </w:tc>
        <w:tc>
          <w:tcPr>
            <w:tcW w:w="2543" w:type="dxa"/>
            <w:gridSpan w:val="3"/>
          </w:tcPr>
          <w:p w14:paraId="132D827A" w14:textId="77777777" w:rsidR="007B422C" w:rsidRPr="004F62C9" w:rsidRDefault="007B422C"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Obesity</w:t>
            </w:r>
          </w:p>
        </w:tc>
        <w:tc>
          <w:tcPr>
            <w:tcW w:w="5258" w:type="dxa"/>
            <w:gridSpan w:val="6"/>
          </w:tcPr>
          <w:p w14:paraId="53F32DB4" w14:textId="77777777" w:rsidR="007B422C" w:rsidRPr="004F62C9" w:rsidRDefault="007B422C"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T2DM</w:t>
            </w:r>
          </w:p>
        </w:tc>
      </w:tr>
      <w:tr w:rsidR="004F62C9" w:rsidRPr="004F62C9" w14:paraId="01B198A8" w14:textId="77777777" w:rsidTr="008516B8">
        <w:tc>
          <w:tcPr>
            <w:tcW w:w="1238" w:type="dxa"/>
            <w:vMerge/>
          </w:tcPr>
          <w:p w14:paraId="6800B9DA" w14:textId="77777777" w:rsidR="007B422C" w:rsidRPr="004F62C9" w:rsidRDefault="007B422C" w:rsidP="00900E1D">
            <w:pPr>
              <w:pStyle w:val="Table-Normal"/>
              <w:rPr>
                <w:color w:val="auto"/>
                <w:sz w:val="16"/>
                <w:szCs w:val="16"/>
              </w:rPr>
            </w:pPr>
          </w:p>
        </w:tc>
        <w:tc>
          <w:tcPr>
            <w:tcW w:w="815" w:type="dxa"/>
            <w:vMerge w:val="restart"/>
          </w:tcPr>
          <w:p w14:paraId="7EE6D2AF"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Anchor</w:t>
            </w:r>
          </w:p>
        </w:tc>
        <w:tc>
          <w:tcPr>
            <w:tcW w:w="1728" w:type="dxa"/>
            <w:gridSpan w:val="2"/>
          </w:tcPr>
          <w:p w14:paraId="782D7264"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885" w:type="dxa"/>
            <w:vMerge w:val="restart"/>
          </w:tcPr>
          <w:p w14:paraId="028A590C"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b/>
                <w:bCs w:val="0"/>
                <w:color w:val="auto"/>
                <w:sz w:val="20"/>
                <w:szCs w:val="20"/>
              </w:rPr>
              <w:t>Anchor</w:t>
            </w:r>
          </w:p>
        </w:tc>
        <w:tc>
          <w:tcPr>
            <w:tcW w:w="1730" w:type="dxa"/>
            <w:gridSpan w:val="2"/>
          </w:tcPr>
          <w:p w14:paraId="1086D86F"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2643" w:type="dxa"/>
            <w:gridSpan w:val="3"/>
          </w:tcPr>
          <w:p w14:paraId="2029E136"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Insulin</w:t>
            </w:r>
          </w:p>
        </w:tc>
      </w:tr>
      <w:tr w:rsidR="004F62C9" w:rsidRPr="004F62C9" w14:paraId="76E653AE" w14:textId="77777777" w:rsidTr="008516B8">
        <w:tc>
          <w:tcPr>
            <w:tcW w:w="1238" w:type="dxa"/>
            <w:vMerge/>
          </w:tcPr>
          <w:p w14:paraId="153A15D0" w14:textId="77777777" w:rsidR="007B422C" w:rsidRPr="004F62C9" w:rsidRDefault="007B422C" w:rsidP="00900E1D">
            <w:pPr>
              <w:pStyle w:val="Table-Normal"/>
              <w:rPr>
                <w:color w:val="auto"/>
                <w:sz w:val="16"/>
                <w:szCs w:val="16"/>
              </w:rPr>
            </w:pPr>
          </w:p>
        </w:tc>
        <w:tc>
          <w:tcPr>
            <w:tcW w:w="815" w:type="dxa"/>
            <w:vMerge/>
          </w:tcPr>
          <w:p w14:paraId="7063898E" w14:textId="77777777" w:rsidR="007B422C" w:rsidRPr="004F62C9" w:rsidRDefault="007B422C" w:rsidP="00900E1D">
            <w:pPr>
              <w:pStyle w:val="Table-Normal"/>
              <w:rPr>
                <w:b/>
                <w:bCs w:val="0"/>
                <w:color w:val="auto"/>
                <w:sz w:val="16"/>
                <w:szCs w:val="16"/>
              </w:rPr>
            </w:pPr>
          </w:p>
        </w:tc>
        <w:tc>
          <w:tcPr>
            <w:tcW w:w="864" w:type="dxa"/>
          </w:tcPr>
          <w:p w14:paraId="35A0F7E2"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64" w:type="dxa"/>
          </w:tcPr>
          <w:p w14:paraId="7B527722"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85" w:type="dxa"/>
            <w:vMerge/>
          </w:tcPr>
          <w:p w14:paraId="25B151FB" w14:textId="77777777" w:rsidR="007B422C" w:rsidRPr="004F62C9" w:rsidRDefault="007B422C" w:rsidP="00900E1D">
            <w:pPr>
              <w:pStyle w:val="Table-Normal"/>
              <w:jc w:val="center"/>
              <w:rPr>
                <w:b/>
                <w:bCs w:val="0"/>
                <w:color w:val="auto"/>
                <w:sz w:val="20"/>
                <w:szCs w:val="20"/>
              </w:rPr>
            </w:pPr>
          </w:p>
        </w:tc>
        <w:tc>
          <w:tcPr>
            <w:tcW w:w="865" w:type="dxa"/>
          </w:tcPr>
          <w:p w14:paraId="1EA2E320"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65" w:type="dxa"/>
          </w:tcPr>
          <w:p w14:paraId="69F00D67"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81" w:type="dxa"/>
          </w:tcPr>
          <w:p w14:paraId="393F0CE6"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81" w:type="dxa"/>
          </w:tcPr>
          <w:p w14:paraId="42DE9D49"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81" w:type="dxa"/>
          </w:tcPr>
          <w:p w14:paraId="7144C92A"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BB</w:t>
            </w:r>
          </w:p>
        </w:tc>
      </w:tr>
      <w:tr w:rsidR="004F62C9" w:rsidRPr="004F62C9" w14:paraId="29BEDB6E" w14:textId="77777777" w:rsidTr="008516B8">
        <w:tc>
          <w:tcPr>
            <w:tcW w:w="1238" w:type="dxa"/>
          </w:tcPr>
          <w:p w14:paraId="7D252B20"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 xml:space="preserve">Full sample </w:t>
            </w:r>
            <w:r w:rsidRPr="004F62C9">
              <w:rPr>
                <w:rFonts w:ascii="Calibri" w:hAnsi="Calibri" w:cs="Calibri"/>
                <w:b/>
                <w:i/>
                <w:iCs/>
                <w:color w:val="auto"/>
                <w:kern w:val="24"/>
                <w:sz w:val="15"/>
                <w:szCs w:val="15"/>
              </w:rPr>
              <w:t>(base case)</w:t>
            </w:r>
          </w:p>
          <w:p w14:paraId="15F460A4"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(n=110); mean </w:t>
            </w:r>
          </w:p>
        </w:tc>
        <w:tc>
          <w:tcPr>
            <w:tcW w:w="815" w:type="dxa"/>
          </w:tcPr>
          <w:p w14:paraId="5B2C2A59" w14:textId="77777777" w:rsidR="007B422C" w:rsidRPr="004F62C9" w:rsidRDefault="007B422C" w:rsidP="00900E1D">
            <w:pPr>
              <w:pStyle w:val="Table-Normal"/>
              <w:spacing w:before="40" w:after="40"/>
              <w:jc w:val="center"/>
              <w:rPr>
                <w:color w:val="auto"/>
                <w:sz w:val="20"/>
                <w:szCs w:val="20"/>
              </w:rPr>
            </w:pPr>
            <w:r w:rsidRPr="004F62C9">
              <w:rPr>
                <w:rFonts w:ascii="Calibri" w:hAnsi="Calibri" w:cs="Calibri"/>
                <w:color w:val="auto"/>
                <w:kern w:val="24"/>
                <w:sz w:val="20"/>
                <w:szCs w:val="20"/>
              </w:rPr>
              <w:t>0.877</w:t>
            </w:r>
          </w:p>
        </w:tc>
        <w:tc>
          <w:tcPr>
            <w:tcW w:w="864" w:type="dxa"/>
          </w:tcPr>
          <w:p w14:paraId="48619011" w14:textId="77777777" w:rsidR="007B422C" w:rsidRPr="004F62C9" w:rsidRDefault="007B422C" w:rsidP="00900E1D">
            <w:pPr>
              <w:pStyle w:val="Table-Normal"/>
              <w:spacing w:before="40" w:after="40"/>
              <w:jc w:val="center"/>
              <w:rPr>
                <w:color w:val="auto"/>
                <w:sz w:val="20"/>
                <w:szCs w:val="20"/>
              </w:rPr>
            </w:pPr>
            <w:r w:rsidRPr="004F62C9">
              <w:rPr>
                <w:rFonts w:ascii="Calibri" w:hAnsi="Calibri" w:cs="Calibri"/>
                <w:color w:val="auto"/>
                <w:kern w:val="24"/>
                <w:sz w:val="20"/>
                <w:szCs w:val="20"/>
              </w:rPr>
              <w:t>0.857</w:t>
            </w:r>
          </w:p>
        </w:tc>
        <w:tc>
          <w:tcPr>
            <w:tcW w:w="864" w:type="dxa"/>
          </w:tcPr>
          <w:p w14:paraId="61E0C00E" w14:textId="77777777" w:rsidR="007B422C" w:rsidRPr="004F62C9" w:rsidRDefault="007B422C" w:rsidP="00900E1D">
            <w:pPr>
              <w:pStyle w:val="Table-Normal"/>
              <w:spacing w:before="40" w:after="40"/>
              <w:jc w:val="center"/>
              <w:rPr>
                <w:color w:val="auto"/>
                <w:sz w:val="20"/>
                <w:szCs w:val="20"/>
              </w:rPr>
            </w:pPr>
            <w:r w:rsidRPr="004F62C9">
              <w:rPr>
                <w:rFonts w:ascii="Calibri" w:hAnsi="Calibri" w:cs="Calibri"/>
                <w:color w:val="auto"/>
                <w:kern w:val="24"/>
                <w:sz w:val="20"/>
                <w:szCs w:val="20"/>
              </w:rPr>
              <w:t>0.816</w:t>
            </w:r>
          </w:p>
        </w:tc>
        <w:tc>
          <w:tcPr>
            <w:tcW w:w="885" w:type="dxa"/>
          </w:tcPr>
          <w:p w14:paraId="0634B7CD" w14:textId="77777777" w:rsidR="007B422C" w:rsidRPr="004F62C9" w:rsidRDefault="007B422C" w:rsidP="00900E1D">
            <w:pPr>
              <w:pStyle w:val="Table-Normal"/>
              <w:spacing w:before="40" w:after="40"/>
              <w:jc w:val="center"/>
              <w:rPr>
                <w:color w:val="auto"/>
                <w:sz w:val="20"/>
                <w:szCs w:val="20"/>
              </w:rPr>
            </w:pPr>
            <w:r w:rsidRPr="004F62C9">
              <w:rPr>
                <w:rFonts w:ascii="Calibri" w:hAnsi="Calibri" w:cs="Calibri"/>
                <w:color w:val="auto"/>
                <w:kern w:val="24"/>
                <w:sz w:val="20"/>
                <w:szCs w:val="20"/>
              </w:rPr>
              <w:t>0.888</w:t>
            </w:r>
          </w:p>
        </w:tc>
        <w:tc>
          <w:tcPr>
            <w:tcW w:w="865" w:type="dxa"/>
          </w:tcPr>
          <w:p w14:paraId="2F7BD75D" w14:textId="77777777" w:rsidR="007B422C" w:rsidRPr="004F62C9" w:rsidRDefault="007B422C" w:rsidP="00900E1D">
            <w:pPr>
              <w:pStyle w:val="Table-Normal"/>
              <w:spacing w:before="40" w:after="40"/>
              <w:jc w:val="center"/>
              <w:rPr>
                <w:color w:val="auto"/>
                <w:sz w:val="20"/>
                <w:szCs w:val="20"/>
              </w:rPr>
            </w:pPr>
            <w:r w:rsidRPr="004F62C9">
              <w:rPr>
                <w:rFonts w:ascii="Calibri" w:hAnsi="Calibri" w:cs="Calibri"/>
                <w:color w:val="auto"/>
                <w:kern w:val="24"/>
                <w:sz w:val="20"/>
                <w:szCs w:val="20"/>
              </w:rPr>
              <w:t>0.8</w:t>
            </w:r>
            <w:bookmarkStart w:id="13" w:name="_GoBack"/>
            <w:bookmarkEnd w:id="13"/>
            <w:r w:rsidRPr="004F62C9">
              <w:rPr>
                <w:rFonts w:ascii="Calibri" w:hAnsi="Calibri" w:cs="Calibri"/>
                <w:color w:val="auto"/>
                <w:kern w:val="24"/>
                <w:sz w:val="20"/>
                <w:szCs w:val="20"/>
              </w:rPr>
              <w:t>77</w:t>
            </w:r>
          </w:p>
        </w:tc>
        <w:tc>
          <w:tcPr>
            <w:tcW w:w="865" w:type="dxa"/>
          </w:tcPr>
          <w:p w14:paraId="3D01E4D9" w14:textId="77777777" w:rsidR="007B422C" w:rsidRPr="004F62C9" w:rsidRDefault="007B422C" w:rsidP="00900E1D">
            <w:pPr>
              <w:pStyle w:val="Table-Normal"/>
              <w:spacing w:before="40" w:after="40"/>
              <w:jc w:val="center"/>
              <w:rPr>
                <w:color w:val="auto"/>
                <w:sz w:val="20"/>
                <w:szCs w:val="20"/>
              </w:rPr>
            </w:pPr>
            <w:r w:rsidRPr="004F62C9">
              <w:rPr>
                <w:rFonts w:ascii="Calibri" w:hAnsi="Calibri" w:cs="Calibri"/>
                <w:color w:val="auto"/>
                <w:kern w:val="24"/>
                <w:sz w:val="20"/>
                <w:szCs w:val="20"/>
              </w:rPr>
              <w:t>0.845</w:t>
            </w:r>
          </w:p>
        </w:tc>
        <w:tc>
          <w:tcPr>
            <w:tcW w:w="881" w:type="dxa"/>
          </w:tcPr>
          <w:p w14:paraId="0CB53F6A" w14:textId="77777777" w:rsidR="007B422C" w:rsidRPr="004F62C9" w:rsidRDefault="007B422C" w:rsidP="00900E1D">
            <w:pPr>
              <w:pStyle w:val="Table-Normal"/>
              <w:spacing w:before="40" w:after="40"/>
              <w:jc w:val="center"/>
              <w:rPr>
                <w:color w:val="auto"/>
                <w:sz w:val="20"/>
                <w:szCs w:val="20"/>
              </w:rPr>
            </w:pPr>
            <w:r w:rsidRPr="004F62C9">
              <w:rPr>
                <w:rFonts w:ascii="Calibri" w:hAnsi="Calibri" w:cs="Calibri"/>
                <w:color w:val="auto"/>
                <w:kern w:val="24"/>
                <w:sz w:val="20"/>
                <w:szCs w:val="20"/>
              </w:rPr>
              <w:t>0.866</w:t>
            </w:r>
          </w:p>
        </w:tc>
        <w:tc>
          <w:tcPr>
            <w:tcW w:w="881" w:type="dxa"/>
          </w:tcPr>
          <w:p w14:paraId="204E6C2C" w14:textId="77777777" w:rsidR="007B422C" w:rsidRPr="004F62C9" w:rsidRDefault="007B422C" w:rsidP="00900E1D">
            <w:pPr>
              <w:pStyle w:val="Table-Normal"/>
              <w:spacing w:before="40" w:after="40"/>
              <w:jc w:val="center"/>
              <w:rPr>
                <w:color w:val="auto"/>
                <w:sz w:val="20"/>
                <w:szCs w:val="20"/>
              </w:rPr>
            </w:pPr>
            <w:r w:rsidRPr="004F62C9">
              <w:rPr>
                <w:rFonts w:ascii="Calibri" w:hAnsi="Calibri" w:cs="Calibri"/>
                <w:color w:val="auto"/>
                <w:kern w:val="24"/>
                <w:sz w:val="20"/>
                <w:szCs w:val="20"/>
              </w:rPr>
              <w:t>0.827</w:t>
            </w:r>
          </w:p>
        </w:tc>
        <w:tc>
          <w:tcPr>
            <w:tcW w:w="881" w:type="dxa"/>
          </w:tcPr>
          <w:p w14:paraId="7B98A355" w14:textId="77777777" w:rsidR="007B422C" w:rsidRPr="004F62C9" w:rsidRDefault="007B422C" w:rsidP="00900E1D">
            <w:pPr>
              <w:pStyle w:val="Table-Normal"/>
              <w:spacing w:before="40" w:after="40"/>
              <w:jc w:val="center"/>
              <w:rPr>
                <w:color w:val="auto"/>
                <w:sz w:val="20"/>
                <w:szCs w:val="20"/>
              </w:rPr>
            </w:pPr>
            <w:r w:rsidRPr="004F62C9">
              <w:rPr>
                <w:rFonts w:ascii="Calibri" w:hAnsi="Calibri" w:cs="Calibri"/>
                <w:color w:val="auto"/>
                <w:kern w:val="24"/>
                <w:sz w:val="20"/>
                <w:szCs w:val="20"/>
              </w:rPr>
              <w:t>0.741</w:t>
            </w:r>
          </w:p>
        </w:tc>
      </w:tr>
      <w:tr w:rsidR="004F62C9" w:rsidRPr="004F62C9" w14:paraId="300450C3" w14:textId="77777777" w:rsidTr="008516B8">
        <w:tc>
          <w:tcPr>
            <w:tcW w:w="1238" w:type="dxa"/>
          </w:tcPr>
          <w:p w14:paraId="19F4E600"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No 0.0 or 1.0*</w:t>
            </w:r>
          </w:p>
          <w:p w14:paraId="63285C13"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 mean </w:t>
            </w:r>
          </w:p>
        </w:tc>
        <w:tc>
          <w:tcPr>
            <w:tcW w:w="815" w:type="dxa"/>
          </w:tcPr>
          <w:p w14:paraId="1E612915"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0.828</w:t>
            </w:r>
          </w:p>
        </w:tc>
        <w:tc>
          <w:tcPr>
            <w:tcW w:w="864" w:type="dxa"/>
          </w:tcPr>
          <w:p w14:paraId="1071DED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0.840</w:t>
            </w:r>
          </w:p>
        </w:tc>
        <w:tc>
          <w:tcPr>
            <w:tcW w:w="864" w:type="dxa"/>
          </w:tcPr>
          <w:p w14:paraId="7B7F0AF6"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0.798</w:t>
            </w:r>
          </w:p>
        </w:tc>
        <w:tc>
          <w:tcPr>
            <w:tcW w:w="885" w:type="dxa"/>
          </w:tcPr>
          <w:p w14:paraId="53D4814B"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0.840</w:t>
            </w:r>
          </w:p>
        </w:tc>
        <w:tc>
          <w:tcPr>
            <w:tcW w:w="865" w:type="dxa"/>
          </w:tcPr>
          <w:p w14:paraId="1A70F2E4"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0.847</w:t>
            </w:r>
          </w:p>
        </w:tc>
        <w:tc>
          <w:tcPr>
            <w:tcW w:w="865" w:type="dxa"/>
          </w:tcPr>
          <w:p w14:paraId="7A22C3BB"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0.825</w:t>
            </w:r>
          </w:p>
        </w:tc>
        <w:tc>
          <w:tcPr>
            <w:tcW w:w="881" w:type="dxa"/>
          </w:tcPr>
          <w:p w14:paraId="22BBD1E6"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0.837</w:t>
            </w:r>
          </w:p>
        </w:tc>
        <w:tc>
          <w:tcPr>
            <w:tcW w:w="881" w:type="dxa"/>
          </w:tcPr>
          <w:p w14:paraId="1A702CD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0.807</w:t>
            </w:r>
          </w:p>
        </w:tc>
        <w:tc>
          <w:tcPr>
            <w:tcW w:w="881" w:type="dxa"/>
          </w:tcPr>
          <w:p w14:paraId="5C75D8A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0.726</w:t>
            </w:r>
          </w:p>
        </w:tc>
      </w:tr>
      <w:tr w:rsidR="004F62C9" w:rsidRPr="004F62C9" w14:paraId="46FB5067" w14:textId="77777777" w:rsidTr="008516B8">
        <w:tc>
          <w:tcPr>
            <w:tcW w:w="1238" w:type="dxa"/>
          </w:tcPr>
          <w:p w14:paraId="046F5006" w14:textId="77777777" w:rsidR="00E61856" w:rsidRPr="004F62C9" w:rsidRDefault="00E61856" w:rsidP="00E61856">
            <w:pPr>
              <w:pStyle w:val="Table-Normal"/>
              <w:jc w:val="right"/>
              <w:rPr>
                <w:rFonts w:ascii="Calibri" w:hAnsi="Calibri" w:cs="Calibri"/>
                <w:b/>
                <w:bCs w:val="0"/>
                <w:color w:val="auto"/>
                <w:kern w:val="24"/>
                <w:sz w:val="14"/>
                <w:szCs w:val="14"/>
              </w:rPr>
            </w:pPr>
            <w:r w:rsidRPr="004F62C9">
              <w:rPr>
                <w:rFonts w:ascii="Calibri" w:hAnsi="Calibri" w:cs="Calibri"/>
                <w:b/>
                <w:color w:val="auto"/>
                <w:kern w:val="24"/>
                <w:sz w:val="14"/>
                <w:szCs w:val="14"/>
              </w:rPr>
              <w:t>No high/low 5%</w:t>
            </w:r>
          </w:p>
          <w:p w14:paraId="17BD93D6" w14:textId="16F7286D" w:rsidR="00E61856" w:rsidRPr="004F62C9" w:rsidRDefault="00E61856" w:rsidP="00E61856">
            <w:pPr>
              <w:pStyle w:val="Table-Normal"/>
              <w:jc w:val="right"/>
              <w:rPr>
                <w:rFonts w:ascii="Calibri" w:hAnsi="Calibri" w:cs="Calibri"/>
                <w:b/>
                <w:color w:val="auto"/>
                <w:kern w:val="24"/>
                <w:sz w:val="15"/>
                <w:szCs w:val="15"/>
              </w:rPr>
            </w:pPr>
            <w:r w:rsidRPr="004F62C9">
              <w:rPr>
                <w:rFonts w:ascii="Calibri" w:hAnsi="Calibri" w:cs="Calibri"/>
                <w:color w:val="auto"/>
                <w:kern w:val="24"/>
                <w:sz w:val="14"/>
                <w:szCs w:val="14"/>
              </w:rPr>
              <w:t>(n=98†;</w:t>
            </w:r>
            <w:r w:rsidRPr="004F62C9">
              <w:rPr>
                <w:color w:val="auto"/>
              </w:rPr>
              <w:t xml:space="preserve"> </w:t>
            </w:r>
            <w:r w:rsidRPr="004F62C9">
              <w:rPr>
                <w:rFonts w:ascii="Calibri" w:hAnsi="Calibri" w:cs="Calibri"/>
                <w:color w:val="auto"/>
                <w:kern w:val="24"/>
                <w:sz w:val="14"/>
                <w:szCs w:val="14"/>
              </w:rPr>
              <w:t>mean)</w:t>
            </w:r>
          </w:p>
        </w:tc>
        <w:tc>
          <w:tcPr>
            <w:tcW w:w="815" w:type="dxa"/>
          </w:tcPr>
          <w:p w14:paraId="5EDD3655" w14:textId="72B13F77"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0.902</w:t>
            </w:r>
          </w:p>
        </w:tc>
        <w:tc>
          <w:tcPr>
            <w:tcW w:w="864" w:type="dxa"/>
          </w:tcPr>
          <w:p w14:paraId="677A408E" w14:textId="14DCA794"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0.883</w:t>
            </w:r>
          </w:p>
        </w:tc>
        <w:tc>
          <w:tcPr>
            <w:tcW w:w="864" w:type="dxa"/>
          </w:tcPr>
          <w:p w14:paraId="580B7415" w14:textId="7015893E"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0.842</w:t>
            </w:r>
          </w:p>
        </w:tc>
        <w:tc>
          <w:tcPr>
            <w:tcW w:w="885" w:type="dxa"/>
          </w:tcPr>
          <w:p w14:paraId="4A712411" w14:textId="138EDD91"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0.914</w:t>
            </w:r>
          </w:p>
        </w:tc>
        <w:tc>
          <w:tcPr>
            <w:tcW w:w="865" w:type="dxa"/>
          </w:tcPr>
          <w:p w14:paraId="7181833A" w14:textId="6AD6CBE8"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0.907</w:t>
            </w:r>
          </w:p>
        </w:tc>
        <w:tc>
          <w:tcPr>
            <w:tcW w:w="865" w:type="dxa"/>
          </w:tcPr>
          <w:p w14:paraId="10944D39" w14:textId="4D596104"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0.871</w:t>
            </w:r>
          </w:p>
        </w:tc>
        <w:tc>
          <w:tcPr>
            <w:tcW w:w="881" w:type="dxa"/>
          </w:tcPr>
          <w:p w14:paraId="24632EA5" w14:textId="78EBB948"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0.895</w:t>
            </w:r>
          </w:p>
        </w:tc>
        <w:tc>
          <w:tcPr>
            <w:tcW w:w="881" w:type="dxa"/>
          </w:tcPr>
          <w:p w14:paraId="0C01267E" w14:textId="062FEF67"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0.852</w:t>
            </w:r>
          </w:p>
        </w:tc>
        <w:tc>
          <w:tcPr>
            <w:tcW w:w="881" w:type="dxa"/>
          </w:tcPr>
          <w:p w14:paraId="232E6C3E" w14:textId="77FFF9C9"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0.763</w:t>
            </w:r>
          </w:p>
        </w:tc>
      </w:tr>
      <w:tr w:rsidR="004F62C9" w:rsidRPr="004F62C9" w14:paraId="4416BB32" w14:textId="77777777" w:rsidTr="008516B8">
        <w:tc>
          <w:tcPr>
            <w:tcW w:w="1238" w:type="dxa"/>
          </w:tcPr>
          <w:p w14:paraId="1283E643" w14:textId="01A6DC2E" w:rsidR="00020342" w:rsidRPr="004F62C9" w:rsidRDefault="00020342" w:rsidP="00020342">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No +/−2 SD</w:t>
            </w:r>
          </w:p>
          <w:p w14:paraId="16F2D361" w14:textId="5C9600BB" w:rsidR="00020342" w:rsidRPr="004F62C9" w:rsidRDefault="00020342" w:rsidP="00020342">
            <w:pPr>
              <w:pStyle w:val="Table-Normal"/>
              <w:jc w:val="right"/>
              <w:rPr>
                <w:rFonts w:ascii="Calibri" w:hAnsi="Calibri" w:cs="Calibri"/>
                <w:bCs w:val="0"/>
                <w:color w:val="auto"/>
                <w:kern w:val="24"/>
                <w:sz w:val="15"/>
                <w:szCs w:val="15"/>
              </w:rPr>
            </w:pPr>
            <w:r w:rsidRPr="004F62C9">
              <w:rPr>
                <w:rFonts w:ascii="Calibri" w:hAnsi="Calibri" w:cs="Calibri"/>
                <w:color w:val="auto"/>
                <w:kern w:val="24"/>
                <w:sz w:val="15"/>
                <w:szCs w:val="15"/>
              </w:rPr>
              <w:t>(n=‡; mean)</w:t>
            </w:r>
          </w:p>
        </w:tc>
        <w:tc>
          <w:tcPr>
            <w:tcW w:w="815" w:type="dxa"/>
          </w:tcPr>
          <w:p w14:paraId="7CA3EAD4" w14:textId="6DCC8471" w:rsidR="00020342" w:rsidRPr="004F62C9" w:rsidRDefault="00020342"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0.911</w:t>
            </w:r>
          </w:p>
        </w:tc>
        <w:tc>
          <w:tcPr>
            <w:tcW w:w="864" w:type="dxa"/>
          </w:tcPr>
          <w:p w14:paraId="3774C8DE" w14:textId="5E0D4B85" w:rsidR="00020342" w:rsidRPr="004F62C9" w:rsidRDefault="00020342"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0.893</w:t>
            </w:r>
          </w:p>
        </w:tc>
        <w:tc>
          <w:tcPr>
            <w:tcW w:w="864" w:type="dxa"/>
          </w:tcPr>
          <w:p w14:paraId="164ABE40" w14:textId="30BD9870" w:rsidR="00020342" w:rsidRPr="004F62C9" w:rsidRDefault="00020342"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0.851</w:t>
            </w:r>
          </w:p>
        </w:tc>
        <w:tc>
          <w:tcPr>
            <w:tcW w:w="885" w:type="dxa"/>
          </w:tcPr>
          <w:p w14:paraId="4C71494F" w14:textId="17F05D96" w:rsidR="00020342" w:rsidRPr="004F62C9" w:rsidRDefault="00020342"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0.918</w:t>
            </w:r>
          </w:p>
        </w:tc>
        <w:tc>
          <w:tcPr>
            <w:tcW w:w="865" w:type="dxa"/>
          </w:tcPr>
          <w:p w14:paraId="31162E0C" w14:textId="7B42EF8C" w:rsidR="00020342" w:rsidRPr="004F62C9" w:rsidRDefault="00020342"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0.912</w:t>
            </w:r>
          </w:p>
        </w:tc>
        <w:tc>
          <w:tcPr>
            <w:tcW w:w="865" w:type="dxa"/>
          </w:tcPr>
          <w:p w14:paraId="3AF14DBD" w14:textId="51ECC691" w:rsidR="00020342" w:rsidRPr="004F62C9" w:rsidRDefault="00020342"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0.871</w:t>
            </w:r>
          </w:p>
        </w:tc>
        <w:tc>
          <w:tcPr>
            <w:tcW w:w="881" w:type="dxa"/>
          </w:tcPr>
          <w:p w14:paraId="56401B28" w14:textId="038A9A7F" w:rsidR="00020342" w:rsidRPr="004F62C9" w:rsidRDefault="00020342"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0.901</w:t>
            </w:r>
          </w:p>
        </w:tc>
        <w:tc>
          <w:tcPr>
            <w:tcW w:w="881" w:type="dxa"/>
          </w:tcPr>
          <w:p w14:paraId="745EC304" w14:textId="7755AA3D" w:rsidR="00020342" w:rsidRPr="004F62C9" w:rsidRDefault="00020342"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0.857</w:t>
            </w:r>
          </w:p>
        </w:tc>
        <w:tc>
          <w:tcPr>
            <w:tcW w:w="881" w:type="dxa"/>
          </w:tcPr>
          <w:p w14:paraId="726C6976" w14:textId="2C70D787" w:rsidR="00020342" w:rsidRPr="004F62C9" w:rsidRDefault="00020342"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0.776</w:t>
            </w:r>
          </w:p>
        </w:tc>
      </w:tr>
      <w:tr w:rsidR="004F62C9" w:rsidRPr="004F62C9" w14:paraId="7A0818EE" w14:textId="77777777" w:rsidTr="008516B8">
        <w:tc>
          <w:tcPr>
            <w:tcW w:w="1238" w:type="dxa"/>
          </w:tcPr>
          <w:p w14:paraId="51C493E7" w14:textId="63FB2D39" w:rsidR="00AA5E44" w:rsidRPr="004F62C9" w:rsidRDefault="00AA5E44" w:rsidP="00AA5E44">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No illogical</w:t>
            </w:r>
          </w:p>
          <w:p w14:paraId="7056CCFF" w14:textId="0ECECFA2" w:rsidR="00AA5E44" w:rsidRPr="004F62C9" w:rsidRDefault="00AA5E44" w:rsidP="00AA5E44">
            <w:pPr>
              <w:pStyle w:val="Table-Normal"/>
              <w:jc w:val="right"/>
              <w:rPr>
                <w:rFonts w:ascii="Calibri" w:hAnsi="Calibri" w:cs="Calibri"/>
                <w:b/>
                <w:color w:val="auto"/>
                <w:kern w:val="24"/>
                <w:sz w:val="15"/>
                <w:szCs w:val="15"/>
              </w:rPr>
            </w:pPr>
            <w:r w:rsidRPr="004F62C9">
              <w:rPr>
                <w:rFonts w:ascii="Calibri" w:hAnsi="Calibri" w:cs="Calibri"/>
                <w:color w:val="auto"/>
                <w:kern w:val="24"/>
                <w:sz w:val="15"/>
                <w:szCs w:val="15"/>
              </w:rPr>
              <w:t>(n=§; mean)</w:t>
            </w:r>
          </w:p>
        </w:tc>
        <w:tc>
          <w:tcPr>
            <w:tcW w:w="815" w:type="dxa"/>
          </w:tcPr>
          <w:p w14:paraId="4D0341C1" w14:textId="362635DB"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0.877</w:t>
            </w:r>
          </w:p>
        </w:tc>
        <w:tc>
          <w:tcPr>
            <w:tcW w:w="864" w:type="dxa"/>
          </w:tcPr>
          <w:p w14:paraId="10FE7157" w14:textId="72ECE101"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0.863</w:t>
            </w:r>
          </w:p>
        </w:tc>
        <w:tc>
          <w:tcPr>
            <w:tcW w:w="864" w:type="dxa"/>
          </w:tcPr>
          <w:p w14:paraId="0C4EE37C" w14:textId="6EB003E1"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0.817</w:t>
            </w:r>
          </w:p>
        </w:tc>
        <w:tc>
          <w:tcPr>
            <w:tcW w:w="885" w:type="dxa"/>
          </w:tcPr>
          <w:p w14:paraId="4979CD76" w14:textId="2714E20D"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0.888</w:t>
            </w:r>
          </w:p>
        </w:tc>
        <w:tc>
          <w:tcPr>
            <w:tcW w:w="865" w:type="dxa"/>
          </w:tcPr>
          <w:p w14:paraId="60CBF14C" w14:textId="6730E044"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0.872</w:t>
            </w:r>
          </w:p>
        </w:tc>
        <w:tc>
          <w:tcPr>
            <w:tcW w:w="865" w:type="dxa"/>
          </w:tcPr>
          <w:p w14:paraId="0AF4CAC0" w14:textId="59187ED9"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0.845</w:t>
            </w:r>
          </w:p>
        </w:tc>
        <w:tc>
          <w:tcPr>
            <w:tcW w:w="881" w:type="dxa"/>
          </w:tcPr>
          <w:p w14:paraId="6C12EEEE" w14:textId="1BC72520"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0.862</w:t>
            </w:r>
          </w:p>
        </w:tc>
        <w:tc>
          <w:tcPr>
            <w:tcW w:w="881" w:type="dxa"/>
          </w:tcPr>
          <w:p w14:paraId="2D650FBB" w14:textId="41E7EB61"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0.825</w:t>
            </w:r>
          </w:p>
        </w:tc>
        <w:tc>
          <w:tcPr>
            <w:tcW w:w="881" w:type="dxa"/>
          </w:tcPr>
          <w:p w14:paraId="191948BC" w14:textId="793DCF43"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0.739</w:t>
            </w:r>
          </w:p>
        </w:tc>
      </w:tr>
      <w:tr w:rsidR="004F62C9" w:rsidRPr="004F62C9" w14:paraId="602D46E8" w14:textId="77777777" w:rsidTr="008516B8">
        <w:tc>
          <w:tcPr>
            <w:tcW w:w="1238" w:type="dxa"/>
          </w:tcPr>
          <w:p w14:paraId="309B0C20"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Male</w:t>
            </w:r>
          </w:p>
          <w:p w14:paraId="472D05CF"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(n=51); mean </w:t>
            </w:r>
          </w:p>
        </w:tc>
        <w:tc>
          <w:tcPr>
            <w:tcW w:w="815" w:type="dxa"/>
          </w:tcPr>
          <w:p w14:paraId="2544BC67"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0.850</w:t>
            </w:r>
          </w:p>
        </w:tc>
        <w:tc>
          <w:tcPr>
            <w:tcW w:w="864" w:type="dxa"/>
          </w:tcPr>
          <w:p w14:paraId="58FC8BF7"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0.831</w:t>
            </w:r>
          </w:p>
        </w:tc>
        <w:tc>
          <w:tcPr>
            <w:tcW w:w="864" w:type="dxa"/>
          </w:tcPr>
          <w:p w14:paraId="6B9266A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0.784</w:t>
            </w:r>
          </w:p>
        </w:tc>
        <w:tc>
          <w:tcPr>
            <w:tcW w:w="885" w:type="dxa"/>
          </w:tcPr>
          <w:p w14:paraId="6A7A2D4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0.883</w:t>
            </w:r>
          </w:p>
        </w:tc>
        <w:tc>
          <w:tcPr>
            <w:tcW w:w="865" w:type="dxa"/>
          </w:tcPr>
          <w:p w14:paraId="6C26DCD2"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0.874</w:t>
            </w:r>
          </w:p>
        </w:tc>
        <w:tc>
          <w:tcPr>
            <w:tcW w:w="865" w:type="dxa"/>
          </w:tcPr>
          <w:p w14:paraId="29F245B3"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0.844</w:t>
            </w:r>
          </w:p>
        </w:tc>
        <w:tc>
          <w:tcPr>
            <w:tcW w:w="881" w:type="dxa"/>
          </w:tcPr>
          <w:p w14:paraId="4E689C99"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0.866</w:t>
            </w:r>
          </w:p>
        </w:tc>
        <w:tc>
          <w:tcPr>
            <w:tcW w:w="881" w:type="dxa"/>
          </w:tcPr>
          <w:p w14:paraId="1E4C78B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0.824</w:t>
            </w:r>
          </w:p>
        </w:tc>
        <w:tc>
          <w:tcPr>
            <w:tcW w:w="881" w:type="dxa"/>
          </w:tcPr>
          <w:p w14:paraId="76C0DEB9"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0.711</w:t>
            </w:r>
          </w:p>
        </w:tc>
      </w:tr>
      <w:tr w:rsidR="004F62C9" w:rsidRPr="004F62C9" w14:paraId="5508E7B4" w14:textId="77777777" w:rsidTr="008516B8">
        <w:tc>
          <w:tcPr>
            <w:tcW w:w="1238" w:type="dxa"/>
          </w:tcPr>
          <w:p w14:paraId="44061B1B"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Female</w:t>
            </w:r>
          </w:p>
          <w:p w14:paraId="394AB912"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(n=59); mean </w:t>
            </w:r>
          </w:p>
        </w:tc>
        <w:tc>
          <w:tcPr>
            <w:tcW w:w="815" w:type="dxa"/>
          </w:tcPr>
          <w:p w14:paraId="02AAAE5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0.900</w:t>
            </w:r>
          </w:p>
        </w:tc>
        <w:tc>
          <w:tcPr>
            <w:tcW w:w="864" w:type="dxa"/>
          </w:tcPr>
          <w:p w14:paraId="68EF58C2"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0.879</w:t>
            </w:r>
          </w:p>
        </w:tc>
        <w:tc>
          <w:tcPr>
            <w:tcW w:w="864" w:type="dxa"/>
          </w:tcPr>
          <w:p w14:paraId="412CEEC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0.844</w:t>
            </w:r>
          </w:p>
        </w:tc>
        <w:tc>
          <w:tcPr>
            <w:tcW w:w="885" w:type="dxa"/>
          </w:tcPr>
          <w:p w14:paraId="73D24DF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0.893</w:t>
            </w:r>
          </w:p>
        </w:tc>
        <w:tc>
          <w:tcPr>
            <w:tcW w:w="865" w:type="dxa"/>
          </w:tcPr>
          <w:p w14:paraId="6606FE76"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0.879</w:t>
            </w:r>
          </w:p>
        </w:tc>
        <w:tc>
          <w:tcPr>
            <w:tcW w:w="865" w:type="dxa"/>
          </w:tcPr>
          <w:p w14:paraId="355CD201"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0.846</w:t>
            </w:r>
          </w:p>
        </w:tc>
        <w:tc>
          <w:tcPr>
            <w:tcW w:w="881" w:type="dxa"/>
          </w:tcPr>
          <w:p w14:paraId="44F141BC"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0.831</w:t>
            </w:r>
          </w:p>
        </w:tc>
        <w:tc>
          <w:tcPr>
            <w:tcW w:w="881" w:type="dxa"/>
          </w:tcPr>
          <w:p w14:paraId="7673AD2C"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0.767</w:t>
            </w:r>
          </w:p>
        </w:tc>
        <w:tc>
          <w:tcPr>
            <w:tcW w:w="881" w:type="dxa"/>
          </w:tcPr>
          <w:p w14:paraId="4EC7760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0.893</w:t>
            </w:r>
          </w:p>
        </w:tc>
      </w:tr>
      <w:tr w:rsidR="004F62C9" w:rsidRPr="004F62C9" w14:paraId="347396B4" w14:textId="77777777" w:rsidTr="008516B8">
        <w:tc>
          <w:tcPr>
            <w:tcW w:w="1238" w:type="dxa"/>
          </w:tcPr>
          <w:p w14:paraId="51ADBE74"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Age &lt;40 years</w:t>
            </w:r>
          </w:p>
          <w:p w14:paraId="11704EB8"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(n=48); mean </w:t>
            </w:r>
          </w:p>
        </w:tc>
        <w:tc>
          <w:tcPr>
            <w:tcW w:w="815" w:type="dxa"/>
          </w:tcPr>
          <w:p w14:paraId="1C88B5D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0.886</w:t>
            </w:r>
          </w:p>
        </w:tc>
        <w:tc>
          <w:tcPr>
            <w:tcW w:w="864" w:type="dxa"/>
          </w:tcPr>
          <w:p w14:paraId="43B5FB5C"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0.864</w:t>
            </w:r>
          </w:p>
        </w:tc>
        <w:tc>
          <w:tcPr>
            <w:tcW w:w="864" w:type="dxa"/>
          </w:tcPr>
          <w:p w14:paraId="3778DFF9"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0.825</w:t>
            </w:r>
          </w:p>
        </w:tc>
        <w:tc>
          <w:tcPr>
            <w:tcW w:w="885" w:type="dxa"/>
          </w:tcPr>
          <w:p w14:paraId="33352E59"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0.895</w:t>
            </w:r>
          </w:p>
        </w:tc>
        <w:tc>
          <w:tcPr>
            <w:tcW w:w="865" w:type="dxa"/>
          </w:tcPr>
          <w:p w14:paraId="1A3FCC79"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0.885</w:t>
            </w:r>
          </w:p>
        </w:tc>
        <w:tc>
          <w:tcPr>
            <w:tcW w:w="865" w:type="dxa"/>
          </w:tcPr>
          <w:p w14:paraId="1C940404"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0.840</w:t>
            </w:r>
          </w:p>
        </w:tc>
        <w:tc>
          <w:tcPr>
            <w:tcW w:w="881" w:type="dxa"/>
          </w:tcPr>
          <w:p w14:paraId="756AE0EC"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0.872</w:t>
            </w:r>
          </w:p>
        </w:tc>
        <w:tc>
          <w:tcPr>
            <w:tcW w:w="881" w:type="dxa"/>
          </w:tcPr>
          <w:p w14:paraId="2043A4E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0.825</w:t>
            </w:r>
          </w:p>
        </w:tc>
        <w:tc>
          <w:tcPr>
            <w:tcW w:w="881" w:type="dxa"/>
          </w:tcPr>
          <w:p w14:paraId="5E1A5D21"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0.722</w:t>
            </w:r>
          </w:p>
        </w:tc>
      </w:tr>
      <w:tr w:rsidR="004F62C9" w:rsidRPr="004F62C9" w14:paraId="3B486BA1" w14:textId="77777777" w:rsidTr="008516B8">
        <w:tc>
          <w:tcPr>
            <w:tcW w:w="1238" w:type="dxa"/>
          </w:tcPr>
          <w:p w14:paraId="51693774"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Age ≥40 years</w:t>
            </w:r>
          </w:p>
          <w:p w14:paraId="4C814298"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(n=62); mean </w:t>
            </w:r>
          </w:p>
        </w:tc>
        <w:tc>
          <w:tcPr>
            <w:tcW w:w="815" w:type="dxa"/>
          </w:tcPr>
          <w:p w14:paraId="15E498D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0.870</w:t>
            </w:r>
          </w:p>
        </w:tc>
        <w:tc>
          <w:tcPr>
            <w:tcW w:w="864" w:type="dxa"/>
          </w:tcPr>
          <w:p w14:paraId="7DC723F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0.851</w:t>
            </w:r>
          </w:p>
        </w:tc>
        <w:tc>
          <w:tcPr>
            <w:tcW w:w="864" w:type="dxa"/>
          </w:tcPr>
          <w:p w14:paraId="5BBCF5E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0.810</w:t>
            </w:r>
          </w:p>
        </w:tc>
        <w:tc>
          <w:tcPr>
            <w:tcW w:w="885" w:type="dxa"/>
          </w:tcPr>
          <w:p w14:paraId="7B3394E2"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0.883</w:t>
            </w:r>
          </w:p>
        </w:tc>
        <w:tc>
          <w:tcPr>
            <w:tcW w:w="865" w:type="dxa"/>
          </w:tcPr>
          <w:p w14:paraId="04E391C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0.870</w:t>
            </w:r>
          </w:p>
        </w:tc>
        <w:tc>
          <w:tcPr>
            <w:tcW w:w="865" w:type="dxa"/>
          </w:tcPr>
          <w:p w14:paraId="295B18B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0.849</w:t>
            </w:r>
          </w:p>
        </w:tc>
        <w:tc>
          <w:tcPr>
            <w:tcW w:w="881" w:type="dxa"/>
          </w:tcPr>
          <w:p w14:paraId="26D0E806"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0.862</w:t>
            </w:r>
          </w:p>
        </w:tc>
        <w:tc>
          <w:tcPr>
            <w:tcW w:w="881" w:type="dxa"/>
          </w:tcPr>
          <w:p w14:paraId="3761EE18"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0.829</w:t>
            </w:r>
          </w:p>
        </w:tc>
        <w:tc>
          <w:tcPr>
            <w:tcW w:w="881" w:type="dxa"/>
          </w:tcPr>
          <w:p w14:paraId="42F7E63C"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0.756</w:t>
            </w:r>
          </w:p>
        </w:tc>
      </w:tr>
    </w:tbl>
    <w:p w14:paraId="6455E58A" w14:textId="70568BD7" w:rsidR="007B422C" w:rsidRPr="004F62C9" w:rsidRDefault="007B422C" w:rsidP="007B422C">
      <w:pPr>
        <w:pStyle w:val="EndnoteText"/>
        <w:rPr>
          <w:color w:val="auto"/>
        </w:rPr>
      </w:pPr>
      <w:r w:rsidRPr="004F62C9">
        <w:rPr>
          <w:color w:val="auto"/>
        </w:rPr>
        <w:t>* “</w:t>
      </w:r>
      <w:r w:rsidRPr="004F62C9">
        <w:rPr>
          <w:i/>
          <w:iCs/>
          <w:color w:val="auto"/>
        </w:rPr>
        <w:t>No 0.0 or 1.0</w:t>
      </w:r>
      <w:r w:rsidRPr="004F62C9">
        <w:rPr>
          <w:color w:val="auto"/>
        </w:rPr>
        <w:t>” analysis does not include any utility value of 0.0 (equivalent to death) or 1.0 (equivalent to full health); 177</w:t>
      </w:r>
      <w:r w:rsidRPr="004F62C9">
        <w:rPr>
          <w:rFonts w:cstheme="minorHAnsi"/>
          <w:color w:val="auto"/>
        </w:rPr>
        <w:t> </w:t>
      </w:r>
      <w:r w:rsidRPr="004F62C9">
        <w:rPr>
          <w:color w:val="auto"/>
        </w:rPr>
        <w:t>of 990 total health state valuations were removed for this analysis – therefore, n differs between health states.</w:t>
      </w:r>
    </w:p>
    <w:p w14:paraId="48B05184" w14:textId="06A81D4D" w:rsidR="009152F7" w:rsidRPr="004F62C9" w:rsidRDefault="009152F7" w:rsidP="009152F7">
      <w:pPr>
        <w:pStyle w:val="EndnoteText"/>
        <w:rPr>
          <w:color w:val="auto"/>
        </w:rPr>
      </w:pPr>
      <w:r w:rsidRPr="004F62C9">
        <w:rPr>
          <w:color w:val="auto"/>
        </w:rPr>
        <w:t xml:space="preserve">† </w:t>
      </w:r>
      <w:r w:rsidRPr="004F62C9">
        <w:rPr>
          <w:i/>
          <w:iCs/>
          <w:color w:val="auto"/>
        </w:rPr>
        <w:t>“No high/low 5%”</w:t>
      </w:r>
      <w:r w:rsidRPr="004F62C9">
        <w:rPr>
          <w:color w:val="auto"/>
        </w:rPr>
        <w:t xml:space="preserve"> analysis does not include the highest 5% or lowest 5% of utility values for each health state; therefore, the total number of valuations per health state is 98.</w:t>
      </w:r>
    </w:p>
    <w:p w14:paraId="6C518F11" w14:textId="77777777" w:rsidR="00C92EBA" w:rsidRPr="004F62C9" w:rsidRDefault="00020342" w:rsidP="00C92EBA">
      <w:pPr>
        <w:pStyle w:val="EndnoteText"/>
        <w:rPr>
          <w:color w:val="auto"/>
        </w:rPr>
      </w:pPr>
      <w:r w:rsidRPr="004F62C9">
        <w:rPr>
          <w:color w:val="auto"/>
        </w:rPr>
        <w:t xml:space="preserve">‡ </w:t>
      </w:r>
      <w:r w:rsidRPr="004F62C9">
        <w:rPr>
          <w:i/>
          <w:iCs/>
          <w:color w:val="auto"/>
        </w:rPr>
        <w:t>“No +/−2 SD”</w:t>
      </w:r>
      <w:r w:rsidRPr="004F62C9">
        <w:rPr>
          <w:color w:val="auto"/>
        </w:rPr>
        <w:t xml:space="preserve"> analysis does not include any utility value that is two or more standard deviations above or below the corresponding health state mean; therefore, n differs between health states.</w:t>
      </w:r>
      <w:r w:rsidR="00C92EBA" w:rsidRPr="004F62C9">
        <w:rPr>
          <w:color w:val="auto"/>
        </w:rPr>
        <w:t xml:space="preserve"> </w:t>
      </w:r>
    </w:p>
    <w:p w14:paraId="7A959295" w14:textId="5B8B821D" w:rsidR="00020342" w:rsidRPr="004F62C9" w:rsidRDefault="00C92EBA" w:rsidP="009152F7">
      <w:pPr>
        <w:pStyle w:val="EndnoteText"/>
        <w:rPr>
          <w:color w:val="auto"/>
        </w:rPr>
      </w:pPr>
      <w:r w:rsidRPr="004F62C9">
        <w:rPr>
          <w:color w:val="auto"/>
        </w:rPr>
        <w:t xml:space="preserve">§ </w:t>
      </w:r>
      <w:r w:rsidRPr="004F62C9">
        <w:rPr>
          <w:i/>
          <w:iCs/>
          <w:color w:val="auto"/>
        </w:rPr>
        <w:t>“No illogical”</w:t>
      </w:r>
      <w:r w:rsidRPr="004F62C9">
        <w:rPr>
          <w:color w:val="auto"/>
        </w:rPr>
        <w:t xml:space="preserve"> analysis does not include any utility value that was deemed to be illogical as per a logic check (see Methods); therefore, n differs between health states.</w:t>
      </w:r>
    </w:p>
    <w:p w14:paraId="6C6A2AAF" w14:textId="3FF47961" w:rsidR="007B422C" w:rsidRPr="004F62C9" w:rsidRDefault="007B422C" w:rsidP="000D5E49">
      <w:pPr>
        <w:rPr>
          <w:color w:val="auto"/>
        </w:rPr>
      </w:pPr>
    </w:p>
    <w:p w14:paraId="7FDA4A7C" w14:textId="0275CD64" w:rsidR="007B422C" w:rsidRPr="004F62C9" w:rsidRDefault="007B422C" w:rsidP="007B422C">
      <w:pPr>
        <w:pStyle w:val="Caption"/>
        <w:rPr>
          <w:color w:val="auto"/>
        </w:rPr>
      </w:pPr>
      <w:bookmarkStart w:id="14" w:name="_Ref70337345"/>
      <w:r w:rsidRPr="004F62C9">
        <w:rPr>
          <w:color w:val="auto"/>
        </w:rPr>
        <w:t xml:space="preserve">Table </w:t>
      </w:r>
      <w:r w:rsidR="00B2211B" w:rsidRPr="004F62C9">
        <w:rPr>
          <w:color w:val="auto"/>
        </w:rPr>
        <w:fldChar w:fldCharType="begin"/>
      </w:r>
      <w:r w:rsidR="00B2211B" w:rsidRPr="004F62C9">
        <w:rPr>
          <w:color w:val="auto"/>
        </w:rPr>
        <w:instrText xml:space="preserve"> SEQ Table \* ARABIC </w:instrText>
      </w:r>
      <w:r w:rsidR="00B2211B" w:rsidRPr="004F62C9">
        <w:rPr>
          <w:color w:val="auto"/>
        </w:rPr>
        <w:fldChar w:fldCharType="separate"/>
      </w:r>
      <w:r w:rsidR="000C3AF4" w:rsidRPr="004F62C9">
        <w:rPr>
          <w:noProof/>
          <w:color w:val="auto"/>
        </w:rPr>
        <w:t>9</w:t>
      </w:r>
      <w:r w:rsidR="00B2211B" w:rsidRPr="004F62C9">
        <w:rPr>
          <w:noProof/>
          <w:color w:val="auto"/>
        </w:rPr>
        <w:fldChar w:fldCharType="end"/>
      </w:r>
      <w:bookmarkEnd w:id="14"/>
      <w:r w:rsidRPr="004F62C9">
        <w:rPr>
          <w:color w:val="auto"/>
        </w:rPr>
        <w:t xml:space="preserve">. Utility values elicited by TTO from </w:t>
      </w:r>
      <w:r w:rsidR="003F5E06" w:rsidRPr="004F62C9">
        <w:rPr>
          <w:color w:val="auto"/>
        </w:rPr>
        <w:t>participant</w:t>
      </w:r>
      <w:r w:rsidRPr="004F62C9">
        <w:rPr>
          <w:color w:val="auto"/>
        </w:rPr>
        <w:t xml:space="preserve"> subgroups in Canada</w:t>
      </w:r>
    </w:p>
    <w:tbl>
      <w:tblPr>
        <w:tblStyle w:val="TableGridLight"/>
        <w:tblW w:w="0" w:type="auto"/>
        <w:tblLook w:val="04A0" w:firstRow="1" w:lastRow="0" w:firstColumn="1" w:lastColumn="0" w:noHBand="0" w:noVBand="1"/>
      </w:tblPr>
      <w:tblGrid>
        <w:gridCol w:w="1238"/>
        <w:gridCol w:w="815"/>
        <w:gridCol w:w="864"/>
        <w:gridCol w:w="864"/>
        <w:gridCol w:w="885"/>
        <w:gridCol w:w="865"/>
        <w:gridCol w:w="865"/>
        <w:gridCol w:w="881"/>
        <w:gridCol w:w="881"/>
        <w:gridCol w:w="881"/>
      </w:tblGrid>
      <w:tr w:rsidR="004F62C9" w:rsidRPr="004F62C9" w14:paraId="45BF5667" w14:textId="77777777" w:rsidTr="004F62C9">
        <w:tc>
          <w:tcPr>
            <w:tcW w:w="1238" w:type="dxa"/>
            <w:vMerge w:val="restart"/>
          </w:tcPr>
          <w:p w14:paraId="746881E3" w14:textId="77777777" w:rsidR="007B422C" w:rsidRPr="004F62C9" w:rsidRDefault="007B422C" w:rsidP="00900E1D">
            <w:pPr>
              <w:pStyle w:val="Table-Normal"/>
              <w:rPr>
                <w:color w:val="auto"/>
                <w:sz w:val="16"/>
                <w:szCs w:val="16"/>
              </w:rPr>
            </w:pPr>
          </w:p>
        </w:tc>
        <w:tc>
          <w:tcPr>
            <w:tcW w:w="2543" w:type="dxa"/>
            <w:gridSpan w:val="3"/>
          </w:tcPr>
          <w:p w14:paraId="684BD1A1" w14:textId="77777777" w:rsidR="007B422C" w:rsidRPr="004F62C9" w:rsidRDefault="007B422C"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Obesity</w:t>
            </w:r>
          </w:p>
        </w:tc>
        <w:tc>
          <w:tcPr>
            <w:tcW w:w="5258" w:type="dxa"/>
            <w:gridSpan w:val="6"/>
          </w:tcPr>
          <w:p w14:paraId="3FB60A8B" w14:textId="77777777" w:rsidR="007B422C" w:rsidRPr="004F62C9" w:rsidRDefault="007B422C"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T2DM</w:t>
            </w:r>
          </w:p>
        </w:tc>
      </w:tr>
      <w:tr w:rsidR="004F62C9" w:rsidRPr="004F62C9" w14:paraId="4D62053B" w14:textId="77777777" w:rsidTr="004F62C9">
        <w:tc>
          <w:tcPr>
            <w:tcW w:w="1238" w:type="dxa"/>
            <w:vMerge/>
          </w:tcPr>
          <w:p w14:paraId="58629A70" w14:textId="77777777" w:rsidR="007B422C" w:rsidRPr="004F62C9" w:rsidRDefault="007B422C" w:rsidP="00900E1D">
            <w:pPr>
              <w:pStyle w:val="Table-Normal"/>
              <w:rPr>
                <w:color w:val="auto"/>
                <w:sz w:val="16"/>
                <w:szCs w:val="16"/>
              </w:rPr>
            </w:pPr>
          </w:p>
        </w:tc>
        <w:tc>
          <w:tcPr>
            <w:tcW w:w="815" w:type="dxa"/>
            <w:vMerge w:val="restart"/>
          </w:tcPr>
          <w:p w14:paraId="59CB9F8A"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Anchor</w:t>
            </w:r>
          </w:p>
        </w:tc>
        <w:tc>
          <w:tcPr>
            <w:tcW w:w="1728" w:type="dxa"/>
            <w:gridSpan w:val="2"/>
          </w:tcPr>
          <w:p w14:paraId="73B45DB3"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885" w:type="dxa"/>
            <w:vMerge w:val="restart"/>
          </w:tcPr>
          <w:p w14:paraId="697BA3CC"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b/>
                <w:bCs w:val="0"/>
                <w:color w:val="auto"/>
                <w:sz w:val="20"/>
                <w:szCs w:val="20"/>
              </w:rPr>
              <w:t>Anchor</w:t>
            </w:r>
          </w:p>
        </w:tc>
        <w:tc>
          <w:tcPr>
            <w:tcW w:w="1730" w:type="dxa"/>
            <w:gridSpan w:val="2"/>
          </w:tcPr>
          <w:p w14:paraId="4747A80B"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2643" w:type="dxa"/>
            <w:gridSpan w:val="3"/>
          </w:tcPr>
          <w:p w14:paraId="23068D28"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Insulin</w:t>
            </w:r>
          </w:p>
        </w:tc>
      </w:tr>
      <w:tr w:rsidR="004F62C9" w:rsidRPr="004F62C9" w14:paraId="7EB37DC1" w14:textId="77777777" w:rsidTr="004F62C9">
        <w:tc>
          <w:tcPr>
            <w:tcW w:w="1238" w:type="dxa"/>
            <w:vMerge/>
          </w:tcPr>
          <w:p w14:paraId="446F9022" w14:textId="77777777" w:rsidR="007B422C" w:rsidRPr="004F62C9" w:rsidRDefault="007B422C" w:rsidP="00900E1D">
            <w:pPr>
              <w:pStyle w:val="Table-Normal"/>
              <w:rPr>
                <w:color w:val="auto"/>
                <w:sz w:val="16"/>
                <w:szCs w:val="16"/>
              </w:rPr>
            </w:pPr>
          </w:p>
        </w:tc>
        <w:tc>
          <w:tcPr>
            <w:tcW w:w="815" w:type="dxa"/>
            <w:vMerge/>
          </w:tcPr>
          <w:p w14:paraId="06F9512E" w14:textId="77777777" w:rsidR="007B422C" w:rsidRPr="004F62C9" w:rsidRDefault="007B422C" w:rsidP="00900E1D">
            <w:pPr>
              <w:pStyle w:val="Table-Normal"/>
              <w:jc w:val="center"/>
              <w:rPr>
                <w:b/>
                <w:bCs w:val="0"/>
                <w:color w:val="auto"/>
                <w:sz w:val="20"/>
                <w:szCs w:val="20"/>
              </w:rPr>
            </w:pPr>
          </w:p>
        </w:tc>
        <w:tc>
          <w:tcPr>
            <w:tcW w:w="864" w:type="dxa"/>
          </w:tcPr>
          <w:p w14:paraId="25AC099C"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64" w:type="dxa"/>
          </w:tcPr>
          <w:p w14:paraId="53F96C7A"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85" w:type="dxa"/>
            <w:vMerge/>
          </w:tcPr>
          <w:p w14:paraId="22C3771D" w14:textId="77777777" w:rsidR="007B422C" w:rsidRPr="004F62C9" w:rsidRDefault="007B422C" w:rsidP="00900E1D">
            <w:pPr>
              <w:pStyle w:val="Table-Normal"/>
              <w:jc w:val="center"/>
              <w:rPr>
                <w:b/>
                <w:bCs w:val="0"/>
                <w:color w:val="auto"/>
                <w:sz w:val="20"/>
                <w:szCs w:val="20"/>
              </w:rPr>
            </w:pPr>
          </w:p>
        </w:tc>
        <w:tc>
          <w:tcPr>
            <w:tcW w:w="865" w:type="dxa"/>
          </w:tcPr>
          <w:p w14:paraId="3FBD5180"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65" w:type="dxa"/>
          </w:tcPr>
          <w:p w14:paraId="5CEC7DA8"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81" w:type="dxa"/>
          </w:tcPr>
          <w:p w14:paraId="779D6DEB"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81" w:type="dxa"/>
          </w:tcPr>
          <w:p w14:paraId="6D8ED30B"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81" w:type="dxa"/>
          </w:tcPr>
          <w:p w14:paraId="1B4344CF"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BB</w:t>
            </w:r>
          </w:p>
        </w:tc>
      </w:tr>
      <w:tr w:rsidR="004F62C9" w:rsidRPr="004F62C9" w14:paraId="55C7E420" w14:textId="77777777" w:rsidTr="004F62C9">
        <w:tc>
          <w:tcPr>
            <w:tcW w:w="1238" w:type="dxa"/>
          </w:tcPr>
          <w:p w14:paraId="46EC5D08" w14:textId="77777777" w:rsidR="007B422C" w:rsidRPr="004F62C9" w:rsidRDefault="007B422C" w:rsidP="00900E1D">
            <w:pPr>
              <w:pStyle w:val="Table-Normal"/>
              <w:jc w:val="right"/>
              <w:rPr>
                <w:rFonts w:ascii="Calibri" w:hAnsi="Calibri" w:cs="Calibri"/>
                <w:b/>
                <w:bCs w:val="0"/>
                <w:color w:val="auto"/>
                <w:kern w:val="24"/>
                <w:sz w:val="14"/>
                <w:szCs w:val="14"/>
              </w:rPr>
            </w:pPr>
            <w:r w:rsidRPr="004F62C9">
              <w:rPr>
                <w:rFonts w:ascii="Calibri" w:hAnsi="Calibri" w:cs="Calibri"/>
                <w:b/>
                <w:color w:val="auto"/>
                <w:kern w:val="24"/>
                <w:sz w:val="14"/>
                <w:szCs w:val="14"/>
              </w:rPr>
              <w:t xml:space="preserve">Full sample </w:t>
            </w:r>
            <w:r w:rsidRPr="004F62C9">
              <w:rPr>
                <w:rFonts w:ascii="Calibri" w:hAnsi="Calibri" w:cs="Calibri"/>
                <w:b/>
                <w:i/>
                <w:iCs/>
                <w:color w:val="auto"/>
                <w:kern w:val="24"/>
                <w:sz w:val="14"/>
                <w:szCs w:val="14"/>
              </w:rPr>
              <w:t>(base case)</w:t>
            </w:r>
          </w:p>
          <w:p w14:paraId="74B9E8ED" w14:textId="77777777" w:rsidR="007B422C" w:rsidRPr="004F62C9" w:rsidRDefault="007B422C" w:rsidP="00900E1D">
            <w:pPr>
              <w:pStyle w:val="Table-Normal"/>
              <w:jc w:val="right"/>
              <w:rPr>
                <w:rFonts w:ascii="Calibri" w:hAnsi="Calibri" w:cs="Calibri"/>
                <w:color w:val="auto"/>
                <w:kern w:val="24"/>
                <w:sz w:val="14"/>
                <w:szCs w:val="14"/>
              </w:rPr>
            </w:pPr>
            <w:r w:rsidRPr="004F62C9">
              <w:rPr>
                <w:rFonts w:ascii="Calibri" w:hAnsi="Calibri" w:cs="Calibri"/>
                <w:color w:val="auto"/>
                <w:kern w:val="24"/>
                <w:sz w:val="14"/>
                <w:szCs w:val="14"/>
              </w:rPr>
              <w:t xml:space="preserve">(n=100); mean </w:t>
            </w:r>
          </w:p>
        </w:tc>
        <w:tc>
          <w:tcPr>
            <w:tcW w:w="815" w:type="dxa"/>
          </w:tcPr>
          <w:p w14:paraId="1B29B0F4"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0.843</w:t>
            </w:r>
          </w:p>
        </w:tc>
        <w:tc>
          <w:tcPr>
            <w:tcW w:w="864" w:type="dxa"/>
          </w:tcPr>
          <w:p w14:paraId="2976470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0.790</w:t>
            </w:r>
          </w:p>
        </w:tc>
        <w:tc>
          <w:tcPr>
            <w:tcW w:w="864" w:type="dxa"/>
          </w:tcPr>
          <w:p w14:paraId="398E93FB"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0.757</w:t>
            </w:r>
          </w:p>
        </w:tc>
        <w:tc>
          <w:tcPr>
            <w:tcW w:w="885" w:type="dxa"/>
          </w:tcPr>
          <w:p w14:paraId="2DCFDAE1"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0.872</w:t>
            </w:r>
          </w:p>
        </w:tc>
        <w:tc>
          <w:tcPr>
            <w:tcW w:w="865" w:type="dxa"/>
          </w:tcPr>
          <w:p w14:paraId="1A0CA349"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0.842</w:t>
            </w:r>
          </w:p>
        </w:tc>
        <w:tc>
          <w:tcPr>
            <w:tcW w:w="865" w:type="dxa"/>
          </w:tcPr>
          <w:p w14:paraId="71E0EE2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0.805</w:t>
            </w:r>
          </w:p>
        </w:tc>
        <w:tc>
          <w:tcPr>
            <w:tcW w:w="881" w:type="dxa"/>
          </w:tcPr>
          <w:p w14:paraId="5D1E1933"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0.822</w:t>
            </w:r>
          </w:p>
        </w:tc>
        <w:tc>
          <w:tcPr>
            <w:tcW w:w="881" w:type="dxa"/>
          </w:tcPr>
          <w:p w14:paraId="66B9A63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0.765</w:t>
            </w:r>
          </w:p>
        </w:tc>
        <w:tc>
          <w:tcPr>
            <w:tcW w:w="881" w:type="dxa"/>
          </w:tcPr>
          <w:p w14:paraId="7B2BAE3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0.669</w:t>
            </w:r>
          </w:p>
        </w:tc>
      </w:tr>
      <w:tr w:rsidR="004F62C9" w:rsidRPr="004F62C9" w14:paraId="173EE25F" w14:textId="77777777" w:rsidTr="004F62C9">
        <w:tc>
          <w:tcPr>
            <w:tcW w:w="1238" w:type="dxa"/>
          </w:tcPr>
          <w:p w14:paraId="70877F9B" w14:textId="77777777" w:rsidR="007B422C" w:rsidRPr="004F62C9" w:rsidRDefault="007B422C" w:rsidP="00900E1D">
            <w:pPr>
              <w:pStyle w:val="Table-Normal"/>
              <w:jc w:val="right"/>
              <w:rPr>
                <w:rFonts w:ascii="Calibri" w:hAnsi="Calibri" w:cs="Calibri"/>
                <w:b/>
                <w:bCs w:val="0"/>
                <w:color w:val="auto"/>
                <w:kern w:val="24"/>
                <w:sz w:val="14"/>
                <w:szCs w:val="14"/>
              </w:rPr>
            </w:pPr>
            <w:r w:rsidRPr="004F62C9">
              <w:rPr>
                <w:rFonts w:ascii="Calibri" w:hAnsi="Calibri" w:cs="Calibri"/>
                <w:b/>
                <w:color w:val="auto"/>
                <w:kern w:val="24"/>
                <w:sz w:val="14"/>
                <w:szCs w:val="14"/>
              </w:rPr>
              <w:t>No 0.0 or 1.0*</w:t>
            </w:r>
          </w:p>
          <w:p w14:paraId="1937514D" w14:textId="77777777" w:rsidR="007B422C" w:rsidRPr="004F62C9" w:rsidRDefault="007B422C" w:rsidP="00900E1D">
            <w:pPr>
              <w:pStyle w:val="Table-Normal"/>
              <w:jc w:val="right"/>
              <w:rPr>
                <w:rFonts w:ascii="Calibri" w:hAnsi="Calibri" w:cs="Calibri"/>
                <w:color w:val="auto"/>
                <w:kern w:val="24"/>
                <w:sz w:val="14"/>
                <w:szCs w:val="14"/>
              </w:rPr>
            </w:pPr>
            <w:r w:rsidRPr="004F62C9">
              <w:rPr>
                <w:rFonts w:ascii="Calibri" w:hAnsi="Calibri" w:cs="Calibri"/>
                <w:color w:val="auto"/>
                <w:kern w:val="24"/>
                <w:sz w:val="14"/>
                <w:szCs w:val="14"/>
              </w:rPr>
              <w:t xml:space="preserve">(n=*); mean </w:t>
            </w:r>
          </w:p>
        </w:tc>
        <w:tc>
          <w:tcPr>
            <w:tcW w:w="815" w:type="dxa"/>
          </w:tcPr>
          <w:p w14:paraId="7A36B157"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0.768</w:t>
            </w:r>
          </w:p>
        </w:tc>
        <w:tc>
          <w:tcPr>
            <w:tcW w:w="864" w:type="dxa"/>
          </w:tcPr>
          <w:p w14:paraId="1F3E438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0.761</w:t>
            </w:r>
          </w:p>
        </w:tc>
        <w:tc>
          <w:tcPr>
            <w:tcW w:w="864" w:type="dxa"/>
          </w:tcPr>
          <w:p w14:paraId="32B25642"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0.747</w:t>
            </w:r>
          </w:p>
        </w:tc>
        <w:tc>
          <w:tcPr>
            <w:tcW w:w="885" w:type="dxa"/>
          </w:tcPr>
          <w:p w14:paraId="7EA3FA3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0.836</w:t>
            </w:r>
          </w:p>
        </w:tc>
        <w:tc>
          <w:tcPr>
            <w:tcW w:w="865" w:type="dxa"/>
          </w:tcPr>
          <w:p w14:paraId="73C3F55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0.792</w:t>
            </w:r>
          </w:p>
        </w:tc>
        <w:tc>
          <w:tcPr>
            <w:tcW w:w="865" w:type="dxa"/>
          </w:tcPr>
          <w:p w14:paraId="3FA6E158"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0.753</w:t>
            </w:r>
          </w:p>
        </w:tc>
        <w:tc>
          <w:tcPr>
            <w:tcW w:w="881" w:type="dxa"/>
          </w:tcPr>
          <w:p w14:paraId="001FBA6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0.774</w:t>
            </w:r>
          </w:p>
        </w:tc>
        <w:tc>
          <w:tcPr>
            <w:tcW w:w="881" w:type="dxa"/>
          </w:tcPr>
          <w:p w14:paraId="5C3D9A56"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0.733</w:t>
            </w:r>
          </w:p>
        </w:tc>
        <w:tc>
          <w:tcPr>
            <w:tcW w:w="881" w:type="dxa"/>
          </w:tcPr>
          <w:p w14:paraId="4256CE8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0.678</w:t>
            </w:r>
          </w:p>
        </w:tc>
      </w:tr>
      <w:tr w:rsidR="004F62C9" w:rsidRPr="004F62C9" w14:paraId="62101729" w14:textId="77777777" w:rsidTr="004F62C9">
        <w:tc>
          <w:tcPr>
            <w:tcW w:w="1238" w:type="dxa"/>
          </w:tcPr>
          <w:p w14:paraId="782ED0E7" w14:textId="76AA7767" w:rsidR="00E61856" w:rsidRPr="004F62C9" w:rsidRDefault="00E61856" w:rsidP="00E61856">
            <w:pPr>
              <w:pStyle w:val="Table-Normal"/>
              <w:jc w:val="right"/>
              <w:rPr>
                <w:rFonts w:ascii="Calibri" w:hAnsi="Calibri" w:cs="Calibri"/>
                <w:b/>
                <w:bCs w:val="0"/>
                <w:color w:val="auto"/>
                <w:kern w:val="24"/>
                <w:sz w:val="14"/>
                <w:szCs w:val="14"/>
              </w:rPr>
            </w:pPr>
            <w:r w:rsidRPr="004F62C9">
              <w:rPr>
                <w:rFonts w:ascii="Calibri" w:hAnsi="Calibri" w:cs="Calibri"/>
                <w:b/>
                <w:color w:val="auto"/>
                <w:kern w:val="24"/>
                <w:sz w:val="14"/>
                <w:szCs w:val="14"/>
              </w:rPr>
              <w:t>No high/low 5%</w:t>
            </w:r>
          </w:p>
          <w:p w14:paraId="4031972E" w14:textId="15106C04" w:rsidR="00E61856" w:rsidRPr="004F62C9" w:rsidRDefault="00E61856" w:rsidP="00E61856">
            <w:pPr>
              <w:pStyle w:val="Table-Normal"/>
              <w:jc w:val="right"/>
              <w:rPr>
                <w:rFonts w:ascii="Calibri" w:hAnsi="Calibri" w:cs="Calibri"/>
                <w:bCs w:val="0"/>
                <w:color w:val="auto"/>
                <w:kern w:val="24"/>
                <w:sz w:val="14"/>
                <w:szCs w:val="14"/>
              </w:rPr>
            </w:pPr>
            <w:r w:rsidRPr="004F62C9">
              <w:rPr>
                <w:rFonts w:ascii="Calibri" w:hAnsi="Calibri" w:cs="Calibri"/>
                <w:color w:val="auto"/>
                <w:kern w:val="24"/>
                <w:sz w:val="14"/>
                <w:szCs w:val="14"/>
              </w:rPr>
              <w:t>(n=90†;</w:t>
            </w:r>
            <w:r w:rsidRPr="004F62C9">
              <w:rPr>
                <w:color w:val="auto"/>
              </w:rPr>
              <w:t xml:space="preserve"> </w:t>
            </w:r>
            <w:r w:rsidRPr="004F62C9">
              <w:rPr>
                <w:rFonts w:ascii="Calibri" w:hAnsi="Calibri" w:cs="Calibri"/>
                <w:color w:val="auto"/>
                <w:kern w:val="24"/>
                <w:sz w:val="14"/>
                <w:szCs w:val="14"/>
              </w:rPr>
              <w:t>mean)</w:t>
            </w:r>
          </w:p>
        </w:tc>
        <w:tc>
          <w:tcPr>
            <w:tcW w:w="815" w:type="dxa"/>
          </w:tcPr>
          <w:p w14:paraId="4981895D" w14:textId="6F9CF227" w:rsidR="00E61856" w:rsidRPr="004F62C9" w:rsidRDefault="00E61856" w:rsidP="00E61856">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0.872</w:t>
            </w:r>
          </w:p>
        </w:tc>
        <w:tc>
          <w:tcPr>
            <w:tcW w:w="864" w:type="dxa"/>
          </w:tcPr>
          <w:p w14:paraId="097FA3D5" w14:textId="7302AB70" w:rsidR="00E61856" w:rsidRPr="004F62C9" w:rsidRDefault="00E61856" w:rsidP="00E61856">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0.820</w:t>
            </w:r>
          </w:p>
        </w:tc>
        <w:tc>
          <w:tcPr>
            <w:tcW w:w="864" w:type="dxa"/>
          </w:tcPr>
          <w:p w14:paraId="00BCDD34" w14:textId="4877EFD5" w:rsidR="00E61856" w:rsidRPr="004F62C9" w:rsidRDefault="00E61856" w:rsidP="00E61856">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0.786</w:t>
            </w:r>
          </w:p>
        </w:tc>
        <w:tc>
          <w:tcPr>
            <w:tcW w:w="885" w:type="dxa"/>
          </w:tcPr>
          <w:p w14:paraId="687EB78E" w14:textId="57DAD1B1" w:rsidR="00E61856" w:rsidRPr="004F62C9" w:rsidRDefault="00E61856" w:rsidP="00E61856">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0.901</w:t>
            </w:r>
          </w:p>
        </w:tc>
        <w:tc>
          <w:tcPr>
            <w:tcW w:w="865" w:type="dxa"/>
          </w:tcPr>
          <w:p w14:paraId="6054AE1C" w14:textId="00AB4727" w:rsidR="00E61856" w:rsidRPr="004F62C9" w:rsidRDefault="00E61856" w:rsidP="00E61856">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0.869</w:t>
            </w:r>
          </w:p>
        </w:tc>
        <w:tc>
          <w:tcPr>
            <w:tcW w:w="865" w:type="dxa"/>
          </w:tcPr>
          <w:p w14:paraId="2BA84037" w14:textId="45D5458F" w:rsidR="00E61856" w:rsidRPr="004F62C9" w:rsidRDefault="00E61856" w:rsidP="00E61856">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0.831</w:t>
            </w:r>
          </w:p>
        </w:tc>
        <w:tc>
          <w:tcPr>
            <w:tcW w:w="881" w:type="dxa"/>
          </w:tcPr>
          <w:p w14:paraId="70B441DD" w14:textId="21DA671A" w:rsidR="00E61856" w:rsidRPr="004F62C9" w:rsidRDefault="00E61856" w:rsidP="00E61856">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0.850</w:t>
            </w:r>
          </w:p>
        </w:tc>
        <w:tc>
          <w:tcPr>
            <w:tcW w:w="881" w:type="dxa"/>
          </w:tcPr>
          <w:p w14:paraId="4E4FAADA" w14:textId="52B221D1" w:rsidR="00E61856" w:rsidRPr="004F62C9" w:rsidRDefault="00E61856" w:rsidP="00E61856">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0.792</w:t>
            </w:r>
          </w:p>
        </w:tc>
        <w:tc>
          <w:tcPr>
            <w:tcW w:w="881" w:type="dxa"/>
          </w:tcPr>
          <w:p w14:paraId="615A58DE" w14:textId="16C832CF" w:rsidR="00E61856" w:rsidRPr="004F62C9" w:rsidRDefault="00E61856" w:rsidP="00E61856">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0.688</w:t>
            </w:r>
          </w:p>
        </w:tc>
      </w:tr>
      <w:tr w:rsidR="004F62C9" w:rsidRPr="004F62C9" w14:paraId="6B17C8EB" w14:textId="77777777" w:rsidTr="004F62C9">
        <w:tc>
          <w:tcPr>
            <w:tcW w:w="1238" w:type="dxa"/>
          </w:tcPr>
          <w:p w14:paraId="240A18FE" w14:textId="77777777" w:rsidR="00C23DE3" w:rsidRPr="004F62C9" w:rsidRDefault="00C23DE3" w:rsidP="00C23DE3">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No +/−2 SD</w:t>
            </w:r>
          </w:p>
          <w:p w14:paraId="738EB7AE" w14:textId="326D8C3C" w:rsidR="00C23DE3" w:rsidRPr="004F62C9" w:rsidRDefault="00C23DE3" w:rsidP="00C23DE3">
            <w:pPr>
              <w:pStyle w:val="Table-Normal"/>
              <w:jc w:val="right"/>
              <w:rPr>
                <w:rFonts w:ascii="Calibri" w:hAnsi="Calibri" w:cs="Calibri"/>
                <w:b/>
                <w:color w:val="auto"/>
                <w:kern w:val="24"/>
                <w:sz w:val="14"/>
                <w:szCs w:val="14"/>
              </w:rPr>
            </w:pPr>
            <w:r w:rsidRPr="004F62C9">
              <w:rPr>
                <w:rFonts w:ascii="Calibri" w:hAnsi="Calibri" w:cs="Calibri"/>
                <w:color w:val="auto"/>
                <w:kern w:val="24"/>
                <w:sz w:val="15"/>
                <w:szCs w:val="15"/>
              </w:rPr>
              <w:t>(n=‡; mean)</w:t>
            </w:r>
          </w:p>
        </w:tc>
        <w:tc>
          <w:tcPr>
            <w:tcW w:w="815" w:type="dxa"/>
          </w:tcPr>
          <w:p w14:paraId="45299575" w14:textId="08F987B2" w:rsidR="00C23DE3" w:rsidRPr="004F62C9" w:rsidRDefault="00C23DE3"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0.894</w:t>
            </w:r>
          </w:p>
        </w:tc>
        <w:tc>
          <w:tcPr>
            <w:tcW w:w="864" w:type="dxa"/>
          </w:tcPr>
          <w:p w14:paraId="67577E19" w14:textId="67D75CE7" w:rsidR="00C23DE3" w:rsidRPr="004F62C9" w:rsidRDefault="00C23DE3"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0.843</w:t>
            </w:r>
          </w:p>
        </w:tc>
        <w:tc>
          <w:tcPr>
            <w:tcW w:w="864" w:type="dxa"/>
          </w:tcPr>
          <w:p w14:paraId="228D61B2" w14:textId="4C13EE52" w:rsidR="00C23DE3" w:rsidRPr="004F62C9" w:rsidRDefault="00C23DE3"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0.812</w:t>
            </w:r>
          </w:p>
        </w:tc>
        <w:tc>
          <w:tcPr>
            <w:tcW w:w="885" w:type="dxa"/>
          </w:tcPr>
          <w:p w14:paraId="24E9B0A0" w14:textId="7DFEEBB9" w:rsidR="00C23DE3" w:rsidRPr="004F62C9" w:rsidRDefault="00C23DE3"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0.907</w:t>
            </w:r>
          </w:p>
        </w:tc>
        <w:tc>
          <w:tcPr>
            <w:tcW w:w="865" w:type="dxa"/>
          </w:tcPr>
          <w:p w14:paraId="34299E20" w14:textId="37A60873" w:rsidR="00C23DE3" w:rsidRPr="004F62C9" w:rsidRDefault="00C23DE3"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0.888</w:t>
            </w:r>
          </w:p>
        </w:tc>
        <w:tc>
          <w:tcPr>
            <w:tcW w:w="865" w:type="dxa"/>
          </w:tcPr>
          <w:p w14:paraId="3BA40DB6" w14:textId="779F0182" w:rsidR="00C23DE3" w:rsidRPr="004F62C9" w:rsidRDefault="00C23DE3"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0.839</w:t>
            </w:r>
          </w:p>
        </w:tc>
        <w:tc>
          <w:tcPr>
            <w:tcW w:w="881" w:type="dxa"/>
          </w:tcPr>
          <w:p w14:paraId="1FAEE206" w14:textId="2A09E159" w:rsidR="00C23DE3" w:rsidRPr="004F62C9" w:rsidRDefault="00C23DE3"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0.864</w:t>
            </w:r>
          </w:p>
        </w:tc>
        <w:tc>
          <w:tcPr>
            <w:tcW w:w="881" w:type="dxa"/>
          </w:tcPr>
          <w:p w14:paraId="1321D108" w14:textId="5816D664" w:rsidR="00C23DE3" w:rsidRPr="004F62C9" w:rsidRDefault="00C23DE3"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0.816</w:t>
            </w:r>
          </w:p>
        </w:tc>
        <w:tc>
          <w:tcPr>
            <w:tcW w:w="881" w:type="dxa"/>
          </w:tcPr>
          <w:p w14:paraId="135CD303" w14:textId="7F2BA9F8" w:rsidR="00C23DE3" w:rsidRPr="004F62C9" w:rsidRDefault="00C23DE3"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0.727</w:t>
            </w:r>
          </w:p>
        </w:tc>
      </w:tr>
      <w:tr w:rsidR="004F62C9" w:rsidRPr="004F62C9" w14:paraId="0D8188D8" w14:textId="77777777" w:rsidTr="004F62C9">
        <w:tc>
          <w:tcPr>
            <w:tcW w:w="1238" w:type="dxa"/>
          </w:tcPr>
          <w:p w14:paraId="41514F41" w14:textId="27B4BB70" w:rsidR="00AA5E44" w:rsidRPr="004F62C9" w:rsidRDefault="00AA5E44" w:rsidP="00AA5E44">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No illogical</w:t>
            </w:r>
          </w:p>
          <w:p w14:paraId="3176D026" w14:textId="675A5132" w:rsidR="00AA5E44" w:rsidRPr="004F62C9" w:rsidRDefault="00AA5E44" w:rsidP="00AA5E44">
            <w:pPr>
              <w:pStyle w:val="Table-Normal"/>
              <w:jc w:val="right"/>
              <w:rPr>
                <w:rFonts w:ascii="Calibri" w:hAnsi="Calibri" w:cs="Calibri"/>
                <w:b/>
                <w:color w:val="auto"/>
                <w:kern w:val="24"/>
                <w:sz w:val="14"/>
                <w:szCs w:val="14"/>
              </w:rPr>
            </w:pPr>
            <w:r w:rsidRPr="004F62C9">
              <w:rPr>
                <w:rFonts w:ascii="Calibri" w:hAnsi="Calibri" w:cs="Calibri"/>
                <w:color w:val="auto"/>
                <w:kern w:val="24"/>
                <w:sz w:val="15"/>
                <w:szCs w:val="15"/>
              </w:rPr>
              <w:t>(n=§; mean)</w:t>
            </w:r>
          </w:p>
        </w:tc>
        <w:tc>
          <w:tcPr>
            <w:tcW w:w="815" w:type="dxa"/>
          </w:tcPr>
          <w:p w14:paraId="361C150D" w14:textId="09DCD959"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0.843</w:t>
            </w:r>
          </w:p>
        </w:tc>
        <w:tc>
          <w:tcPr>
            <w:tcW w:w="864" w:type="dxa"/>
          </w:tcPr>
          <w:p w14:paraId="6E6065FE" w14:textId="788AEDCA"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0.788</w:t>
            </w:r>
          </w:p>
        </w:tc>
        <w:tc>
          <w:tcPr>
            <w:tcW w:w="864" w:type="dxa"/>
          </w:tcPr>
          <w:p w14:paraId="0335AC0D" w14:textId="04D16303"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0.757</w:t>
            </w:r>
          </w:p>
        </w:tc>
        <w:tc>
          <w:tcPr>
            <w:tcW w:w="885" w:type="dxa"/>
          </w:tcPr>
          <w:p w14:paraId="3D161C0E" w14:textId="3D5B6645"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0.872</w:t>
            </w:r>
          </w:p>
        </w:tc>
        <w:tc>
          <w:tcPr>
            <w:tcW w:w="865" w:type="dxa"/>
          </w:tcPr>
          <w:p w14:paraId="143F1ACF" w14:textId="766F3503"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0.831</w:t>
            </w:r>
          </w:p>
        </w:tc>
        <w:tc>
          <w:tcPr>
            <w:tcW w:w="865" w:type="dxa"/>
          </w:tcPr>
          <w:p w14:paraId="53F439E2" w14:textId="2351AD07"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0.809</w:t>
            </w:r>
          </w:p>
        </w:tc>
        <w:tc>
          <w:tcPr>
            <w:tcW w:w="881" w:type="dxa"/>
          </w:tcPr>
          <w:p w14:paraId="5B5D8644" w14:textId="0F679F9E"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0.819</w:t>
            </w:r>
          </w:p>
        </w:tc>
        <w:tc>
          <w:tcPr>
            <w:tcW w:w="881" w:type="dxa"/>
          </w:tcPr>
          <w:p w14:paraId="2DF4BF83" w14:textId="15631B1C"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0.764</w:t>
            </w:r>
          </w:p>
        </w:tc>
        <w:tc>
          <w:tcPr>
            <w:tcW w:w="881" w:type="dxa"/>
          </w:tcPr>
          <w:p w14:paraId="2163D225" w14:textId="1613C92E" w:rsidR="00AA5E44" w:rsidRPr="004F62C9" w:rsidRDefault="00AA5E4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0.666</w:t>
            </w:r>
          </w:p>
        </w:tc>
      </w:tr>
      <w:tr w:rsidR="004F62C9" w:rsidRPr="004F62C9" w14:paraId="04EB1AC7" w14:textId="77777777" w:rsidTr="004F62C9">
        <w:tc>
          <w:tcPr>
            <w:tcW w:w="1238" w:type="dxa"/>
          </w:tcPr>
          <w:p w14:paraId="627F269C" w14:textId="77777777" w:rsidR="007B422C" w:rsidRPr="004F62C9" w:rsidRDefault="007B422C" w:rsidP="00900E1D">
            <w:pPr>
              <w:pStyle w:val="Table-Normal"/>
              <w:jc w:val="right"/>
              <w:rPr>
                <w:rFonts w:ascii="Calibri" w:hAnsi="Calibri" w:cs="Calibri"/>
                <w:b/>
                <w:bCs w:val="0"/>
                <w:color w:val="auto"/>
                <w:kern w:val="24"/>
                <w:sz w:val="14"/>
                <w:szCs w:val="14"/>
              </w:rPr>
            </w:pPr>
            <w:r w:rsidRPr="004F62C9">
              <w:rPr>
                <w:rFonts w:ascii="Calibri" w:hAnsi="Calibri" w:cs="Calibri"/>
                <w:b/>
                <w:color w:val="auto"/>
                <w:kern w:val="24"/>
                <w:sz w:val="14"/>
                <w:szCs w:val="14"/>
              </w:rPr>
              <w:t>Male</w:t>
            </w:r>
          </w:p>
          <w:p w14:paraId="42F90F2E" w14:textId="77777777" w:rsidR="007B422C" w:rsidRPr="004F62C9" w:rsidRDefault="007B422C" w:rsidP="00900E1D">
            <w:pPr>
              <w:pStyle w:val="Table-Normal"/>
              <w:jc w:val="right"/>
              <w:rPr>
                <w:rFonts w:ascii="Calibri" w:hAnsi="Calibri" w:cs="Calibri"/>
                <w:color w:val="auto"/>
                <w:kern w:val="24"/>
                <w:sz w:val="14"/>
                <w:szCs w:val="14"/>
              </w:rPr>
            </w:pPr>
            <w:r w:rsidRPr="004F62C9">
              <w:rPr>
                <w:rFonts w:ascii="Calibri" w:hAnsi="Calibri" w:cs="Calibri"/>
                <w:color w:val="auto"/>
                <w:kern w:val="24"/>
                <w:sz w:val="14"/>
                <w:szCs w:val="14"/>
              </w:rPr>
              <w:t xml:space="preserve">(n=49); mean </w:t>
            </w:r>
          </w:p>
        </w:tc>
        <w:tc>
          <w:tcPr>
            <w:tcW w:w="815" w:type="dxa"/>
          </w:tcPr>
          <w:p w14:paraId="67C82FC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0.807</w:t>
            </w:r>
          </w:p>
        </w:tc>
        <w:tc>
          <w:tcPr>
            <w:tcW w:w="864" w:type="dxa"/>
          </w:tcPr>
          <w:p w14:paraId="05DCC301"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0.769</w:t>
            </w:r>
          </w:p>
        </w:tc>
        <w:tc>
          <w:tcPr>
            <w:tcW w:w="864" w:type="dxa"/>
          </w:tcPr>
          <w:p w14:paraId="0131A036"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0.724</w:t>
            </w:r>
          </w:p>
        </w:tc>
        <w:tc>
          <w:tcPr>
            <w:tcW w:w="885" w:type="dxa"/>
          </w:tcPr>
          <w:p w14:paraId="67DBD67C"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0.874</w:t>
            </w:r>
          </w:p>
        </w:tc>
        <w:tc>
          <w:tcPr>
            <w:tcW w:w="865" w:type="dxa"/>
          </w:tcPr>
          <w:p w14:paraId="77C04CF4"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0.842</w:t>
            </w:r>
          </w:p>
        </w:tc>
        <w:tc>
          <w:tcPr>
            <w:tcW w:w="865" w:type="dxa"/>
          </w:tcPr>
          <w:p w14:paraId="2755264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0.795</w:t>
            </w:r>
          </w:p>
        </w:tc>
        <w:tc>
          <w:tcPr>
            <w:tcW w:w="881" w:type="dxa"/>
          </w:tcPr>
          <w:p w14:paraId="08A9379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0.813</w:t>
            </w:r>
          </w:p>
        </w:tc>
        <w:tc>
          <w:tcPr>
            <w:tcW w:w="881" w:type="dxa"/>
          </w:tcPr>
          <w:p w14:paraId="5EC6B3F5"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0.737</w:t>
            </w:r>
          </w:p>
        </w:tc>
        <w:tc>
          <w:tcPr>
            <w:tcW w:w="881" w:type="dxa"/>
          </w:tcPr>
          <w:p w14:paraId="07F2B3D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0.643</w:t>
            </w:r>
          </w:p>
        </w:tc>
      </w:tr>
      <w:tr w:rsidR="004F62C9" w:rsidRPr="004F62C9" w14:paraId="6E95DD41" w14:textId="77777777" w:rsidTr="004F62C9">
        <w:tc>
          <w:tcPr>
            <w:tcW w:w="1238" w:type="dxa"/>
          </w:tcPr>
          <w:p w14:paraId="4A6EF093" w14:textId="77777777" w:rsidR="007B422C" w:rsidRPr="004F62C9" w:rsidRDefault="007B422C" w:rsidP="00900E1D">
            <w:pPr>
              <w:pStyle w:val="Table-Normal"/>
              <w:jc w:val="right"/>
              <w:rPr>
                <w:rFonts w:ascii="Calibri" w:hAnsi="Calibri" w:cs="Calibri"/>
                <w:b/>
                <w:bCs w:val="0"/>
                <w:color w:val="auto"/>
                <w:kern w:val="24"/>
                <w:sz w:val="14"/>
                <w:szCs w:val="14"/>
              </w:rPr>
            </w:pPr>
            <w:r w:rsidRPr="004F62C9">
              <w:rPr>
                <w:rFonts w:ascii="Calibri" w:hAnsi="Calibri" w:cs="Calibri"/>
                <w:b/>
                <w:color w:val="auto"/>
                <w:kern w:val="24"/>
                <w:sz w:val="14"/>
                <w:szCs w:val="14"/>
              </w:rPr>
              <w:t>Female</w:t>
            </w:r>
          </w:p>
          <w:p w14:paraId="1D101EA8" w14:textId="77777777" w:rsidR="007B422C" w:rsidRPr="004F62C9" w:rsidRDefault="007B422C" w:rsidP="00900E1D">
            <w:pPr>
              <w:pStyle w:val="Table-Normal"/>
              <w:jc w:val="right"/>
              <w:rPr>
                <w:rFonts w:ascii="Calibri" w:hAnsi="Calibri" w:cs="Calibri"/>
                <w:color w:val="auto"/>
                <w:kern w:val="24"/>
                <w:sz w:val="14"/>
                <w:szCs w:val="14"/>
              </w:rPr>
            </w:pPr>
            <w:r w:rsidRPr="004F62C9">
              <w:rPr>
                <w:rFonts w:ascii="Calibri" w:hAnsi="Calibri" w:cs="Calibri"/>
                <w:color w:val="auto"/>
                <w:kern w:val="24"/>
                <w:sz w:val="14"/>
                <w:szCs w:val="14"/>
              </w:rPr>
              <w:t xml:space="preserve">(n=51); mean </w:t>
            </w:r>
          </w:p>
        </w:tc>
        <w:tc>
          <w:tcPr>
            <w:tcW w:w="815" w:type="dxa"/>
          </w:tcPr>
          <w:p w14:paraId="0E74D20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0.876</w:t>
            </w:r>
          </w:p>
        </w:tc>
        <w:tc>
          <w:tcPr>
            <w:tcW w:w="864" w:type="dxa"/>
          </w:tcPr>
          <w:p w14:paraId="32AAE6FC"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0.811</w:t>
            </w:r>
          </w:p>
        </w:tc>
        <w:tc>
          <w:tcPr>
            <w:tcW w:w="864" w:type="dxa"/>
          </w:tcPr>
          <w:p w14:paraId="616C161B"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0.790</w:t>
            </w:r>
          </w:p>
        </w:tc>
        <w:tc>
          <w:tcPr>
            <w:tcW w:w="885" w:type="dxa"/>
          </w:tcPr>
          <w:p w14:paraId="0A98EB5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0.869</w:t>
            </w:r>
          </w:p>
        </w:tc>
        <w:tc>
          <w:tcPr>
            <w:tcW w:w="865" w:type="dxa"/>
          </w:tcPr>
          <w:p w14:paraId="278A3BA8"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0.842</w:t>
            </w:r>
          </w:p>
        </w:tc>
        <w:tc>
          <w:tcPr>
            <w:tcW w:w="865" w:type="dxa"/>
          </w:tcPr>
          <w:p w14:paraId="7D1F72F2"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0.814</w:t>
            </w:r>
          </w:p>
        </w:tc>
        <w:tc>
          <w:tcPr>
            <w:tcW w:w="881" w:type="dxa"/>
          </w:tcPr>
          <w:p w14:paraId="3A89A2B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0.830</w:t>
            </w:r>
          </w:p>
        </w:tc>
        <w:tc>
          <w:tcPr>
            <w:tcW w:w="881" w:type="dxa"/>
          </w:tcPr>
          <w:p w14:paraId="4D349A4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0.792</w:t>
            </w:r>
          </w:p>
        </w:tc>
        <w:tc>
          <w:tcPr>
            <w:tcW w:w="881" w:type="dxa"/>
          </w:tcPr>
          <w:p w14:paraId="761068E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0.694</w:t>
            </w:r>
          </w:p>
        </w:tc>
      </w:tr>
      <w:tr w:rsidR="004F62C9" w:rsidRPr="004F62C9" w14:paraId="249EEF1D" w14:textId="77777777" w:rsidTr="004F62C9">
        <w:tc>
          <w:tcPr>
            <w:tcW w:w="1238" w:type="dxa"/>
          </w:tcPr>
          <w:p w14:paraId="0655F762" w14:textId="77777777" w:rsidR="007B422C" w:rsidRPr="004F62C9" w:rsidRDefault="007B422C" w:rsidP="00900E1D">
            <w:pPr>
              <w:pStyle w:val="Table-Normal"/>
              <w:jc w:val="right"/>
              <w:rPr>
                <w:rFonts w:ascii="Calibri" w:hAnsi="Calibri" w:cs="Calibri"/>
                <w:b/>
                <w:bCs w:val="0"/>
                <w:color w:val="auto"/>
                <w:kern w:val="24"/>
                <w:sz w:val="14"/>
                <w:szCs w:val="14"/>
              </w:rPr>
            </w:pPr>
            <w:r w:rsidRPr="004F62C9">
              <w:rPr>
                <w:rFonts w:ascii="Calibri" w:hAnsi="Calibri" w:cs="Calibri"/>
                <w:b/>
                <w:color w:val="auto"/>
                <w:kern w:val="24"/>
                <w:sz w:val="14"/>
                <w:szCs w:val="14"/>
              </w:rPr>
              <w:t>Age &lt;40 years</w:t>
            </w:r>
          </w:p>
          <w:p w14:paraId="2B002C51" w14:textId="77777777" w:rsidR="007B422C" w:rsidRPr="004F62C9" w:rsidRDefault="007B422C" w:rsidP="00900E1D">
            <w:pPr>
              <w:pStyle w:val="Table-Normal"/>
              <w:jc w:val="right"/>
              <w:rPr>
                <w:rFonts w:ascii="Calibri" w:hAnsi="Calibri" w:cs="Calibri"/>
                <w:color w:val="auto"/>
                <w:kern w:val="24"/>
                <w:sz w:val="14"/>
                <w:szCs w:val="14"/>
              </w:rPr>
            </w:pPr>
            <w:r w:rsidRPr="004F62C9">
              <w:rPr>
                <w:rFonts w:ascii="Calibri" w:hAnsi="Calibri" w:cs="Calibri"/>
                <w:color w:val="auto"/>
                <w:kern w:val="24"/>
                <w:sz w:val="14"/>
                <w:szCs w:val="14"/>
              </w:rPr>
              <w:t xml:space="preserve">(n=36); mean </w:t>
            </w:r>
          </w:p>
        </w:tc>
        <w:tc>
          <w:tcPr>
            <w:tcW w:w="815" w:type="dxa"/>
          </w:tcPr>
          <w:p w14:paraId="40B0DE5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0.783</w:t>
            </w:r>
          </w:p>
        </w:tc>
        <w:tc>
          <w:tcPr>
            <w:tcW w:w="864" w:type="dxa"/>
          </w:tcPr>
          <w:p w14:paraId="5C4F85C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0.736</w:t>
            </w:r>
          </w:p>
        </w:tc>
        <w:tc>
          <w:tcPr>
            <w:tcW w:w="864" w:type="dxa"/>
          </w:tcPr>
          <w:p w14:paraId="71CCF883"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0.698</w:t>
            </w:r>
          </w:p>
        </w:tc>
        <w:tc>
          <w:tcPr>
            <w:tcW w:w="885" w:type="dxa"/>
          </w:tcPr>
          <w:p w14:paraId="5F66C122"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0.837</w:t>
            </w:r>
          </w:p>
        </w:tc>
        <w:tc>
          <w:tcPr>
            <w:tcW w:w="865" w:type="dxa"/>
          </w:tcPr>
          <w:p w14:paraId="040C25D3"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0.796</w:t>
            </w:r>
          </w:p>
        </w:tc>
        <w:tc>
          <w:tcPr>
            <w:tcW w:w="865" w:type="dxa"/>
          </w:tcPr>
          <w:p w14:paraId="6113B56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0.748</w:t>
            </w:r>
          </w:p>
        </w:tc>
        <w:tc>
          <w:tcPr>
            <w:tcW w:w="881" w:type="dxa"/>
          </w:tcPr>
          <w:p w14:paraId="4C239254"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0.770</w:t>
            </w:r>
          </w:p>
        </w:tc>
        <w:tc>
          <w:tcPr>
            <w:tcW w:w="881" w:type="dxa"/>
          </w:tcPr>
          <w:p w14:paraId="0BB16CCC"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0.724</w:t>
            </w:r>
          </w:p>
        </w:tc>
        <w:tc>
          <w:tcPr>
            <w:tcW w:w="881" w:type="dxa"/>
          </w:tcPr>
          <w:p w14:paraId="30A77E24"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0.631</w:t>
            </w:r>
          </w:p>
        </w:tc>
      </w:tr>
      <w:tr w:rsidR="004F62C9" w:rsidRPr="004F62C9" w14:paraId="1537A411" w14:textId="77777777" w:rsidTr="004F62C9">
        <w:tc>
          <w:tcPr>
            <w:tcW w:w="1238" w:type="dxa"/>
          </w:tcPr>
          <w:p w14:paraId="004802AE" w14:textId="77777777" w:rsidR="007B422C" w:rsidRPr="004F62C9" w:rsidRDefault="007B422C" w:rsidP="00900E1D">
            <w:pPr>
              <w:pStyle w:val="Table-Normal"/>
              <w:jc w:val="right"/>
              <w:rPr>
                <w:rFonts w:ascii="Calibri" w:hAnsi="Calibri" w:cs="Calibri"/>
                <w:b/>
                <w:bCs w:val="0"/>
                <w:color w:val="auto"/>
                <w:kern w:val="24"/>
                <w:sz w:val="14"/>
                <w:szCs w:val="14"/>
              </w:rPr>
            </w:pPr>
            <w:r w:rsidRPr="004F62C9">
              <w:rPr>
                <w:rFonts w:ascii="Calibri" w:hAnsi="Calibri" w:cs="Calibri"/>
                <w:b/>
                <w:color w:val="auto"/>
                <w:kern w:val="24"/>
                <w:sz w:val="14"/>
                <w:szCs w:val="14"/>
              </w:rPr>
              <w:t>Age ≥40 years</w:t>
            </w:r>
          </w:p>
          <w:p w14:paraId="659B8A33" w14:textId="77777777" w:rsidR="007B422C" w:rsidRPr="004F62C9" w:rsidRDefault="007B422C" w:rsidP="00900E1D">
            <w:pPr>
              <w:pStyle w:val="Table-Normal"/>
              <w:jc w:val="right"/>
              <w:rPr>
                <w:rFonts w:ascii="Calibri" w:hAnsi="Calibri" w:cs="Calibri"/>
                <w:color w:val="auto"/>
                <w:kern w:val="24"/>
                <w:sz w:val="14"/>
                <w:szCs w:val="14"/>
              </w:rPr>
            </w:pPr>
            <w:r w:rsidRPr="004F62C9">
              <w:rPr>
                <w:rFonts w:ascii="Calibri" w:hAnsi="Calibri" w:cs="Calibri"/>
                <w:color w:val="auto"/>
                <w:kern w:val="24"/>
                <w:sz w:val="14"/>
                <w:szCs w:val="14"/>
              </w:rPr>
              <w:t xml:space="preserve">(n=64); mean </w:t>
            </w:r>
          </w:p>
        </w:tc>
        <w:tc>
          <w:tcPr>
            <w:tcW w:w="815" w:type="dxa"/>
          </w:tcPr>
          <w:p w14:paraId="1B11C13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0.879</w:t>
            </w:r>
          </w:p>
        </w:tc>
        <w:tc>
          <w:tcPr>
            <w:tcW w:w="864" w:type="dxa"/>
          </w:tcPr>
          <w:p w14:paraId="132D1D91"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0.824</w:t>
            </w:r>
          </w:p>
        </w:tc>
        <w:tc>
          <w:tcPr>
            <w:tcW w:w="864" w:type="dxa"/>
          </w:tcPr>
          <w:p w14:paraId="44D3EFF5"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0.794</w:t>
            </w:r>
          </w:p>
        </w:tc>
        <w:tc>
          <w:tcPr>
            <w:tcW w:w="885" w:type="dxa"/>
          </w:tcPr>
          <w:p w14:paraId="11A97142"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0.893</w:t>
            </w:r>
          </w:p>
        </w:tc>
        <w:tc>
          <w:tcPr>
            <w:tcW w:w="865" w:type="dxa"/>
          </w:tcPr>
          <w:p w14:paraId="2C6AAFF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0.870</w:t>
            </w:r>
          </w:p>
        </w:tc>
        <w:tc>
          <w:tcPr>
            <w:tcW w:w="865" w:type="dxa"/>
          </w:tcPr>
          <w:p w14:paraId="13EE73E6"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0.839</w:t>
            </w:r>
          </w:p>
        </w:tc>
        <w:tc>
          <w:tcPr>
            <w:tcW w:w="881" w:type="dxa"/>
          </w:tcPr>
          <w:p w14:paraId="3DE1031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0.853</w:t>
            </w:r>
          </w:p>
        </w:tc>
        <w:tc>
          <w:tcPr>
            <w:tcW w:w="881" w:type="dxa"/>
          </w:tcPr>
          <w:p w14:paraId="7C415117"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0.790</w:t>
            </w:r>
          </w:p>
        </w:tc>
        <w:tc>
          <w:tcPr>
            <w:tcW w:w="881" w:type="dxa"/>
          </w:tcPr>
          <w:p w14:paraId="70D0CC39"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0.693</w:t>
            </w:r>
          </w:p>
        </w:tc>
      </w:tr>
    </w:tbl>
    <w:p w14:paraId="129DCF4F" w14:textId="7E19E63B" w:rsidR="007B422C" w:rsidRPr="004F62C9" w:rsidRDefault="007B422C" w:rsidP="007B422C">
      <w:pPr>
        <w:pStyle w:val="EndnoteText"/>
        <w:rPr>
          <w:color w:val="auto"/>
        </w:rPr>
      </w:pPr>
      <w:r w:rsidRPr="004F62C9">
        <w:rPr>
          <w:color w:val="auto"/>
        </w:rPr>
        <w:t>* “</w:t>
      </w:r>
      <w:r w:rsidRPr="004F62C9">
        <w:rPr>
          <w:i/>
          <w:iCs/>
          <w:color w:val="auto"/>
        </w:rPr>
        <w:t>No 0.0 or 1.0</w:t>
      </w:r>
      <w:r w:rsidRPr="004F62C9">
        <w:rPr>
          <w:color w:val="auto"/>
        </w:rPr>
        <w:t>” analysis does not include any utility value of 0.0 (equivalent to death) or 1.0 (equivalent to full health); 298</w:t>
      </w:r>
      <w:r w:rsidRPr="004F62C9">
        <w:rPr>
          <w:rFonts w:cstheme="minorHAnsi"/>
          <w:color w:val="auto"/>
        </w:rPr>
        <w:t> </w:t>
      </w:r>
      <w:r w:rsidRPr="004F62C9">
        <w:rPr>
          <w:color w:val="auto"/>
        </w:rPr>
        <w:t>of 900 total health state valuations were removed for this analysis – therefore, n differs between health states.</w:t>
      </w:r>
    </w:p>
    <w:p w14:paraId="42A26257" w14:textId="0A94CE54" w:rsidR="009152F7" w:rsidRPr="004F62C9" w:rsidRDefault="009152F7" w:rsidP="007B422C">
      <w:pPr>
        <w:pStyle w:val="EndnoteText"/>
        <w:rPr>
          <w:color w:val="auto"/>
        </w:rPr>
      </w:pPr>
      <w:r w:rsidRPr="004F62C9">
        <w:rPr>
          <w:color w:val="auto"/>
        </w:rPr>
        <w:t xml:space="preserve">† </w:t>
      </w:r>
      <w:r w:rsidRPr="004F62C9">
        <w:rPr>
          <w:i/>
          <w:iCs/>
          <w:color w:val="auto"/>
        </w:rPr>
        <w:t>“No high/low 5%”</w:t>
      </w:r>
      <w:r w:rsidRPr="004F62C9">
        <w:rPr>
          <w:color w:val="auto"/>
        </w:rPr>
        <w:t xml:space="preserve"> analysis does not include the highest 5% or lowest 5% of utility values for each health state; therefore, the total number of valuations per health state is 90.</w:t>
      </w:r>
    </w:p>
    <w:p w14:paraId="71BDB40F" w14:textId="77777777" w:rsidR="00C92EBA" w:rsidRPr="004F62C9" w:rsidRDefault="00020342" w:rsidP="00C92EBA">
      <w:pPr>
        <w:pStyle w:val="EndnoteText"/>
        <w:rPr>
          <w:color w:val="auto"/>
        </w:rPr>
      </w:pPr>
      <w:r w:rsidRPr="004F62C9">
        <w:rPr>
          <w:color w:val="auto"/>
        </w:rPr>
        <w:t xml:space="preserve">‡ </w:t>
      </w:r>
      <w:r w:rsidRPr="004F62C9">
        <w:rPr>
          <w:i/>
          <w:iCs/>
          <w:color w:val="auto"/>
        </w:rPr>
        <w:t>“No +/−2 SD”</w:t>
      </w:r>
      <w:r w:rsidRPr="004F62C9">
        <w:rPr>
          <w:color w:val="auto"/>
        </w:rPr>
        <w:t xml:space="preserve"> analysis does not include any utility value that is two or more standard deviations above or below the corresponding health state mean; therefore, n differs between health states.</w:t>
      </w:r>
      <w:r w:rsidR="00C92EBA" w:rsidRPr="004F62C9">
        <w:rPr>
          <w:color w:val="auto"/>
        </w:rPr>
        <w:t xml:space="preserve"> </w:t>
      </w:r>
    </w:p>
    <w:p w14:paraId="09BC270A" w14:textId="120B7A9D" w:rsidR="00020342" w:rsidRPr="004F62C9" w:rsidRDefault="00C92EBA" w:rsidP="007B422C">
      <w:pPr>
        <w:pStyle w:val="EndnoteText"/>
        <w:rPr>
          <w:color w:val="auto"/>
        </w:rPr>
      </w:pPr>
      <w:r w:rsidRPr="004F62C9">
        <w:rPr>
          <w:color w:val="auto"/>
        </w:rPr>
        <w:t xml:space="preserve">§ </w:t>
      </w:r>
      <w:r w:rsidRPr="004F62C9">
        <w:rPr>
          <w:i/>
          <w:iCs/>
          <w:color w:val="auto"/>
        </w:rPr>
        <w:t>“No illogical”</w:t>
      </w:r>
      <w:r w:rsidRPr="004F62C9">
        <w:rPr>
          <w:color w:val="auto"/>
        </w:rPr>
        <w:t xml:space="preserve"> analysis does not include any utility value that was deemed to be illogical as per a logic check (see Methods); therefore, n differs between health states.</w:t>
      </w:r>
    </w:p>
    <w:p w14:paraId="2A4A8812" w14:textId="5D6B97F9" w:rsidR="007B422C" w:rsidRPr="004F62C9" w:rsidRDefault="009152F7" w:rsidP="00705677">
      <w:pPr>
        <w:rPr>
          <w:color w:val="auto"/>
        </w:rPr>
      </w:pPr>
      <w:r w:rsidRPr="004F62C9">
        <w:rPr>
          <w:color w:val="auto"/>
        </w:rPr>
        <w:br w:type="page"/>
      </w:r>
    </w:p>
    <w:p w14:paraId="305B7B13" w14:textId="25AA06D2" w:rsidR="00C925C1" w:rsidRPr="004F62C9" w:rsidRDefault="00C925C1" w:rsidP="00C925C1">
      <w:pPr>
        <w:pStyle w:val="Caption"/>
        <w:rPr>
          <w:color w:val="auto"/>
        </w:rPr>
      </w:pPr>
      <w:r w:rsidRPr="004F62C9">
        <w:rPr>
          <w:color w:val="auto"/>
        </w:rPr>
        <w:t xml:space="preserve">Table </w:t>
      </w:r>
      <w:r w:rsidR="00B2211B" w:rsidRPr="004F62C9">
        <w:rPr>
          <w:color w:val="auto"/>
        </w:rPr>
        <w:fldChar w:fldCharType="begin"/>
      </w:r>
      <w:r w:rsidR="00B2211B" w:rsidRPr="004F62C9">
        <w:rPr>
          <w:color w:val="auto"/>
        </w:rPr>
        <w:instrText xml:space="preserve"> SEQ Table \* ARABIC </w:instrText>
      </w:r>
      <w:r w:rsidR="00B2211B" w:rsidRPr="004F62C9">
        <w:rPr>
          <w:color w:val="auto"/>
        </w:rPr>
        <w:fldChar w:fldCharType="separate"/>
      </w:r>
      <w:r w:rsidR="000C3AF4" w:rsidRPr="004F62C9">
        <w:rPr>
          <w:noProof/>
          <w:color w:val="auto"/>
        </w:rPr>
        <w:t>10</w:t>
      </w:r>
      <w:r w:rsidR="00B2211B" w:rsidRPr="004F62C9">
        <w:rPr>
          <w:noProof/>
          <w:color w:val="auto"/>
        </w:rPr>
        <w:fldChar w:fldCharType="end"/>
      </w:r>
      <w:r w:rsidRPr="004F62C9">
        <w:rPr>
          <w:color w:val="auto"/>
        </w:rPr>
        <w:t>. Utility values elicited by TTO from participant subgroups in China</w:t>
      </w:r>
    </w:p>
    <w:tbl>
      <w:tblPr>
        <w:tblStyle w:val="TableGridLight"/>
        <w:tblW w:w="0" w:type="auto"/>
        <w:tblLook w:val="04A0" w:firstRow="1" w:lastRow="0" w:firstColumn="1" w:lastColumn="0" w:noHBand="0" w:noVBand="1"/>
      </w:tblPr>
      <w:tblGrid>
        <w:gridCol w:w="1238"/>
        <w:gridCol w:w="815"/>
        <w:gridCol w:w="864"/>
        <w:gridCol w:w="864"/>
        <w:gridCol w:w="885"/>
        <w:gridCol w:w="865"/>
        <w:gridCol w:w="865"/>
        <w:gridCol w:w="881"/>
        <w:gridCol w:w="881"/>
        <w:gridCol w:w="881"/>
      </w:tblGrid>
      <w:tr w:rsidR="004F62C9" w:rsidRPr="004F62C9" w14:paraId="765E2313" w14:textId="77777777" w:rsidTr="004F62C9">
        <w:tc>
          <w:tcPr>
            <w:tcW w:w="1238" w:type="dxa"/>
            <w:vMerge w:val="restart"/>
          </w:tcPr>
          <w:p w14:paraId="09737C40" w14:textId="77777777" w:rsidR="007B422C" w:rsidRPr="004F62C9" w:rsidRDefault="007B422C" w:rsidP="00900E1D">
            <w:pPr>
              <w:pStyle w:val="Table-Normal"/>
              <w:rPr>
                <w:color w:val="auto"/>
                <w:sz w:val="16"/>
                <w:szCs w:val="16"/>
              </w:rPr>
            </w:pPr>
          </w:p>
        </w:tc>
        <w:tc>
          <w:tcPr>
            <w:tcW w:w="2543" w:type="dxa"/>
            <w:gridSpan w:val="3"/>
          </w:tcPr>
          <w:p w14:paraId="2E726710" w14:textId="77777777" w:rsidR="007B422C" w:rsidRPr="004F62C9" w:rsidRDefault="007B422C"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Obesity</w:t>
            </w:r>
          </w:p>
        </w:tc>
        <w:tc>
          <w:tcPr>
            <w:tcW w:w="5258" w:type="dxa"/>
            <w:gridSpan w:val="6"/>
          </w:tcPr>
          <w:p w14:paraId="75E8930C" w14:textId="77777777" w:rsidR="007B422C" w:rsidRPr="004F62C9" w:rsidRDefault="007B422C"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T2DM</w:t>
            </w:r>
          </w:p>
        </w:tc>
      </w:tr>
      <w:tr w:rsidR="004F62C9" w:rsidRPr="004F62C9" w14:paraId="3B964032" w14:textId="77777777" w:rsidTr="004F62C9">
        <w:tc>
          <w:tcPr>
            <w:tcW w:w="1238" w:type="dxa"/>
            <w:vMerge/>
          </w:tcPr>
          <w:p w14:paraId="14748984" w14:textId="77777777" w:rsidR="007B422C" w:rsidRPr="004F62C9" w:rsidRDefault="007B422C" w:rsidP="00900E1D">
            <w:pPr>
              <w:pStyle w:val="Table-Normal"/>
              <w:rPr>
                <w:color w:val="auto"/>
                <w:sz w:val="16"/>
                <w:szCs w:val="16"/>
              </w:rPr>
            </w:pPr>
          </w:p>
        </w:tc>
        <w:tc>
          <w:tcPr>
            <w:tcW w:w="815" w:type="dxa"/>
            <w:vMerge w:val="restart"/>
          </w:tcPr>
          <w:p w14:paraId="55CC38EF" w14:textId="77777777" w:rsidR="007B422C" w:rsidRPr="004F62C9" w:rsidRDefault="007B422C" w:rsidP="00900E1D">
            <w:pPr>
              <w:pStyle w:val="Table-Normal"/>
              <w:rPr>
                <w:rFonts w:ascii="Calibri" w:hAnsi="Calibri" w:cs="Calibri"/>
                <w:b/>
                <w:bCs w:val="0"/>
                <w:color w:val="auto"/>
                <w:kern w:val="24"/>
                <w:sz w:val="20"/>
                <w:szCs w:val="20"/>
              </w:rPr>
            </w:pPr>
            <w:r w:rsidRPr="004F62C9">
              <w:rPr>
                <w:rFonts w:ascii="Calibri" w:hAnsi="Calibri" w:cs="Calibri"/>
                <w:b/>
                <w:bCs w:val="0"/>
                <w:color w:val="auto"/>
                <w:kern w:val="24"/>
                <w:sz w:val="20"/>
                <w:szCs w:val="20"/>
              </w:rPr>
              <w:t>Anchor</w:t>
            </w:r>
          </w:p>
        </w:tc>
        <w:tc>
          <w:tcPr>
            <w:tcW w:w="1728" w:type="dxa"/>
            <w:gridSpan w:val="2"/>
          </w:tcPr>
          <w:p w14:paraId="16B11A91"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885" w:type="dxa"/>
            <w:vMerge w:val="restart"/>
          </w:tcPr>
          <w:p w14:paraId="2354FC2D"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b/>
                <w:bCs w:val="0"/>
                <w:color w:val="auto"/>
                <w:sz w:val="20"/>
                <w:szCs w:val="20"/>
              </w:rPr>
              <w:t>Anchor</w:t>
            </w:r>
          </w:p>
        </w:tc>
        <w:tc>
          <w:tcPr>
            <w:tcW w:w="1730" w:type="dxa"/>
            <w:gridSpan w:val="2"/>
          </w:tcPr>
          <w:p w14:paraId="0E5B197A"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2643" w:type="dxa"/>
            <w:gridSpan w:val="3"/>
          </w:tcPr>
          <w:p w14:paraId="57ED099A" w14:textId="77777777" w:rsidR="007B422C" w:rsidRPr="004F62C9" w:rsidRDefault="007B422C"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Insulin</w:t>
            </w:r>
          </w:p>
        </w:tc>
      </w:tr>
      <w:tr w:rsidR="004F62C9" w:rsidRPr="004F62C9" w14:paraId="3685FF6D" w14:textId="77777777" w:rsidTr="004F62C9">
        <w:tc>
          <w:tcPr>
            <w:tcW w:w="1238" w:type="dxa"/>
            <w:vMerge/>
          </w:tcPr>
          <w:p w14:paraId="0E29A38C" w14:textId="77777777" w:rsidR="007B422C" w:rsidRPr="004F62C9" w:rsidRDefault="007B422C" w:rsidP="00900E1D">
            <w:pPr>
              <w:pStyle w:val="Table-Normal"/>
              <w:rPr>
                <w:color w:val="auto"/>
                <w:sz w:val="16"/>
                <w:szCs w:val="16"/>
              </w:rPr>
            </w:pPr>
          </w:p>
        </w:tc>
        <w:tc>
          <w:tcPr>
            <w:tcW w:w="815" w:type="dxa"/>
            <w:vMerge/>
          </w:tcPr>
          <w:p w14:paraId="6E73DC1E" w14:textId="77777777" w:rsidR="007B422C" w:rsidRPr="004F62C9" w:rsidRDefault="007B422C" w:rsidP="00900E1D">
            <w:pPr>
              <w:pStyle w:val="Table-Normal"/>
              <w:rPr>
                <w:b/>
                <w:bCs w:val="0"/>
                <w:color w:val="auto"/>
                <w:sz w:val="20"/>
                <w:szCs w:val="20"/>
              </w:rPr>
            </w:pPr>
          </w:p>
        </w:tc>
        <w:tc>
          <w:tcPr>
            <w:tcW w:w="864" w:type="dxa"/>
          </w:tcPr>
          <w:p w14:paraId="6DD055D2"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64" w:type="dxa"/>
          </w:tcPr>
          <w:p w14:paraId="6C793AEB"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85" w:type="dxa"/>
            <w:vMerge/>
          </w:tcPr>
          <w:p w14:paraId="01D63D4A" w14:textId="77777777" w:rsidR="007B422C" w:rsidRPr="004F62C9" w:rsidRDefault="007B422C" w:rsidP="00900E1D">
            <w:pPr>
              <w:pStyle w:val="Table-Normal"/>
              <w:jc w:val="center"/>
              <w:rPr>
                <w:b/>
                <w:bCs w:val="0"/>
                <w:color w:val="auto"/>
                <w:sz w:val="20"/>
                <w:szCs w:val="20"/>
              </w:rPr>
            </w:pPr>
          </w:p>
        </w:tc>
        <w:tc>
          <w:tcPr>
            <w:tcW w:w="865" w:type="dxa"/>
          </w:tcPr>
          <w:p w14:paraId="12F9F35D"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65" w:type="dxa"/>
          </w:tcPr>
          <w:p w14:paraId="19F9E219"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81" w:type="dxa"/>
          </w:tcPr>
          <w:p w14:paraId="2263A31D"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81" w:type="dxa"/>
          </w:tcPr>
          <w:p w14:paraId="637554B1"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81" w:type="dxa"/>
          </w:tcPr>
          <w:p w14:paraId="273EFD3E" w14:textId="77777777" w:rsidR="007B422C" w:rsidRPr="004F62C9" w:rsidRDefault="007B422C" w:rsidP="00900E1D">
            <w:pPr>
              <w:pStyle w:val="Table-Normal"/>
              <w:jc w:val="center"/>
              <w:rPr>
                <w:b/>
                <w:bCs w:val="0"/>
                <w:color w:val="auto"/>
                <w:sz w:val="20"/>
                <w:szCs w:val="20"/>
              </w:rPr>
            </w:pPr>
            <w:r w:rsidRPr="004F62C9">
              <w:rPr>
                <w:rFonts w:ascii="Calibri" w:hAnsi="Calibri" w:cs="Calibri"/>
                <w:b/>
                <w:bCs w:val="0"/>
                <w:color w:val="auto"/>
                <w:kern w:val="24"/>
                <w:sz w:val="20"/>
                <w:szCs w:val="20"/>
              </w:rPr>
              <w:t>BB</w:t>
            </w:r>
          </w:p>
        </w:tc>
      </w:tr>
      <w:tr w:rsidR="004F62C9" w:rsidRPr="004F62C9" w14:paraId="75821EDA" w14:textId="77777777" w:rsidTr="004F62C9">
        <w:tc>
          <w:tcPr>
            <w:tcW w:w="1238" w:type="dxa"/>
          </w:tcPr>
          <w:p w14:paraId="4DA4D283"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 xml:space="preserve">Full sample </w:t>
            </w:r>
            <w:r w:rsidRPr="004F62C9">
              <w:rPr>
                <w:rFonts w:ascii="Calibri" w:hAnsi="Calibri" w:cs="Calibri"/>
                <w:b/>
                <w:i/>
                <w:iCs/>
                <w:color w:val="auto"/>
                <w:kern w:val="24"/>
                <w:sz w:val="15"/>
                <w:szCs w:val="15"/>
              </w:rPr>
              <w:t>(base case)</w:t>
            </w:r>
          </w:p>
          <w:p w14:paraId="472CC43B"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(n=100); mean </w:t>
            </w:r>
          </w:p>
        </w:tc>
        <w:tc>
          <w:tcPr>
            <w:tcW w:w="815" w:type="dxa"/>
          </w:tcPr>
          <w:p w14:paraId="1B70E0B4"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0.939</w:t>
            </w:r>
          </w:p>
        </w:tc>
        <w:tc>
          <w:tcPr>
            <w:tcW w:w="864" w:type="dxa"/>
          </w:tcPr>
          <w:p w14:paraId="546927F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0.869</w:t>
            </w:r>
          </w:p>
        </w:tc>
        <w:tc>
          <w:tcPr>
            <w:tcW w:w="864" w:type="dxa"/>
          </w:tcPr>
          <w:p w14:paraId="61300381"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0.774</w:t>
            </w:r>
          </w:p>
        </w:tc>
        <w:tc>
          <w:tcPr>
            <w:tcW w:w="885" w:type="dxa"/>
          </w:tcPr>
          <w:p w14:paraId="0A03499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0.921</w:t>
            </w:r>
          </w:p>
        </w:tc>
        <w:tc>
          <w:tcPr>
            <w:tcW w:w="865" w:type="dxa"/>
          </w:tcPr>
          <w:p w14:paraId="3B2B5557"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0.863</w:t>
            </w:r>
          </w:p>
        </w:tc>
        <w:tc>
          <w:tcPr>
            <w:tcW w:w="865" w:type="dxa"/>
          </w:tcPr>
          <w:p w14:paraId="0875AD85"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0.773</w:t>
            </w:r>
          </w:p>
        </w:tc>
        <w:tc>
          <w:tcPr>
            <w:tcW w:w="881" w:type="dxa"/>
          </w:tcPr>
          <w:p w14:paraId="258E82A9"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0.855</w:t>
            </w:r>
          </w:p>
        </w:tc>
        <w:tc>
          <w:tcPr>
            <w:tcW w:w="881" w:type="dxa"/>
          </w:tcPr>
          <w:p w14:paraId="673761D6"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0.760</w:t>
            </w:r>
          </w:p>
        </w:tc>
        <w:tc>
          <w:tcPr>
            <w:tcW w:w="881" w:type="dxa"/>
          </w:tcPr>
          <w:p w14:paraId="52B143C8"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0.637</w:t>
            </w:r>
          </w:p>
        </w:tc>
      </w:tr>
      <w:tr w:rsidR="004F62C9" w:rsidRPr="004F62C9" w14:paraId="6F1BF484" w14:textId="77777777" w:rsidTr="004F62C9">
        <w:tc>
          <w:tcPr>
            <w:tcW w:w="1238" w:type="dxa"/>
          </w:tcPr>
          <w:p w14:paraId="1BE6912D"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No 0.0 or 1.0*</w:t>
            </w:r>
          </w:p>
          <w:p w14:paraId="775C281D"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 mean </w:t>
            </w:r>
          </w:p>
        </w:tc>
        <w:tc>
          <w:tcPr>
            <w:tcW w:w="815" w:type="dxa"/>
          </w:tcPr>
          <w:p w14:paraId="257BC64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0.903</w:t>
            </w:r>
          </w:p>
        </w:tc>
        <w:tc>
          <w:tcPr>
            <w:tcW w:w="864" w:type="dxa"/>
          </w:tcPr>
          <w:p w14:paraId="1872D223"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0.835</w:t>
            </w:r>
          </w:p>
        </w:tc>
        <w:tc>
          <w:tcPr>
            <w:tcW w:w="864" w:type="dxa"/>
          </w:tcPr>
          <w:p w14:paraId="07F4469C"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0.741</w:t>
            </w:r>
          </w:p>
        </w:tc>
        <w:tc>
          <w:tcPr>
            <w:tcW w:w="885" w:type="dxa"/>
          </w:tcPr>
          <w:p w14:paraId="4145837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0.888</w:t>
            </w:r>
          </w:p>
        </w:tc>
        <w:tc>
          <w:tcPr>
            <w:tcW w:w="865" w:type="dxa"/>
          </w:tcPr>
          <w:p w14:paraId="22D27B27"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0.828</w:t>
            </w:r>
          </w:p>
        </w:tc>
        <w:tc>
          <w:tcPr>
            <w:tcW w:w="865" w:type="dxa"/>
          </w:tcPr>
          <w:p w14:paraId="7FCB3CB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0.737</w:t>
            </w:r>
          </w:p>
        </w:tc>
        <w:tc>
          <w:tcPr>
            <w:tcW w:w="881" w:type="dxa"/>
          </w:tcPr>
          <w:p w14:paraId="32E619F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0.818</w:t>
            </w:r>
          </w:p>
        </w:tc>
        <w:tc>
          <w:tcPr>
            <w:tcW w:w="881" w:type="dxa"/>
          </w:tcPr>
          <w:p w14:paraId="407FFE83"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0.725</w:t>
            </w:r>
          </w:p>
        </w:tc>
        <w:tc>
          <w:tcPr>
            <w:tcW w:w="881" w:type="dxa"/>
          </w:tcPr>
          <w:p w14:paraId="0953CE3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0.627</w:t>
            </w:r>
          </w:p>
        </w:tc>
      </w:tr>
      <w:tr w:rsidR="004F62C9" w:rsidRPr="004F62C9" w14:paraId="1A97338B" w14:textId="77777777" w:rsidTr="004F62C9">
        <w:tc>
          <w:tcPr>
            <w:tcW w:w="1238" w:type="dxa"/>
          </w:tcPr>
          <w:p w14:paraId="7989CD68" w14:textId="77777777" w:rsidR="00E61856" w:rsidRPr="004F62C9" w:rsidRDefault="00E61856" w:rsidP="00E61856">
            <w:pPr>
              <w:pStyle w:val="Table-Normal"/>
              <w:jc w:val="right"/>
              <w:rPr>
                <w:rFonts w:ascii="Calibri" w:hAnsi="Calibri" w:cs="Calibri"/>
                <w:b/>
                <w:bCs w:val="0"/>
                <w:color w:val="auto"/>
                <w:kern w:val="24"/>
                <w:sz w:val="14"/>
                <w:szCs w:val="14"/>
              </w:rPr>
            </w:pPr>
            <w:r w:rsidRPr="004F62C9">
              <w:rPr>
                <w:rFonts w:ascii="Calibri" w:hAnsi="Calibri" w:cs="Calibri"/>
                <w:b/>
                <w:color w:val="auto"/>
                <w:kern w:val="24"/>
                <w:sz w:val="14"/>
                <w:szCs w:val="14"/>
              </w:rPr>
              <w:t>No high/low 5%</w:t>
            </w:r>
          </w:p>
          <w:p w14:paraId="7E40EF36" w14:textId="3699F61C" w:rsidR="00E61856" w:rsidRPr="004F62C9" w:rsidRDefault="00E61856" w:rsidP="00E61856">
            <w:pPr>
              <w:pStyle w:val="Table-Normal"/>
              <w:jc w:val="right"/>
              <w:rPr>
                <w:rFonts w:ascii="Calibri" w:hAnsi="Calibri" w:cs="Calibri"/>
                <w:b/>
                <w:color w:val="auto"/>
                <w:kern w:val="24"/>
                <w:sz w:val="15"/>
                <w:szCs w:val="15"/>
              </w:rPr>
            </w:pPr>
            <w:r w:rsidRPr="004F62C9">
              <w:rPr>
                <w:rFonts w:ascii="Calibri" w:hAnsi="Calibri" w:cs="Calibri"/>
                <w:color w:val="auto"/>
                <w:kern w:val="24"/>
                <w:sz w:val="14"/>
                <w:szCs w:val="14"/>
              </w:rPr>
              <w:t>(n=90†;</w:t>
            </w:r>
            <w:r w:rsidRPr="004F62C9">
              <w:rPr>
                <w:color w:val="auto"/>
              </w:rPr>
              <w:t xml:space="preserve"> </w:t>
            </w:r>
            <w:r w:rsidRPr="004F62C9">
              <w:rPr>
                <w:rFonts w:ascii="Calibri" w:hAnsi="Calibri" w:cs="Calibri"/>
                <w:color w:val="auto"/>
                <w:kern w:val="24"/>
                <w:sz w:val="14"/>
                <w:szCs w:val="14"/>
              </w:rPr>
              <w:t>mean)</w:t>
            </w:r>
          </w:p>
        </w:tc>
        <w:tc>
          <w:tcPr>
            <w:tcW w:w="815" w:type="dxa"/>
          </w:tcPr>
          <w:p w14:paraId="1C25E1C1" w14:textId="4524C792"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0.953</w:t>
            </w:r>
          </w:p>
        </w:tc>
        <w:tc>
          <w:tcPr>
            <w:tcW w:w="864" w:type="dxa"/>
          </w:tcPr>
          <w:p w14:paraId="74527BC2" w14:textId="2F08FF5C"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0.888</w:t>
            </w:r>
          </w:p>
        </w:tc>
        <w:tc>
          <w:tcPr>
            <w:tcW w:w="864" w:type="dxa"/>
          </w:tcPr>
          <w:p w14:paraId="1B62A8BB" w14:textId="073945AA"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0.790</w:t>
            </w:r>
          </w:p>
        </w:tc>
        <w:tc>
          <w:tcPr>
            <w:tcW w:w="885" w:type="dxa"/>
          </w:tcPr>
          <w:p w14:paraId="32EFCD19" w14:textId="7E75825B"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0.936</w:t>
            </w:r>
          </w:p>
        </w:tc>
        <w:tc>
          <w:tcPr>
            <w:tcW w:w="865" w:type="dxa"/>
          </w:tcPr>
          <w:p w14:paraId="349C16A4" w14:textId="7D16DFCE"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0.879</w:t>
            </w:r>
          </w:p>
        </w:tc>
        <w:tc>
          <w:tcPr>
            <w:tcW w:w="865" w:type="dxa"/>
          </w:tcPr>
          <w:p w14:paraId="631D7442" w14:textId="7194E0B0"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0.790</w:t>
            </w:r>
          </w:p>
        </w:tc>
        <w:tc>
          <w:tcPr>
            <w:tcW w:w="881" w:type="dxa"/>
          </w:tcPr>
          <w:p w14:paraId="7C01EA47" w14:textId="777CADB4"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0.872</w:t>
            </w:r>
          </w:p>
        </w:tc>
        <w:tc>
          <w:tcPr>
            <w:tcW w:w="881" w:type="dxa"/>
          </w:tcPr>
          <w:p w14:paraId="7085B1FB" w14:textId="0520D6A5"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0.778</w:t>
            </w:r>
          </w:p>
        </w:tc>
        <w:tc>
          <w:tcPr>
            <w:tcW w:w="881" w:type="dxa"/>
          </w:tcPr>
          <w:p w14:paraId="5409E4B1" w14:textId="57D71BFB" w:rsidR="00E61856" w:rsidRPr="004F62C9" w:rsidRDefault="00E61856"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0.650</w:t>
            </w:r>
          </w:p>
        </w:tc>
      </w:tr>
      <w:tr w:rsidR="004F62C9" w:rsidRPr="004F62C9" w14:paraId="11539319" w14:textId="77777777" w:rsidTr="004F62C9">
        <w:tc>
          <w:tcPr>
            <w:tcW w:w="1238" w:type="dxa"/>
          </w:tcPr>
          <w:p w14:paraId="2FA9A9F9" w14:textId="77777777" w:rsidR="008D6914" w:rsidRPr="004F62C9" w:rsidRDefault="008D6914" w:rsidP="008D6914">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No +/−2 SD</w:t>
            </w:r>
          </w:p>
          <w:p w14:paraId="016BA764" w14:textId="1AEA7693" w:rsidR="008D6914" w:rsidRPr="004F62C9" w:rsidRDefault="008D6914" w:rsidP="008D6914">
            <w:pPr>
              <w:pStyle w:val="Table-Normal"/>
              <w:jc w:val="right"/>
              <w:rPr>
                <w:rFonts w:ascii="Calibri" w:hAnsi="Calibri" w:cs="Calibri"/>
                <w:b/>
                <w:color w:val="auto"/>
                <w:kern w:val="24"/>
                <w:sz w:val="15"/>
                <w:szCs w:val="15"/>
              </w:rPr>
            </w:pPr>
            <w:r w:rsidRPr="004F62C9">
              <w:rPr>
                <w:rFonts w:ascii="Calibri" w:hAnsi="Calibri" w:cs="Calibri"/>
                <w:color w:val="auto"/>
                <w:kern w:val="24"/>
                <w:sz w:val="15"/>
                <w:szCs w:val="15"/>
              </w:rPr>
              <w:t>(n=‡; mean)</w:t>
            </w:r>
          </w:p>
        </w:tc>
        <w:tc>
          <w:tcPr>
            <w:tcW w:w="815" w:type="dxa"/>
          </w:tcPr>
          <w:p w14:paraId="1A014F91" w14:textId="10DFD211" w:rsidR="008D6914" w:rsidRPr="004F62C9" w:rsidRDefault="008D691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0.955</w:t>
            </w:r>
          </w:p>
        </w:tc>
        <w:tc>
          <w:tcPr>
            <w:tcW w:w="864" w:type="dxa"/>
          </w:tcPr>
          <w:p w14:paraId="3F5635E8" w14:textId="758A994F" w:rsidR="008D6914" w:rsidRPr="004F62C9" w:rsidRDefault="008D691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0.893</w:t>
            </w:r>
          </w:p>
        </w:tc>
        <w:tc>
          <w:tcPr>
            <w:tcW w:w="864" w:type="dxa"/>
          </w:tcPr>
          <w:p w14:paraId="695EEE84" w14:textId="6128624F" w:rsidR="008D6914" w:rsidRPr="004F62C9" w:rsidRDefault="008D691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0.792</w:t>
            </w:r>
          </w:p>
        </w:tc>
        <w:tc>
          <w:tcPr>
            <w:tcW w:w="885" w:type="dxa"/>
          </w:tcPr>
          <w:p w14:paraId="79F12F64" w14:textId="04AE7F5C" w:rsidR="008D6914" w:rsidRPr="004F62C9" w:rsidRDefault="008D691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0.939</w:t>
            </w:r>
          </w:p>
        </w:tc>
        <w:tc>
          <w:tcPr>
            <w:tcW w:w="865" w:type="dxa"/>
          </w:tcPr>
          <w:p w14:paraId="34B40FAE" w14:textId="35589316" w:rsidR="008D6914" w:rsidRPr="004F62C9" w:rsidRDefault="008D691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0.893</w:t>
            </w:r>
          </w:p>
        </w:tc>
        <w:tc>
          <w:tcPr>
            <w:tcW w:w="865" w:type="dxa"/>
          </w:tcPr>
          <w:p w14:paraId="7ACA65E4" w14:textId="220F8258" w:rsidR="008D6914" w:rsidRPr="004F62C9" w:rsidRDefault="008D691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0.806</w:t>
            </w:r>
          </w:p>
        </w:tc>
        <w:tc>
          <w:tcPr>
            <w:tcW w:w="881" w:type="dxa"/>
          </w:tcPr>
          <w:p w14:paraId="41B3DA4F" w14:textId="48082B28" w:rsidR="008D6914" w:rsidRPr="004F62C9" w:rsidRDefault="008D691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0.890</w:t>
            </w:r>
          </w:p>
        </w:tc>
        <w:tc>
          <w:tcPr>
            <w:tcW w:w="881" w:type="dxa"/>
          </w:tcPr>
          <w:p w14:paraId="2BCAD38E" w14:textId="7C6C786A" w:rsidR="008D6914" w:rsidRPr="004F62C9" w:rsidRDefault="008D691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0.795</w:t>
            </w:r>
          </w:p>
        </w:tc>
        <w:tc>
          <w:tcPr>
            <w:tcW w:w="881" w:type="dxa"/>
          </w:tcPr>
          <w:p w14:paraId="1F22B3AC" w14:textId="6854875F" w:rsidR="008D6914" w:rsidRPr="004F62C9" w:rsidRDefault="008D6914" w:rsidP="00AA5E44">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0.663</w:t>
            </w:r>
          </w:p>
        </w:tc>
      </w:tr>
      <w:tr w:rsidR="004F62C9" w:rsidRPr="004F62C9" w14:paraId="28AEC48F" w14:textId="77777777" w:rsidTr="004F62C9">
        <w:tc>
          <w:tcPr>
            <w:tcW w:w="1238" w:type="dxa"/>
          </w:tcPr>
          <w:p w14:paraId="0EE9CA2D" w14:textId="35FFCCFE" w:rsidR="008B34F9" w:rsidRPr="004F62C9" w:rsidRDefault="008B34F9" w:rsidP="008B34F9">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No illogical</w:t>
            </w:r>
          </w:p>
          <w:p w14:paraId="3C760F19" w14:textId="39FDE01D" w:rsidR="008B34F9" w:rsidRPr="004F62C9" w:rsidRDefault="008B34F9" w:rsidP="008B34F9">
            <w:pPr>
              <w:pStyle w:val="Table-Normal"/>
              <w:jc w:val="right"/>
              <w:rPr>
                <w:rFonts w:ascii="Calibri" w:hAnsi="Calibri" w:cs="Calibri"/>
                <w:b/>
                <w:color w:val="auto"/>
                <w:kern w:val="24"/>
                <w:sz w:val="15"/>
                <w:szCs w:val="15"/>
              </w:rPr>
            </w:pPr>
            <w:r w:rsidRPr="004F62C9">
              <w:rPr>
                <w:rFonts w:ascii="Calibri" w:hAnsi="Calibri" w:cs="Calibri"/>
                <w:color w:val="auto"/>
                <w:kern w:val="24"/>
                <w:sz w:val="15"/>
                <w:szCs w:val="15"/>
              </w:rPr>
              <w:t>(n=§; mean)</w:t>
            </w:r>
          </w:p>
        </w:tc>
        <w:tc>
          <w:tcPr>
            <w:tcW w:w="815" w:type="dxa"/>
          </w:tcPr>
          <w:p w14:paraId="182E0CAC" w14:textId="42873FE8" w:rsidR="008B34F9" w:rsidRPr="004F62C9" w:rsidRDefault="008B34F9" w:rsidP="008B34F9">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0.939</w:t>
            </w:r>
          </w:p>
        </w:tc>
        <w:tc>
          <w:tcPr>
            <w:tcW w:w="864" w:type="dxa"/>
          </w:tcPr>
          <w:p w14:paraId="39A8ED1D" w14:textId="59AB8B02" w:rsidR="008B34F9" w:rsidRPr="004F62C9" w:rsidRDefault="008B34F9" w:rsidP="008B34F9">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0.869</w:t>
            </w:r>
          </w:p>
        </w:tc>
        <w:tc>
          <w:tcPr>
            <w:tcW w:w="864" w:type="dxa"/>
          </w:tcPr>
          <w:p w14:paraId="209D4814" w14:textId="2500C2DD" w:rsidR="008B34F9" w:rsidRPr="004F62C9" w:rsidRDefault="008B34F9" w:rsidP="008B34F9">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0.774</w:t>
            </w:r>
          </w:p>
        </w:tc>
        <w:tc>
          <w:tcPr>
            <w:tcW w:w="885" w:type="dxa"/>
          </w:tcPr>
          <w:p w14:paraId="4CE2F93D" w14:textId="23A9D92F" w:rsidR="008B34F9" w:rsidRPr="004F62C9" w:rsidRDefault="008B34F9" w:rsidP="008B34F9">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0.921</w:t>
            </w:r>
          </w:p>
        </w:tc>
        <w:tc>
          <w:tcPr>
            <w:tcW w:w="865" w:type="dxa"/>
          </w:tcPr>
          <w:p w14:paraId="3A80680F" w14:textId="45FD9413" w:rsidR="008B34F9" w:rsidRPr="004F62C9" w:rsidRDefault="008B34F9" w:rsidP="008B34F9">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0.863</w:t>
            </w:r>
          </w:p>
        </w:tc>
        <w:tc>
          <w:tcPr>
            <w:tcW w:w="865" w:type="dxa"/>
          </w:tcPr>
          <w:p w14:paraId="6B24EB8D" w14:textId="2C2678FE" w:rsidR="008B34F9" w:rsidRPr="004F62C9" w:rsidRDefault="008B34F9" w:rsidP="008B34F9">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0.771</w:t>
            </w:r>
          </w:p>
        </w:tc>
        <w:tc>
          <w:tcPr>
            <w:tcW w:w="881" w:type="dxa"/>
          </w:tcPr>
          <w:p w14:paraId="026D73D7" w14:textId="5AFC64D0" w:rsidR="008B34F9" w:rsidRPr="004F62C9" w:rsidRDefault="008B34F9" w:rsidP="008B34F9">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0.855</w:t>
            </w:r>
          </w:p>
        </w:tc>
        <w:tc>
          <w:tcPr>
            <w:tcW w:w="881" w:type="dxa"/>
          </w:tcPr>
          <w:p w14:paraId="3C01BD12" w14:textId="1FB476C7" w:rsidR="008B34F9" w:rsidRPr="004F62C9" w:rsidRDefault="008B34F9" w:rsidP="008B34F9">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0.759</w:t>
            </w:r>
          </w:p>
        </w:tc>
        <w:tc>
          <w:tcPr>
            <w:tcW w:w="881" w:type="dxa"/>
          </w:tcPr>
          <w:p w14:paraId="29BF3DB3" w14:textId="693D6364" w:rsidR="008B34F9" w:rsidRPr="004F62C9" w:rsidRDefault="008B34F9" w:rsidP="008B34F9">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0.637</w:t>
            </w:r>
          </w:p>
        </w:tc>
      </w:tr>
      <w:tr w:rsidR="004F62C9" w:rsidRPr="004F62C9" w14:paraId="1F60568B" w14:textId="77777777" w:rsidTr="004F62C9">
        <w:tc>
          <w:tcPr>
            <w:tcW w:w="1238" w:type="dxa"/>
          </w:tcPr>
          <w:p w14:paraId="1E805D8C"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Male</w:t>
            </w:r>
          </w:p>
          <w:p w14:paraId="3D91856C"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(n=50); mean </w:t>
            </w:r>
          </w:p>
        </w:tc>
        <w:tc>
          <w:tcPr>
            <w:tcW w:w="815" w:type="dxa"/>
          </w:tcPr>
          <w:p w14:paraId="12B8579B"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0.958</w:t>
            </w:r>
          </w:p>
        </w:tc>
        <w:tc>
          <w:tcPr>
            <w:tcW w:w="864" w:type="dxa"/>
          </w:tcPr>
          <w:p w14:paraId="450580D8"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0.894</w:t>
            </w:r>
          </w:p>
        </w:tc>
        <w:tc>
          <w:tcPr>
            <w:tcW w:w="864" w:type="dxa"/>
          </w:tcPr>
          <w:p w14:paraId="7F2CA665"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0.790</w:t>
            </w:r>
          </w:p>
        </w:tc>
        <w:tc>
          <w:tcPr>
            <w:tcW w:w="885" w:type="dxa"/>
          </w:tcPr>
          <w:p w14:paraId="6EF87F47"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0.916</w:t>
            </w:r>
          </w:p>
        </w:tc>
        <w:tc>
          <w:tcPr>
            <w:tcW w:w="865" w:type="dxa"/>
          </w:tcPr>
          <w:p w14:paraId="4E37BA1B"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0.860</w:t>
            </w:r>
          </w:p>
        </w:tc>
        <w:tc>
          <w:tcPr>
            <w:tcW w:w="865" w:type="dxa"/>
          </w:tcPr>
          <w:p w14:paraId="4AEB8CA1"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0.753</w:t>
            </w:r>
          </w:p>
        </w:tc>
        <w:tc>
          <w:tcPr>
            <w:tcW w:w="881" w:type="dxa"/>
          </w:tcPr>
          <w:p w14:paraId="497EC8C4"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0.852</w:t>
            </w:r>
          </w:p>
        </w:tc>
        <w:tc>
          <w:tcPr>
            <w:tcW w:w="881" w:type="dxa"/>
          </w:tcPr>
          <w:p w14:paraId="1FE8DD99"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0.741</w:t>
            </w:r>
          </w:p>
        </w:tc>
        <w:tc>
          <w:tcPr>
            <w:tcW w:w="881" w:type="dxa"/>
          </w:tcPr>
          <w:p w14:paraId="4389FA9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0.619</w:t>
            </w:r>
          </w:p>
        </w:tc>
      </w:tr>
      <w:tr w:rsidR="004F62C9" w:rsidRPr="004F62C9" w14:paraId="507D43BA" w14:textId="77777777" w:rsidTr="004F62C9">
        <w:tc>
          <w:tcPr>
            <w:tcW w:w="1238" w:type="dxa"/>
          </w:tcPr>
          <w:p w14:paraId="4DE4CF7D"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Female</w:t>
            </w:r>
          </w:p>
          <w:p w14:paraId="5DF8C2B4"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(n=50); mean </w:t>
            </w:r>
          </w:p>
        </w:tc>
        <w:tc>
          <w:tcPr>
            <w:tcW w:w="815" w:type="dxa"/>
          </w:tcPr>
          <w:p w14:paraId="2B525A7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0.919</w:t>
            </w:r>
          </w:p>
        </w:tc>
        <w:tc>
          <w:tcPr>
            <w:tcW w:w="864" w:type="dxa"/>
          </w:tcPr>
          <w:p w14:paraId="11666B38"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0.843</w:t>
            </w:r>
          </w:p>
        </w:tc>
        <w:tc>
          <w:tcPr>
            <w:tcW w:w="864" w:type="dxa"/>
          </w:tcPr>
          <w:p w14:paraId="212BF5D9"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0.757</w:t>
            </w:r>
          </w:p>
        </w:tc>
        <w:tc>
          <w:tcPr>
            <w:tcW w:w="885" w:type="dxa"/>
          </w:tcPr>
          <w:p w14:paraId="2E8349A5"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0.926</w:t>
            </w:r>
          </w:p>
        </w:tc>
        <w:tc>
          <w:tcPr>
            <w:tcW w:w="865" w:type="dxa"/>
          </w:tcPr>
          <w:p w14:paraId="7DAD012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0.867</w:t>
            </w:r>
          </w:p>
        </w:tc>
        <w:tc>
          <w:tcPr>
            <w:tcW w:w="865" w:type="dxa"/>
          </w:tcPr>
          <w:p w14:paraId="71130B1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0.793</w:t>
            </w:r>
          </w:p>
        </w:tc>
        <w:tc>
          <w:tcPr>
            <w:tcW w:w="881" w:type="dxa"/>
          </w:tcPr>
          <w:p w14:paraId="029C5E6D"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0.858</w:t>
            </w:r>
          </w:p>
        </w:tc>
        <w:tc>
          <w:tcPr>
            <w:tcW w:w="881" w:type="dxa"/>
          </w:tcPr>
          <w:p w14:paraId="43DF2795"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0.780</w:t>
            </w:r>
          </w:p>
        </w:tc>
        <w:tc>
          <w:tcPr>
            <w:tcW w:w="881" w:type="dxa"/>
          </w:tcPr>
          <w:p w14:paraId="62FE4A82"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0.656</w:t>
            </w:r>
          </w:p>
        </w:tc>
      </w:tr>
      <w:tr w:rsidR="004F62C9" w:rsidRPr="004F62C9" w14:paraId="1E316D91" w14:textId="77777777" w:rsidTr="004F62C9">
        <w:tc>
          <w:tcPr>
            <w:tcW w:w="1238" w:type="dxa"/>
          </w:tcPr>
          <w:p w14:paraId="709C22FD"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Age &lt;40 years</w:t>
            </w:r>
          </w:p>
          <w:p w14:paraId="30F73DBF"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(n=70); mean </w:t>
            </w:r>
          </w:p>
        </w:tc>
        <w:tc>
          <w:tcPr>
            <w:tcW w:w="815" w:type="dxa"/>
          </w:tcPr>
          <w:p w14:paraId="1808895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0.936</w:t>
            </w:r>
          </w:p>
        </w:tc>
        <w:tc>
          <w:tcPr>
            <w:tcW w:w="864" w:type="dxa"/>
          </w:tcPr>
          <w:p w14:paraId="1A8A07AE"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0.857</w:t>
            </w:r>
          </w:p>
        </w:tc>
        <w:tc>
          <w:tcPr>
            <w:tcW w:w="864" w:type="dxa"/>
          </w:tcPr>
          <w:p w14:paraId="3C556AB7"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0.767</w:t>
            </w:r>
          </w:p>
        </w:tc>
        <w:tc>
          <w:tcPr>
            <w:tcW w:w="885" w:type="dxa"/>
          </w:tcPr>
          <w:p w14:paraId="33EBB36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0.918</w:t>
            </w:r>
          </w:p>
        </w:tc>
        <w:tc>
          <w:tcPr>
            <w:tcW w:w="865" w:type="dxa"/>
          </w:tcPr>
          <w:p w14:paraId="744EC78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0.855</w:t>
            </w:r>
          </w:p>
        </w:tc>
        <w:tc>
          <w:tcPr>
            <w:tcW w:w="865" w:type="dxa"/>
          </w:tcPr>
          <w:p w14:paraId="0D49F7C4"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0.760</w:t>
            </w:r>
          </w:p>
        </w:tc>
        <w:tc>
          <w:tcPr>
            <w:tcW w:w="881" w:type="dxa"/>
          </w:tcPr>
          <w:p w14:paraId="69B2CCC7"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0.847</w:t>
            </w:r>
          </w:p>
        </w:tc>
        <w:tc>
          <w:tcPr>
            <w:tcW w:w="881" w:type="dxa"/>
          </w:tcPr>
          <w:p w14:paraId="0B66DF70"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0.746</w:t>
            </w:r>
          </w:p>
        </w:tc>
        <w:tc>
          <w:tcPr>
            <w:tcW w:w="881" w:type="dxa"/>
          </w:tcPr>
          <w:p w14:paraId="049689C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0.626</w:t>
            </w:r>
          </w:p>
        </w:tc>
      </w:tr>
      <w:tr w:rsidR="004F62C9" w:rsidRPr="004F62C9" w14:paraId="6E15C047" w14:textId="77777777" w:rsidTr="004F62C9">
        <w:tc>
          <w:tcPr>
            <w:tcW w:w="1238" w:type="dxa"/>
          </w:tcPr>
          <w:p w14:paraId="69452353" w14:textId="77777777" w:rsidR="007B422C" w:rsidRPr="004F62C9" w:rsidRDefault="007B422C" w:rsidP="00900E1D">
            <w:pPr>
              <w:pStyle w:val="Table-Normal"/>
              <w:jc w:val="right"/>
              <w:rPr>
                <w:rFonts w:ascii="Calibri" w:hAnsi="Calibri" w:cs="Calibri"/>
                <w:b/>
                <w:bCs w:val="0"/>
                <w:color w:val="auto"/>
                <w:kern w:val="24"/>
                <w:sz w:val="15"/>
                <w:szCs w:val="15"/>
              </w:rPr>
            </w:pPr>
            <w:r w:rsidRPr="004F62C9">
              <w:rPr>
                <w:rFonts w:ascii="Calibri" w:hAnsi="Calibri" w:cs="Calibri"/>
                <w:b/>
                <w:color w:val="auto"/>
                <w:kern w:val="24"/>
                <w:sz w:val="15"/>
                <w:szCs w:val="15"/>
              </w:rPr>
              <w:t>Age ≥40 years</w:t>
            </w:r>
          </w:p>
          <w:p w14:paraId="1C690437" w14:textId="77777777" w:rsidR="007B422C" w:rsidRPr="004F62C9" w:rsidRDefault="007B422C" w:rsidP="00900E1D">
            <w:pPr>
              <w:pStyle w:val="Table-Normal"/>
              <w:jc w:val="right"/>
              <w:rPr>
                <w:rFonts w:ascii="Calibri" w:hAnsi="Calibri" w:cs="Calibri"/>
                <w:color w:val="auto"/>
                <w:kern w:val="24"/>
                <w:sz w:val="15"/>
                <w:szCs w:val="15"/>
              </w:rPr>
            </w:pPr>
            <w:r w:rsidRPr="004F62C9">
              <w:rPr>
                <w:rFonts w:ascii="Calibri" w:hAnsi="Calibri" w:cs="Calibri"/>
                <w:color w:val="auto"/>
                <w:kern w:val="24"/>
                <w:sz w:val="15"/>
                <w:szCs w:val="15"/>
              </w:rPr>
              <w:t xml:space="preserve">(n=30); mean </w:t>
            </w:r>
          </w:p>
        </w:tc>
        <w:tc>
          <w:tcPr>
            <w:tcW w:w="815" w:type="dxa"/>
          </w:tcPr>
          <w:p w14:paraId="03D37C63"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0.944</w:t>
            </w:r>
          </w:p>
        </w:tc>
        <w:tc>
          <w:tcPr>
            <w:tcW w:w="864" w:type="dxa"/>
          </w:tcPr>
          <w:p w14:paraId="6357A39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0.892</w:t>
            </w:r>
          </w:p>
        </w:tc>
        <w:tc>
          <w:tcPr>
            <w:tcW w:w="864" w:type="dxa"/>
          </w:tcPr>
          <w:p w14:paraId="342C2948"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0.787</w:t>
            </w:r>
          </w:p>
        </w:tc>
        <w:tc>
          <w:tcPr>
            <w:tcW w:w="885" w:type="dxa"/>
          </w:tcPr>
          <w:p w14:paraId="1D387CE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0.930</w:t>
            </w:r>
          </w:p>
        </w:tc>
        <w:tc>
          <w:tcPr>
            <w:tcW w:w="865" w:type="dxa"/>
          </w:tcPr>
          <w:p w14:paraId="1B1DA522"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0.882</w:t>
            </w:r>
          </w:p>
        </w:tc>
        <w:tc>
          <w:tcPr>
            <w:tcW w:w="865" w:type="dxa"/>
          </w:tcPr>
          <w:p w14:paraId="5B54C7B1"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0.804</w:t>
            </w:r>
          </w:p>
        </w:tc>
        <w:tc>
          <w:tcPr>
            <w:tcW w:w="881" w:type="dxa"/>
          </w:tcPr>
          <w:p w14:paraId="5E7DAFEF"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0.875</w:t>
            </w:r>
          </w:p>
        </w:tc>
        <w:tc>
          <w:tcPr>
            <w:tcW w:w="881" w:type="dxa"/>
          </w:tcPr>
          <w:p w14:paraId="16D34D7A"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0.794</w:t>
            </w:r>
          </w:p>
        </w:tc>
        <w:tc>
          <w:tcPr>
            <w:tcW w:w="881" w:type="dxa"/>
          </w:tcPr>
          <w:p w14:paraId="434FF924" w14:textId="77777777" w:rsidR="007B422C" w:rsidRPr="004F62C9" w:rsidRDefault="007B422C"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0.665</w:t>
            </w:r>
          </w:p>
        </w:tc>
      </w:tr>
    </w:tbl>
    <w:p w14:paraId="537E5AB4" w14:textId="77777777" w:rsidR="007B422C" w:rsidRPr="004F62C9" w:rsidRDefault="007B422C" w:rsidP="007B422C">
      <w:pPr>
        <w:pStyle w:val="EndnoteText"/>
        <w:rPr>
          <w:color w:val="auto"/>
        </w:rPr>
      </w:pPr>
      <w:r w:rsidRPr="004F62C9">
        <w:rPr>
          <w:color w:val="auto"/>
        </w:rPr>
        <w:t>* “</w:t>
      </w:r>
      <w:r w:rsidRPr="004F62C9">
        <w:rPr>
          <w:i/>
          <w:iCs/>
          <w:color w:val="auto"/>
        </w:rPr>
        <w:t>No 0.0 or 1.0</w:t>
      </w:r>
      <w:r w:rsidRPr="004F62C9">
        <w:rPr>
          <w:color w:val="auto"/>
        </w:rPr>
        <w:t>” analysis does not include any utility value of 0.0 (equivalent to death) or 1.0 (equivalent to full health); 183</w:t>
      </w:r>
      <w:r w:rsidRPr="004F62C9">
        <w:rPr>
          <w:rFonts w:cstheme="minorHAnsi"/>
          <w:color w:val="auto"/>
        </w:rPr>
        <w:t> </w:t>
      </w:r>
      <w:r w:rsidRPr="004F62C9">
        <w:rPr>
          <w:color w:val="auto"/>
        </w:rPr>
        <w:t>of 900 total health state valuations were removed for this analysis – therefore, n differs between health states.</w:t>
      </w:r>
    </w:p>
    <w:p w14:paraId="209EA880" w14:textId="7C37BE9E" w:rsidR="009152F7" w:rsidRPr="004F62C9" w:rsidRDefault="009152F7" w:rsidP="009152F7">
      <w:pPr>
        <w:pStyle w:val="EndnoteText"/>
        <w:rPr>
          <w:color w:val="auto"/>
        </w:rPr>
      </w:pPr>
      <w:r w:rsidRPr="004F62C9">
        <w:rPr>
          <w:color w:val="auto"/>
        </w:rPr>
        <w:t>† “No high/low 5%” analysis does not include the highest 5% or lowest 5% of utility values for each health state; therefore, the total number of valuations per health state is 90.</w:t>
      </w:r>
    </w:p>
    <w:p w14:paraId="678F3AE4" w14:textId="0282BE7E" w:rsidR="008D6914" w:rsidRPr="004F62C9" w:rsidRDefault="00020342" w:rsidP="00CB0756">
      <w:pPr>
        <w:pStyle w:val="EndnoteText"/>
        <w:rPr>
          <w:color w:val="auto"/>
        </w:rPr>
      </w:pPr>
      <w:r w:rsidRPr="004F62C9">
        <w:rPr>
          <w:color w:val="auto"/>
        </w:rPr>
        <w:t xml:space="preserve">‡ </w:t>
      </w:r>
      <w:r w:rsidRPr="004F62C9">
        <w:rPr>
          <w:i/>
          <w:iCs/>
          <w:color w:val="auto"/>
        </w:rPr>
        <w:t>“No +/−2 SD”</w:t>
      </w:r>
      <w:r w:rsidRPr="004F62C9">
        <w:rPr>
          <w:color w:val="auto"/>
        </w:rPr>
        <w:t xml:space="preserve"> analysis does not include any utility value that is two or more standard deviations above or below the corresponding health state mean; therefore, n differs between health states.</w:t>
      </w:r>
    </w:p>
    <w:p w14:paraId="6CD29DCB" w14:textId="1EA63F84" w:rsidR="00CB0756" w:rsidRPr="004F62C9" w:rsidRDefault="00C92EBA" w:rsidP="00C92EBA">
      <w:pPr>
        <w:pStyle w:val="EndnoteText"/>
        <w:rPr>
          <w:color w:val="auto"/>
        </w:rPr>
      </w:pPr>
      <w:r w:rsidRPr="004F62C9">
        <w:rPr>
          <w:color w:val="auto"/>
        </w:rPr>
        <w:t xml:space="preserve">§ </w:t>
      </w:r>
      <w:r w:rsidRPr="004F62C9">
        <w:rPr>
          <w:i/>
          <w:iCs/>
          <w:color w:val="auto"/>
        </w:rPr>
        <w:t>“No illogical”</w:t>
      </w:r>
      <w:r w:rsidRPr="004F62C9">
        <w:rPr>
          <w:color w:val="auto"/>
        </w:rPr>
        <w:t xml:space="preserve"> analysis does not include any utility value that was deemed to be illogical as per a logic check (see Methods); therefore, n differs between health states.</w:t>
      </w:r>
    </w:p>
    <w:p w14:paraId="17200DF1" w14:textId="77777777" w:rsidR="00C92EBA" w:rsidRPr="004F62C9" w:rsidRDefault="00C92EBA" w:rsidP="000D5E49">
      <w:pPr>
        <w:rPr>
          <w:color w:val="auto"/>
        </w:rPr>
      </w:pPr>
    </w:p>
    <w:p w14:paraId="084D6A55" w14:textId="20C7B095" w:rsidR="007B422C" w:rsidRPr="004F62C9" w:rsidRDefault="00110622" w:rsidP="00110622">
      <w:pPr>
        <w:pStyle w:val="Heading2"/>
        <w:numPr>
          <w:ilvl w:val="0"/>
          <w:numId w:val="0"/>
        </w:numPr>
        <w:ind w:left="709" w:hanging="709"/>
        <w:rPr>
          <w:color w:val="auto"/>
        </w:rPr>
      </w:pPr>
      <w:r w:rsidRPr="004F62C9">
        <w:rPr>
          <w:color w:val="auto"/>
        </w:rPr>
        <w:t>Detailed VAS scores</w:t>
      </w:r>
    </w:p>
    <w:p w14:paraId="3DEBA3F1" w14:textId="095D2A4F" w:rsidR="00521C6F" w:rsidRPr="004F62C9" w:rsidRDefault="00521C6F" w:rsidP="00521C6F">
      <w:pPr>
        <w:pStyle w:val="Caption"/>
        <w:rPr>
          <w:color w:val="auto"/>
        </w:rPr>
      </w:pPr>
    </w:p>
    <w:p w14:paraId="22964D98" w14:textId="051BB072" w:rsidR="00F93E12" w:rsidRPr="004F62C9" w:rsidRDefault="00F93E12" w:rsidP="00F93E12">
      <w:pPr>
        <w:pStyle w:val="Caption"/>
        <w:rPr>
          <w:color w:val="auto"/>
        </w:rPr>
      </w:pPr>
      <w:r w:rsidRPr="004F62C9">
        <w:rPr>
          <w:color w:val="auto"/>
        </w:rPr>
        <w:t xml:space="preserve">Figure </w:t>
      </w:r>
      <w:r w:rsidR="00B2211B" w:rsidRPr="004F62C9">
        <w:rPr>
          <w:color w:val="auto"/>
        </w:rPr>
        <w:fldChar w:fldCharType="begin"/>
      </w:r>
      <w:r w:rsidR="00B2211B" w:rsidRPr="004F62C9">
        <w:rPr>
          <w:color w:val="auto"/>
        </w:rPr>
        <w:instrText xml:space="preserve"> SEQ Figure \* ARABIC </w:instrText>
      </w:r>
      <w:r w:rsidR="00B2211B" w:rsidRPr="004F62C9">
        <w:rPr>
          <w:color w:val="auto"/>
        </w:rPr>
        <w:fldChar w:fldCharType="separate"/>
      </w:r>
      <w:r w:rsidR="000C3AF4" w:rsidRPr="004F62C9">
        <w:rPr>
          <w:noProof/>
          <w:color w:val="auto"/>
        </w:rPr>
        <w:t>5</w:t>
      </w:r>
      <w:r w:rsidR="00B2211B" w:rsidRPr="004F62C9">
        <w:rPr>
          <w:noProof/>
          <w:color w:val="auto"/>
        </w:rPr>
        <w:fldChar w:fldCharType="end"/>
      </w:r>
      <w:r w:rsidRPr="004F62C9">
        <w:rPr>
          <w:color w:val="auto"/>
        </w:rPr>
        <w:t>: Scores by VAS (converted to utility values) from participants in the UK (n=110)</w:t>
      </w:r>
    </w:p>
    <w:p w14:paraId="13FD3822" w14:textId="77777777" w:rsidR="00521C6F" w:rsidRPr="004F62C9" w:rsidRDefault="00521C6F" w:rsidP="00521C6F">
      <w:pPr>
        <w:spacing w:before="0" w:after="0"/>
        <w:rPr>
          <w:color w:val="auto"/>
        </w:rPr>
      </w:pPr>
      <w:r w:rsidRPr="004F62C9">
        <w:rPr>
          <w:noProof/>
          <w:color w:val="auto"/>
          <w:lang w:val="en-US"/>
        </w:rPr>
        <w:drawing>
          <wp:inline distT="0" distB="0" distL="0" distR="0" wp14:anchorId="6AFDD250" wp14:editId="64334DD7">
            <wp:extent cx="3593796" cy="2995690"/>
            <wp:effectExtent l="19050" t="19050" r="26035" b="146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2">
                      <a:extLst>
                        <a:ext uri="{28A0092B-C50C-407E-A947-70E740481C1C}">
                          <a14:useLocalDpi xmlns:a14="http://schemas.microsoft.com/office/drawing/2010/main" val="0"/>
                        </a:ext>
                      </a:extLst>
                    </a:blip>
                    <a:stretch>
                      <a:fillRect/>
                    </a:stretch>
                  </pic:blipFill>
                  <pic:spPr>
                    <a:xfrm>
                      <a:off x="0" y="0"/>
                      <a:ext cx="3593796" cy="2995690"/>
                    </a:xfrm>
                    <a:prstGeom prst="rect">
                      <a:avLst/>
                    </a:prstGeom>
                    <a:ln w="6350">
                      <a:solidFill>
                        <a:schemeClr val="accent6"/>
                      </a:solidFill>
                    </a:ln>
                  </pic:spPr>
                </pic:pic>
              </a:graphicData>
            </a:graphic>
          </wp:inline>
        </w:drawing>
      </w:r>
    </w:p>
    <w:p w14:paraId="745F332F" w14:textId="77777777" w:rsidR="00521C6F" w:rsidRPr="004F62C9" w:rsidRDefault="00521C6F" w:rsidP="00521C6F">
      <w:pPr>
        <w:pStyle w:val="EndnoteText"/>
        <w:rPr>
          <w:color w:val="auto"/>
        </w:rPr>
      </w:pPr>
      <w:r w:rsidRPr="004F62C9">
        <w:rPr>
          <w:color w:val="auto"/>
        </w:rPr>
        <w:t>Tested health states were obesity anchor state, GLP-1 RA QW, GLP-1 RA QD;</w:t>
      </w:r>
    </w:p>
    <w:p w14:paraId="033B932E" w14:textId="77777777" w:rsidR="00521C6F" w:rsidRPr="004F62C9" w:rsidRDefault="00521C6F" w:rsidP="00521C6F">
      <w:pPr>
        <w:pStyle w:val="EndnoteText"/>
        <w:rPr>
          <w:color w:val="auto"/>
        </w:rPr>
      </w:pPr>
      <w:r w:rsidRPr="004F62C9">
        <w:rPr>
          <w:color w:val="auto"/>
        </w:rPr>
        <w:t>T2DM anchor state, GLP-1 RA QW, GLP-1 RA QD, insulin QW, insulin QD, insulin BB;</w:t>
      </w:r>
    </w:p>
    <w:p w14:paraId="1F89FDFD" w14:textId="77777777" w:rsidR="00521C6F" w:rsidRPr="004F62C9" w:rsidRDefault="00521C6F" w:rsidP="00521C6F">
      <w:pPr>
        <w:pStyle w:val="EndnoteText"/>
        <w:rPr>
          <w:color w:val="auto"/>
        </w:rPr>
      </w:pPr>
      <w:r w:rsidRPr="004F62C9">
        <w:rPr>
          <w:color w:val="auto"/>
        </w:rPr>
        <w:t xml:space="preserve">× mean, — median value, </w:t>
      </w:r>
      <w:r w:rsidRPr="004F62C9">
        <w:rPr>
          <w:rFonts w:ascii="Segoe UI Emoji" w:hAnsi="Segoe UI Emoji" w:cs="Segoe UI Emoji"/>
          <w:color w:val="auto"/>
        </w:rPr>
        <w:t>◻</w:t>
      </w:r>
      <w:r w:rsidRPr="004F62C9">
        <w:rPr>
          <w:color w:val="auto"/>
        </w:rPr>
        <w:t xml:space="preserve"> interquartile range (first quartile to third quartile), </w:t>
      </w:r>
    </w:p>
    <w:p w14:paraId="016623F9" w14:textId="72F52744" w:rsidR="00521C6F" w:rsidRPr="004F62C9" w:rsidRDefault="00521C6F" w:rsidP="00521C6F">
      <w:pPr>
        <w:pStyle w:val="EndnoteText"/>
        <w:rPr>
          <w:color w:val="auto"/>
        </w:rPr>
      </w:pPr>
      <w:r w:rsidRPr="004F62C9">
        <w:rPr>
          <w:rFonts w:ascii="Calibri" w:hAnsi="Calibri" w:cs="Calibri"/>
          <w:color w:val="auto"/>
        </w:rPr>
        <w:t>○</w:t>
      </w:r>
      <w:r w:rsidRPr="004F62C9">
        <w:rPr>
          <w:color w:val="auto"/>
        </w:rPr>
        <w:t xml:space="preserve"> outlier value (outside 1.5× interquartile range).</w:t>
      </w:r>
    </w:p>
    <w:p w14:paraId="41F053AA" w14:textId="77777777" w:rsidR="00521C6F" w:rsidRPr="004F62C9" w:rsidRDefault="00521C6F" w:rsidP="00521C6F">
      <w:pPr>
        <w:rPr>
          <w:color w:val="auto"/>
        </w:rPr>
      </w:pPr>
    </w:p>
    <w:p w14:paraId="4E8D6E3A" w14:textId="577B1953" w:rsidR="00521C6F" w:rsidRPr="004F62C9" w:rsidRDefault="00521C6F" w:rsidP="00521C6F">
      <w:pPr>
        <w:pStyle w:val="Caption"/>
        <w:rPr>
          <w:color w:val="auto"/>
        </w:rPr>
      </w:pPr>
      <w:bookmarkStart w:id="15" w:name="_Ref70338060"/>
      <w:r w:rsidRPr="004F62C9">
        <w:rPr>
          <w:color w:val="auto"/>
        </w:rPr>
        <w:t xml:space="preserve">Figure </w:t>
      </w:r>
      <w:r w:rsidR="00B2211B" w:rsidRPr="004F62C9">
        <w:rPr>
          <w:color w:val="auto"/>
        </w:rPr>
        <w:fldChar w:fldCharType="begin"/>
      </w:r>
      <w:r w:rsidR="00B2211B" w:rsidRPr="004F62C9">
        <w:rPr>
          <w:color w:val="auto"/>
        </w:rPr>
        <w:instrText xml:space="preserve"> SEQ Figure \* ARABIC </w:instrText>
      </w:r>
      <w:r w:rsidR="00B2211B" w:rsidRPr="004F62C9">
        <w:rPr>
          <w:color w:val="auto"/>
        </w:rPr>
        <w:fldChar w:fldCharType="separate"/>
      </w:r>
      <w:r w:rsidR="000C3AF4" w:rsidRPr="004F62C9">
        <w:rPr>
          <w:noProof/>
          <w:color w:val="auto"/>
        </w:rPr>
        <w:t>6</w:t>
      </w:r>
      <w:r w:rsidR="00B2211B" w:rsidRPr="004F62C9">
        <w:rPr>
          <w:noProof/>
          <w:color w:val="auto"/>
        </w:rPr>
        <w:fldChar w:fldCharType="end"/>
      </w:r>
      <w:bookmarkEnd w:id="15"/>
      <w:r w:rsidRPr="004F62C9">
        <w:rPr>
          <w:color w:val="auto"/>
        </w:rPr>
        <w:t xml:space="preserve">. Scores by VAS (converted to utility values) from </w:t>
      </w:r>
      <w:r w:rsidR="003F5E06" w:rsidRPr="004F62C9">
        <w:rPr>
          <w:color w:val="auto"/>
        </w:rPr>
        <w:t>participants</w:t>
      </w:r>
      <w:r w:rsidRPr="004F62C9">
        <w:rPr>
          <w:color w:val="auto"/>
        </w:rPr>
        <w:t xml:space="preserve"> in Canada (n=100)</w:t>
      </w:r>
    </w:p>
    <w:p w14:paraId="22CA984A" w14:textId="77777777" w:rsidR="00521C6F" w:rsidRPr="004F62C9" w:rsidRDefault="00521C6F" w:rsidP="00521C6F">
      <w:pPr>
        <w:spacing w:before="0" w:after="0"/>
        <w:rPr>
          <w:color w:val="auto"/>
        </w:rPr>
      </w:pPr>
      <w:r w:rsidRPr="004F62C9">
        <w:rPr>
          <w:noProof/>
          <w:color w:val="auto"/>
          <w:lang w:val="en-US"/>
        </w:rPr>
        <w:drawing>
          <wp:inline distT="0" distB="0" distL="0" distR="0" wp14:anchorId="4D7FF385" wp14:editId="1F3E1A75">
            <wp:extent cx="3600000" cy="2972280"/>
            <wp:effectExtent l="19050" t="19050" r="1968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3">
                      <a:extLst>
                        <a:ext uri="{28A0092B-C50C-407E-A947-70E740481C1C}">
                          <a14:useLocalDpi xmlns:a14="http://schemas.microsoft.com/office/drawing/2010/main" val="0"/>
                        </a:ext>
                      </a:extLst>
                    </a:blip>
                    <a:stretch>
                      <a:fillRect/>
                    </a:stretch>
                  </pic:blipFill>
                  <pic:spPr>
                    <a:xfrm>
                      <a:off x="0" y="0"/>
                      <a:ext cx="3600000" cy="2972280"/>
                    </a:xfrm>
                    <a:prstGeom prst="rect">
                      <a:avLst/>
                    </a:prstGeom>
                    <a:ln w="6350">
                      <a:solidFill>
                        <a:schemeClr val="accent6"/>
                      </a:solidFill>
                    </a:ln>
                  </pic:spPr>
                </pic:pic>
              </a:graphicData>
            </a:graphic>
          </wp:inline>
        </w:drawing>
      </w:r>
    </w:p>
    <w:p w14:paraId="514113F7" w14:textId="77777777" w:rsidR="00521C6F" w:rsidRPr="004F62C9" w:rsidRDefault="00521C6F" w:rsidP="00521C6F">
      <w:pPr>
        <w:pStyle w:val="EndnoteText"/>
        <w:rPr>
          <w:color w:val="auto"/>
        </w:rPr>
      </w:pPr>
      <w:r w:rsidRPr="004F62C9">
        <w:rPr>
          <w:color w:val="auto"/>
        </w:rPr>
        <w:t>Tested health states were obesity anchor state, GLP-1 RA QW, GLP-1 RA QD;</w:t>
      </w:r>
    </w:p>
    <w:p w14:paraId="48A7D6B4" w14:textId="77777777" w:rsidR="00521C6F" w:rsidRPr="004F62C9" w:rsidRDefault="00521C6F" w:rsidP="00521C6F">
      <w:pPr>
        <w:pStyle w:val="EndnoteText"/>
        <w:rPr>
          <w:color w:val="auto"/>
        </w:rPr>
      </w:pPr>
      <w:r w:rsidRPr="004F62C9">
        <w:rPr>
          <w:color w:val="auto"/>
        </w:rPr>
        <w:t>T2DM anchor state, GLP-1 RA QW, GLP-1 RA QD, insulin QW, insulin QD, insulin BB;</w:t>
      </w:r>
    </w:p>
    <w:p w14:paraId="69E48769" w14:textId="77777777" w:rsidR="00521C6F" w:rsidRPr="004F62C9" w:rsidRDefault="00521C6F" w:rsidP="00521C6F">
      <w:pPr>
        <w:pStyle w:val="EndnoteText"/>
        <w:rPr>
          <w:color w:val="auto"/>
        </w:rPr>
      </w:pPr>
      <w:r w:rsidRPr="004F62C9">
        <w:rPr>
          <w:color w:val="auto"/>
        </w:rPr>
        <w:t xml:space="preserve">× mean, — median value, </w:t>
      </w:r>
      <w:r w:rsidRPr="004F62C9">
        <w:rPr>
          <w:rFonts w:ascii="Segoe UI Emoji" w:hAnsi="Segoe UI Emoji" w:cs="Segoe UI Emoji"/>
          <w:color w:val="auto"/>
        </w:rPr>
        <w:t>◻</w:t>
      </w:r>
      <w:r w:rsidRPr="004F62C9">
        <w:rPr>
          <w:color w:val="auto"/>
        </w:rPr>
        <w:t xml:space="preserve"> interquartile range (first quartile to third quartile), </w:t>
      </w:r>
    </w:p>
    <w:p w14:paraId="7EF9C1D1" w14:textId="1B307838" w:rsidR="00521C6F" w:rsidRPr="004F62C9" w:rsidRDefault="00521C6F" w:rsidP="00B0124F">
      <w:pPr>
        <w:pStyle w:val="EndnoteText"/>
        <w:rPr>
          <w:color w:val="auto"/>
        </w:rPr>
      </w:pPr>
      <w:r w:rsidRPr="004F62C9">
        <w:rPr>
          <w:rFonts w:ascii="Calibri" w:hAnsi="Calibri" w:cs="Calibri"/>
          <w:color w:val="auto"/>
        </w:rPr>
        <w:t>○</w:t>
      </w:r>
      <w:r w:rsidRPr="004F62C9">
        <w:rPr>
          <w:color w:val="auto"/>
        </w:rPr>
        <w:t xml:space="preserve"> outlier value (outside 1.5× interquartile range).</w:t>
      </w:r>
    </w:p>
    <w:p w14:paraId="3D1F56F2" w14:textId="3FD35783" w:rsidR="00B0124F" w:rsidRPr="004F62C9" w:rsidRDefault="00B0124F" w:rsidP="00B0124F">
      <w:pPr>
        <w:pStyle w:val="Caption"/>
        <w:rPr>
          <w:color w:val="auto"/>
        </w:rPr>
      </w:pPr>
    </w:p>
    <w:p w14:paraId="6DD4B82D" w14:textId="6945ACB1" w:rsidR="00F93E12" w:rsidRPr="004F62C9" w:rsidRDefault="00F93E12" w:rsidP="00F93E12">
      <w:pPr>
        <w:pStyle w:val="Caption"/>
        <w:rPr>
          <w:color w:val="auto"/>
        </w:rPr>
      </w:pPr>
      <w:r w:rsidRPr="004F62C9">
        <w:rPr>
          <w:color w:val="auto"/>
        </w:rPr>
        <w:t xml:space="preserve">Figure </w:t>
      </w:r>
      <w:r w:rsidR="00B2211B" w:rsidRPr="004F62C9">
        <w:rPr>
          <w:color w:val="auto"/>
        </w:rPr>
        <w:fldChar w:fldCharType="begin"/>
      </w:r>
      <w:r w:rsidR="00B2211B" w:rsidRPr="004F62C9">
        <w:rPr>
          <w:color w:val="auto"/>
        </w:rPr>
        <w:instrText xml:space="preserve"> SEQ Figure \* ARABIC </w:instrText>
      </w:r>
      <w:r w:rsidR="00B2211B" w:rsidRPr="004F62C9">
        <w:rPr>
          <w:color w:val="auto"/>
        </w:rPr>
        <w:fldChar w:fldCharType="separate"/>
      </w:r>
      <w:r w:rsidR="000C3AF4" w:rsidRPr="004F62C9">
        <w:rPr>
          <w:noProof/>
          <w:color w:val="auto"/>
        </w:rPr>
        <w:t>7</w:t>
      </w:r>
      <w:r w:rsidR="00B2211B" w:rsidRPr="004F62C9">
        <w:rPr>
          <w:noProof/>
          <w:color w:val="auto"/>
        </w:rPr>
        <w:fldChar w:fldCharType="end"/>
      </w:r>
      <w:r w:rsidRPr="004F62C9">
        <w:rPr>
          <w:color w:val="auto"/>
        </w:rPr>
        <w:t>: Scores by VAS (converted to utility values) from participants in China (n=100)</w:t>
      </w:r>
    </w:p>
    <w:p w14:paraId="76574592" w14:textId="77777777" w:rsidR="00B0124F" w:rsidRPr="004F62C9" w:rsidRDefault="00B0124F" w:rsidP="00B0124F">
      <w:pPr>
        <w:spacing w:before="0" w:after="0"/>
        <w:rPr>
          <w:color w:val="auto"/>
        </w:rPr>
      </w:pPr>
      <w:r w:rsidRPr="004F62C9">
        <w:rPr>
          <w:noProof/>
          <w:color w:val="auto"/>
          <w:lang w:val="en-US"/>
        </w:rPr>
        <w:drawing>
          <wp:inline distT="0" distB="0" distL="0" distR="0" wp14:anchorId="422CA685" wp14:editId="2C89BCD1">
            <wp:extent cx="3600000" cy="2956573"/>
            <wp:effectExtent l="19050" t="19050" r="19685"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4">
                      <a:extLst>
                        <a:ext uri="{28A0092B-C50C-407E-A947-70E740481C1C}">
                          <a14:useLocalDpi xmlns:a14="http://schemas.microsoft.com/office/drawing/2010/main" val="0"/>
                        </a:ext>
                      </a:extLst>
                    </a:blip>
                    <a:stretch>
                      <a:fillRect/>
                    </a:stretch>
                  </pic:blipFill>
                  <pic:spPr>
                    <a:xfrm>
                      <a:off x="0" y="0"/>
                      <a:ext cx="3600000" cy="2956573"/>
                    </a:xfrm>
                    <a:prstGeom prst="rect">
                      <a:avLst/>
                    </a:prstGeom>
                    <a:ln w="6350">
                      <a:solidFill>
                        <a:schemeClr val="accent6"/>
                      </a:solidFill>
                    </a:ln>
                  </pic:spPr>
                </pic:pic>
              </a:graphicData>
            </a:graphic>
          </wp:inline>
        </w:drawing>
      </w:r>
    </w:p>
    <w:p w14:paraId="0D14F312" w14:textId="77777777" w:rsidR="00B0124F" w:rsidRPr="004F62C9" w:rsidRDefault="00B0124F" w:rsidP="00B0124F">
      <w:pPr>
        <w:pStyle w:val="EndnoteText"/>
        <w:rPr>
          <w:color w:val="auto"/>
        </w:rPr>
      </w:pPr>
      <w:r w:rsidRPr="004F62C9">
        <w:rPr>
          <w:color w:val="auto"/>
        </w:rPr>
        <w:t>Tested health states were obesity anchor state, GLP-1 RA QW, GLP-1 RA QD;</w:t>
      </w:r>
    </w:p>
    <w:p w14:paraId="77BDA4EB" w14:textId="77777777" w:rsidR="00B0124F" w:rsidRPr="004F62C9" w:rsidRDefault="00B0124F" w:rsidP="00B0124F">
      <w:pPr>
        <w:pStyle w:val="EndnoteText"/>
        <w:rPr>
          <w:color w:val="auto"/>
        </w:rPr>
      </w:pPr>
      <w:r w:rsidRPr="004F62C9">
        <w:rPr>
          <w:color w:val="auto"/>
        </w:rPr>
        <w:t>T2DM anchor state, GLP-1 RA QW, GLP-1 RA QD, insulin QW, insulin QD, insulin BB;</w:t>
      </w:r>
    </w:p>
    <w:p w14:paraId="416CD218" w14:textId="77777777" w:rsidR="00B0124F" w:rsidRPr="004F62C9" w:rsidRDefault="00B0124F" w:rsidP="00B0124F">
      <w:pPr>
        <w:pStyle w:val="EndnoteText"/>
        <w:rPr>
          <w:color w:val="auto"/>
        </w:rPr>
      </w:pPr>
      <w:r w:rsidRPr="004F62C9">
        <w:rPr>
          <w:color w:val="auto"/>
        </w:rPr>
        <w:t xml:space="preserve">× mean, — median value, </w:t>
      </w:r>
      <w:r w:rsidRPr="004F62C9">
        <w:rPr>
          <w:rFonts w:ascii="Segoe UI Emoji" w:hAnsi="Segoe UI Emoji" w:cs="Segoe UI Emoji"/>
          <w:color w:val="auto"/>
        </w:rPr>
        <w:t>◻</w:t>
      </w:r>
      <w:r w:rsidRPr="004F62C9">
        <w:rPr>
          <w:color w:val="auto"/>
        </w:rPr>
        <w:t xml:space="preserve"> interquartile range (first quartile to third quartile), </w:t>
      </w:r>
    </w:p>
    <w:p w14:paraId="7387DB0E" w14:textId="17AC8216" w:rsidR="00521C6F" w:rsidRPr="004F62C9" w:rsidRDefault="00B0124F" w:rsidP="00B0124F">
      <w:pPr>
        <w:pStyle w:val="EndnoteText"/>
        <w:rPr>
          <w:color w:val="auto"/>
        </w:rPr>
      </w:pPr>
      <w:r w:rsidRPr="004F62C9">
        <w:rPr>
          <w:rFonts w:ascii="Calibri" w:hAnsi="Calibri" w:cs="Calibri"/>
          <w:color w:val="auto"/>
        </w:rPr>
        <w:t>○</w:t>
      </w:r>
      <w:r w:rsidRPr="004F62C9">
        <w:rPr>
          <w:color w:val="auto"/>
        </w:rPr>
        <w:t xml:space="preserve"> outlier value (outside 1.5× interquartile range).</w:t>
      </w:r>
    </w:p>
    <w:p w14:paraId="1A603E55" w14:textId="7944117A" w:rsidR="00B0124F" w:rsidRPr="004F62C9" w:rsidRDefault="00B217E6" w:rsidP="00705677">
      <w:pPr>
        <w:spacing w:before="0" w:after="200"/>
        <w:rPr>
          <w:color w:val="auto"/>
        </w:rPr>
      </w:pPr>
      <w:r w:rsidRPr="004F62C9">
        <w:rPr>
          <w:color w:val="auto"/>
        </w:rPr>
        <w:br w:type="page"/>
      </w:r>
    </w:p>
    <w:p w14:paraId="2B9FDA11" w14:textId="06D45DF7" w:rsidR="009A2EF2" w:rsidRPr="004F62C9" w:rsidRDefault="009A2EF2" w:rsidP="009A2EF2">
      <w:pPr>
        <w:pStyle w:val="Caption"/>
        <w:rPr>
          <w:color w:val="auto"/>
        </w:rPr>
      </w:pPr>
      <w:r w:rsidRPr="004F62C9">
        <w:rPr>
          <w:color w:val="auto"/>
        </w:rPr>
        <w:t xml:space="preserve">Table </w:t>
      </w:r>
      <w:r w:rsidR="00B2211B" w:rsidRPr="004F62C9">
        <w:rPr>
          <w:color w:val="auto"/>
        </w:rPr>
        <w:fldChar w:fldCharType="begin"/>
      </w:r>
      <w:r w:rsidR="00B2211B" w:rsidRPr="004F62C9">
        <w:rPr>
          <w:color w:val="auto"/>
        </w:rPr>
        <w:instrText xml:space="preserve"> SEQ Table \* ARABIC </w:instrText>
      </w:r>
      <w:r w:rsidR="00B2211B" w:rsidRPr="004F62C9">
        <w:rPr>
          <w:color w:val="auto"/>
        </w:rPr>
        <w:fldChar w:fldCharType="separate"/>
      </w:r>
      <w:r w:rsidR="000C3AF4" w:rsidRPr="004F62C9">
        <w:rPr>
          <w:noProof/>
          <w:color w:val="auto"/>
        </w:rPr>
        <w:t>11</w:t>
      </w:r>
      <w:r w:rsidR="00B2211B" w:rsidRPr="004F62C9">
        <w:rPr>
          <w:noProof/>
          <w:color w:val="auto"/>
        </w:rPr>
        <w:fldChar w:fldCharType="end"/>
      </w:r>
      <w:r w:rsidRPr="004F62C9">
        <w:rPr>
          <w:color w:val="auto"/>
        </w:rPr>
        <w:t xml:space="preserve">. VAS scores elicited from </w:t>
      </w:r>
      <w:r w:rsidR="003F5E06" w:rsidRPr="004F62C9">
        <w:rPr>
          <w:color w:val="auto"/>
        </w:rPr>
        <w:t>participants</w:t>
      </w:r>
      <w:r w:rsidRPr="004F62C9">
        <w:rPr>
          <w:color w:val="auto"/>
        </w:rPr>
        <w:t xml:space="preserve"> in the UK (n=110)</w:t>
      </w:r>
    </w:p>
    <w:tbl>
      <w:tblPr>
        <w:tblStyle w:val="TableGridLight"/>
        <w:tblW w:w="0" w:type="auto"/>
        <w:tblLook w:val="04A0" w:firstRow="1" w:lastRow="0" w:firstColumn="1" w:lastColumn="0" w:noHBand="0" w:noVBand="1"/>
      </w:tblPr>
      <w:tblGrid>
        <w:gridCol w:w="1048"/>
        <w:gridCol w:w="904"/>
        <w:gridCol w:w="878"/>
        <w:gridCol w:w="878"/>
        <w:gridCol w:w="890"/>
        <w:gridCol w:w="878"/>
        <w:gridCol w:w="878"/>
        <w:gridCol w:w="895"/>
        <w:gridCol w:w="895"/>
        <w:gridCol w:w="895"/>
      </w:tblGrid>
      <w:tr w:rsidR="004F62C9" w:rsidRPr="004F62C9" w14:paraId="547A06A1" w14:textId="77777777" w:rsidTr="004F62C9">
        <w:tc>
          <w:tcPr>
            <w:tcW w:w="1048" w:type="dxa"/>
            <w:vMerge w:val="restart"/>
          </w:tcPr>
          <w:p w14:paraId="3E7A84DC" w14:textId="77777777" w:rsidR="00110622" w:rsidRPr="004F62C9" w:rsidRDefault="00110622" w:rsidP="00900E1D">
            <w:pPr>
              <w:pStyle w:val="Table-Normal"/>
              <w:rPr>
                <w:color w:val="auto"/>
                <w:sz w:val="20"/>
                <w:szCs w:val="20"/>
              </w:rPr>
            </w:pPr>
          </w:p>
        </w:tc>
        <w:tc>
          <w:tcPr>
            <w:tcW w:w="2660" w:type="dxa"/>
            <w:gridSpan w:val="3"/>
            <w:hideMark/>
          </w:tcPr>
          <w:p w14:paraId="7D47C828" w14:textId="77777777" w:rsidR="00110622" w:rsidRPr="004F62C9" w:rsidRDefault="00110622"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Obesity</w:t>
            </w:r>
          </w:p>
        </w:tc>
        <w:tc>
          <w:tcPr>
            <w:tcW w:w="5331" w:type="dxa"/>
            <w:gridSpan w:val="6"/>
            <w:hideMark/>
          </w:tcPr>
          <w:p w14:paraId="45D69760" w14:textId="77777777" w:rsidR="00110622" w:rsidRPr="004F62C9" w:rsidRDefault="00110622"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T2DM</w:t>
            </w:r>
          </w:p>
        </w:tc>
      </w:tr>
      <w:tr w:rsidR="004F62C9" w:rsidRPr="004F62C9" w14:paraId="45CF95F3" w14:textId="77777777" w:rsidTr="004F62C9">
        <w:tc>
          <w:tcPr>
            <w:tcW w:w="0" w:type="auto"/>
            <w:vMerge/>
            <w:hideMark/>
          </w:tcPr>
          <w:p w14:paraId="685D36A3" w14:textId="77777777" w:rsidR="00110622" w:rsidRPr="004F62C9" w:rsidRDefault="00110622" w:rsidP="00900E1D">
            <w:pPr>
              <w:spacing w:before="0" w:after="0"/>
              <w:rPr>
                <w:b/>
                <w:color w:val="auto"/>
                <w:sz w:val="20"/>
                <w:szCs w:val="20"/>
              </w:rPr>
            </w:pPr>
          </w:p>
        </w:tc>
        <w:tc>
          <w:tcPr>
            <w:tcW w:w="904" w:type="dxa"/>
            <w:vMerge w:val="restart"/>
            <w:hideMark/>
          </w:tcPr>
          <w:p w14:paraId="5B05F77C"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Anchor</w:t>
            </w:r>
          </w:p>
        </w:tc>
        <w:tc>
          <w:tcPr>
            <w:tcW w:w="1756" w:type="dxa"/>
            <w:gridSpan w:val="2"/>
            <w:hideMark/>
          </w:tcPr>
          <w:p w14:paraId="0EF43BF2"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890" w:type="dxa"/>
            <w:vMerge w:val="restart"/>
            <w:hideMark/>
          </w:tcPr>
          <w:p w14:paraId="4AAC7BF8"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b/>
                <w:bCs w:val="0"/>
                <w:color w:val="auto"/>
                <w:sz w:val="20"/>
                <w:szCs w:val="20"/>
              </w:rPr>
              <w:t>Anchor</w:t>
            </w:r>
          </w:p>
        </w:tc>
        <w:tc>
          <w:tcPr>
            <w:tcW w:w="1756" w:type="dxa"/>
            <w:gridSpan w:val="2"/>
            <w:hideMark/>
          </w:tcPr>
          <w:p w14:paraId="561CB6C1"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2685" w:type="dxa"/>
            <w:gridSpan w:val="3"/>
            <w:hideMark/>
          </w:tcPr>
          <w:p w14:paraId="269BE5E7"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Insulin</w:t>
            </w:r>
          </w:p>
        </w:tc>
      </w:tr>
      <w:tr w:rsidR="004F62C9" w:rsidRPr="004F62C9" w14:paraId="2860B17F" w14:textId="77777777" w:rsidTr="004F62C9">
        <w:tc>
          <w:tcPr>
            <w:tcW w:w="0" w:type="auto"/>
            <w:vMerge/>
            <w:hideMark/>
          </w:tcPr>
          <w:p w14:paraId="47B86C9C" w14:textId="77777777" w:rsidR="00110622" w:rsidRPr="004F62C9" w:rsidRDefault="00110622" w:rsidP="00900E1D">
            <w:pPr>
              <w:spacing w:before="0" w:after="0"/>
              <w:rPr>
                <w:b/>
                <w:color w:val="auto"/>
                <w:sz w:val="20"/>
                <w:szCs w:val="20"/>
              </w:rPr>
            </w:pPr>
          </w:p>
        </w:tc>
        <w:tc>
          <w:tcPr>
            <w:tcW w:w="0" w:type="auto"/>
            <w:vMerge/>
            <w:hideMark/>
          </w:tcPr>
          <w:p w14:paraId="092B74A4" w14:textId="77777777" w:rsidR="00110622" w:rsidRPr="004F62C9" w:rsidRDefault="00110622" w:rsidP="00900E1D">
            <w:pPr>
              <w:spacing w:before="0" w:after="0"/>
              <w:rPr>
                <w:rFonts w:ascii="Calibri" w:hAnsi="Calibri" w:cs="Calibri"/>
                <w:b/>
                <w:color w:val="auto"/>
                <w:kern w:val="24"/>
                <w:sz w:val="20"/>
                <w:szCs w:val="20"/>
              </w:rPr>
            </w:pPr>
          </w:p>
        </w:tc>
        <w:tc>
          <w:tcPr>
            <w:tcW w:w="878" w:type="dxa"/>
            <w:hideMark/>
          </w:tcPr>
          <w:p w14:paraId="6326747E"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hideMark/>
          </w:tcPr>
          <w:p w14:paraId="554FF976"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0" w:type="auto"/>
            <w:vMerge/>
            <w:hideMark/>
          </w:tcPr>
          <w:p w14:paraId="78220F16" w14:textId="77777777" w:rsidR="00110622" w:rsidRPr="004F62C9" w:rsidRDefault="00110622" w:rsidP="00900E1D">
            <w:pPr>
              <w:spacing w:before="0" w:after="0"/>
              <w:rPr>
                <w:rFonts w:ascii="Calibri" w:hAnsi="Calibri" w:cs="Calibri"/>
                <w:b/>
                <w:color w:val="auto"/>
                <w:kern w:val="24"/>
                <w:sz w:val="20"/>
                <w:szCs w:val="20"/>
              </w:rPr>
            </w:pPr>
          </w:p>
        </w:tc>
        <w:tc>
          <w:tcPr>
            <w:tcW w:w="878" w:type="dxa"/>
            <w:hideMark/>
          </w:tcPr>
          <w:p w14:paraId="4DA9BC6C"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hideMark/>
          </w:tcPr>
          <w:p w14:paraId="03AE57C6"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hideMark/>
          </w:tcPr>
          <w:p w14:paraId="526A06EB"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95" w:type="dxa"/>
            <w:hideMark/>
          </w:tcPr>
          <w:p w14:paraId="489843DB"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hideMark/>
          </w:tcPr>
          <w:p w14:paraId="14700446"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BB</w:t>
            </w:r>
          </w:p>
        </w:tc>
      </w:tr>
      <w:tr w:rsidR="004F62C9" w:rsidRPr="004F62C9" w14:paraId="0218BE30" w14:textId="77777777" w:rsidTr="004F62C9">
        <w:tc>
          <w:tcPr>
            <w:tcW w:w="1048" w:type="dxa"/>
            <w:hideMark/>
          </w:tcPr>
          <w:p w14:paraId="2086143B" w14:textId="77777777" w:rsidR="00110622" w:rsidRPr="004F62C9" w:rsidRDefault="00110622" w:rsidP="00900E1D">
            <w:pPr>
              <w:pStyle w:val="Table-Normal"/>
              <w:jc w:val="right"/>
              <w:rPr>
                <w:b/>
                <w:color w:val="auto"/>
                <w:sz w:val="20"/>
                <w:szCs w:val="20"/>
              </w:rPr>
            </w:pPr>
            <w:r w:rsidRPr="004F62C9">
              <w:rPr>
                <w:rFonts w:ascii="Calibri" w:hAnsi="Calibri" w:cs="Calibri"/>
                <w:b/>
                <w:color w:val="auto"/>
                <w:kern w:val="24"/>
                <w:sz w:val="20"/>
                <w:szCs w:val="20"/>
              </w:rPr>
              <w:t xml:space="preserve">Mean </w:t>
            </w:r>
          </w:p>
        </w:tc>
        <w:tc>
          <w:tcPr>
            <w:tcW w:w="904" w:type="dxa"/>
            <w:hideMark/>
          </w:tcPr>
          <w:p w14:paraId="52C2CCA9"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57.22</w:t>
            </w:r>
          </w:p>
        </w:tc>
        <w:tc>
          <w:tcPr>
            <w:tcW w:w="878" w:type="dxa"/>
            <w:hideMark/>
          </w:tcPr>
          <w:p w14:paraId="1632563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48.37</w:t>
            </w:r>
          </w:p>
        </w:tc>
        <w:tc>
          <w:tcPr>
            <w:tcW w:w="878" w:type="dxa"/>
            <w:hideMark/>
          </w:tcPr>
          <w:p w14:paraId="24219E19"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42.05</w:t>
            </w:r>
          </w:p>
        </w:tc>
        <w:tc>
          <w:tcPr>
            <w:tcW w:w="890" w:type="dxa"/>
            <w:hideMark/>
          </w:tcPr>
          <w:p w14:paraId="38BAE812"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60.24</w:t>
            </w:r>
          </w:p>
        </w:tc>
        <w:tc>
          <w:tcPr>
            <w:tcW w:w="878" w:type="dxa"/>
            <w:hideMark/>
          </w:tcPr>
          <w:p w14:paraId="7565BCD9"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53.35</w:t>
            </w:r>
          </w:p>
        </w:tc>
        <w:tc>
          <w:tcPr>
            <w:tcW w:w="878" w:type="dxa"/>
            <w:hideMark/>
          </w:tcPr>
          <w:p w14:paraId="5B0AC78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47.42</w:t>
            </w:r>
          </w:p>
        </w:tc>
        <w:tc>
          <w:tcPr>
            <w:tcW w:w="895" w:type="dxa"/>
            <w:hideMark/>
          </w:tcPr>
          <w:p w14:paraId="4795085E"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50.57</w:t>
            </w:r>
          </w:p>
        </w:tc>
        <w:tc>
          <w:tcPr>
            <w:tcW w:w="895" w:type="dxa"/>
            <w:hideMark/>
          </w:tcPr>
          <w:p w14:paraId="3B6EC9D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44.23</w:t>
            </w:r>
          </w:p>
        </w:tc>
        <w:tc>
          <w:tcPr>
            <w:tcW w:w="895" w:type="dxa"/>
            <w:hideMark/>
          </w:tcPr>
          <w:p w14:paraId="24418F07"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34.38</w:t>
            </w:r>
          </w:p>
        </w:tc>
      </w:tr>
      <w:tr w:rsidR="004F62C9" w:rsidRPr="004F62C9" w14:paraId="61E99A8C" w14:textId="77777777" w:rsidTr="004F62C9">
        <w:tc>
          <w:tcPr>
            <w:tcW w:w="1048" w:type="dxa"/>
            <w:hideMark/>
          </w:tcPr>
          <w:p w14:paraId="0A44E539" w14:textId="77777777" w:rsidR="00110622" w:rsidRPr="004F62C9" w:rsidRDefault="00110622" w:rsidP="00900E1D">
            <w:pPr>
              <w:pStyle w:val="Table-Normal"/>
              <w:jc w:val="right"/>
              <w:rPr>
                <w:b/>
                <w:color w:val="auto"/>
                <w:sz w:val="20"/>
                <w:szCs w:val="20"/>
              </w:rPr>
            </w:pPr>
            <w:r w:rsidRPr="004F62C9">
              <w:rPr>
                <w:b/>
                <w:color w:val="auto"/>
                <w:sz w:val="20"/>
                <w:szCs w:val="20"/>
              </w:rPr>
              <w:t>SD</w:t>
            </w:r>
          </w:p>
        </w:tc>
        <w:tc>
          <w:tcPr>
            <w:tcW w:w="904" w:type="dxa"/>
            <w:hideMark/>
          </w:tcPr>
          <w:p w14:paraId="101A6E8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16.84</w:t>
            </w:r>
          </w:p>
        </w:tc>
        <w:tc>
          <w:tcPr>
            <w:tcW w:w="878" w:type="dxa"/>
            <w:hideMark/>
          </w:tcPr>
          <w:p w14:paraId="610E67E7"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16.73</w:t>
            </w:r>
          </w:p>
        </w:tc>
        <w:tc>
          <w:tcPr>
            <w:tcW w:w="878" w:type="dxa"/>
            <w:hideMark/>
          </w:tcPr>
          <w:p w14:paraId="00B4EF16"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18.15</w:t>
            </w:r>
          </w:p>
        </w:tc>
        <w:tc>
          <w:tcPr>
            <w:tcW w:w="890" w:type="dxa"/>
            <w:hideMark/>
          </w:tcPr>
          <w:p w14:paraId="3844D8D6"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15.73</w:t>
            </w:r>
          </w:p>
        </w:tc>
        <w:tc>
          <w:tcPr>
            <w:tcW w:w="878" w:type="dxa"/>
            <w:hideMark/>
          </w:tcPr>
          <w:p w14:paraId="443F6C46"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16.22</w:t>
            </w:r>
          </w:p>
        </w:tc>
        <w:tc>
          <w:tcPr>
            <w:tcW w:w="878" w:type="dxa"/>
            <w:hideMark/>
          </w:tcPr>
          <w:p w14:paraId="5029994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16.88</w:t>
            </w:r>
          </w:p>
        </w:tc>
        <w:tc>
          <w:tcPr>
            <w:tcW w:w="895" w:type="dxa"/>
            <w:hideMark/>
          </w:tcPr>
          <w:p w14:paraId="66E9856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16.66</w:t>
            </w:r>
          </w:p>
        </w:tc>
        <w:tc>
          <w:tcPr>
            <w:tcW w:w="895" w:type="dxa"/>
            <w:hideMark/>
          </w:tcPr>
          <w:p w14:paraId="27AF364E"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16.59</w:t>
            </w:r>
          </w:p>
        </w:tc>
        <w:tc>
          <w:tcPr>
            <w:tcW w:w="895" w:type="dxa"/>
            <w:hideMark/>
          </w:tcPr>
          <w:p w14:paraId="07C3142C"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15.87</w:t>
            </w:r>
          </w:p>
        </w:tc>
      </w:tr>
      <w:tr w:rsidR="004F62C9" w:rsidRPr="004F62C9" w14:paraId="45555E67" w14:textId="77777777" w:rsidTr="004F62C9">
        <w:tc>
          <w:tcPr>
            <w:tcW w:w="1048" w:type="dxa"/>
            <w:hideMark/>
          </w:tcPr>
          <w:p w14:paraId="59DAE066" w14:textId="77777777" w:rsidR="00110622" w:rsidRPr="004F62C9" w:rsidRDefault="00110622" w:rsidP="00900E1D">
            <w:pPr>
              <w:pStyle w:val="Table-Normal"/>
              <w:jc w:val="right"/>
              <w:rPr>
                <w:b/>
                <w:color w:val="auto"/>
                <w:sz w:val="20"/>
                <w:szCs w:val="20"/>
              </w:rPr>
            </w:pPr>
            <w:r w:rsidRPr="004F62C9">
              <w:rPr>
                <w:rFonts w:ascii="Calibri" w:hAnsi="Calibri" w:cs="Calibri"/>
                <w:b/>
                <w:color w:val="auto"/>
                <w:kern w:val="24"/>
                <w:sz w:val="20"/>
                <w:szCs w:val="20"/>
              </w:rPr>
              <w:t>Median</w:t>
            </w:r>
          </w:p>
        </w:tc>
        <w:tc>
          <w:tcPr>
            <w:tcW w:w="904" w:type="dxa"/>
            <w:hideMark/>
          </w:tcPr>
          <w:p w14:paraId="3CDF8657"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60.00</w:t>
            </w:r>
          </w:p>
        </w:tc>
        <w:tc>
          <w:tcPr>
            <w:tcW w:w="878" w:type="dxa"/>
            <w:hideMark/>
          </w:tcPr>
          <w:p w14:paraId="663196E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50.00</w:t>
            </w:r>
          </w:p>
        </w:tc>
        <w:tc>
          <w:tcPr>
            <w:tcW w:w="878" w:type="dxa"/>
            <w:hideMark/>
          </w:tcPr>
          <w:p w14:paraId="17776AA6"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40.00</w:t>
            </w:r>
          </w:p>
        </w:tc>
        <w:tc>
          <w:tcPr>
            <w:tcW w:w="890" w:type="dxa"/>
            <w:hideMark/>
          </w:tcPr>
          <w:p w14:paraId="5B431B66"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60.00</w:t>
            </w:r>
          </w:p>
        </w:tc>
        <w:tc>
          <w:tcPr>
            <w:tcW w:w="878" w:type="dxa"/>
            <w:hideMark/>
          </w:tcPr>
          <w:p w14:paraId="387F01A1"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55.00</w:t>
            </w:r>
          </w:p>
        </w:tc>
        <w:tc>
          <w:tcPr>
            <w:tcW w:w="878" w:type="dxa"/>
            <w:hideMark/>
          </w:tcPr>
          <w:p w14:paraId="7B6E54B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46.00</w:t>
            </w:r>
          </w:p>
        </w:tc>
        <w:tc>
          <w:tcPr>
            <w:tcW w:w="895" w:type="dxa"/>
            <w:hideMark/>
          </w:tcPr>
          <w:p w14:paraId="52B467B7"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50.00</w:t>
            </w:r>
          </w:p>
        </w:tc>
        <w:tc>
          <w:tcPr>
            <w:tcW w:w="895" w:type="dxa"/>
            <w:hideMark/>
          </w:tcPr>
          <w:p w14:paraId="6DFBA7B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45.00</w:t>
            </w:r>
          </w:p>
        </w:tc>
        <w:tc>
          <w:tcPr>
            <w:tcW w:w="895" w:type="dxa"/>
            <w:hideMark/>
          </w:tcPr>
          <w:p w14:paraId="6A5E790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35.00</w:t>
            </w:r>
          </w:p>
        </w:tc>
      </w:tr>
      <w:tr w:rsidR="004F62C9" w:rsidRPr="004F62C9" w14:paraId="214FBF1C" w14:textId="77777777" w:rsidTr="004F62C9">
        <w:tc>
          <w:tcPr>
            <w:tcW w:w="1048" w:type="dxa"/>
            <w:vMerge w:val="restart"/>
            <w:hideMark/>
          </w:tcPr>
          <w:p w14:paraId="771367FC" w14:textId="77777777" w:rsidR="00110622" w:rsidRPr="004F62C9" w:rsidRDefault="00110622" w:rsidP="00900E1D">
            <w:pPr>
              <w:pStyle w:val="Table-Normal"/>
              <w:jc w:val="right"/>
              <w:rPr>
                <w:b/>
                <w:color w:val="auto"/>
                <w:sz w:val="20"/>
                <w:szCs w:val="20"/>
              </w:rPr>
            </w:pPr>
            <w:r w:rsidRPr="004F62C9">
              <w:rPr>
                <w:rFonts w:ascii="Calibri" w:hAnsi="Calibri" w:cs="Calibri"/>
                <w:b/>
                <w:color w:val="auto"/>
                <w:kern w:val="24"/>
                <w:sz w:val="20"/>
                <w:szCs w:val="20"/>
              </w:rPr>
              <w:t>IQR</w:t>
            </w:r>
          </w:p>
        </w:tc>
        <w:tc>
          <w:tcPr>
            <w:tcW w:w="904" w:type="dxa"/>
            <w:hideMark/>
          </w:tcPr>
          <w:p w14:paraId="3E893532"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50.00</w:t>
            </w:r>
          </w:p>
        </w:tc>
        <w:tc>
          <w:tcPr>
            <w:tcW w:w="878" w:type="dxa"/>
            <w:hideMark/>
          </w:tcPr>
          <w:p w14:paraId="30CA8260"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38.00</w:t>
            </w:r>
          </w:p>
        </w:tc>
        <w:tc>
          <w:tcPr>
            <w:tcW w:w="878" w:type="dxa"/>
            <w:hideMark/>
          </w:tcPr>
          <w:p w14:paraId="63F87417"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30.00</w:t>
            </w:r>
          </w:p>
        </w:tc>
        <w:tc>
          <w:tcPr>
            <w:tcW w:w="890" w:type="dxa"/>
            <w:hideMark/>
          </w:tcPr>
          <w:p w14:paraId="4D8A80AE"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50.00</w:t>
            </w:r>
          </w:p>
        </w:tc>
        <w:tc>
          <w:tcPr>
            <w:tcW w:w="878" w:type="dxa"/>
            <w:hideMark/>
          </w:tcPr>
          <w:p w14:paraId="55776362"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40.00</w:t>
            </w:r>
          </w:p>
        </w:tc>
        <w:tc>
          <w:tcPr>
            <w:tcW w:w="878" w:type="dxa"/>
            <w:hideMark/>
          </w:tcPr>
          <w:p w14:paraId="602C8E1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36.25</w:t>
            </w:r>
          </w:p>
        </w:tc>
        <w:tc>
          <w:tcPr>
            <w:tcW w:w="895" w:type="dxa"/>
            <w:hideMark/>
          </w:tcPr>
          <w:p w14:paraId="28536930"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40.00</w:t>
            </w:r>
          </w:p>
        </w:tc>
        <w:tc>
          <w:tcPr>
            <w:tcW w:w="895" w:type="dxa"/>
            <w:hideMark/>
          </w:tcPr>
          <w:p w14:paraId="22F71AB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31.25</w:t>
            </w:r>
          </w:p>
        </w:tc>
        <w:tc>
          <w:tcPr>
            <w:tcW w:w="895" w:type="dxa"/>
            <w:hideMark/>
          </w:tcPr>
          <w:p w14:paraId="7CC80AB5"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25.00</w:t>
            </w:r>
          </w:p>
        </w:tc>
      </w:tr>
      <w:tr w:rsidR="004F62C9" w:rsidRPr="004F62C9" w14:paraId="6306EE60" w14:textId="77777777" w:rsidTr="004F62C9">
        <w:tc>
          <w:tcPr>
            <w:tcW w:w="0" w:type="auto"/>
            <w:vMerge/>
            <w:hideMark/>
          </w:tcPr>
          <w:p w14:paraId="0B636AAB" w14:textId="77777777" w:rsidR="00110622" w:rsidRPr="004F62C9" w:rsidRDefault="00110622" w:rsidP="00900E1D">
            <w:pPr>
              <w:spacing w:before="0" w:after="0"/>
              <w:rPr>
                <w:b/>
                <w:color w:val="auto"/>
                <w:sz w:val="20"/>
                <w:szCs w:val="20"/>
              </w:rPr>
            </w:pPr>
          </w:p>
        </w:tc>
        <w:tc>
          <w:tcPr>
            <w:tcW w:w="904" w:type="dxa"/>
            <w:hideMark/>
          </w:tcPr>
          <w:p w14:paraId="7FFFDF42"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70.00</w:t>
            </w:r>
          </w:p>
        </w:tc>
        <w:tc>
          <w:tcPr>
            <w:tcW w:w="878" w:type="dxa"/>
            <w:hideMark/>
          </w:tcPr>
          <w:p w14:paraId="1624EF9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60.00</w:t>
            </w:r>
          </w:p>
        </w:tc>
        <w:tc>
          <w:tcPr>
            <w:tcW w:w="878" w:type="dxa"/>
            <w:hideMark/>
          </w:tcPr>
          <w:p w14:paraId="220792F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55.00</w:t>
            </w:r>
          </w:p>
        </w:tc>
        <w:tc>
          <w:tcPr>
            <w:tcW w:w="890" w:type="dxa"/>
            <w:hideMark/>
          </w:tcPr>
          <w:p w14:paraId="179E399E"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70.00</w:t>
            </w:r>
          </w:p>
        </w:tc>
        <w:tc>
          <w:tcPr>
            <w:tcW w:w="878" w:type="dxa"/>
            <w:hideMark/>
          </w:tcPr>
          <w:p w14:paraId="2C15301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65.00</w:t>
            </w:r>
          </w:p>
        </w:tc>
        <w:tc>
          <w:tcPr>
            <w:tcW w:w="878" w:type="dxa"/>
            <w:hideMark/>
          </w:tcPr>
          <w:p w14:paraId="43E316C8"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60.00</w:t>
            </w:r>
          </w:p>
        </w:tc>
        <w:tc>
          <w:tcPr>
            <w:tcW w:w="895" w:type="dxa"/>
            <w:hideMark/>
          </w:tcPr>
          <w:p w14:paraId="79EDDF7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61.50</w:t>
            </w:r>
          </w:p>
        </w:tc>
        <w:tc>
          <w:tcPr>
            <w:tcW w:w="895" w:type="dxa"/>
            <w:hideMark/>
          </w:tcPr>
          <w:p w14:paraId="35A34FF2"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55.00</w:t>
            </w:r>
          </w:p>
        </w:tc>
        <w:tc>
          <w:tcPr>
            <w:tcW w:w="895" w:type="dxa"/>
            <w:hideMark/>
          </w:tcPr>
          <w:p w14:paraId="553EBDDF"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42.25</w:t>
            </w:r>
          </w:p>
        </w:tc>
      </w:tr>
    </w:tbl>
    <w:p w14:paraId="269D1442" w14:textId="18D75002" w:rsidR="00B0124F" w:rsidRPr="004F62C9" w:rsidRDefault="00B0124F" w:rsidP="00B0124F">
      <w:pPr>
        <w:pStyle w:val="EndnoteText"/>
        <w:rPr>
          <w:color w:val="auto"/>
        </w:rPr>
      </w:pPr>
      <w:r w:rsidRPr="004F62C9">
        <w:rPr>
          <w:color w:val="auto"/>
        </w:rPr>
        <w:t>BB: basal-bolus; GLP-1 RA: glucagon-like peptide-1 receptor agonist; IQR: interquartile range; QD: daily; QW: weekly; SD:</w:t>
      </w:r>
      <w:r w:rsidRPr="004F62C9">
        <w:rPr>
          <w:rFonts w:cstheme="minorHAnsi"/>
          <w:color w:val="auto"/>
        </w:rPr>
        <w:t> </w:t>
      </w:r>
      <w:r w:rsidRPr="004F62C9">
        <w:rPr>
          <w:color w:val="auto"/>
        </w:rPr>
        <w:t>standard deviation; VAS: visual analogue scale.</w:t>
      </w:r>
    </w:p>
    <w:p w14:paraId="2C76B21F" w14:textId="77777777" w:rsidR="009A2EF2" w:rsidRPr="004F62C9" w:rsidRDefault="009A2EF2" w:rsidP="008C2254">
      <w:pPr>
        <w:rPr>
          <w:color w:val="auto"/>
        </w:rPr>
      </w:pPr>
    </w:p>
    <w:p w14:paraId="1315EFF5" w14:textId="1C257EA3" w:rsidR="009A2EF2" w:rsidRPr="004F62C9" w:rsidRDefault="009A2EF2" w:rsidP="009A2EF2">
      <w:pPr>
        <w:pStyle w:val="Caption"/>
        <w:rPr>
          <w:color w:val="auto"/>
        </w:rPr>
      </w:pPr>
      <w:r w:rsidRPr="004F62C9">
        <w:rPr>
          <w:color w:val="auto"/>
        </w:rPr>
        <w:t xml:space="preserve">Table </w:t>
      </w:r>
      <w:r w:rsidR="00B2211B" w:rsidRPr="004F62C9">
        <w:rPr>
          <w:color w:val="auto"/>
        </w:rPr>
        <w:fldChar w:fldCharType="begin"/>
      </w:r>
      <w:r w:rsidR="00B2211B" w:rsidRPr="004F62C9">
        <w:rPr>
          <w:color w:val="auto"/>
        </w:rPr>
        <w:instrText xml:space="preserve"> SEQ Table \* ARABIC </w:instrText>
      </w:r>
      <w:r w:rsidR="00B2211B" w:rsidRPr="004F62C9">
        <w:rPr>
          <w:color w:val="auto"/>
        </w:rPr>
        <w:fldChar w:fldCharType="separate"/>
      </w:r>
      <w:r w:rsidR="000C3AF4" w:rsidRPr="004F62C9">
        <w:rPr>
          <w:noProof/>
          <w:color w:val="auto"/>
        </w:rPr>
        <w:t>12</w:t>
      </w:r>
      <w:r w:rsidR="00B2211B" w:rsidRPr="004F62C9">
        <w:rPr>
          <w:noProof/>
          <w:color w:val="auto"/>
        </w:rPr>
        <w:fldChar w:fldCharType="end"/>
      </w:r>
      <w:r w:rsidRPr="004F62C9">
        <w:rPr>
          <w:color w:val="auto"/>
        </w:rPr>
        <w:t xml:space="preserve">. VAS scores elicited from </w:t>
      </w:r>
      <w:r w:rsidR="003F5E06" w:rsidRPr="004F62C9">
        <w:rPr>
          <w:color w:val="auto"/>
        </w:rPr>
        <w:t>participants</w:t>
      </w:r>
      <w:r w:rsidRPr="004F62C9">
        <w:rPr>
          <w:color w:val="auto"/>
        </w:rPr>
        <w:t xml:space="preserve"> in Canada (n=100)</w:t>
      </w:r>
    </w:p>
    <w:tbl>
      <w:tblPr>
        <w:tblStyle w:val="TableGridLight"/>
        <w:tblW w:w="0" w:type="auto"/>
        <w:tblLook w:val="04A0" w:firstRow="1" w:lastRow="0" w:firstColumn="1" w:lastColumn="0" w:noHBand="0" w:noVBand="1"/>
      </w:tblPr>
      <w:tblGrid>
        <w:gridCol w:w="1048"/>
        <w:gridCol w:w="904"/>
        <w:gridCol w:w="878"/>
        <w:gridCol w:w="878"/>
        <w:gridCol w:w="890"/>
        <w:gridCol w:w="878"/>
        <w:gridCol w:w="878"/>
        <w:gridCol w:w="895"/>
        <w:gridCol w:w="895"/>
        <w:gridCol w:w="895"/>
      </w:tblGrid>
      <w:tr w:rsidR="004F62C9" w:rsidRPr="004F62C9" w14:paraId="206CF40B" w14:textId="77777777" w:rsidTr="004F62C9">
        <w:tc>
          <w:tcPr>
            <w:tcW w:w="1048" w:type="dxa"/>
            <w:vMerge w:val="restart"/>
          </w:tcPr>
          <w:p w14:paraId="6F722445" w14:textId="77777777" w:rsidR="00110622" w:rsidRPr="004F62C9" w:rsidRDefault="00110622" w:rsidP="00900E1D">
            <w:pPr>
              <w:pStyle w:val="Table-Normal"/>
              <w:rPr>
                <w:color w:val="auto"/>
                <w:sz w:val="20"/>
                <w:szCs w:val="20"/>
              </w:rPr>
            </w:pPr>
          </w:p>
        </w:tc>
        <w:tc>
          <w:tcPr>
            <w:tcW w:w="2660" w:type="dxa"/>
            <w:gridSpan w:val="3"/>
            <w:hideMark/>
          </w:tcPr>
          <w:p w14:paraId="08E66248" w14:textId="77777777" w:rsidR="00110622" w:rsidRPr="004F62C9" w:rsidRDefault="00110622"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Obesity</w:t>
            </w:r>
          </w:p>
        </w:tc>
        <w:tc>
          <w:tcPr>
            <w:tcW w:w="5331" w:type="dxa"/>
            <w:gridSpan w:val="6"/>
            <w:hideMark/>
          </w:tcPr>
          <w:p w14:paraId="09551756" w14:textId="77777777" w:rsidR="00110622" w:rsidRPr="004F62C9" w:rsidRDefault="00110622"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T2DM</w:t>
            </w:r>
          </w:p>
        </w:tc>
      </w:tr>
      <w:tr w:rsidR="004F62C9" w:rsidRPr="004F62C9" w14:paraId="0C5DBA1F" w14:textId="77777777" w:rsidTr="004F62C9">
        <w:tc>
          <w:tcPr>
            <w:tcW w:w="0" w:type="auto"/>
            <w:vMerge/>
            <w:hideMark/>
          </w:tcPr>
          <w:p w14:paraId="0EDB0D83" w14:textId="77777777" w:rsidR="00110622" w:rsidRPr="004F62C9" w:rsidRDefault="00110622" w:rsidP="00900E1D">
            <w:pPr>
              <w:spacing w:before="0" w:after="0"/>
              <w:rPr>
                <w:b/>
                <w:color w:val="auto"/>
                <w:sz w:val="20"/>
                <w:szCs w:val="20"/>
              </w:rPr>
            </w:pPr>
          </w:p>
        </w:tc>
        <w:tc>
          <w:tcPr>
            <w:tcW w:w="904" w:type="dxa"/>
            <w:vMerge w:val="restart"/>
            <w:hideMark/>
          </w:tcPr>
          <w:p w14:paraId="04A200F5"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Anchor</w:t>
            </w:r>
          </w:p>
        </w:tc>
        <w:tc>
          <w:tcPr>
            <w:tcW w:w="1756" w:type="dxa"/>
            <w:gridSpan w:val="2"/>
            <w:hideMark/>
          </w:tcPr>
          <w:p w14:paraId="560B6A7B"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890" w:type="dxa"/>
            <w:vMerge w:val="restart"/>
            <w:hideMark/>
          </w:tcPr>
          <w:p w14:paraId="0F00C25C"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b/>
                <w:bCs w:val="0"/>
                <w:color w:val="auto"/>
                <w:sz w:val="20"/>
                <w:szCs w:val="20"/>
              </w:rPr>
              <w:t>Anchor</w:t>
            </w:r>
          </w:p>
        </w:tc>
        <w:tc>
          <w:tcPr>
            <w:tcW w:w="1756" w:type="dxa"/>
            <w:gridSpan w:val="2"/>
            <w:hideMark/>
          </w:tcPr>
          <w:p w14:paraId="2B2CF673"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2685" w:type="dxa"/>
            <w:gridSpan w:val="3"/>
            <w:hideMark/>
          </w:tcPr>
          <w:p w14:paraId="76F76800"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Insulin</w:t>
            </w:r>
          </w:p>
        </w:tc>
      </w:tr>
      <w:tr w:rsidR="004F62C9" w:rsidRPr="004F62C9" w14:paraId="46D25F9E" w14:textId="77777777" w:rsidTr="004F62C9">
        <w:tc>
          <w:tcPr>
            <w:tcW w:w="0" w:type="auto"/>
            <w:vMerge/>
            <w:hideMark/>
          </w:tcPr>
          <w:p w14:paraId="02B9DCF4" w14:textId="77777777" w:rsidR="00110622" w:rsidRPr="004F62C9" w:rsidRDefault="00110622" w:rsidP="00900E1D">
            <w:pPr>
              <w:spacing w:before="0" w:after="0"/>
              <w:rPr>
                <w:b/>
                <w:color w:val="auto"/>
                <w:sz w:val="20"/>
                <w:szCs w:val="20"/>
              </w:rPr>
            </w:pPr>
          </w:p>
        </w:tc>
        <w:tc>
          <w:tcPr>
            <w:tcW w:w="0" w:type="auto"/>
            <w:vMerge/>
            <w:hideMark/>
          </w:tcPr>
          <w:p w14:paraId="2F5E3E21" w14:textId="77777777" w:rsidR="00110622" w:rsidRPr="004F62C9" w:rsidRDefault="00110622" w:rsidP="00900E1D">
            <w:pPr>
              <w:spacing w:before="0" w:after="0"/>
              <w:rPr>
                <w:rFonts w:ascii="Calibri" w:hAnsi="Calibri" w:cs="Calibri"/>
                <w:b/>
                <w:color w:val="auto"/>
                <w:kern w:val="24"/>
                <w:sz w:val="20"/>
                <w:szCs w:val="20"/>
              </w:rPr>
            </w:pPr>
          </w:p>
        </w:tc>
        <w:tc>
          <w:tcPr>
            <w:tcW w:w="878" w:type="dxa"/>
            <w:hideMark/>
          </w:tcPr>
          <w:p w14:paraId="4D824863"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hideMark/>
          </w:tcPr>
          <w:p w14:paraId="1A1FEAFD"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0" w:type="auto"/>
            <w:vMerge/>
            <w:hideMark/>
          </w:tcPr>
          <w:p w14:paraId="5586AA66" w14:textId="77777777" w:rsidR="00110622" w:rsidRPr="004F62C9" w:rsidRDefault="00110622" w:rsidP="00900E1D">
            <w:pPr>
              <w:spacing w:before="0" w:after="0"/>
              <w:rPr>
                <w:rFonts w:ascii="Calibri" w:hAnsi="Calibri" w:cs="Calibri"/>
                <w:b/>
                <w:color w:val="auto"/>
                <w:kern w:val="24"/>
                <w:sz w:val="20"/>
                <w:szCs w:val="20"/>
              </w:rPr>
            </w:pPr>
          </w:p>
        </w:tc>
        <w:tc>
          <w:tcPr>
            <w:tcW w:w="878" w:type="dxa"/>
            <w:hideMark/>
          </w:tcPr>
          <w:p w14:paraId="2A43F7A1"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hideMark/>
          </w:tcPr>
          <w:p w14:paraId="0C7F9689"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hideMark/>
          </w:tcPr>
          <w:p w14:paraId="15BEBE58"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95" w:type="dxa"/>
            <w:hideMark/>
          </w:tcPr>
          <w:p w14:paraId="5198EEC3"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hideMark/>
          </w:tcPr>
          <w:p w14:paraId="730CA2E7"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BB</w:t>
            </w:r>
          </w:p>
        </w:tc>
      </w:tr>
      <w:tr w:rsidR="004F62C9" w:rsidRPr="004F62C9" w14:paraId="77243E49" w14:textId="77777777" w:rsidTr="004F62C9">
        <w:tc>
          <w:tcPr>
            <w:tcW w:w="1048" w:type="dxa"/>
            <w:hideMark/>
          </w:tcPr>
          <w:p w14:paraId="0FAB193A" w14:textId="77777777" w:rsidR="00110622" w:rsidRPr="004F62C9" w:rsidRDefault="00110622" w:rsidP="00900E1D">
            <w:pPr>
              <w:pStyle w:val="Table-Normal"/>
              <w:jc w:val="right"/>
              <w:rPr>
                <w:b/>
                <w:color w:val="auto"/>
                <w:sz w:val="20"/>
                <w:szCs w:val="20"/>
              </w:rPr>
            </w:pPr>
            <w:r w:rsidRPr="004F62C9">
              <w:rPr>
                <w:rFonts w:ascii="Calibri" w:hAnsi="Calibri" w:cs="Calibri"/>
                <w:b/>
                <w:color w:val="auto"/>
                <w:kern w:val="24"/>
                <w:sz w:val="20"/>
                <w:szCs w:val="20"/>
              </w:rPr>
              <w:t xml:space="preserve">Mean </w:t>
            </w:r>
          </w:p>
        </w:tc>
        <w:tc>
          <w:tcPr>
            <w:tcW w:w="904" w:type="dxa"/>
            <w:hideMark/>
          </w:tcPr>
          <w:p w14:paraId="31F37DF8"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61.86</w:t>
            </w:r>
          </w:p>
        </w:tc>
        <w:tc>
          <w:tcPr>
            <w:tcW w:w="878" w:type="dxa"/>
            <w:hideMark/>
          </w:tcPr>
          <w:p w14:paraId="653459E6"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54.56</w:t>
            </w:r>
          </w:p>
        </w:tc>
        <w:tc>
          <w:tcPr>
            <w:tcW w:w="878" w:type="dxa"/>
            <w:hideMark/>
          </w:tcPr>
          <w:p w14:paraId="2469BF59"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49.30</w:t>
            </w:r>
          </w:p>
        </w:tc>
        <w:tc>
          <w:tcPr>
            <w:tcW w:w="890" w:type="dxa"/>
            <w:hideMark/>
          </w:tcPr>
          <w:p w14:paraId="07DE774D"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69.88</w:t>
            </w:r>
          </w:p>
        </w:tc>
        <w:tc>
          <w:tcPr>
            <w:tcW w:w="878" w:type="dxa"/>
            <w:hideMark/>
          </w:tcPr>
          <w:p w14:paraId="7C9380C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65.15</w:t>
            </w:r>
          </w:p>
        </w:tc>
        <w:tc>
          <w:tcPr>
            <w:tcW w:w="878" w:type="dxa"/>
            <w:hideMark/>
          </w:tcPr>
          <w:p w14:paraId="41BFB718"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60.14</w:t>
            </w:r>
          </w:p>
        </w:tc>
        <w:tc>
          <w:tcPr>
            <w:tcW w:w="895" w:type="dxa"/>
            <w:hideMark/>
          </w:tcPr>
          <w:p w14:paraId="72DFF01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62.45</w:t>
            </w:r>
          </w:p>
        </w:tc>
        <w:tc>
          <w:tcPr>
            <w:tcW w:w="895" w:type="dxa"/>
            <w:hideMark/>
          </w:tcPr>
          <w:p w14:paraId="140B143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56.33</w:t>
            </w:r>
          </w:p>
        </w:tc>
        <w:tc>
          <w:tcPr>
            <w:tcW w:w="895" w:type="dxa"/>
            <w:hideMark/>
          </w:tcPr>
          <w:p w14:paraId="0813B570"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46.69</w:t>
            </w:r>
          </w:p>
        </w:tc>
      </w:tr>
      <w:tr w:rsidR="004F62C9" w:rsidRPr="004F62C9" w14:paraId="0D46FE79" w14:textId="77777777" w:rsidTr="004F62C9">
        <w:tc>
          <w:tcPr>
            <w:tcW w:w="1048" w:type="dxa"/>
            <w:hideMark/>
          </w:tcPr>
          <w:p w14:paraId="447663FD" w14:textId="77777777" w:rsidR="00110622" w:rsidRPr="004F62C9" w:rsidRDefault="00110622" w:rsidP="00900E1D">
            <w:pPr>
              <w:pStyle w:val="Table-Normal"/>
              <w:jc w:val="right"/>
              <w:rPr>
                <w:b/>
                <w:color w:val="auto"/>
                <w:sz w:val="20"/>
                <w:szCs w:val="20"/>
              </w:rPr>
            </w:pPr>
            <w:r w:rsidRPr="004F62C9">
              <w:rPr>
                <w:b/>
                <w:color w:val="auto"/>
                <w:sz w:val="20"/>
                <w:szCs w:val="20"/>
              </w:rPr>
              <w:t>SD</w:t>
            </w:r>
          </w:p>
        </w:tc>
        <w:tc>
          <w:tcPr>
            <w:tcW w:w="904" w:type="dxa"/>
            <w:hideMark/>
          </w:tcPr>
          <w:p w14:paraId="0CE6C94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18.46</w:t>
            </w:r>
          </w:p>
        </w:tc>
        <w:tc>
          <w:tcPr>
            <w:tcW w:w="878" w:type="dxa"/>
            <w:hideMark/>
          </w:tcPr>
          <w:p w14:paraId="0CC4D056"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18.91</w:t>
            </w:r>
          </w:p>
        </w:tc>
        <w:tc>
          <w:tcPr>
            <w:tcW w:w="878" w:type="dxa"/>
            <w:hideMark/>
          </w:tcPr>
          <w:p w14:paraId="75792C69"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19.51</w:t>
            </w:r>
          </w:p>
        </w:tc>
        <w:tc>
          <w:tcPr>
            <w:tcW w:w="890" w:type="dxa"/>
            <w:hideMark/>
          </w:tcPr>
          <w:p w14:paraId="44A9A8B0"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15.65</w:t>
            </w:r>
          </w:p>
        </w:tc>
        <w:tc>
          <w:tcPr>
            <w:tcW w:w="878" w:type="dxa"/>
            <w:hideMark/>
          </w:tcPr>
          <w:p w14:paraId="3BB93B2F"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16.31</w:t>
            </w:r>
          </w:p>
        </w:tc>
        <w:tc>
          <w:tcPr>
            <w:tcW w:w="878" w:type="dxa"/>
            <w:hideMark/>
          </w:tcPr>
          <w:p w14:paraId="4C204C58"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18.15</w:t>
            </w:r>
          </w:p>
        </w:tc>
        <w:tc>
          <w:tcPr>
            <w:tcW w:w="895" w:type="dxa"/>
            <w:hideMark/>
          </w:tcPr>
          <w:p w14:paraId="0E1DB6BF"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17.11</w:t>
            </w:r>
          </w:p>
        </w:tc>
        <w:tc>
          <w:tcPr>
            <w:tcW w:w="895" w:type="dxa"/>
            <w:hideMark/>
          </w:tcPr>
          <w:p w14:paraId="24F86AA5"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19.31</w:t>
            </w:r>
          </w:p>
        </w:tc>
        <w:tc>
          <w:tcPr>
            <w:tcW w:w="895" w:type="dxa"/>
            <w:hideMark/>
          </w:tcPr>
          <w:p w14:paraId="69200AB0"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21.06</w:t>
            </w:r>
          </w:p>
        </w:tc>
      </w:tr>
      <w:tr w:rsidR="004F62C9" w:rsidRPr="004F62C9" w14:paraId="16CA00EB" w14:textId="77777777" w:rsidTr="004F62C9">
        <w:tc>
          <w:tcPr>
            <w:tcW w:w="1048" w:type="dxa"/>
            <w:hideMark/>
          </w:tcPr>
          <w:p w14:paraId="779D1715" w14:textId="77777777" w:rsidR="00110622" w:rsidRPr="004F62C9" w:rsidRDefault="00110622" w:rsidP="00900E1D">
            <w:pPr>
              <w:pStyle w:val="Table-Normal"/>
              <w:jc w:val="right"/>
              <w:rPr>
                <w:b/>
                <w:color w:val="auto"/>
                <w:sz w:val="20"/>
                <w:szCs w:val="20"/>
              </w:rPr>
            </w:pPr>
            <w:r w:rsidRPr="004F62C9">
              <w:rPr>
                <w:rFonts w:ascii="Calibri" w:hAnsi="Calibri" w:cs="Calibri"/>
                <w:b/>
                <w:color w:val="auto"/>
                <w:kern w:val="24"/>
                <w:sz w:val="20"/>
                <w:szCs w:val="20"/>
              </w:rPr>
              <w:t>Median</w:t>
            </w:r>
          </w:p>
        </w:tc>
        <w:tc>
          <w:tcPr>
            <w:tcW w:w="904" w:type="dxa"/>
            <w:hideMark/>
          </w:tcPr>
          <w:p w14:paraId="608B8A7F"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65.00</w:t>
            </w:r>
          </w:p>
        </w:tc>
        <w:tc>
          <w:tcPr>
            <w:tcW w:w="878" w:type="dxa"/>
            <w:hideMark/>
          </w:tcPr>
          <w:p w14:paraId="644D0C5E"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60.00</w:t>
            </w:r>
          </w:p>
        </w:tc>
        <w:tc>
          <w:tcPr>
            <w:tcW w:w="878" w:type="dxa"/>
            <w:hideMark/>
          </w:tcPr>
          <w:p w14:paraId="7AE05101"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50.00</w:t>
            </w:r>
          </w:p>
        </w:tc>
        <w:tc>
          <w:tcPr>
            <w:tcW w:w="890" w:type="dxa"/>
            <w:hideMark/>
          </w:tcPr>
          <w:p w14:paraId="0A9091EC"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70.00</w:t>
            </w:r>
          </w:p>
        </w:tc>
        <w:tc>
          <w:tcPr>
            <w:tcW w:w="878" w:type="dxa"/>
            <w:hideMark/>
          </w:tcPr>
          <w:p w14:paraId="673AB64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70.00</w:t>
            </w:r>
          </w:p>
        </w:tc>
        <w:tc>
          <w:tcPr>
            <w:tcW w:w="878" w:type="dxa"/>
            <w:hideMark/>
          </w:tcPr>
          <w:p w14:paraId="526F3CFF"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62.50</w:t>
            </w:r>
          </w:p>
        </w:tc>
        <w:tc>
          <w:tcPr>
            <w:tcW w:w="895" w:type="dxa"/>
            <w:hideMark/>
          </w:tcPr>
          <w:p w14:paraId="1083EADD"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65.00</w:t>
            </w:r>
          </w:p>
        </w:tc>
        <w:tc>
          <w:tcPr>
            <w:tcW w:w="895" w:type="dxa"/>
            <w:hideMark/>
          </w:tcPr>
          <w:p w14:paraId="2FD5ED2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60.00</w:t>
            </w:r>
          </w:p>
        </w:tc>
        <w:tc>
          <w:tcPr>
            <w:tcW w:w="895" w:type="dxa"/>
            <w:hideMark/>
          </w:tcPr>
          <w:p w14:paraId="3CF825AC"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50.00</w:t>
            </w:r>
          </w:p>
        </w:tc>
      </w:tr>
      <w:tr w:rsidR="004F62C9" w:rsidRPr="004F62C9" w14:paraId="24129FEC" w14:textId="77777777" w:rsidTr="004F62C9">
        <w:tc>
          <w:tcPr>
            <w:tcW w:w="1048" w:type="dxa"/>
            <w:vMerge w:val="restart"/>
            <w:hideMark/>
          </w:tcPr>
          <w:p w14:paraId="5E91EB25" w14:textId="77777777" w:rsidR="00110622" w:rsidRPr="004F62C9" w:rsidRDefault="00110622" w:rsidP="00900E1D">
            <w:pPr>
              <w:pStyle w:val="Table-Normal"/>
              <w:jc w:val="right"/>
              <w:rPr>
                <w:b/>
                <w:color w:val="auto"/>
                <w:sz w:val="20"/>
                <w:szCs w:val="20"/>
              </w:rPr>
            </w:pPr>
            <w:r w:rsidRPr="004F62C9">
              <w:rPr>
                <w:rFonts w:ascii="Calibri" w:hAnsi="Calibri" w:cs="Calibri"/>
                <w:b/>
                <w:color w:val="auto"/>
                <w:kern w:val="24"/>
                <w:sz w:val="20"/>
                <w:szCs w:val="20"/>
              </w:rPr>
              <w:t>IQR</w:t>
            </w:r>
          </w:p>
        </w:tc>
        <w:tc>
          <w:tcPr>
            <w:tcW w:w="904" w:type="dxa"/>
            <w:hideMark/>
          </w:tcPr>
          <w:p w14:paraId="1EF6D7FD"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50.00</w:t>
            </w:r>
          </w:p>
        </w:tc>
        <w:tc>
          <w:tcPr>
            <w:tcW w:w="878" w:type="dxa"/>
            <w:hideMark/>
          </w:tcPr>
          <w:p w14:paraId="7EC8CDD0"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38.75</w:t>
            </w:r>
          </w:p>
        </w:tc>
        <w:tc>
          <w:tcPr>
            <w:tcW w:w="878" w:type="dxa"/>
            <w:hideMark/>
          </w:tcPr>
          <w:p w14:paraId="788C9AA5"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30.00</w:t>
            </w:r>
          </w:p>
        </w:tc>
        <w:tc>
          <w:tcPr>
            <w:tcW w:w="890" w:type="dxa"/>
            <w:hideMark/>
          </w:tcPr>
          <w:p w14:paraId="4515B655"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60.00</w:t>
            </w:r>
          </w:p>
        </w:tc>
        <w:tc>
          <w:tcPr>
            <w:tcW w:w="878" w:type="dxa"/>
            <w:hideMark/>
          </w:tcPr>
          <w:p w14:paraId="6D00C799"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53.50</w:t>
            </w:r>
          </w:p>
        </w:tc>
        <w:tc>
          <w:tcPr>
            <w:tcW w:w="878" w:type="dxa"/>
            <w:hideMark/>
          </w:tcPr>
          <w:p w14:paraId="51F627ED"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46.50</w:t>
            </w:r>
          </w:p>
        </w:tc>
        <w:tc>
          <w:tcPr>
            <w:tcW w:w="895" w:type="dxa"/>
            <w:hideMark/>
          </w:tcPr>
          <w:p w14:paraId="6B6685F0"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50.00</w:t>
            </w:r>
          </w:p>
        </w:tc>
        <w:tc>
          <w:tcPr>
            <w:tcW w:w="895" w:type="dxa"/>
            <w:hideMark/>
          </w:tcPr>
          <w:p w14:paraId="572D3608"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40.00</w:t>
            </w:r>
          </w:p>
        </w:tc>
        <w:tc>
          <w:tcPr>
            <w:tcW w:w="895" w:type="dxa"/>
            <w:hideMark/>
          </w:tcPr>
          <w:p w14:paraId="7C7EB5D5"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30.00</w:t>
            </w:r>
          </w:p>
        </w:tc>
      </w:tr>
      <w:tr w:rsidR="004F62C9" w:rsidRPr="004F62C9" w14:paraId="7CABF2BE" w14:textId="77777777" w:rsidTr="004F62C9">
        <w:tc>
          <w:tcPr>
            <w:tcW w:w="0" w:type="auto"/>
            <w:vMerge/>
            <w:hideMark/>
          </w:tcPr>
          <w:p w14:paraId="798DD7CE" w14:textId="77777777" w:rsidR="00110622" w:rsidRPr="004F62C9" w:rsidRDefault="00110622" w:rsidP="00900E1D">
            <w:pPr>
              <w:spacing w:before="0" w:after="0"/>
              <w:rPr>
                <w:b/>
                <w:color w:val="auto"/>
                <w:sz w:val="20"/>
                <w:szCs w:val="20"/>
              </w:rPr>
            </w:pPr>
          </w:p>
        </w:tc>
        <w:tc>
          <w:tcPr>
            <w:tcW w:w="904" w:type="dxa"/>
            <w:hideMark/>
          </w:tcPr>
          <w:p w14:paraId="519CE715"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76.25</w:t>
            </w:r>
          </w:p>
        </w:tc>
        <w:tc>
          <w:tcPr>
            <w:tcW w:w="878" w:type="dxa"/>
            <w:hideMark/>
          </w:tcPr>
          <w:p w14:paraId="0B59E42D"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70.00</w:t>
            </w:r>
          </w:p>
        </w:tc>
        <w:tc>
          <w:tcPr>
            <w:tcW w:w="878" w:type="dxa"/>
            <w:hideMark/>
          </w:tcPr>
          <w:p w14:paraId="12935A22"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70.00</w:t>
            </w:r>
          </w:p>
        </w:tc>
        <w:tc>
          <w:tcPr>
            <w:tcW w:w="890" w:type="dxa"/>
            <w:hideMark/>
          </w:tcPr>
          <w:p w14:paraId="39F57E47"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80.00</w:t>
            </w:r>
          </w:p>
        </w:tc>
        <w:tc>
          <w:tcPr>
            <w:tcW w:w="878" w:type="dxa"/>
            <w:hideMark/>
          </w:tcPr>
          <w:p w14:paraId="19FA3EE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75.00</w:t>
            </w:r>
          </w:p>
        </w:tc>
        <w:tc>
          <w:tcPr>
            <w:tcW w:w="878" w:type="dxa"/>
            <w:hideMark/>
          </w:tcPr>
          <w:p w14:paraId="304C57AC"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75.00</w:t>
            </w:r>
          </w:p>
        </w:tc>
        <w:tc>
          <w:tcPr>
            <w:tcW w:w="895" w:type="dxa"/>
            <w:hideMark/>
          </w:tcPr>
          <w:p w14:paraId="7BCC31F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75.00</w:t>
            </w:r>
          </w:p>
        </w:tc>
        <w:tc>
          <w:tcPr>
            <w:tcW w:w="895" w:type="dxa"/>
            <w:hideMark/>
          </w:tcPr>
          <w:p w14:paraId="63A560FD"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70.50</w:t>
            </w:r>
          </w:p>
        </w:tc>
        <w:tc>
          <w:tcPr>
            <w:tcW w:w="895" w:type="dxa"/>
            <w:hideMark/>
          </w:tcPr>
          <w:p w14:paraId="5A86B3C8"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61.25</w:t>
            </w:r>
          </w:p>
        </w:tc>
      </w:tr>
    </w:tbl>
    <w:p w14:paraId="0327F55C" w14:textId="77777777" w:rsidR="00B0124F" w:rsidRPr="004F62C9" w:rsidRDefault="00B0124F" w:rsidP="00B0124F">
      <w:pPr>
        <w:pStyle w:val="EndnoteText"/>
        <w:rPr>
          <w:color w:val="auto"/>
        </w:rPr>
      </w:pPr>
      <w:r w:rsidRPr="004F62C9">
        <w:rPr>
          <w:color w:val="auto"/>
        </w:rPr>
        <w:t>BB: basal-bolus; GLP-1 RA: glucagon-like peptide-1 receptor agonist; IQR: interquartile range; QD: daily; QW: weekly; SD:</w:t>
      </w:r>
      <w:r w:rsidRPr="004F62C9">
        <w:rPr>
          <w:rFonts w:cstheme="minorHAnsi"/>
          <w:color w:val="auto"/>
        </w:rPr>
        <w:t> </w:t>
      </w:r>
      <w:r w:rsidRPr="004F62C9">
        <w:rPr>
          <w:color w:val="auto"/>
        </w:rPr>
        <w:t>standard deviation; VAS: visual analogue scale.</w:t>
      </w:r>
    </w:p>
    <w:p w14:paraId="05F22B9E" w14:textId="7303ABCC" w:rsidR="009A2EF2" w:rsidRPr="004F62C9" w:rsidRDefault="009A2EF2" w:rsidP="00B0124F">
      <w:pPr>
        <w:spacing w:before="0" w:after="200"/>
        <w:rPr>
          <w:b/>
          <w:bCs/>
          <w:color w:val="auto"/>
        </w:rPr>
      </w:pPr>
    </w:p>
    <w:p w14:paraId="6CC98FD0" w14:textId="6577E5A4" w:rsidR="00110622" w:rsidRPr="004F62C9" w:rsidRDefault="00110622" w:rsidP="00110622">
      <w:pPr>
        <w:pStyle w:val="Caption"/>
        <w:rPr>
          <w:color w:val="auto"/>
        </w:rPr>
      </w:pPr>
      <w:r w:rsidRPr="004F62C9">
        <w:rPr>
          <w:color w:val="auto"/>
        </w:rPr>
        <w:t xml:space="preserve">Table </w:t>
      </w:r>
      <w:r w:rsidR="00B2211B" w:rsidRPr="004F62C9">
        <w:rPr>
          <w:color w:val="auto"/>
        </w:rPr>
        <w:fldChar w:fldCharType="begin"/>
      </w:r>
      <w:r w:rsidR="00B2211B" w:rsidRPr="004F62C9">
        <w:rPr>
          <w:color w:val="auto"/>
        </w:rPr>
        <w:instrText xml:space="preserve"> SEQ Table \* ARABIC </w:instrText>
      </w:r>
      <w:r w:rsidR="00B2211B" w:rsidRPr="004F62C9">
        <w:rPr>
          <w:color w:val="auto"/>
        </w:rPr>
        <w:fldChar w:fldCharType="separate"/>
      </w:r>
      <w:r w:rsidR="000C3AF4" w:rsidRPr="004F62C9">
        <w:rPr>
          <w:noProof/>
          <w:color w:val="auto"/>
        </w:rPr>
        <w:t>13</w:t>
      </w:r>
      <w:r w:rsidR="00B2211B" w:rsidRPr="004F62C9">
        <w:rPr>
          <w:noProof/>
          <w:color w:val="auto"/>
        </w:rPr>
        <w:fldChar w:fldCharType="end"/>
      </w:r>
      <w:r w:rsidRPr="004F62C9">
        <w:rPr>
          <w:color w:val="auto"/>
        </w:rPr>
        <w:t xml:space="preserve">. VAS scores elicited from </w:t>
      </w:r>
      <w:r w:rsidR="003F5E06" w:rsidRPr="004F62C9">
        <w:rPr>
          <w:color w:val="auto"/>
        </w:rPr>
        <w:t>participant</w:t>
      </w:r>
      <w:r w:rsidRPr="004F62C9">
        <w:rPr>
          <w:color w:val="auto"/>
        </w:rPr>
        <w:t>s in China (n=100)</w:t>
      </w:r>
    </w:p>
    <w:tbl>
      <w:tblPr>
        <w:tblStyle w:val="TableGridLight"/>
        <w:tblW w:w="0" w:type="auto"/>
        <w:tblLook w:val="04A0" w:firstRow="1" w:lastRow="0" w:firstColumn="1" w:lastColumn="0" w:noHBand="0" w:noVBand="1"/>
      </w:tblPr>
      <w:tblGrid>
        <w:gridCol w:w="1048"/>
        <w:gridCol w:w="904"/>
        <w:gridCol w:w="878"/>
        <w:gridCol w:w="878"/>
        <w:gridCol w:w="890"/>
        <w:gridCol w:w="878"/>
        <w:gridCol w:w="878"/>
        <w:gridCol w:w="895"/>
        <w:gridCol w:w="895"/>
        <w:gridCol w:w="895"/>
      </w:tblGrid>
      <w:tr w:rsidR="004F62C9" w:rsidRPr="004F62C9" w14:paraId="4FB06124" w14:textId="77777777" w:rsidTr="004F62C9">
        <w:tc>
          <w:tcPr>
            <w:tcW w:w="1048" w:type="dxa"/>
            <w:vMerge w:val="restart"/>
          </w:tcPr>
          <w:p w14:paraId="03C779D2" w14:textId="77777777" w:rsidR="00110622" w:rsidRPr="004F62C9" w:rsidRDefault="00110622" w:rsidP="00900E1D">
            <w:pPr>
              <w:pStyle w:val="Table-Normal"/>
              <w:rPr>
                <w:color w:val="auto"/>
                <w:sz w:val="20"/>
                <w:szCs w:val="20"/>
              </w:rPr>
            </w:pPr>
          </w:p>
        </w:tc>
        <w:tc>
          <w:tcPr>
            <w:tcW w:w="2660" w:type="dxa"/>
            <w:gridSpan w:val="3"/>
            <w:hideMark/>
          </w:tcPr>
          <w:p w14:paraId="1699275D" w14:textId="77777777" w:rsidR="00110622" w:rsidRPr="004F62C9" w:rsidRDefault="00110622"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Obesity</w:t>
            </w:r>
          </w:p>
        </w:tc>
        <w:tc>
          <w:tcPr>
            <w:tcW w:w="5331" w:type="dxa"/>
            <w:gridSpan w:val="6"/>
            <w:hideMark/>
          </w:tcPr>
          <w:p w14:paraId="0C87C57F" w14:textId="77777777" w:rsidR="00110622" w:rsidRPr="004F62C9" w:rsidRDefault="00110622" w:rsidP="00900E1D">
            <w:pPr>
              <w:pStyle w:val="Table-Normal"/>
              <w:jc w:val="center"/>
              <w:rPr>
                <w:rFonts w:ascii="Calibri" w:hAnsi="Calibri" w:cs="Calibri"/>
                <w:color w:val="auto"/>
                <w:kern w:val="24"/>
                <w:sz w:val="20"/>
                <w:szCs w:val="20"/>
              </w:rPr>
            </w:pPr>
            <w:r w:rsidRPr="004F62C9">
              <w:rPr>
                <w:rFonts w:ascii="Calibri" w:hAnsi="Calibri" w:cs="Calibri"/>
                <w:color w:val="auto"/>
                <w:kern w:val="24"/>
                <w:sz w:val="20"/>
                <w:szCs w:val="20"/>
              </w:rPr>
              <w:t>T2DM</w:t>
            </w:r>
          </w:p>
        </w:tc>
      </w:tr>
      <w:tr w:rsidR="004F62C9" w:rsidRPr="004F62C9" w14:paraId="1551FE38" w14:textId="77777777" w:rsidTr="004F62C9">
        <w:tc>
          <w:tcPr>
            <w:tcW w:w="0" w:type="auto"/>
            <w:vMerge/>
            <w:hideMark/>
          </w:tcPr>
          <w:p w14:paraId="3C8B9146" w14:textId="77777777" w:rsidR="00110622" w:rsidRPr="004F62C9" w:rsidRDefault="00110622" w:rsidP="00900E1D">
            <w:pPr>
              <w:spacing w:before="0" w:after="0"/>
              <w:rPr>
                <w:b/>
                <w:color w:val="auto"/>
                <w:sz w:val="20"/>
                <w:szCs w:val="20"/>
              </w:rPr>
            </w:pPr>
          </w:p>
        </w:tc>
        <w:tc>
          <w:tcPr>
            <w:tcW w:w="904" w:type="dxa"/>
            <w:vMerge w:val="restart"/>
            <w:hideMark/>
          </w:tcPr>
          <w:p w14:paraId="5150F32F"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Anchor</w:t>
            </w:r>
          </w:p>
        </w:tc>
        <w:tc>
          <w:tcPr>
            <w:tcW w:w="1756" w:type="dxa"/>
            <w:gridSpan w:val="2"/>
            <w:hideMark/>
          </w:tcPr>
          <w:p w14:paraId="298E3A3A"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890" w:type="dxa"/>
            <w:vMerge w:val="restart"/>
            <w:hideMark/>
          </w:tcPr>
          <w:p w14:paraId="505C88FA"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b/>
                <w:bCs w:val="0"/>
                <w:color w:val="auto"/>
                <w:sz w:val="20"/>
                <w:szCs w:val="20"/>
              </w:rPr>
              <w:t>Anchor</w:t>
            </w:r>
          </w:p>
        </w:tc>
        <w:tc>
          <w:tcPr>
            <w:tcW w:w="1756" w:type="dxa"/>
            <w:gridSpan w:val="2"/>
            <w:hideMark/>
          </w:tcPr>
          <w:p w14:paraId="08FFCAB9"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GLP-1 RA</w:t>
            </w:r>
          </w:p>
        </w:tc>
        <w:tc>
          <w:tcPr>
            <w:tcW w:w="2685" w:type="dxa"/>
            <w:gridSpan w:val="3"/>
            <w:hideMark/>
          </w:tcPr>
          <w:p w14:paraId="5810BDE6" w14:textId="77777777" w:rsidR="00110622" w:rsidRPr="004F62C9" w:rsidRDefault="00110622" w:rsidP="00900E1D">
            <w:pPr>
              <w:pStyle w:val="Table-Normal"/>
              <w:jc w:val="center"/>
              <w:rPr>
                <w:rFonts w:ascii="Calibri" w:hAnsi="Calibri" w:cs="Calibri"/>
                <w:b/>
                <w:bCs w:val="0"/>
                <w:color w:val="auto"/>
                <w:kern w:val="24"/>
                <w:sz w:val="20"/>
                <w:szCs w:val="20"/>
              </w:rPr>
            </w:pPr>
            <w:r w:rsidRPr="004F62C9">
              <w:rPr>
                <w:rFonts w:ascii="Calibri" w:hAnsi="Calibri" w:cs="Calibri"/>
                <w:b/>
                <w:bCs w:val="0"/>
                <w:color w:val="auto"/>
                <w:kern w:val="24"/>
                <w:sz w:val="20"/>
                <w:szCs w:val="20"/>
              </w:rPr>
              <w:t>Insulin</w:t>
            </w:r>
          </w:p>
        </w:tc>
      </w:tr>
      <w:tr w:rsidR="004F62C9" w:rsidRPr="004F62C9" w14:paraId="65ED7668" w14:textId="77777777" w:rsidTr="004F62C9">
        <w:tc>
          <w:tcPr>
            <w:tcW w:w="0" w:type="auto"/>
            <w:vMerge/>
            <w:hideMark/>
          </w:tcPr>
          <w:p w14:paraId="05925FC6" w14:textId="77777777" w:rsidR="00110622" w:rsidRPr="004F62C9" w:rsidRDefault="00110622" w:rsidP="00900E1D">
            <w:pPr>
              <w:spacing w:before="0" w:after="0"/>
              <w:rPr>
                <w:b/>
                <w:color w:val="auto"/>
                <w:sz w:val="20"/>
                <w:szCs w:val="20"/>
              </w:rPr>
            </w:pPr>
          </w:p>
        </w:tc>
        <w:tc>
          <w:tcPr>
            <w:tcW w:w="0" w:type="auto"/>
            <w:vMerge/>
            <w:hideMark/>
          </w:tcPr>
          <w:p w14:paraId="5B70CF99" w14:textId="77777777" w:rsidR="00110622" w:rsidRPr="004F62C9" w:rsidRDefault="00110622" w:rsidP="00900E1D">
            <w:pPr>
              <w:spacing w:before="0" w:after="0"/>
              <w:rPr>
                <w:rFonts w:ascii="Calibri" w:hAnsi="Calibri" w:cs="Calibri"/>
                <w:b/>
                <w:color w:val="auto"/>
                <w:kern w:val="24"/>
                <w:sz w:val="20"/>
                <w:szCs w:val="20"/>
              </w:rPr>
            </w:pPr>
          </w:p>
        </w:tc>
        <w:tc>
          <w:tcPr>
            <w:tcW w:w="878" w:type="dxa"/>
            <w:hideMark/>
          </w:tcPr>
          <w:p w14:paraId="11D901EB"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hideMark/>
          </w:tcPr>
          <w:p w14:paraId="4D2B45F9"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0" w:type="auto"/>
            <w:vMerge/>
            <w:hideMark/>
          </w:tcPr>
          <w:p w14:paraId="102844BE" w14:textId="77777777" w:rsidR="00110622" w:rsidRPr="004F62C9" w:rsidRDefault="00110622" w:rsidP="00900E1D">
            <w:pPr>
              <w:spacing w:before="0" w:after="0"/>
              <w:rPr>
                <w:rFonts w:ascii="Calibri" w:hAnsi="Calibri" w:cs="Calibri"/>
                <w:b/>
                <w:color w:val="auto"/>
                <w:kern w:val="24"/>
                <w:sz w:val="20"/>
                <w:szCs w:val="20"/>
              </w:rPr>
            </w:pPr>
          </w:p>
        </w:tc>
        <w:tc>
          <w:tcPr>
            <w:tcW w:w="878" w:type="dxa"/>
            <w:hideMark/>
          </w:tcPr>
          <w:p w14:paraId="73E1D3FC"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78" w:type="dxa"/>
            <w:hideMark/>
          </w:tcPr>
          <w:p w14:paraId="398E55C5"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hideMark/>
          </w:tcPr>
          <w:p w14:paraId="247D3DB6"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QW</w:t>
            </w:r>
          </w:p>
        </w:tc>
        <w:tc>
          <w:tcPr>
            <w:tcW w:w="895" w:type="dxa"/>
            <w:hideMark/>
          </w:tcPr>
          <w:p w14:paraId="73B52C1B"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QD</w:t>
            </w:r>
          </w:p>
        </w:tc>
        <w:tc>
          <w:tcPr>
            <w:tcW w:w="895" w:type="dxa"/>
            <w:hideMark/>
          </w:tcPr>
          <w:p w14:paraId="086A0278" w14:textId="77777777" w:rsidR="00110622" w:rsidRPr="004F62C9" w:rsidRDefault="00110622" w:rsidP="00900E1D">
            <w:pPr>
              <w:pStyle w:val="Table-Normal"/>
              <w:jc w:val="center"/>
              <w:rPr>
                <w:b/>
                <w:bCs w:val="0"/>
                <w:color w:val="auto"/>
                <w:sz w:val="20"/>
                <w:szCs w:val="20"/>
              </w:rPr>
            </w:pPr>
            <w:r w:rsidRPr="004F62C9">
              <w:rPr>
                <w:rFonts w:ascii="Calibri" w:hAnsi="Calibri" w:cs="Calibri"/>
                <w:b/>
                <w:bCs w:val="0"/>
                <w:color w:val="auto"/>
                <w:kern w:val="24"/>
                <w:sz w:val="20"/>
                <w:szCs w:val="20"/>
              </w:rPr>
              <w:t>BB</w:t>
            </w:r>
          </w:p>
        </w:tc>
      </w:tr>
      <w:tr w:rsidR="004F62C9" w:rsidRPr="004F62C9" w14:paraId="4F99436D" w14:textId="77777777" w:rsidTr="004F62C9">
        <w:tc>
          <w:tcPr>
            <w:tcW w:w="1048" w:type="dxa"/>
            <w:hideMark/>
          </w:tcPr>
          <w:p w14:paraId="61E45230" w14:textId="77777777" w:rsidR="00110622" w:rsidRPr="004F62C9" w:rsidRDefault="00110622" w:rsidP="00900E1D">
            <w:pPr>
              <w:pStyle w:val="Table-Normal"/>
              <w:jc w:val="right"/>
              <w:rPr>
                <w:b/>
                <w:color w:val="auto"/>
                <w:sz w:val="20"/>
                <w:szCs w:val="20"/>
              </w:rPr>
            </w:pPr>
            <w:r w:rsidRPr="004F62C9">
              <w:rPr>
                <w:rFonts w:ascii="Calibri" w:hAnsi="Calibri" w:cs="Calibri"/>
                <w:b/>
                <w:color w:val="auto"/>
                <w:kern w:val="24"/>
                <w:sz w:val="20"/>
                <w:szCs w:val="20"/>
              </w:rPr>
              <w:t xml:space="preserve">Mean  </w:t>
            </w:r>
          </w:p>
        </w:tc>
        <w:tc>
          <w:tcPr>
            <w:tcW w:w="904" w:type="dxa"/>
            <w:hideMark/>
          </w:tcPr>
          <w:p w14:paraId="0F31F68C"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69.67</w:t>
            </w:r>
          </w:p>
        </w:tc>
        <w:tc>
          <w:tcPr>
            <w:tcW w:w="878" w:type="dxa"/>
            <w:hideMark/>
          </w:tcPr>
          <w:p w14:paraId="0ACC1D0C"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56.06</w:t>
            </w:r>
          </w:p>
        </w:tc>
        <w:tc>
          <w:tcPr>
            <w:tcW w:w="878" w:type="dxa"/>
            <w:hideMark/>
          </w:tcPr>
          <w:p w14:paraId="5383141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44.97</w:t>
            </w:r>
          </w:p>
        </w:tc>
        <w:tc>
          <w:tcPr>
            <w:tcW w:w="890" w:type="dxa"/>
            <w:hideMark/>
          </w:tcPr>
          <w:p w14:paraId="66A5F80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66.15</w:t>
            </w:r>
          </w:p>
        </w:tc>
        <w:tc>
          <w:tcPr>
            <w:tcW w:w="878" w:type="dxa"/>
            <w:hideMark/>
          </w:tcPr>
          <w:p w14:paraId="08288680"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54.99</w:t>
            </w:r>
          </w:p>
        </w:tc>
        <w:tc>
          <w:tcPr>
            <w:tcW w:w="878" w:type="dxa"/>
            <w:hideMark/>
          </w:tcPr>
          <w:p w14:paraId="15BC963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44.16</w:t>
            </w:r>
          </w:p>
        </w:tc>
        <w:tc>
          <w:tcPr>
            <w:tcW w:w="895" w:type="dxa"/>
            <w:hideMark/>
          </w:tcPr>
          <w:p w14:paraId="7EDAD0C1"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52.82</w:t>
            </w:r>
          </w:p>
        </w:tc>
        <w:tc>
          <w:tcPr>
            <w:tcW w:w="895" w:type="dxa"/>
            <w:hideMark/>
          </w:tcPr>
          <w:p w14:paraId="2B877F17"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41.70</w:t>
            </w:r>
          </w:p>
        </w:tc>
        <w:tc>
          <w:tcPr>
            <w:tcW w:w="895" w:type="dxa"/>
            <w:hideMark/>
          </w:tcPr>
          <w:p w14:paraId="08235C51"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30.15</w:t>
            </w:r>
          </w:p>
        </w:tc>
      </w:tr>
      <w:tr w:rsidR="004F62C9" w:rsidRPr="004F62C9" w14:paraId="40F35FB2" w14:textId="77777777" w:rsidTr="004F62C9">
        <w:tc>
          <w:tcPr>
            <w:tcW w:w="1048" w:type="dxa"/>
            <w:hideMark/>
          </w:tcPr>
          <w:p w14:paraId="45BC88AF" w14:textId="77777777" w:rsidR="00110622" w:rsidRPr="004F62C9" w:rsidRDefault="00110622" w:rsidP="00900E1D">
            <w:pPr>
              <w:pStyle w:val="Table-Normal"/>
              <w:jc w:val="right"/>
              <w:rPr>
                <w:b/>
                <w:color w:val="auto"/>
                <w:sz w:val="20"/>
                <w:szCs w:val="20"/>
              </w:rPr>
            </w:pPr>
            <w:r w:rsidRPr="004F62C9">
              <w:rPr>
                <w:b/>
                <w:color w:val="auto"/>
                <w:sz w:val="20"/>
                <w:szCs w:val="20"/>
              </w:rPr>
              <w:t>SD</w:t>
            </w:r>
          </w:p>
        </w:tc>
        <w:tc>
          <w:tcPr>
            <w:tcW w:w="904" w:type="dxa"/>
            <w:hideMark/>
          </w:tcPr>
          <w:p w14:paraId="6CD4847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14.22</w:t>
            </w:r>
          </w:p>
        </w:tc>
        <w:tc>
          <w:tcPr>
            <w:tcW w:w="878" w:type="dxa"/>
            <w:hideMark/>
          </w:tcPr>
          <w:p w14:paraId="2FEB3388"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14.50</w:t>
            </w:r>
          </w:p>
        </w:tc>
        <w:tc>
          <w:tcPr>
            <w:tcW w:w="878" w:type="dxa"/>
            <w:hideMark/>
          </w:tcPr>
          <w:p w14:paraId="6D24C1F1"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15.90</w:t>
            </w:r>
          </w:p>
        </w:tc>
        <w:tc>
          <w:tcPr>
            <w:tcW w:w="890" w:type="dxa"/>
            <w:hideMark/>
          </w:tcPr>
          <w:p w14:paraId="36313D1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12.62</w:t>
            </w:r>
          </w:p>
        </w:tc>
        <w:tc>
          <w:tcPr>
            <w:tcW w:w="878" w:type="dxa"/>
            <w:hideMark/>
          </w:tcPr>
          <w:p w14:paraId="1A00EBEE"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13.36</w:t>
            </w:r>
          </w:p>
        </w:tc>
        <w:tc>
          <w:tcPr>
            <w:tcW w:w="878" w:type="dxa"/>
            <w:hideMark/>
          </w:tcPr>
          <w:p w14:paraId="3067BDC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14.73</w:t>
            </w:r>
          </w:p>
        </w:tc>
        <w:tc>
          <w:tcPr>
            <w:tcW w:w="895" w:type="dxa"/>
            <w:hideMark/>
          </w:tcPr>
          <w:p w14:paraId="16E7B371"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13.42</w:t>
            </w:r>
          </w:p>
        </w:tc>
        <w:tc>
          <w:tcPr>
            <w:tcW w:w="895" w:type="dxa"/>
            <w:hideMark/>
          </w:tcPr>
          <w:p w14:paraId="51DBA21C"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15.38</w:t>
            </w:r>
          </w:p>
        </w:tc>
        <w:tc>
          <w:tcPr>
            <w:tcW w:w="895" w:type="dxa"/>
            <w:hideMark/>
          </w:tcPr>
          <w:p w14:paraId="71E6DE8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14.63</w:t>
            </w:r>
          </w:p>
        </w:tc>
      </w:tr>
      <w:tr w:rsidR="004F62C9" w:rsidRPr="004F62C9" w14:paraId="10205AEA" w14:textId="77777777" w:rsidTr="004F62C9">
        <w:tc>
          <w:tcPr>
            <w:tcW w:w="1048" w:type="dxa"/>
            <w:hideMark/>
          </w:tcPr>
          <w:p w14:paraId="53AAFF50" w14:textId="77777777" w:rsidR="00110622" w:rsidRPr="004F62C9" w:rsidRDefault="00110622" w:rsidP="00900E1D">
            <w:pPr>
              <w:pStyle w:val="Table-Normal"/>
              <w:jc w:val="right"/>
              <w:rPr>
                <w:b/>
                <w:color w:val="auto"/>
                <w:sz w:val="20"/>
                <w:szCs w:val="20"/>
              </w:rPr>
            </w:pPr>
            <w:r w:rsidRPr="004F62C9">
              <w:rPr>
                <w:rFonts w:ascii="Calibri" w:hAnsi="Calibri" w:cs="Calibri"/>
                <w:b/>
                <w:color w:val="auto"/>
                <w:kern w:val="24"/>
                <w:sz w:val="20"/>
                <w:szCs w:val="20"/>
              </w:rPr>
              <w:t>Median</w:t>
            </w:r>
          </w:p>
        </w:tc>
        <w:tc>
          <w:tcPr>
            <w:tcW w:w="904" w:type="dxa"/>
            <w:hideMark/>
          </w:tcPr>
          <w:p w14:paraId="62117D1F"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70.00</w:t>
            </w:r>
          </w:p>
        </w:tc>
        <w:tc>
          <w:tcPr>
            <w:tcW w:w="878" w:type="dxa"/>
            <w:hideMark/>
          </w:tcPr>
          <w:p w14:paraId="53F9FF07"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57.50</w:t>
            </w:r>
          </w:p>
        </w:tc>
        <w:tc>
          <w:tcPr>
            <w:tcW w:w="878" w:type="dxa"/>
            <w:hideMark/>
          </w:tcPr>
          <w:p w14:paraId="38B9978B"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45.00</w:t>
            </w:r>
          </w:p>
        </w:tc>
        <w:tc>
          <w:tcPr>
            <w:tcW w:w="890" w:type="dxa"/>
            <w:hideMark/>
          </w:tcPr>
          <w:p w14:paraId="42F78DD5"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70.00</w:t>
            </w:r>
          </w:p>
        </w:tc>
        <w:tc>
          <w:tcPr>
            <w:tcW w:w="878" w:type="dxa"/>
            <w:hideMark/>
          </w:tcPr>
          <w:p w14:paraId="2E08F228"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55.00</w:t>
            </w:r>
          </w:p>
        </w:tc>
        <w:tc>
          <w:tcPr>
            <w:tcW w:w="878" w:type="dxa"/>
            <w:hideMark/>
          </w:tcPr>
          <w:p w14:paraId="283EB0D7"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45.00</w:t>
            </w:r>
          </w:p>
        </w:tc>
        <w:tc>
          <w:tcPr>
            <w:tcW w:w="895" w:type="dxa"/>
            <w:hideMark/>
          </w:tcPr>
          <w:p w14:paraId="0812E67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52.50</w:t>
            </w:r>
          </w:p>
        </w:tc>
        <w:tc>
          <w:tcPr>
            <w:tcW w:w="895" w:type="dxa"/>
            <w:hideMark/>
          </w:tcPr>
          <w:p w14:paraId="581F820C"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45.00</w:t>
            </w:r>
          </w:p>
        </w:tc>
        <w:tc>
          <w:tcPr>
            <w:tcW w:w="895" w:type="dxa"/>
            <w:hideMark/>
          </w:tcPr>
          <w:p w14:paraId="4BCCF002"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30.00</w:t>
            </w:r>
          </w:p>
        </w:tc>
      </w:tr>
      <w:tr w:rsidR="004F62C9" w:rsidRPr="004F62C9" w14:paraId="71474106" w14:textId="77777777" w:rsidTr="004F62C9">
        <w:tc>
          <w:tcPr>
            <w:tcW w:w="1048" w:type="dxa"/>
            <w:vMerge w:val="restart"/>
            <w:hideMark/>
          </w:tcPr>
          <w:p w14:paraId="444C82D9" w14:textId="77777777" w:rsidR="00110622" w:rsidRPr="004F62C9" w:rsidRDefault="00110622" w:rsidP="00900E1D">
            <w:pPr>
              <w:pStyle w:val="Table-Normal"/>
              <w:jc w:val="right"/>
              <w:rPr>
                <w:b/>
                <w:color w:val="auto"/>
                <w:sz w:val="20"/>
                <w:szCs w:val="20"/>
              </w:rPr>
            </w:pPr>
            <w:r w:rsidRPr="004F62C9">
              <w:rPr>
                <w:rFonts w:ascii="Calibri" w:hAnsi="Calibri" w:cs="Calibri"/>
                <w:b/>
                <w:color w:val="auto"/>
                <w:kern w:val="24"/>
                <w:sz w:val="20"/>
                <w:szCs w:val="20"/>
              </w:rPr>
              <w:t>IQR</w:t>
            </w:r>
          </w:p>
        </w:tc>
        <w:tc>
          <w:tcPr>
            <w:tcW w:w="904" w:type="dxa"/>
            <w:hideMark/>
          </w:tcPr>
          <w:p w14:paraId="46448F61"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60.00</w:t>
            </w:r>
          </w:p>
        </w:tc>
        <w:tc>
          <w:tcPr>
            <w:tcW w:w="878" w:type="dxa"/>
            <w:hideMark/>
          </w:tcPr>
          <w:p w14:paraId="4F3D6031"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50.00</w:t>
            </w:r>
          </w:p>
        </w:tc>
        <w:tc>
          <w:tcPr>
            <w:tcW w:w="878" w:type="dxa"/>
            <w:hideMark/>
          </w:tcPr>
          <w:p w14:paraId="00A01D7C"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33.75</w:t>
            </w:r>
          </w:p>
        </w:tc>
        <w:tc>
          <w:tcPr>
            <w:tcW w:w="890" w:type="dxa"/>
            <w:hideMark/>
          </w:tcPr>
          <w:p w14:paraId="1997BDD2"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60.00</w:t>
            </w:r>
          </w:p>
        </w:tc>
        <w:tc>
          <w:tcPr>
            <w:tcW w:w="878" w:type="dxa"/>
            <w:hideMark/>
          </w:tcPr>
          <w:p w14:paraId="6D59D55D"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46.75</w:t>
            </w:r>
          </w:p>
        </w:tc>
        <w:tc>
          <w:tcPr>
            <w:tcW w:w="878" w:type="dxa"/>
            <w:hideMark/>
          </w:tcPr>
          <w:p w14:paraId="2A5B3F58"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35.00</w:t>
            </w:r>
          </w:p>
        </w:tc>
        <w:tc>
          <w:tcPr>
            <w:tcW w:w="895" w:type="dxa"/>
            <w:hideMark/>
          </w:tcPr>
          <w:p w14:paraId="0999DA1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45.00</w:t>
            </w:r>
          </w:p>
        </w:tc>
        <w:tc>
          <w:tcPr>
            <w:tcW w:w="895" w:type="dxa"/>
            <w:hideMark/>
          </w:tcPr>
          <w:p w14:paraId="6E4FF33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30.00</w:t>
            </w:r>
          </w:p>
        </w:tc>
        <w:tc>
          <w:tcPr>
            <w:tcW w:w="895" w:type="dxa"/>
            <w:hideMark/>
          </w:tcPr>
          <w:p w14:paraId="0C31E5BD"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20.00</w:t>
            </w:r>
          </w:p>
        </w:tc>
      </w:tr>
      <w:tr w:rsidR="004F62C9" w:rsidRPr="004F62C9" w14:paraId="7E594F2C" w14:textId="77777777" w:rsidTr="004F62C9">
        <w:tc>
          <w:tcPr>
            <w:tcW w:w="0" w:type="auto"/>
            <w:vMerge/>
            <w:hideMark/>
          </w:tcPr>
          <w:p w14:paraId="55967A51" w14:textId="77777777" w:rsidR="00110622" w:rsidRPr="004F62C9" w:rsidRDefault="00110622" w:rsidP="00900E1D">
            <w:pPr>
              <w:spacing w:before="0" w:after="0"/>
              <w:rPr>
                <w:b/>
                <w:color w:val="auto"/>
                <w:sz w:val="20"/>
                <w:szCs w:val="20"/>
              </w:rPr>
            </w:pPr>
          </w:p>
        </w:tc>
        <w:tc>
          <w:tcPr>
            <w:tcW w:w="904" w:type="dxa"/>
            <w:hideMark/>
          </w:tcPr>
          <w:p w14:paraId="08DF481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80.00</w:t>
            </w:r>
          </w:p>
        </w:tc>
        <w:tc>
          <w:tcPr>
            <w:tcW w:w="878" w:type="dxa"/>
            <w:hideMark/>
          </w:tcPr>
          <w:p w14:paraId="78DCC1C9"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65.00</w:t>
            </w:r>
          </w:p>
        </w:tc>
        <w:tc>
          <w:tcPr>
            <w:tcW w:w="878" w:type="dxa"/>
            <w:hideMark/>
          </w:tcPr>
          <w:p w14:paraId="480347C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60.00</w:t>
            </w:r>
          </w:p>
        </w:tc>
        <w:tc>
          <w:tcPr>
            <w:tcW w:w="890" w:type="dxa"/>
            <w:hideMark/>
          </w:tcPr>
          <w:p w14:paraId="40E4D48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75.00</w:t>
            </w:r>
          </w:p>
        </w:tc>
        <w:tc>
          <w:tcPr>
            <w:tcW w:w="878" w:type="dxa"/>
            <w:hideMark/>
          </w:tcPr>
          <w:p w14:paraId="25BA7DAA"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65.00</w:t>
            </w:r>
          </w:p>
        </w:tc>
        <w:tc>
          <w:tcPr>
            <w:tcW w:w="878" w:type="dxa"/>
            <w:hideMark/>
          </w:tcPr>
          <w:p w14:paraId="7E7399D4"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55.00</w:t>
            </w:r>
          </w:p>
        </w:tc>
        <w:tc>
          <w:tcPr>
            <w:tcW w:w="895" w:type="dxa"/>
            <w:hideMark/>
          </w:tcPr>
          <w:p w14:paraId="33E14743"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61.25</w:t>
            </w:r>
          </w:p>
        </w:tc>
        <w:tc>
          <w:tcPr>
            <w:tcW w:w="895" w:type="dxa"/>
            <w:hideMark/>
          </w:tcPr>
          <w:p w14:paraId="6477A8E2"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50.00</w:t>
            </w:r>
          </w:p>
        </w:tc>
        <w:tc>
          <w:tcPr>
            <w:tcW w:w="895" w:type="dxa"/>
            <w:hideMark/>
          </w:tcPr>
          <w:p w14:paraId="5D96D43F" w14:textId="77777777" w:rsidR="00110622" w:rsidRPr="004F62C9" w:rsidRDefault="00110622" w:rsidP="00900E1D">
            <w:pPr>
              <w:pStyle w:val="Table-Normal"/>
              <w:spacing w:before="40" w:after="40"/>
              <w:jc w:val="center"/>
              <w:rPr>
                <w:rFonts w:ascii="Calibri" w:hAnsi="Calibri" w:cs="Calibri"/>
                <w:color w:val="auto"/>
                <w:kern w:val="24"/>
                <w:sz w:val="20"/>
                <w:szCs w:val="20"/>
              </w:rPr>
            </w:pPr>
            <w:r w:rsidRPr="004F62C9">
              <w:rPr>
                <w:rFonts w:ascii="Calibri" w:hAnsi="Calibri" w:cs="Calibri"/>
                <w:color w:val="auto"/>
                <w:kern w:val="24"/>
                <w:sz w:val="20"/>
                <w:szCs w:val="20"/>
              </w:rPr>
              <w:t>40.00</w:t>
            </w:r>
          </w:p>
        </w:tc>
      </w:tr>
    </w:tbl>
    <w:p w14:paraId="3A5AB6AF" w14:textId="031C657A" w:rsidR="00D71FC4" w:rsidRPr="004F62C9" w:rsidRDefault="00B0124F" w:rsidP="005830EC">
      <w:pPr>
        <w:pStyle w:val="EndnoteText"/>
        <w:rPr>
          <w:color w:val="auto"/>
        </w:rPr>
      </w:pPr>
      <w:r w:rsidRPr="004F62C9">
        <w:rPr>
          <w:color w:val="auto"/>
        </w:rPr>
        <w:t>BB: basal-bolus; GLP-1 RA: glucagon-like peptide-1 receptor agonist; IQR: interquartile range; QD: daily; QW: weekly; SD:</w:t>
      </w:r>
      <w:r w:rsidRPr="004F62C9">
        <w:rPr>
          <w:rFonts w:cstheme="minorHAnsi"/>
          <w:color w:val="auto"/>
        </w:rPr>
        <w:t> </w:t>
      </w:r>
      <w:r w:rsidRPr="004F62C9">
        <w:rPr>
          <w:color w:val="auto"/>
        </w:rPr>
        <w:t>standard deviation; VAS: visual analogue scale.</w:t>
      </w:r>
    </w:p>
    <w:sectPr w:rsidR="00D71FC4" w:rsidRPr="004F62C9" w:rsidSect="00235382">
      <w:headerReference w:type="even" r:id="rId35"/>
      <w:headerReference w:type="default" r:id="rId36"/>
      <w:footerReference w:type="default" r:id="rId37"/>
      <w:headerReference w:type="first" r:id="rId38"/>
      <w:footerReference w:type="first" r:id="rId39"/>
      <w:pgSz w:w="11907" w:h="16839" w:code="9"/>
      <w:pgMar w:top="1385" w:right="1417" w:bottom="1134" w:left="1440" w:header="568"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D73A0" w14:textId="77777777" w:rsidR="00ED78B2" w:rsidRDefault="00ED78B2" w:rsidP="00676003">
      <w:pPr>
        <w:spacing w:before="0" w:after="0" w:line="240" w:lineRule="auto"/>
      </w:pPr>
      <w:r>
        <w:separator/>
      </w:r>
    </w:p>
  </w:endnote>
  <w:endnote w:type="continuationSeparator" w:id="0">
    <w:p w14:paraId="3126D1EB" w14:textId="77777777" w:rsidR="00ED78B2" w:rsidRDefault="00ED78B2" w:rsidP="00676003">
      <w:pPr>
        <w:spacing w:before="0" w:after="0" w:line="240" w:lineRule="auto"/>
      </w:pPr>
      <w:r>
        <w:continuationSeparator/>
      </w:r>
    </w:p>
  </w:endnote>
  <w:endnote w:type="continuationNotice" w:id="1">
    <w:p w14:paraId="4CBE5074" w14:textId="77777777" w:rsidR="00ED78B2" w:rsidRDefault="00ED78B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Italic">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089614"/>
      <w:docPartObj>
        <w:docPartGallery w:val="Page Numbers (Bottom of Page)"/>
        <w:docPartUnique/>
      </w:docPartObj>
    </w:sdtPr>
    <w:sdtEndPr>
      <w:rPr>
        <w:noProof/>
      </w:rPr>
    </w:sdtEndPr>
    <w:sdtContent>
      <w:p w14:paraId="59FF02D9" w14:textId="5940E10E" w:rsidR="00AD314E" w:rsidRDefault="00AD314E" w:rsidP="00AF41E7">
        <w:pPr>
          <w:pStyle w:val="Footer"/>
          <w:tabs>
            <w:tab w:val="clear" w:pos="9360"/>
            <w:tab w:val="right" w:pos="9072"/>
          </w:tabs>
          <w:spacing w:before="0" w:after="0"/>
        </w:pPr>
        <w:r>
          <w:ptab w:relativeTo="margin" w:alignment="left" w:leader="none"/>
        </w:r>
      </w:p>
      <w:p w14:paraId="271D26FC" w14:textId="7A599205" w:rsidR="00AD314E" w:rsidRDefault="00AD314E" w:rsidP="00AF41E7">
        <w:pPr>
          <w:pStyle w:val="Footer"/>
          <w:tabs>
            <w:tab w:val="clear" w:pos="9360"/>
            <w:tab w:val="right" w:pos="9072"/>
          </w:tabs>
          <w:spacing w:before="0" w:after="0"/>
          <w:rPr>
            <w:noProof/>
          </w:rPr>
        </w:pPr>
        <w:r>
          <w:rPr>
            <w:noProof/>
            <w:lang w:eastAsia="en-GB"/>
          </w:rPr>
          <w:ptab w:relativeTo="margin" w:alignment="center" w:leader="none"/>
        </w:r>
        <w:r>
          <w:t xml:space="preserve"> </w:t>
        </w:r>
        <w:r>
          <w:fldChar w:fldCharType="begin"/>
        </w:r>
        <w:r>
          <w:instrText xml:space="preserve"> PAGE   \* MERGEFORMAT </w:instrText>
        </w:r>
        <w:r>
          <w:fldChar w:fldCharType="separate"/>
        </w:r>
        <w:r>
          <w:rPr>
            <w:noProof/>
          </w:rPr>
          <w:t>4</w:t>
        </w:r>
        <w:r>
          <w:rPr>
            <w:noProof/>
          </w:rPr>
          <w:fldChar w:fldCharType="end"/>
        </w:r>
        <w:r>
          <w:rPr>
            <w:noProof/>
          </w:rPr>
          <w:t xml:space="preserve"> of </w:t>
        </w:r>
        <w:r>
          <w:rPr>
            <w:noProof/>
          </w:rPr>
          <w:fldChar w:fldCharType="begin"/>
        </w:r>
        <w:r>
          <w:rPr>
            <w:noProof/>
          </w:rPr>
          <w:instrText xml:space="preserve"> NUMPAGES </w:instrText>
        </w:r>
        <w:r>
          <w:rPr>
            <w:noProof/>
          </w:rPr>
          <w:fldChar w:fldCharType="separate"/>
        </w:r>
        <w:r>
          <w:rPr>
            <w:noProof/>
          </w:rPr>
          <w:t>16</w:t>
        </w:r>
        <w:r>
          <w:rPr>
            <w:noProof/>
          </w:rPr>
          <w:fldChar w:fldCharType="end"/>
        </w:r>
        <w:r>
          <w:rPr>
            <w:noProof/>
          </w:rPr>
          <w:ptab w:relativeTo="margin" w:alignment="right" w:leader="none"/>
        </w: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835699" w14:textId="77777777" w:rsidR="00AD314E" w:rsidRDefault="00AD314E" w:rsidP="00F0562C">
    <w:pPr>
      <w:pStyle w:val="Footer"/>
      <w:tabs>
        <w:tab w:val="clear" w:pos="9360"/>
        <w:tab w:val="right" w:pos="9072"/>
      </w:tabs>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4C31D" w14:textId="77777777" w:rsidR="00ED78B2" w:rsidRDefault="00ED78B2" w:rsidP="00676003">
      <w:pPr>
        <w:spacing w:before="0" w:after="0" w:line="240" w:lineRule="auto"/>
      </w:pPr>
      <w:r>
        <w:separator/>
      </w:r>
    </w:p>
  </w:footnote>
  <w:footnote w:type="continuationSeparator" w:id="0">
    <w:p w14:paraId="7CC89895" w14:textId="77777777" w:rsidR="00ED78B2" w:rsidRDefault="00ED78B2" w:rsidP="00676003">
      <w:pPr>
        <w:spacing w:before="0" w:after="0" w:line="240" w:lineRule="auto"/>
      </w:pPr>
      <w:r>
        <w:continuationSeparator/>
      </w:r>
    </w:p>
  </w:footnote>
  <w:footnote w:type="continuationNotice" w:id="1">
    <w:p w14:paraId="2DD0F9A1" w14:textId="77777777" w:rsidR="00ED78B2" w:rsidRDefault="00ED78B2">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FCE62" w14:textId="611D72D3" w:rsidR="00AD314E" w:rsidRDefault="00AD314E">
    <w:pPr>
      <w:pStyle w:val="Header"/>
    </w:pPr>
    <w:r>
      <w:rPr>
        <w:noProof/>
        <w:lang w:val="en-US"/>
      </w:rPr>
      <w:drawing>
        <wp:anchor distT="0" distB="0" distL="114300" distR="114300" simplePos="0" relativeHeight="251664384" behindDoc="1" locked="0" layoutInCell="0" allowOverlap="1" wp14:anchorId="4193B731" wp14:editId="77465AFC">
          <wp:simplePos x="0" y="0"/>
          <wp:positionH relativeFrom="margin">
            <wp:align>center</wp:align>
          </wp:positionH>
          <wp:positionV relativeFrom="margin">
            <wp:align>center</wp:align>
          </wp:positionV>
          <wp:extent cx="5452745" cy="77190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2745" cy="7719060"/>
                  </a:xfrm>
                  <a:prstGeom prst="rect">
                    <a:avLst/>
                  </a:prstGeom>
                  <a:noFill/>
                </pic:spPr>
              </pic:pic>
            </a:graphicData>
          </a:graphic>
          <wp14:sizeRelH relativeFrom="page">
            <wp14:pctWidth>0</wp14:pctWidth>
          </wp14:sizeRelH>
          <wp14:sizeRelV relativeFrom="page">
            <wp14:pctHeight>0</wp14:pctHeight>
          </wp14:sizeRelV>
        </wp:anchor>
      </w:drawing>
    </w:r>
  </w:p>
  <w:p w14:paraId="42ED7CE3" w14:textId="77777777" w:rsidR="00AD314E" w:rsidRDefault="00AD314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807F" w14:textId="58CF49A0" w:rsidR="00AD314E" w:rsidRDefault="00AD314E" w:rsidP="001E3932">
    <w:pPr>
      <w:pStyle w:val="Header"/>
      <w:tabs>
        <w:tab w:val="clear" w:pos="9360"/>
        <w:tab w:val="right" w:pos="90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0E90A" w14:textId="77777777" w:rsidR="00AD314E" w:rsidRPr="0023183D" w:rsidRDefault="00AD314E" w:rsidP="00547245">
    <w:pPr>
      <w:pStyle w:val="Header"/>
      <w:tabs>
        <w:tab w:val="clear" w:pos="9360"/>
        <w:tab w:val="right" w:pos="9072"/>
      </w:tabs>
    </w:pPr>
    <w:r>
      <w:rPr>
        <w:noProof/>
        <w:lang w:val="en-US"/>
      </w:rPr>
      <w:drawing>
        <wp:anchor distT="0" distB="0" distL="114300" distR="114300" simplePos="0" relativeHeight="251663360" behindDoc="0" locked="0" layoutInCell="1" allowOverlap="1" wp14:anchorId="2943DBFC" wp14:editId="2B5B0F9D">
          <wp:simplePos x="0" y="0"/>
          <wp:positionH relativeFrom="margin">
            <wp:posOffset>1589034</wp:posOffset>
          </wp:positionH>
          <wp:positionV relativeFrom="paragraph">
            <wp:posOffset>557530</wp:posOffset>
          </wp:positionV>
          <wp:extent cx="4302515" cy="10152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elphi-Values-Prove-logo-P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02515" cy="101520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1" locked="0" layoutInCell="1" allowOverlap="1" wp14:anchorId="5F72D54C" wp14:editId="536DA797">
          <wp:simplePos x="0" y="0"/>
          <wp:positionH relativeFrom="column">
            <wp:posOffset>-939800</wp:posOffset>
          </wp:positionH>
          <wp:positionV relativeFrom="paragraph">
            <wp:posOffset>3260461</wp:posOffset>
          </wp:positionV>
          <wp:extent cx="7606040" cy="7099539"/>
          <wp:effectExtent l="0" t="0" r="0" b="6350"/>
          <wp:wrapNone/>
          <wp:docPr id="14" name="Picture 14" descr="I:\SHARED\Global\Templates\Logos\Proposal Cover Blue v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HARED\Global\Templates\Logos\Proposal Cover Blue v1_0.jp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11695"/>
                  <a:stretch/>
                </pic:blipFill>
                <pic:spPr bwMode="auto">
                  <a:xfrm>
                    <a:off x="0" y="0"/>
                    <a:ext cx="7606040" cy="70995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1079"/>
    <w:multiLevelType w:val="hybridMultilevel"/>
    <w:tmpl w:val="941A3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77581"/>
    <w:multiLevelType w:val="hybridMultilevel"/>
    <w:tmpl w:val="61B497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F13CFE"/>
    <w:multiLevelType w:val="hybridMultilevel"/>
    <w:tmpl w:val="15CCB360"/>
    <w:lvl w:ilvl="0" w:tplc="1F1248D0">
      <w:start w:val="1"/>
      <w:numFmt w:val="bullet"/>
      <w:pStyle w:val="Table-Bullet2"/>
      <w:lvlText w:val="-"/>
      <w:lvlJc w:val="left"/>
      <w:pPr>
        <w:ind w:left="633" w:hanging="360"/>
      </w:pPr>
      <w:rPr>
        <w:rFonts w:ascii="Calibri" w:hAnsi="Calibri" w:hint="default"/>
        <w:color w:val="003569" w:themeColor="accent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69CC"/>
    <w:multiLevelType w:val="multilevel"/>
    <w:tmpl w:val="AFC0D47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71C074D"/>
    <w:multiLevelType w:val="hybridMultilevel"/>
    <w:tmpl w:val="876CC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96E11AE"/>
    <w:multiLevelType w:val="hybridMultilevel"/>
    <w:tmpl w:val="0BD8CA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0597D"/>
    <w:multiLevelType w:val="hybridMultilevel"/>
    <w:tmpl w:val="35821E3C"/>
    <w:lvl w:ilvl="0" w:tplc="41D04B16">
      <w:start w:val="1"/>
      <w:numFmt w:val="bullet"/>
      <w:pStyle w:val="ListParagraph"/>
      <w:lvlText w:val="&gt;"/>
      <w:lvlJc w:val="left"/>
      <w:pPr>
        <w:ind w:left="1228" w:hanging="360"/>
      </w:pPr>
      <w:rPr>
        <w:rFonts w:ascii="Calibri" w:hAnsi="Calibri" w:hint="default"/>
        <w:color w:val="003569" w:themeColor="accent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3503DBA"/>
    <w:multiLevelType w:val="hybridMultilevel"/>
    <w:tmpl w:val="7AE88112"/>
    <w:lvl w:ilvl="0" w:tplc="05807408">
      <w:start w:val="1"/>
      <w:numFmt w:val="bullet"/>
      <w:pStyle w:val="Bullet4"/>
      <w:lvlText w:val="▫"/>
      <w:lvlJc w:val="left"/>
      <w:pPr>
        <w:ind w:left="2128" w:hanging="360"/>
      </w:pPr>
      <w:rPr>
        <w:rFonts w:ascii="Tahoma" w:hAnsi="Tahoma" w:hint="default"/>
        <w:color w:val="003569" w:themeColor="accent6"/>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8" w15:restartNumberingAfterBreak="0">
    <w:nsid w:val="338F3690"/>
    <w:multiLevelType w:val="hybridMultilevel"/>
    <w:tmpl w:val="BE9855D2"/>
    <w:lvl w:ilvl="0" w:tplc="D5F6E8AA">
      <w:start w:val="1"/>
      <w:numFmt w:val="bullet"/>
      <w:pStyle w:val="Bullet3"/>
      <w:lvlText w:val="▪"/>
      <w:lvlJc w:val="left"/>
      <w:pPr>
        <w:ind w:left="1854" w:hanging="360"/>
      </w:pPr>
      <w:rPr>
        <w:rFonts w:ascii="Tahoma" w:hAnsi="Tahoma" w:hint="default"/>
        <w:color w:val="003569" w:themeColor="accent6"/>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39C615E5"/>
    <w:multiLevelType w:val="hybridMultilevel"/>
    <w:tmpl w:val="36B04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6F04C5"/>
    <w:multiLevelType w:val="hybridMultilevel"/>
    <w:tmpl w:val="3244D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A2471A"/>
    <w:multiLevelType w:val="hybridMultilevel"/>
    <w:tmpl w:val="6278F18E"/>
    <w:lvl w:ilvl="0" w:tplc="498E60B4">
      <w:start w:val="1"/>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0B7D90"/>
    <w:multiLevelType w:val="hybridMultilevel"/>
    <w:tmpl w:val="9354A8E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69503F"/>
    <w:multiLevelType w:val="hybridMultilevel"/>
    <w:tmpl w:val="49EC4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3891EF2"/>
    <w:multiLevelType w:val="hybridMultilevel"/>
    <w:tmpl w:val="BE94E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4B2389"/>
    <w:multiLevelType w:val="hybridMultilevel"/>
    <w:tmpl w:val="39F01FD0"/>
    <w:lvl w:ilvl="0" w:tplc="B99AFFD2">
      <w:start w:val="1"/>
      <w:numFmt w:val="bullet"/>
      <w:pStyle w:val="Bullet2"/>
      <w:lvlText w:val="-"/>
      <w:lvlJc w:val="left"/>
      <w:pPr>
        <w:ind w:left="1400" w:hanging="360"/>
      </w:pPr>
      <w:rPr>
        <w:rFonts w:ascii="Calibri" w:hAnsi="Calibri" w:hint="default"/>
        <w:color w:val="003569" w:themeColor="accent6"/>
      </w:rPr>
    </w:lvl>
    <w:lvl w:ilvl="1" w:tplc="08090003" w:tentative="1">
      <w:start w:val="1"/>
      <w:numFmt w:val="bullet"/>
      <w:lvlText w:val="o"/>
      <w:lvlJc w:val="left"/>
      <w:pPr>
        <w:ind w:left="2120" w:hanging="360"/>
      </w:pPr>
      <w:rPr>
        <w:rFonts w:ascii="Courier New" w:hAnsi="Courier New" w:cs="Courier New" w:hint="default"/>
      </w:rPr>
    </w:lvl>
    <w:lvl w:ilvl="2" w:tplc="8648DBB4">
      <w:start w:val="1"/>
      <w:numFmt w:val="bullet"/>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6" w15:restartNumberingAfterBreak="0">
    <w:nsid w:val="68AC6F16"/>
    <w:multiLevelType w:val="hybridMultilevel"/>
    <w:tmpl w:val="E214C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2801EE"/>
    <w:multiLevelType w:val="hybridMultilevel"/>
    <w:tmpl w:val="26E6AD8E"/>
    <w:lvl w:ilvl="0" w:tplc="AE3808A0">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CA5E2E"/>
    <w:multiLevelType w:val="hybridMultilevel"/>
    <w:tmpl w:val="CC22F1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33C18"/>
    <w:multiLevelType w:val="hybridMultilevel"/>
    <w:tmpl w:val="7E90F82A"/>
    <w:lvl w:ilvl="0" w:tplc="085C22D4">
      <w:start w:val="1"/>
      <w:numFmt w:val="bullet"/>
      <w:pStyle w:val="Table-Bullet1"/>
      <w:lvlText w:val="&gt;"/>
      <w:lvlJc w:val="left"/>
      <w:pPr>
        <w:ind w:left="360" w:hanging="360"/>
      </w:pPr>
      <w:rPr>
        <w:rFonts w:ascii="Calibri" w:hAnsi="Calibri" w:hint="default"/>
        <w:color w:val="003569" w:themeColor="accent6"/>
        <w:u w:color="4E5053" w:themeColor="text2"/>
      </w:rPr>
    </w:lvl>
    <w:lvl w:ilvl="1" w:tplc="08090003" w:tentative="1">
      <w:start w:val="1"/>
      <w:numFmt w:val="bullet"/>
      <w:lvlText w:val="o"/>
      <w:lvlJc w:val="left"/>
      <w:pPr>
        <w:ind w:left="1430" w:hanging="360"/>
      </w:pPr>
      <w:rPr>
        <w:rFonts w:ascii="Courier New" w:hAnsi="Courier New" w:cs="Courier New" w:hint="default"/>
      </w:rPr>
    </w:lvl>
    <w:lvl w:ilvl="2" w:tplc="08090005">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num w:numId="1">
    <w:abstractNumId w:val="3"/>
  </w:num>
  <w:num w:numId="2">
    <w:abstractNumId w:val="15"/>
  </w:num>
  <w:num w:numId="3">
    <w:abstractNumId w:val="8"/>
  </w:num>
  <w:num w:numId="4">
    <w:abstractNumId w:val="7"/>
  </w:num>
  <w:num w:numId="5">
    <w:abstractNumId w:val="19"/>
  </w:num>
  <w:num w:numId="6">
    <w:abstractNumId w:val="2"/>
  </w:num>
  <w:num w:numId="7">
    <w:abstractNumId w:val="6"/>
  </w:num>
  <w:num w:numId="8">
    <w:abstractNumId w:val="13"/>
  </w:num>
  <w:num w:numId="9">
    <w:abstractNumId w:val="0"/>
  </w:num>
  <w:num w:numId="10">
    <w:abstractNumId w:val="12"/>
  </w:num>
  <w:num w:numId="11">
    <w:abstractNumId w:val="18"/>
  </w:num>
  <w:num w:numId="12">
    <w:abstractNumId w:val="5"/>
  </w:num>
  <w:num w:numId="13">
    <w:abstractNumId w:val="9"/>
  </w:num>
  <w:num w:numId="14">
    <w:abstractNumId w:val="16"/>
  </w:num>
  <w:num w:numId="15">
    <w:abstractNumId w:val="10"/>
  </w:num>
  <w:num w:numId="16">
    <w:abstractNumId w:val="14"/>
  </w:num>
  <w:num w:numId="17">
    <w:abstractNumId w:val="1"/>
  </w:num>
  <w:num w:numId="18">
    <w:abstractNumId w:val="4"/>
  </w:num>
  <w:num w:numId="19">
    <w:abstractNumId w:val="11"/>
  </w:num>
  <w:num w:numId="20">
    <w:abstractNumId w:val="3"/>
  </w:num>
  <w:num w:numId="21">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re2d9sqdsv0med5wyxpzasavz5e9rxpss5&quot;&gt;NO8968A injection disutility TTO references v0_1&lt;record-ids&gt;&lt;item&gt;5&lt;/item&gt;&lt;item&gt;6&lt;/item&gt;&lt;item&gt;7&lt;/item&gt;&lt;item&gt;8&lt;/item&gt;&lt;item&gt;9&lt;/item&gt;&lt;item&gt;11&lt;/item&gt;&lt;item&gt;12&lt;/item&gt;&lt;item&gt;13&lt;/item&gt;&lt;item&gt;14&lt;/item&gt;&lt;item&gt;15&lt;/item&gt;&lt;item&gt;16&lt;/item&gt;&lt;item&gt;17&lt;/item&gt;&lt;item&gt;20&lt;/item&gt;&lt;item&gt;21&lt;/item&gt;&lt;item&gt;22&lt;/item&gt;&lt;item&gt;23&lt;/item&gt;&lt;item&gt;25&lt;/item&gt;&lt;item&gt;28&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record-ids&gt;&lt;/item&gt;&lt;/Libraries&gt;"/>
  </w:docVars>
  <w:rsids>
    <w:rsidRoot w:val="00E96907"/>
    <w:rsid w:val="000006F2"/>
    <w:rsid w:val="0000100E"/>
    <w:rsid w:val="000024A1"/>
    <w:rsid w:val="00003F24"/>
    <w:rsid w:val="00006010"/>
    <w:rsid w:val="00007003"/>
    <w:rsid w:val="000075E3"/>
    <w:rsid w:val="00007FF4"/>
    <w:rsid w:val="00010A35"/>
    <w:rsid w:val="00010F13"/>
    <w:rsid w:val="00013103"/>
    <w:rsid w:val="00015C6B"/>
    <w:rsid w:val="00015E8B"/>
    <w:rsid w:val="00016D6C"/>
    <w:rsid w:val="00020342"/>
    <w:rsid w:val="00020710"/>
    <w:rsid w:val="000213F1"/>
    <w:rsid w:val="000214AD"/>
    <w:rsid w:val="00023067"/>
    <w:rsid w:val="000234C4"/>
    <w:rsid w:val="0002398D"/>
    <w:rsid w:val="00024119"/>
    <w:rsid w:val="00027567"/>
    <w:rsid w:val="00027BBD"/>
    <w:rsid w:val="00030A0B"/>
    <w:rsid w:val="00032B40"/>
    <w:rsid w:val="00032F56"/>
    <w:rsid w:val="000335DF"/>
    <w:rsid w:val="0003456E"/>
    <w:rsid w:val="0003633A"/>
    <w:rsid w:val="00036460"/>
    <w:rsid w:val="00036C9D"/>
    <w:rsid w:val="00037EE2"/>
    <w:rsid w:val="00040F59"/>
    <w:rsid w:val="00041BD7"/>
    <w:rsid w:val="00042F9C"/>
    <w:rsid w:val="00043AC9"/>
    <w:rsid w:val="00043E1F"/>
    <w:rsid w:val="0004431D"/>
    <w:rsid w:val="000444DB"/>
    <w:rsid w:val="000465FD"/>
    <w:rsid w:val="000500D2"/>
    <w:rsid w:val="000518F8"/>
    <w:rsid w:val="00053115"/>
    <w:rsid w:val="0005387F"/>
    <w:rsid w:val="00053F5C"/>
    <w:rsid w:val="00054ADA"/>
    <w:rsid w:val="000555DE"/>
    <w:rsid w:val="00056636"/>
    <w:rsid w:val="00056883"/>
    <w:rsid w:val="00057BD2"/>
    <w:rsid w:val="00057D1D"/>
    <w:rsid w:val="00060363"/>
    <w:rsid w:val="00061AB3"/>
    <w:rsid w:val="00062778"/>
    <w:rsid w:val="00062CEF"/>
    <w:rsid w:val="00063F46"/>
    <w:rsid w:val="0006434D"/>
    <w:rsid w:val="00064FC4"/>
    <w:rsid w:val="00064FE2"/>
    <w:rsid w:val="00067051"/>
    <w:rsid w:val="00067708"/>
    <w:rsid w:val="00067CE3"/>
    <w:rsid w:val="00067D39"/>
    <w:rsid w:val="000701AE"/>
    <w:rsid w:val="00070FE2"/>
    <w:rsid w:val="00071CD9"/>
    <w:rsid w:val="00072399"/>
    <w:rsid w:val="000740F0"/>
    <w:rsid w:val="00074A84"/>
    <w:rsid w:val="0007517D"/>
    <w:rsid w:val="00080616"/>
    <w:rsid w:val="00085E3E"/>
    <w:rsid w:val="00094966"/>
    <w:rsid w:val="00096804"/>
    <w:rsid w:val="00096BCF"/>
    <w:rsid w:val="00097226"/>
    <w:rsid w:val="000A14CA"/>
    <w:rsid w:val="000A24A1"/>
    <w:rsid w:val="000A3531"/>
    <w:rsid w:val="000A38DC"/>
    <w:rsid w:val="000A3DC0"/>
    <w:rsid w:val="000A497D"/>
    <w:rsid w:val="000A4AA7"/>
    <w:rsid w:val="000A51EA"/>
    <w:rsid w:val="000A5201"/>
    <w:rsid w:val="000A5DA9"/>
    <w:rsid w:val="000A7AF9"/>
    <w:rsid w:val="000A7D0F"/>
    <w:rsid w:val="000B0103"/>
    <w:rsid w:val="000B09D6"/>
    <w:rsid w:val="000B1E7C"/>
    <w:rsid w:val="000B1FBB"/>
    <w:rsid w:val="000B34EA"/>
    <w:rsid w:val="000B3F9D"/>
    <w:rsid w:val="000B5234"/>
    <w:rsid w:val="000C0053"/>
    <w:rsid w:val="000C0F3A"/>
    <w:rsid w:val="000C149B"/>
    <w:rsid w:val="000C3AF4"/>
    <w:rsid w:val="000C5A11"/>
    <w:rsid w:val="000C624B"/>
    <w:rsid w:val="000D0151"/>
    <w:rsid w:val="000D0394"/>
    <w:rsid w:val="000D2489"/>
    <w:rsid w:val="000D2E3A"/>
    <w:rsid w:val="000D2FE7"/>
    <w:rsid w:val="000D4144"/>
    <w:rsid w:val="000D5E49"/>
    <w:rsid w:val="000D6D58"/>
    <w:rsid w:val="000E0708"/>
    <w:rsid w:val="000E17CE"/>
    <w:rsid w:val="000E6E42"/>
    <w:rsid w:val="000E73A3"/>
    <w:rsid w:val="000E7560"/>
    <w:rsid w:val="000E7CFC"/>
    <w:rsid w:val="000F02FC"/>
    <w:rsid w:val="000F0966"/>
    <w:rsid w:val="000F1E79"/>
    <w:rsid w:val="000F31FE"/>
    <w:rsid w:val="000F35EE"/>
    <w:rsid w:val="000F3663"/>
    <w:rsid w:val="000F451E"/>
    <w:rsid w:val="000F4E5B"/>
    <w:rsid w:val="000F53EA"/>
    <w:rsid w:val="000F60C3"/>
    <w:rsid w:val="00100257"/>
    <w:rsid w:val="001007A7"/>
    <w:rsid w:val="00100E56"/>
    <w:rsid w:val="001012AA"/>
    <w:rsid w:val="00101EE8"/>
    <w:rsid w:val="00103113"/>
    <w:rsid w:val="001040E5"/>
    <w:rsid w:val="00104ED1"/>
    <w:rsid w:val="0011056B"/>
    <w:rsid w:val="00110622"/>
    <w:rsid w:val="00111232"/>
    <w:rsid w:val="00111AC3"/>
    <w:rsid w:val="00111FF2"/>
    <w:rsid w:val="001139FB"/>
    <w:rsid w:val="00115B26"/>
    <w:rsid w:val="00117A83"/>
    <w:rsid w:val="00122051"/>
    <w:rsid w:val="00122714"/>
    <w:rsid w:val="001255A3"/>
    <w:rsid w:val="00126EFE"/>
    <w:rsid w:val="00127F2F"/>
    <w:rsid w:val="00130619"/>
    <w:rsid w:val="001325B3"/>
    <w:rsid w:val="0013301E"/>
    <w:rsid w:val="001332B6"/>
    <w:rsid w:val="00134114"/>
    <w:rsid w:val="00134937"/>
    <w:rsid w:val="00134BD9"/>
    <w:rsid w:val="00134ECA"/>
    <w:rsid w:val="00134F91"/>
    <w:rsid w:val="00137D1E"/>
    <w:rsid w:val="00143887"/>
    <w:rsid w:val="00144B68"/>
    <w:rsid w:val="00145B0E"/>
    <w:rsid w:val="0014716D"/>
    <w:rsid w:val="001473F0"/>
    <w:rsid w:val="00150EA8"/>
    <w:rsid w:val="00150F87"/>
    <w:rsid w:val="0015136E"/>
    <w:rsid w:val="0015293E"/>
    <w:rsid w:val="001531AE"/>
    <w:rsid w:val="00153F2A"/>
    <w:rsid w:val="00161E06"/>
    <w:rsid w:val="00164234"/>
    <w:rsid w:val="0016459C"/>
    <w:rsid w:val="001666CA"/>
    <w:rsid w:val="00167A08"/>
    <w:rsid w:val="00170E5E"/>
    <w:rsid w:val="00170EFE"/>
    <w:rsid w:val="0017227A"/>
    <w:rsid w:val="00172536"/>
    <w:rsid w:val="00172A8D"/>
    <w:rsid w:val="0017459B"/>
    <w:rsid w:val="00175895"/>
    <w:rsid w:val="0017606E"/>
    <w:rsid w:val="00180023"/>
    <w:rsid w:val="0018044B"/>
    <w:rsid w:val="00180FE7"/>
    <w:rsid w:val="001813BD"/>
    <w:rsid w:val="001814AD"/>
    <w:rsid w:val="00182CEF"/>
    <w:rsid w:val="001842C7"/>
    <w:rsid w:val="00184730"/>
    <w:rsid w:val="0018546F"/>
    <w:rsid w:val="00187A3B"/>
    <w:rsid w:val="00187E94"/>
    <w:rsid w:val="00190F16"/>
    <w:rsid w:val="00190FE5"/>
    <w:rsid w:val="001930D4"/>
    <w:rsid w:val="001930D6"/>
    <w:rsid w:val="00195EFE"/>
    <w:rsid w:val="00197599"/>
    <w:rsid w:val="00197F4B"/>
    <w:rsid w:val="001A245C"/>
    <w:rsid w:val="001A35CC"/>
    <w:rsid w:val="001A5676"/>
    <w:rsid w:val="001A760B"/>
    <w:rsid w:val="001A7ABA"/>
    <w:rsid w:val="001B17E4"/>
    <w:rsid w:val="001B1B91"/>
    <w:rsid w:val="001B3671"/>
    <w:rsid w:val="001B485E"/>
    <w:rsid w:val="001B4E41"/>
    <w:rsid w:val="001B5037"/>
    <w:rsid w:val="001B57B3"/>
    <w:rsid w:val="001B63EB"/>
    <w:rsid w:val="001B74DF"/>
    <w:rsid w:val="001C1C00"/>
    <w:rsid w:val="001C1F53"/>
    <w:rsid w:val="001C1F5F"/>
    <w:rsid w:val="001C2B94"/>
    <w:rsid w:val="001C31B7"/>
    <w:rsid w:val="001C5A87"/>
    <w:rsid w:val="001C663A"/>
    <w:rsid w:val="001C7041"/>
    <w:rsid w:val="001C7705"/>
    <w:rsid w:val="001C7795"/>
    <w:rsid w:val="001C7893"/>
    <w:rsid w:val="001C7F68"/>
    <w:rsid w:val="001D006A"/>
    <w:rsid w:val="001D0A69"/>
    <w:rsid w:val="001D2FE1"/>
    <w:rsid w:val="001D3D1A"/>
    <w:rsid w:val="001D3DED"/>
    <w:rsid w:val="001D468C"/>
    <w:rsid w:val="001D4CE9"/>
    <w:rsid w:val="001D5CDF"/>
    <w:rsid w:val="001D6F65"/>
    <w:rsid w:val="001E0429"/>
    <w:rsid w:val="001E04BD"/>
    <w:rsid w:val="001E07FE"/>
    <w:rsid w:val="001E2E77"/>
    <w:rsid w:val="001E3544"/>
    <w:rsid w:val="001E3932"/>
    <w:rsid w:val="001E3A42"/>
    <w:rsid w:val="001E4489"/>
    <w:rsid w:val="001E4BD0"/>
    <w:rsid w:val="001E4DC1"/>
    <w:rsid w:val="001E545D"/>
    <w:rsid w:val="001E6819"/>
    <w:rsid w:val="001E7CD2"/>
    <w:rsid w:val="001F02F8"/>
    <w:rsid w:val="001F043D"/>
    <w:rsid w:val="001F09A8"/>
    <w:rsid w:val="001F0EDE"/>
    <w:rsid w:val="001F3137"/>
    <w:rsid w:val="001F3636"/>
    <w:rsid w:val="001F3A56"/>
    <w:rsid w:val="001F3CB9"/>
    <w:rsid w:val="001F563E"/>
    <w:rsid w:val="001F717E"/>
    <w:rsid w:val="001F7256"/>
    <w:rsid w:val="001F7FA7"/>
    <w:rsid w:val="00201049"/>
    <w:rsid w:val="00204120"/>
    <w:rsid w:val="00204369"/>
    <w:rsid w:val="0020437C"/>
    <w:rsid w:val="00204BAF"/>
    <w:rsid w:val="002054DA"/>
    <w:rsid w:val="00205F23"/>
    <w:rsid w:val="002078AC"/>
    <w:rsid w:val="0021071F"/>
    <w:rsid w:val="00212ED2"/>
    <w:rsid w:val="002150D9"/>
    <w:rsid w:val="002152CD"/>
    <w:rsid w:val="0021644C"/>
    <w:rsid w:val="00216522"/>
    <w:rsid w:val="002203A4"/>
    <w:rsid w:val="00221FF9"/>
    <w:rsid w:val="00222AF8"/>
    <w:rsid w:val="0022325B"/>
    <w:rsid w:val="00223AD1"/>
    <w:rsid w:val="00223ECA"/>
    <w:rsid w:val="0022417D"/>
    <w:rsid w:val="002258C4"/>
    <w:rsid w:val="00227DD1"/>
    <w:rsid w:val="00227E6A"/>
    <w:rsid w:val="00227FD2"/>
    <w:rsid w:val="002308E4"/>
    <w:rsid w:val="0023183D"/>
    <w:rsid w:val="00233292"/>
    <w:rsid w:val="00233809"/>
    <w:rsid w:val="00234983"/>
    <w:rsid w:val="00235382"/>
    <w:rsid w:val="00235BFA"/>
    <w:rsid w:val="00237A03"/>
    <w:rsid w:val="002418B8"/>
    <w:rsid w:val="00242755"/>
    <w:rsid w:val="00243367"/>
    <w:rsid w:val="0024525C"/>
    <w:rsid w:val="00247DA2"/>
    <w:rsid w:val="002557C2"/>
    <w:rsid w:val="00256CAF"/>
    <w:rsid w:val="00256FB2"/>
    <w:rsid w:val="0025732D"/>
    <w:rsid w:val="00257FF7"/>
    <w:rsid w:val="0026225C"/>
    <w:rsid w:val="00262A7D"/>
    <w:rsid w:val="00262C18"/>
    <w:rsid w:val="00266889"/>
    <w:rsid w:val="00267385"/>
    <w:rsid w:val="00267423"/>
    <w:rsid w:val="00270D09"/>
    <w:rsid w:val="002732AB"/>
    <w:rsid w:val="00274868"/>
    <w:rsid w:val="0027593E"/>
    <w:rsid w:val="00275F39"/>
    <w:rsid w:val="002803E0"/>
    <w:rsid w:val="00280E18"/>
    <w:rsid w:val="0028212E"/>
    <w:rsid w:val="00283E4E"/>
    <w:rsid w:val="00284F16"/>
    <w:rsid w:val="00286713"/>
    <w:rsid w:val="00287628"/>
    <w:rsid w:val="002900A1"/>
    <w:rsid w:val="00291B65"/>
    <w:rsid w:val="00291D2C"/>
    <w:rsid w:val="00291DBA"/>
    <w:rsid w:val="00291F23"/>
    <w:rsid w:val="00292934"/>
    <w:rsid w:val="00293354"/>
    <w:rsid w:val="002933EF"/>
    <w:rsid w:val="00293CA6"/>
    <w:rsid w:val="00296577"/>
    <w:rsid w:val="002972E4"/>
    <w:rsid w:val="002975F8"/>
    <w:rsid w:val="002A26F1"/>
    <w:rsid w:val="002A32F8"/>
    <w:rsid w:val="002A4F45"/>
    <w:rsid w:val="002A5743"/>
    <w:rsid w:val="002A6720"/>
    <w:rsid w:val="002A6F8D"/>
    <w:rsid w:val="002B01D6"/>
    <w:rsid w:val="002B0679"/>
    <w:rsid w:val="002B3B9C"/>
    <w:rsid w:val="002B50D2"/>
    <w:rsid w:val="002B57EF"/>
    <w:rsid w:val="002B67A1"/>
    <w:rsid w:val="002B7749"/>
    <w:rsid w:val="002C0063"/>
    <w:rsid w:val="002C1ADF"/>
    <w:rsid w:val="002C1B8C"/>
    <w:rsid w:val="002C1D71"/>
    <w:rsid w:val="002C3181"/>
    <w:rsid w:val="002C373A"/>
    <w:rsid w:val="002C3D5D"/>
    <w:rsid w:val="002C4B61"/>
    <w:rsid w:val="002C50EA"/>
    <w:rsid w:val="002C674E"/>
    <w:rsid w:val="002C6BDC"/>
    <w:rsid w:val="002C7B41"/>
    <w:rsid w:val="002D0D47"/>
    <w:rsid w:val="002D1FAA"/>
    <w:rsid w:val="002D2E53"/>
    <w:rsid w:val="002D30E3"/>
    <w:rsid w:val="002D3416"/>
    <w:rsid w:val="002D3D4C"/>
    <w:rsid w:val="002D3D52"/>
    <w:rsid w:val="002D3D91"/>
    <w:rsid w:val="002D41F4"/>
    <w:rsid w:val="002D4C17"/>
    <w:rsid w:val="002D4E6A"/>
    <w:rsid w:val="002D594F"/>
    <w:rsid w:val="002D6FAB"/>
    <w:rsid w:val="002E05A3"/>
    <w:rsid w:val="002E07E3"/>
    <w:rsid w:val="002E1AF8"/>
    <w:rsid w:val="002E3559"/>
    <w:rsid w:val="002E45AC"/>
    <w:rsid w:val="002E4D04"/>
    <w:rsid w:val="002E58A2"/>
    <w:rsid w:val="002E59D6"/>
    <w:rsid w:val="002E696A"/>
    <w:rsid w:val="002E79F8"/>
    <w:rsid w:val="002F0F7F"/>
    <w:rsid w:val="002F1411"/>
    <w:rsid w:val="002F1CFB"/>
    <w:rsid w:val="002F2E94"/>
    <w:rsid w:val="002F3274"/>
    <w:rsid w:val="002F358A"/>
    <w:rsid w:val="002F3C59"/>
    <w:rsid w:val="002F6496"/>
    <w:rsid w:val="002F65C1"/>
    <w:rsid w:val="002F749D"/>
    <w:rsid w:val="00300320"/>
    <w:rsid w:val="0030073E"/>
    <w:rsid w:val="00300AB0"/>
    <w:rsid w:val="0030267C"/>
    <w:rsid w:val="003030F7"/>
    <w:rsid w:val="00304173"/>
    <w:rsid w:val="003042D3"/>
    <w:rsid w:val="00304E6C"/>
    <w:rsid w:val="0030682F"/>
    <w:rsid w:val="00306A02"/>
    <w:rsid w:val="003077A0"/>
    <w:rsid w:val="003103C6"/>
    <w:rsid w:val="00311C7F"/>
    <w:rsid w:val="00311D54"/>
    <w:rsid w:val="003134CE"/>
    <w:rsid w:val="00314B09"/>
    <w:rsid w:val="00320131"/>
    <w:rsid w:val="00322766"/>
    <w:rsid w:val="00322A90"/>
    <w:rsid w:val="003235D2"/>
    <w:rsid w:val="00323BFC"/>
    <w:rsid w:val="00323F06"/>
    <w:rsid w:val="00324231"/>
    <w:rsid w:val="003242EE"/>
    <w:rsid w:val="00330D3F"/>
    <w:rsid w:val="0033143E"/>
    <w:rsid w:val="00331B2C"/>
    <w:rsid w:val="00331CD3"/>
    <w:rsid w:val="00332F7D"/>
    <w:rsid w:val="00334517"/>
    <w:rsid w:val="003349C9"/>
    <w:rsid w:val="00334A83"/>
    <w:rsid w:val="00334A97"/>
    <w:rsid w:val="0033541F"/>
    <w:rsid w:val="00335D1A"/>
    <w:rsid w:val="003365EA"/>
    <w:rsid w:val="00337815"/>
    <w:rsid w:val="00337AF8"/>
    <w:rsid w:val="00340FF1"/>
    <w:rsid w:val="0034187E"/>
    <w:rsid w:val="00341946"/>
    <w:rsid w:val="0034208F"/>
    <w:rsid w:val="00342E67"/>
    <w:rsid w:val="0034448C"/>
    <w:rsid w:val="00344CAE"/>
    <w:rsid w:val="003457CD"/>
    <w:rsid w:val="00345C47"/>
    <w:rsid w:val="003462BA"/>
    <w:rsid w:val="00346E7C"/>
    <w:rsid w:val="003475F8"/>
    <w:rsid w:val="003478B9"/>
    <w:rsid w:val="00353C4D"/>
    <w:rsid w:val="00354FDB"/>
    <w:rsid w:val="00355061"/>
    <w:rsid w:val="00355915"/>
    <w:rsid w:val="00355C1D"/>
    <w:rsid w:val="003562CC"/>
    <w:rsid w:val="003564C4"/>
    <w:rsid w:val="00356F5D"/>
    <w:rsid w:val="00357B2B"/>
    <w:rsid w:val="00360529"/>
    <w:rsid w:val="00361E0A"/>
    <w:rsid w:val="00363268"/>
    <w:rsid w:val="00365FA6"/>
    <w:rsid w:val="0036645E"/>
    <w:rsid w:val="0036794E"/>
    <w:rsid w:val="00367E7B"/>
    <w:rsid w:val="003715A5"/>
    <w:rsid w:val="003729BA"/>
    <w:rsid w:val="00376920"/>
    <w:rsid w:val="003804A4"/>
    <w:rsid w:val="003807EE"/>
    <w:rsid w:val="00380FC9"/>
    <w:rsid w:val="00381013"/>
    <w:rsid w:val="0038167D"/>
    <w:rsid w:val="0038473F"/>
    <w:rsid w:val="00384A17"/>
    <w:rsid w:val="0038742F"/>
    <w:rsid w:val="0038772B"/>
    <w:rsid w:val="00390162"/>
    <w:rsid w:val="003912F4"/>
    <w:rsid w:val="00391834"/>
    <w:rsid w:val="00391BDD"/>
    <w:rsid w:val="003925AF"/>
    <w:rsid w:val="00394C71"/>
    <w:rsid w:val="00395B29"/>
    <w:rsid w:val="00396FB5"/>
    <w:rsid w:val="003979FE"/>
    <w:rsid w:val="003A1A23"/>
    <w:rsid w:val="003A3D12"/>
    <w:rsid w:val="003A465F"/>
    <w:rsid w:val="003A56DD"/>
    <w:rsid w:val="003A60BF"/>
    <w:rsid w:val="003A6A87"/>
    <w:rsid w:val="003A6F14"/>
    <w:rsid w:val="003A7049"/>
    <w:rsid w:val="003B0788"/>
    <w:rsid w:val="003B1972"/>
    <w:rsid w:val="003B3170"/>
    <w:rsid w:val="003B413C"/>
    <w:rsid w:val="003B44AF"/>
    <w:rsid w:val="003B4A87"/>
    <w:rsid w:val="003B4E85"/>
    <w:rsid w:val="003B5FBF"/>
    <w:rsid w:val="003C0563"/>
    <w:rsid w:val="003C220D"/>
    <w:rsid w:val="003C2CCE"/>
    <w:rsid w:val="003C3DE5"/>
    <w:rsid w:val="003C4514"/>
    <w:rsid w:val="003C4649"/>
    <w:rsid w:val="003C605B"/>
    <w:rsid w:val="003C7642"/>
    <w:rsid w:val="003C7BFD"/>
    <w:rsid w:val="003D0DC1"/>
    <w:rsid w:val="003D1EAD"/>
    <w:rsid w:val="003D213C"/>
    <w:rsid w:val="003D27B4"/>
    <w:rsid w:val="003D2CFE"/>
    <w:rsid w:val="003D31DB"/>
    <w:rsid w:val="003D41E7"/>
    <w:rsid w:val="003D4825"/>
    <w:rsid w:val="003D5E08"/>
    <w:rsid w:val="003D6290"/>
    <w:rsid w:val="003D6DC7"/>
    <w:rsid w:val="003E006B"/>
    <w:rsid w:val="003E0882"/>
    <w:rsid w:val="003E0F47"/>
    <w:rsid w:val="003E3BE7"/>
    <w:rsid w:val="003E59E0"/>
    <w:rsid w:val="003F0648"/>
    <w:rsid w:val="003F0C79"/>
    <w:rsid w:val="003F0F25"/>
    <w:rsid w:val="003F15EE"/>
    <w:rsid w:val="003F280C"/>
    <w:rsid w:val="003F296F"/>
    <w:rsid w:val="003F3B5A"/>
    <w:rsid w:val="003F5E06"/>
    <w:rsid w:val="003F5F11"/>
    <w:rsid w:val="003F6AF7"/>
    <w:rsid w:val="00400D74"/>
    <w:rsid w:val="00401644"/>
    <w:rsid w:val="0040176C"/>
    <w:rsid w:val="00402372"/>
    <w:rsid w:val="00403920"/>
    <w:rsid w:val="00405682"/>
    <w:rsid w:val="0040584C"/>
    <w:rsid w:val="00405DA7"/>
    <w:rsid w:val="00405E46"/>
    <w:rsid w:val="0040658F"/>
    <w:rsid w:val="0040683B"/>
    <w:rsid w:val="004070F2"/>
    <w:rsid w:val="004075E2"/>
    <w:rsid w:val="00410ED5"/>
    <w:rsid w:val="00411AC5"/>
    <w:rsid w:val="0041222D"/>
    <w:rsid w:val="00412D09"/>
    <w:rsid w:val="00413670"/>
    <w:rsid w:val="004143EE"/>
    <w:rsid w:val="004147C6"/>
    <w:rsid w:val="00414DD2"/>
    <w:rsid w:val="00416315"/>
    <w:rsid w:val="004202AF"/>
    <w:rsid w:val="00422128"/>
    <w:rsid w:val="004225DD"/>
    <w:rsid w:val="00422638"/>
    <w:rsid w:val="0042277F"/>
    <w:rsid w:val="004230E2"/>
    <w:rsid w:val="00424F78"/>
    <w:rsid w:val="00425977"/>
    <w:rsid w:val="00425A86"/>
    <w:rsid w:val="004320D7"/>
    <w:rsid w:val="004330B4"/>
    <w:rsid w:val="00433554"/>
    <w:rsid w:val="0043366B"/>
    <w:rsid w:val="00433D83"/>
    <w:rsid w:val="0043461D"/>
    <w:rsid w:val="00434F9E"/>
    <w:rsid w:val="00435F37"/>
    <w:rsid w:val="00437A40"/>
    <w:rsid w:val="00437E9E"/>
    <w:rsid w:val="00441A85"/>
    <w:rsid w:val="00441D7F"/>
    <w:rsid w:val="004464E7"/>
    <w:rsid w:val="00446A60"/>
    <w:rsid w:val="00450CD1"/>
    <w:rsid w:val="00451425"/>
    <w:rsid w:val="00451E48"/>
    <w:rsid w:val="004522D5"/>
    <w:rsid w:val="00452CCD"/>
    <w:rsid w:val="00454DDA"/>
    <w:rsid w:val="004550BA"/>
    <w:rsid w:val="00455387"/>
    <w:rsid w:val="00455EDF"/>
    <w:rsid w:val="0046016C"/>
    <w:rsid w:val="004611FF"/>
    <w:rsid w:val="004620B1"/>
    <w:rsid w:val="00462A84"/>
    <w:rsid w:val="00464005"/>
    <w:rsid w:val="0046455D"/>
    <w:rsid w:val="00464CF9"/>
    <w:rsid w:val="00465589"/>
    <w:rsid w:val="00465B49"/>
    <w:rsid w:val="00465FB0"/>
    <w:rsid w:val="00470354"/>
    <w:rsid w:val="00475AEF"/>
    <w:rsid w:val="00475D87"/>
    <w:rsid w:val="00476580"/>
    <w:rsid w:val="004810A6"/>
    <w:rsid w:val="00481E8B"/>
    <w:rsid w:val="00482F27"/>
    <w:rsid w:val="00483AAD"/>
    <w:rsid w:val="00483EEA"/>
    <w:rsid w:val="00484133"/>
    <w:rsid w:val="0048428F"/>
    <w:rsid w:val="00484583"/>
    <w:rsid w:val="0048512C"/>
    <w:rsid w:val="0048523D"/>
    <w:rsid w:val="00485289"/>
    <w:rsid w:val="00486669"/>
    <w:rsid w:val="00486978"/>
    <w:rsid w:val="00486DFF"/>
    <w:rsid w:val="00490B6A"/>
    <w:rsid w:val="00492D98"/>
    <w:rsid w:val="004932CB"/>
    <w:rsid w:val="00494215"/>
    <w:rsid w:val="00494291"/>
    <w:rsid w:val="00494292"/>
    <w:rsid w:val="0049512F"/>
    <w:rsid w:val="00495461"/>
    <w:rsid w:val="0049571A"/>
    <w:rsid w:val="00497434"/>
    <w:rsid w:val="00497CCB"/>
    <w:rsid w:val="004A1C2F"/>
    <w:rsid w:val="004A2D6A"/>
    <w:rsid w:val="004A3393"/>
    <w:rsid w:val="004A4EAA"/>
    <w:rsid w:val="004A63BF"/>
    <w:rsid w:val="004A709D"/>
    <w:rsid w:val="004B2BDA"/>
    <w:rsid w:val="004B3514"/>
    <w:rsid w:val="004B3D36"/>
    <w:rsid w:val="004B4E49"/>
    <w:rsid w:val="004B508B"/>
    <w:rsid w:val="004B5D0D"/>
    <w:rsid w:val="004B5E20"/>
    <w:rsid w:val="004B6F36"/>
    <w:rsid w:val="004C359C"/>
    <w:rsid w:val="004C46FA"/>
    <w:rsid w:val="004C5E2E"/>
    <w:rsid w:val="004C69ED"/>
    <w:rsid w:val="004C6A49"/>
    <w:rsid w:val="004D0A3F"/>
    <w:rsid w:val="004D0CC3"/>
    <w:rsid w:val="004D20A6"/>
    <w:rsid w:val="004D2507"/>
    <w:rsid w:val="004D3284"/>
    <w:rsid w:val="004D3348"/>
    <w:rsid w:val="004D363A"/>
    <w:rsid w:val="004D42C5"/>
    <w:rsid w:val="004D642A"/>
    <w:rsid w:val="004D7038"/>
    <w:rsid w:val="004D71D2"/>
    <w:rsid w:val="004E1285"/>
    <w:rsid w:val="004E2722"/>
    <w:rsid w:val="004E396D"/>
    <w:rsid w:val="004E3C11"/>
    <w:rsid w:val="004E4965"/>
    <w:rsid w:val="004E5123"/>
    <w:rsid w:val="004E5297"/>
    <w:rsid w:val="004E5A63"/>
    <w:rsid w:val="004E7D15"/>
    <w:rsid w:val="004F045A"/>
    <w:rsid w:val="004F0A5E"/>
    <w:rsid w:val="004F1033"/>
    <w:rsid w:val="004F211D"/>
    <w:rsid w:val="004F4648"/>
    <w:rsid w:val="004F62C9"/>
    <w:rsid w:val="004F7411"/>
    <w:rsid w:val="00500B2D"/>
    <w:rsid w:val="00503502"/>
    <w:rsid w:val="005040F7"/>
    <w:rsid w:val="00504294"/>
    <w:rsid w:val="00504AB4"/>
    <w:rsid w:val="00504CD8"/>
    <w:rsid w:val="00505F09"/>
    <w:rsid w:val="005061CD"/>
    <w:rsid w:val="00507202"/>
    <w:rsid w:val="00512F3B"/>
    <w:rsid w:val="00513CB6"/>
    <w:rsid w:val="00514AF8"/>
    <w:rsid w:val="0051595D"/>
    <w:rsid w:val="00515A94"/>
    <w:rsid w:val="00521C6F"/>
    <w:rsid w:val="0052208A"/>
    <w:rsid w:val="005220C5"/>
    <w:rsid w:val="00522AB9"/>
    <w:rsid w:val="00524872"/>
    <w:rsid w:val="005261F3"/>
    <w:rsid w:val="0052722D"/>
    <w:rsid w:val="00532028"/>
    <w:rsid w:val="0053483D"/>
    <w:rsid w:val="00534AD2"/>
    <w:rsid w:val="00535D62"/>
    <w:rsid w:val="005364C7"/>
    <w:rsid w:val="00536D4F"/>
    <w:rsid w:val="0054023B"/>
    <w:rsid w:val="00541675"/>
    <w:rsid w:val="00542710"/>
    <w:rsid w:val="00542BF1"/>
    <w:rsid w:val="0054319B"/>
    <w:rsid w:val="00545338"/>
    <w:rsid w:val="005453D3"/>
    <w:rsid w:val="00547231"/>
    <w:rsid w:val="00547245"/>
    <w:rsid w:val="00547E6D"/>
    <w:rsid w:val="00550F45"/>
    <w:rsid w:val="005548DE"/>
    <w:rsid w:val="00554C24"/>
    <w:rsid w:val="00555008"/>
    <w:rsid w:val="00555EA6"/>
    <w:rsid w:val="00555F77"/>
    <w:rsid w:val="00556765"/>
    <w:rsid w:val="005602F5"/>
    <w:rsid w:val="00560304"/>
    <w:rsid w:val="00560F71"/>
    <w:rsid w:val="00561990"/>
    <w:rsid w:val="00562F77"/>
    <w:rsid w:val="00563859"/>
    <w:rsid w:val="005638BB"/>
    <w:rsid w:val="00566B8B"/>
    <w:rsid w:val="00567890"/>
    <w:rsid w:val="0057389B"/>
    <w:rsid w:val="00573EE0"/>
    <w:rsid w:val="00574CA3"/>
    <w:rsid w:val="00574F17"/>
    <w:rsid w:val="005774E9"/>
    <w:rsid w:val="0058059C"/>
    <w:rsid w:val="00580E3F"/>
    <w:rsid w:val="005816A6"/>
    <w:rsid w:val="005827F1"/>
    <w:rsid w:val="00582FF6"/>
    <w:rsid w:val="005830EC"/>
    <w:rsid w:val="005837E1"/>
    <w:rsid w:val="00586546"/>
    <w:rsid w:val="00587535"/>
    <w:rsid w:val="00587C3C"/>
    <w:rsid w:val="00587D45"/>
    <w:rsid w:val="00590F1D"/>
    <w:rsid w:val="005922B6"/>
    <w:rsid w:val="0059329A"/>
    <w:rsid w:val="005947AB"/>
    <w:rsid w:val="00594D00"/>
    <w:rsid w:val="005957CD"/>
    <w:rsid w:val="00596B0F"/>
    <w:rsid w:val="00596CF3"/>
    <w:rsid w:val="00596E22"/>
    <w:rsid w:val="005A2C28"/>
    <w:rsid w:val="005A38C8"/>
    <w:rsid w:val="005A459E"/>
    <w:rsid w:val="005A4D70"/>
    <w:rsid w:val="005A52D2"/>
    <w:rsid w:val="005A78E9"/>
    <w:rsid w:val="005A7B52"/>
    <w:rsid w:val="005B1B8C"/>
    <w:rsid w:val="005B444B"/>
    <w:rsid w:val="005B55C2"/>
    <w:rsid w:val="005B5605"/>
    <w:rsid w:val="005B5BA5"/>
    <w:rsid w:val="005B6462"/>
    <w:rsid w:val="005B7167"/>
    <w:rsid w:val="005B7F79"/>
    <w:rsid w:val="005C11CF"/>
    <w:rsid w:val="005C1348"/>
    <w:rsid w:val="005C1F13"/>
    <w:rsid w:val="005C2C48"/>
    <w:rsid w:val="005C3035"/>
    <w:rsid w:val="005C3567"/>
    <w:rsid w:val="005C52A4"/>
    <w:rsid w:val="005C6625"/>
    <w:rsid w:val="005C6BD6"/>
    <w:rsid w:val="005C7104"/>
    <w:rsid w:val="005C768B"/>
    <w:rsid w:val="005C7B01"/>
    <w:rsid w:val="005D37E8"/>
    <w:rsid w:val="005D40F3"/>
    <w:rsid w:val="005D6CE9"/>
    <w:rsid w:val="005D6EAA"/>
    <w:rsid w:val="005E0856"/>
    <w:rsid w:val="005E1EDF"/>
    <w:rsid w:val="005E21D8"/>
    <w:rsid w:val="005E2C19"/>
    <w:rsid w:val="005E2EFA"/>
    <w:rsid w:val="005E4222"/>
    <w:rsid w:val="005E463D"/>
    <w:rsid w:val="005E5FAD"/>
    <w:rsid w:val="005E602F"/>
    <w:rsid w:val="005E6A63"/>
    <w:rsid w:val="005E7D35"/>
    <w:rsid w:val="005F0C07"/>
    <w:rsid w:val="005F242B"/>
    <w:rsid w:val="005F26ED"/>
    <w:rsid w:val="005F27EF"/>
    <w:rsid w:val="005F4115"/>
    <w:rsid w:val="005F4F33"/>
    <w:rsid w:val="005F7DD3"/>
    <w:rsid w:val="00600955"/>
    <w:rsid w:val="00600A50"/>
    <w:rsid w:val="00602530"/>
    <w:rsid w:val="00604691"/>
    <w:rsid w:val="00604851"/>
    <w:rsid w:val="006048A4"/>
    <w:rsid w:val="00604B48"/>
    <w:rsid w:val="00604C04"/>
    <w:rsid w:val="006058C0"/>
    <w:rsid w:val="006067BC"/>
    <w:rsid w:val="00606A13"/>
    <w:rsid w:val="006075CC"/>
    <w:rsid w:val="006107AA"/>
    <w:rsid w:val="00610B2A"/>
    <w:rsid w:val="006137EC"/>
    <w:rsid w:val="0061505C"/>
    <w:rsid w:val="006156B7"/>
    <w:rsid w:val="00617115"/>
    <w:rsid w:val="00620215"/>
    <w:rsid w:val="00620A3E"/>
    <w:rsid w:val="00623D61"/>
    <w:rsid w:val="00623DAD"/>
    <w:rsid w:val="0062489C"/>
    <w:rsid w:val="00627AE6"/>
    <w:rsid w:val="0063081A"/>
    <w:rsid w:val="00631AC4"/>
    <w:rsid w:val="006321B4"/>
    <w:rsid w:val="006322A1"/>
    <w:rsid w:val="00632B3D"/>
    <w:rsid w:val="00632E93"/>
    <w:rsid w:val="00635CD1"/>
    <w:rsid w:val="006379C4"/>
    <w:rsid w:val="0064156D"/>
    <w:rsid w:val="0064159C"/>
    <w:rsid w:val="006416D0"/>
    <w:rsid w:val="00643147"/>
    <w:rsid w:val="00643A61"/>
    <w:rsid w:val="0064555E"/>
    <w:rsid w:val="00645887"/>
    <w:rsid w:val="00647313"/>
    <w:rsid w:val="00647EBA"/>
    <w:rsid w:val="006501B9"/>
    <w:rsid w:val="006535BE"/>
    <w:rsid w:val="006538FF"/>
    <w:rsid w:val="00653ADC"/>
    <w:rsid w:val="00653FD2"/>
    <w:rsid w:val="0065423D"/>
    <w:rsid w:val="00654446"/>
    <w:rsid w:val="006544ED"/>
    <w:rsid w:val="0065488F"/>
    <w:rsid w:val="00654C2B"/>
    <w:rsid w:val="00654CEB"/>
    <w:rsid w:val="0065621D"/>
    <w:rsid w:val="00656BE3"/>
    <w:rsid w:val="00661173"/>
    <w:rsid w:val="0066186C"/>
    <w:rsid w:val="00661A19"/>
    <w:rsid w:val="00662431"/>
    <w:rsid w:val="00662644"/>
    <w:rsid w:val="00663D7F"/>
    <w:rsid w:val="006649F3"/>
    <w:rsid w:val="00664EAD"/>
    <w:rsid w:val="00665BB6"/>
    <w:rsid w:val="0066762C"/>
    <w:rsid w:val="006678FE"/>
    <w:rsid w:val="00667C05"/>
    <w:rsid w:val="00671C54"/>
    <w:rsid w:val="00672467"/>
    <w:rsid w:val="006739AA"/>
    <w:rsid w:val="00674D20"/>
    <w:rsid w:val="006755E6"/>
    <w:rsid w:val="00675EF7"/>
    <w:rsid w:val="00676003"/>
    <w:rsid w:val="00680EEB"/>
    <w:rsid w:val="00681881"/>
    <w:rsid w:val="006832D4"/>
    <w:rsid w:val="006836CA"/>
    <w:rsid w:val="0068397D"/>
    <w:rsid w:val="00684E37"/>
    <w:rsid w:val="00685ACD"/>
    <w:rsid w:val="006866F4"/>
    <w:rsid w:val="006869A1"/>
    <w:rsid w:val="00690620"/>
    <w:rsid w:val="00691890"/>
    <w:rsid w:val="00694A6B"/>
    <w:rsid w:val="0069576A"/>
    <w:rsid w:val="00695FCE"/>
    <w:rsid w:val="006A07B5"/>
    <w:rsid w:val="006A271E"/>
    <w:rsid w:val="006A305D"/>
    <w:rsid w:val="006A4D81"/>
    <w:rsid w:val="006A5840"/>
    <w:rsid w:val="006A6629"/>
    <w:rsid w:val="006A6BDB"/>
    <w:rsid w:val="006B0A9C"/>
    <w:rsid w:val="006B104A"/>
    <w:rsid w:val="006B1365"/>
    <w:rsid w:val="006B20B3"/>
    <w:rsid w:val="006B3647"/>
    <w:rsid w:val="006B4450"/>
    <w:rsid w:val="006B51B6"/>
    <w:rsid w:val="006B618A"/>
    <w:rsid w:val="006B77A3"/>
    <w:rsid w:val="006C0425"/>
    <w:rsid w:val="006C07E5"/>
    <w:rsid w:val="006C0DF5"/>
    <w:rsid w:val="006C32B2"/>
    <w:rsid w:val="006C3978"/>
    <w:rsid w:val="006C43C3"/>
    <w:rsid w:val="006C4627"/>
    <w:rsid w:val="006C559B"/>
    <w:rsid w:val="006C5CF1"/>
    <w:rsid w:val="006C6137"/>
    <w:rsid w:val="006C7427"/>
    <w:rsid w:val="006C7866"/>
    <w:rsid w:val="006D0400"/>
    <w:rsid w:val="006D041F"/>
    <w:rsid w:val="006D0C2B"/>
    <w:rsid w:val="006D1E9A"/>
    <w:rsid w:val="006D4BE0"/>
    <w:rsid w:val="006D564E"/>
    <w:rsid w:val="006D7C1F"/>
    <w:rsid w:val="006E005C"/>
    <w:rsid w:val="006E165D"/>
    <w:rsid w:val="006E3C5A"/>
    <w:rsid w:val="006E45B6"/>
    <w:rsid w:val="006E473D"/>
    <w:rsid w:val="006E5C9F"/>
    <w:rsid w:val="006E67A5"/>
    <w:rsid w:val="006E6AEF"/>
    <w:rsid w:val="006E720C"/>
    <w:rsid w:val="006E7DC5"/>
    <w:rsid w:val="006F2D6B"/>
    <w:rsid w:val="006F3047"/>
    <w:rsid w:val="006F310E"/>
    <w:rsid w:val="006F5977"/>
    <w:rsid w:val="006F5FA6"/>
    <w:rsid w:val="006F71C6"/>
    <w:rsid w:val="00700F19"/>
    <w:rsid w:val="0070181F"/>
    <w:rsid w:val="0070184A"/>
    <w:rsid w:val="00704654"/>
    <w:rsid w:val="00704EFC"/>
    <w:rsid w:val="00705677"/>
    <w:rsid w:val="00705E2B"/>
    <w:rsid w:val="0070689B"/>
    <w:rsid w:val="00706E72"/>
    <w:rsid w:val="0071161C"/>
    <w:rsid w:val="00712E4C"/>
    <w:rsid w:val="007130B4"/>
    <w:rsid w:val="00713BE7"/>
    <w:rsid w:val="007157D2"/>
    <w:rsid w:val="007206C0"/>
    <w:rsid w:val="00722D85"/>
    <w:rsid w:val="0072360E"/>
    <w:rsid w:val="007236C8"/>
    <w:rsid w:val="007313E5"/>
    <w:rsid w:val="00733D10"/>
    <w:rsid w:val="007354EF"/>
    <w:rsid w:val="00735A49"/>
    <w:rsid w:val="0073715B"/>
    <w:rsid w:val="00740393"/>
    <w:rsid w:val="00741547"/>
    <w:rsid w:val="007430B7"/>
    <w:rsid w:val="00743302"/>
    <w:rsid w:val="007434F4"/>
    <w:rsid w:val="00743835"/>
    <w:rsid w:val="00747490"/>
    <w:rsid w:val="00751FB4"/>
    <w:rsid w:val="00753652"/>
    <w:rsid w:val="00756D04"/>
    <w:rsid w:val="007574C0"/>
    <w:rsid w:val="00761869"/>
    <w:rsid w:val="007638CC"/>
    <w:rsid w:val="00764011"/>
    <w:rsid w:val="0076499E"/>
    <w:rsid w:val="00766F7E"/>
    <w:rsid w:val="00766FE1"/>
    <w:rsid w:val="00770132"/>
    <w:rsid w:val="0077105E"/>
    <w:rsid w:val="0077457F"/>
    <w:rsid w:val="007752E8"/>
    <w:rsid w:val="00775530"/>
    <w:rsid w:val="007770E8"/>
    <w:rsid w:val="00780DD3"/>
    <w:rsid w:val="00783AA8"/>
    <w:rsid w:val="00784383"/>
    <w:rsid w:val="007867F1"/>
    <w:rsid w:val="00787D67"/>
    <w:rsid w:val="00790861"/>
    <w:rsid w:val="00792641"/>
    <w:rsid w:val="007972CB"/>
    <w:rsid w:val="007A0D19"/>
    <w:rsid w:val="007A19F8"/>
    <w:rsid w:val="007A2F77"/>
    <w:rsid w:val="007A5691"/>
    <w:rsid w:val="007A605B"/>
    <w:rsid w:val="007A6207"/>
    <w:rsid w:val="007A62B7"/>
    <w:rsid w:val="007A6C96"/>
    <w:rsid w:val="007B00A7"/>
    <w:rsid w:val="007B0778"/>
    <w:rsid w:val="007B11FC"/>
    <w:rsid w:val="007B1845"/>
    <w:rsid w:val="007B1FF1"/>
    <w:rsid w:val="007B21AB"/>
    <w:rsid w:val="007B2626"/>
    <w:rsid w:val="007B2A7E"/>
    <w:rsid w:val="007B38C3"/>
    <w:rsid w:val="007B422C"/>
    <w:rsid w:val="007B48AA"/>
    <w:rsid w:val="007B6C65"/>
    <w:rsid w:val="007B749B"/>
    <w:rsid w:val="007B7807"/>
    <w:rsid w:val="007C00E0"/>
    <w:rsid w:val="007C053A"/>
    <w:rsid w:val="007C2101"/>
    <w:rsid w:val="007C24B7"/>
    <w:rsid w:val="007C25BE"/>
    <w:rsid w:val="007C3804"/>
    <w:rsid w:val="007C56F0"/>
    <w:rsid w:val="007C7BF3"/>
    <w:rsid w:val="007C7D69"/>
    <w:rsid w:val="007D1E8F"/>
    <w:rsid w:val="007D535C"/>
    <w:rsid w:val="007D543E"/>
    <w:rsid w:val="007D54E3"/>
    <w:rsid w:val="007D5D33"/>
    <w:rsid w:val="007D60D8"/>
    <w:rsid w:val="007D6A28"/>
    <w:rsid w:val="007D7066"/>
    <w:rsid w:val="007D7352"/>
    <w:rsid w:val="007E0ABE"/>
    <w:rsid w:val="007E1809"/>
    <w:rsid w:val="007E34D0"/>
    <w:rsid w:val="007E4EA2"/>
    <w:rsid w:val="007E5025"/>
    <w:rsid w:val="007E685C"/>
    <w:rsid w:val="007F0296"/>
    <w:rsid w:val="007F05DB"/>
    <w:rsid w:val="007F09CE"/>
    <w:rsid w:val="007F2B13"/>
    <w:rsid w:val="007F33D9"/>
    <w:rsid w:val="007F38F6"/>
    <w:rsid w:val="007F3EF6"/>
    <w:rsid w:val="007F74EF"/>
    <w:rsid w:val="00801FD7"/>
    <w:rsid w:val="0080274F"/>
    <w:rsid w:val="00805F05"/>
    <w:rsid w:val="008066E1"/>
    <w:rsid w:val="00806D2A"/>
    <w:rsid w:val="00810A77"/>
    <w:rsid w:val="00811A30"/>
    <w:rsid w:val="00811B7D"/>
    <w:rsid w:val="00811DFC"/>
    <w:rsid w:val="008122F1"/>
    <w:rsid w:val="00813158"/>
    <w:rsid w:val="0081359A"/>
    <w:rsid w:val="00813606"/>
    <w:rsid w:val="00813BE4"/>
    <w:rsid w:val="00813EDD"/>
    <w:rsid w:val="00815629"/>
    <w:rsid w:val="00815A64"/>
    <w:rsid w:val="008163BF"/>
    <w:rsid w:val="008231CC"/>
    <w:rsid w:val="00823BCA"/>
    <w:rsid w:val="008266D0"/>
    <w:rsid w:val="00831781"/>
    <w:rsid w:val="00832391"/>
    <w:rsid w:val="008336A0"/>
    <w:rsid w:val="008364D2"/>
    <w:rsid w:val="00840D31"/>
    <w:rsid w:val="00840DAD"/>
    <w:rsid w:val="00844A8B"/>
    <w:rsid w:val="0085014B"/>
    <w:rsid w:val="008504F6"/>
    <w:rsid w:val="00850550"/>
    <w:rsid w:val="00850932"/>
    <w:rsid w:val="008516B8"/>
    <w:rsid w:val="00853F28"/>
    <w:rsid w:val="0085444C"/>
    <w:rsid w:val="008544D3"/>
    <w:rsid w:val="008553D5"/>
    <w:rsid w:val="008563D6"/>
    <w:rsid w:val="00856F28"/>
    <w:rsid w:val="00860DE1"/>
    <w:rsid w:val="00861662"/>
    <w:rsid w:val="00863A60"/>
    <w:rsid w:val="00870513"/>
    <w:rsid w:val="00871694"/>
    <w:rsid w:val="008723AC"/>
    <w:rsid w:val="0087314E"/>
    <w:rsid w:val="00874791"/>
    <w:rsid w:val="00875139"/>
    <w:rsid w:val="008754B7"/>
    <w:rsid w:val="00876B8F"/>
    <w:rsid w:val="0087746B"/>
    <w:rsid w:val="00880AB0"/>
    <w:rsid w:val="0088184F"/>
    <w:rsid w:val="0088225A"/>
    <w:rsid w:val="00882C40"/>
    <w:rsid w:val="00883713"/>
    <w:rsid w:val="00885B9D"/>
    <w:rsid w:val="00885F7E"/>
    <w:rsid w:val="008861E1"/>
    <w:rsid w:val="00886B18"/>
    <w:rsid w:val="008904F7"/>
    <w:rsid w:val="008907CF"/>
    <w:rsid w:val="00890CD8"/>
    <w:rsid w:val="0089267B"/>
    <w:rsid w:val="00892E6C"/>
    <w:rsid w:val="00895ED5"/>
    <w:rsid w:val="0089787F"/>
    <w:rsid w:val="008A0FC2"/>
    <w:rsid w:val="008A2ABD"/>
    <w:rsid w:val="008A2C56"/>
    <w:rsid w:val="008A2CA0"/>
    <w:rsid w:val="008A312D"/>
    <w:rsid w:val="008A3927"/>
    <w:rsid w:val="008A6B05"/>
    <w:rsid w:val="008B0FA6"/>
    <w:rsid w:val="008B22F5"/>
    <w:rsid w:val="008B3193"/>
    <w:rsid w:val="008B3212"/>
    <w:rsid w:val="008B3455"/>
    <w:rsid w:val="008B34F9"/>
    <w:rsid w:val="008B4272"/>
    <w:rsid w:val="008B535D"/>
    <w:rsid w:val="008B61B7"/>
    <w:rsid w:val="008B7017"/>
    <w:rsid w:val="008B751A"/>
    <w:rsid w:val="008C071A"/>
    <w:rsid w:val="008C0E8D"/>
    <w:rsid w:val="008C1012"/>
    <w:rsid w:val="008C2254"/>
    <w:rsid w:val="008C31B5"/>
    <w:rsid w:val="008C385C"/>
    <w:rsid w:val="008C39AC"/>
    <w:rsid w:val="008C445E"/>
    <w:rsid w:val="008D15C0"/>
    <w:rsid w:val="008D1991"/>
    <w:rsid w:val="008D2ABF"/>
    <w:rsid w:val="008D383B"/>
    <w:rsid w:val="008D6894"/>
    <w:rsid w:val="008D6914"/>
    <w:rsid w:val="008E1208"/>
    <w:rsid w:val="008E13AF"/>
    <w:rsid w:val="008E1504"/>
    <w:rsid w:val="008E2BE7"/>
    <w:rsid w:val="008E5071"/>
    <w:rsid w:val="008E5D6C"/>
    <w:rsid w:val="008E69EA"/>
    <w:rsid w:val="008E79AC"/>
    <w:rsid w:val="008E7E0B"/>
    <w:rsid w:val="008F065E"/>
    <w:rsid w:val="008F0926"/>
    <w:rsid w:val="008F1325"/>
    <w:rsid w:val="008F19CB"/>
    <w:rsid w:val="008F247A"/>
    <w:rsid w:val="008F35A5"/>
    <w:rsid w:val="008F4D75"/>
    <w:rsid w:val="008F6496"/>
    <w:rsid w:val="008F70BA"/>
    <w:rsid w:val="008F759B"/>
    <w:rsid w:val="008F7720"/>
    <w:rsid w:val="00900E1D"/>
    <w:rsid w:val="00901862"/>
    <w:rsid w:val="009028C3"/>
    <w:rsid w:val="00903CC2"/>
    <w:rsid w:val="009048D3"/>
    <w:rsid w:val="00904D05"/>
    <w:rsid w:val="0090553E"/>
    <w:rsid w:val="009069EF"/>
    <w:rsid w:val="00907568"/>
    <w:rsid w:val="009112FF"/>
    <w:rsid w:val="00911854"/>
    <w:rsid w:val="0091373D"/>
    <w:rsid w:val="009152F7"/>
    <w:rsid w:val="0091540C"/>
    <w:rsid w:val="00916574"/>
    <w:rsid w:val="009169C9"/>
    <w:rsid w:val="00916D23"/>
    <w:rsid w:val="009208DB"/>
    <w:rsid w:val="00920E34"/>
    <w:rsid w:val="00921F93"/>
    <w:rsid w:val="009232CD"/>
    <w:rsid w:val="00924606"/>
    <w:rsid w:val="00924915"/>
    <w:rsid w:val="00925192"/>
    <w:rsid w:val="009268CD"/>
    <w:rsid w:val="009341CE"/>
    <w:rsid w:val="009348A7"/>
    <w:rsid w:val="00934F2E"/>
    <w:rsid w:val="00937AC1"/>
    <w:rsid w:val="00940269"/>
    <w:rsid w:val="00940647"/>
    <w:rsid w:val="00941819"/>
    <w:rsid w:val="00942CF5"/>
    <w:rsid w:val="009445AF"/>
    <w:rsid w:val="009455ED"/>
    <w:rsid w:val="0094676D"/>
    <w:rsid w:val="00950C4C"/>
    <w:rsid w:val="00951115"/>
    <w:rsid w:val="00951335"/>
    <w:rsid w:val="00955A35"/>
    <w:rsid w:val="009561C0"/>
    <w:rsid w:val="009573C1"/>
    <w:rsid w:val="00957A35"/>
    <w:rsid w:val="00957C26"/>
    <w:rsid w:val="00960410"/>
    <w:rsid w:val="00960576"/>
    <w:rsid w:val="009612A3"/>
    <w:rsid w:val="009615BB"/>
    <w:rsid w:val="00961E68"/>
    <w:rsid w:val="00965141"/>
    <w:rsid w:val="00967780"/>
    <w:rsid w:val="00970411"/>
    <w:rsid w:val="009705D7"/>
    <w:rsid w:val="00970674"/>
    <w:rsid w:val="00970AD3"/>
    <w:rsid w:val="00970E4C"/>
    <w:rsid w:val="00971754"/>
    <w:rsid w:val="00973945"/>
    <w:rsid w:val="00975816"/>
    <w:rsid w:val="00977F8C"/>
    <w:rsid w:val="00980433"/>
    <w:rsid w:val="0098078C"/>
    <w:rsid w:val="0098129A"/>
    <w:rsid w:val="00981E67"/>
    <w:rsid w:val="009837FC"/>
    <w:rsid w:val="009842BE"/>
    <w:rsid w:val="009849D9"/>
    <w:rsid w:val="00985567"/>
    <w:rsid w:val="00987507"/>
    <w:rsid w:val="0098782F"/>
    <w:rsid w:val="00987FFC"/>
    <w:rsid w:val="00990F2A"/>
    <w:rsid w:val="00992A29"/>
    <w:rsid w:val="0099350A"/>
    <w:rsid w:val="00993986"/>
    <w:rsid w:val="00994FCC"/>
    <w:rsid w:val="00996B1F"/>
    <w:rsid w:val="009976A5"/>
    <w:rsid w:val="009A09E8"/>
    <w:rsid w:val="009A2EF2"/>
    <w:rsid w:val="009A5FA4"/>
    <w:rsid w:val="009A60B9"/>
    <w:rsid w:val="009A74E4"/>
    <w:rsid w:val="009B22F4"/>
    <w:rsid w:val="009B2B03"/>
    <w:rsid w:val="009B33BB"/>
    <w:rsid w:val="009B39A3"/>
    <w:rsid w:val="009B418A"/>
    <w:rsid w:val="009B443A"/>
    <w:rsid w:val="009B6344"/>
    <w:rsid w:val="009B6FE5"/>
    <w:rsid w:val="009C0F61"/>
    <w:rsid w:val="009C2FCF"/>
    <w:rsid w:val="009C3EA1"/>
    <w:rsid w:val="009C4174"/>
    <w:rsid w:val="009C52DE"/>
    <w:rsid w:val="009C606F"/>
    <w:rsid w:val="009C6F32"/>
    <w:rsid w:val="009C713F"/>
    <w:rsid w:val="009C78C9"/>
    <w:rsid w:val="009D0B9F"/>
    <w:rsid w:val="009D3B96"/>
    <w:rsid w:val="009D523B"/>
    <w:rsid w:val="009D5266"/>
    <w:rsid w:val="009D5C8D"/>
    <w:rsid w:val="009D5CBC"/>
    <w:rsid w:val="009D682E"/>
    <w:rsid w:val="009D6DE5"/>
    <w:rsid w:val="009D7105"/>
    <w:rsid w:val="009E07D0"/>
    <w:rsid w:val="009E0B08"/>
    <w:rsid w:val="009E1C0A"/>
    <w:rsid w:val="009E224C"/>
    <w:rsid w:val="009E3445"/>
    <w:rsid w:val="009E4BA2"/>
    <w:rsid w:val="009E5B57"/>
    <w:rsid w:val="009E6343"/>
    <w:rsid w:val="009F08AE"/>
    <w:rsid w:val="009F0B7C"/>
    <w:rsid w:val="009F15CB"/>
    <w:rsid w:val="009F2137"/>
    <w:rsid w:val="009F4758"/>
    <w:rsid w:val="009F4ED5"/>
    <w:rsid w:val="009F5FA2"/>
    <w:rsid w:val="009F6678"/>
    <w:rsid w:val="009F7C34"/>
    <w:rsid w:val="009F7ECB"/>
    <w:rsid w:val="009F7FA4"/>
    <w:rsid w:val="00A00B1A"/>
    <w:rsid w:val="00A01697"/>
    <w:rsid w:val="00A0195A"/>
    <w:rsid w:val="00A03588"/>
    <w:rsid w:val="00A038BD"/>
    <w:rsid w:val="00A0466A"/>
    <w:rsid w:val="00A04A49"/>
    <w:rsid w:val="00A05D13"/>
    <w:rsid w:val="00A06034"/>
    <w:rsid w:val="00A10D65"/>
    <w:rsid w:val="00A124C9"/>
    <w:rsid w:val="00A125FD"/>
    <w:rsid w:val="00A128C0"/>
    <w:rsid w:val="00A12CC6"/>
    <w:rsid w:val="00A12CD5"/>
    <w:rsid w:val="00A13F93"/>
    <w:rsid w:val="00A14463"/>
    <w:rsid w:val="00A15285"/>
    <w:rsid w:val="00A15DC2"/>
    <w:rsid w:val="00A16E73"/>
    <w:rsid w:val="00A17595"/>
    <w:rsid w:val="00A17E43"/>
    <w:rsid w:val="00A17EE2"/>
    <w:rsid w:val="00A20342"/>
    <w:rsid w:val="00A21887"/>
    <w:rsid w:val="00A21AEC"/>
    <w:rsid w:val="00A22505"/>
    <w:rsid w:val="00A22FE7"/>
    <w:rsid w:val="00A23153"/>
    <w:rsid w:val="00A23DC3"/>
    <w:rsid w:val="00A256D3"/>
    <w:rsid w:val="00A25BC3"/>
    <w:rsid w:val="00A27E00"/>
    <w:rsid w:val="00A306E6"/>
    <w:rsid w:val="00A30F1C"/>
    <w:rsid w:val="00A313F7"/>
    <w:rsid w:val="00A33541"/>
    <w:rsid w:val="00A33903"/>
    <w:rsid w:val="00A34191"/>
    <w:rsid w:val="00A36A99"/>
    <w:rsid w:val="00A36B40"/>
    <w:rsid w:val="00A37386"/>
    <w:rsid w:val="00A40B66"/>
    <w:rsid w:val="00A4194B"/>
    <w:rsid w:val="00A42606"/>
    <w:rsid w:val="00A444F7"/>
    <w:rsid w:val="00A45373"/>
    <w:rsid w:val="00A457A9"/>
    <w:rsid w:val="00A4655C"/>
    <w:rsid w:val="00A46B8C"/>
    <w:rsid w:val="00A4780C"/>
    <w:rsid w:val="00A517D8"/>
    <w:rsid w:val="00A51A46"/>
    <w:rsid w:val="00A523FE"/>
    <w:rsid w:val="00A534DA"/>
    <w:rsid w:val="00A53A41"/>
    <w:rsid w:val="00A5447E"/>
    <w:rsid w:val="00A5509B"/>
    <w:rsid w:val="00A55401"/>
    <w:rsid w:val="00A5570C"/>
    <w:rsid w:val="00A56A20"/>
    <w:rsid w:val="00A57C99"/>
    <w:rsid w:val="00A57FDF"/>
    <w:rsid w:val="00A612B2"/>
    <w:rsid w:val="00A613CB"/>
    <w:rsid w:val="00A616C8"/>
    <w:rsid w:val="00A62491"/>
    <w:rsid w:val="00A62EA5"/>
    <w:rsid w:val="00A641C1"/>
    <w:rsid w:val="00A662C2"/>
    <w:rsid w:val="00A66846"/>
    <w:rsid w:val="00A673A9"/>
    <w:rsid w:val="00A717B3"/>
    <w:rsid w:val="00A721E5"/>
    <w:rsid w:val="00A73193"/>
    <w:rsid w:val="00A73D4B"/>
    <w:rsid w:val="00A75473"/>
    <w:rsid w:val="00A76F04"/>
    <w:rsid w:val="00A80076"/>
    <w:rsid w:val="00A80809"/>
    <w:rsid w:val="00A80A04"/>
    <w:rsid w:val="00A81000"/>
    <w:rsid w:val="00A841E2"/>
    <w:rsid w:val="00A84C8E"/>
    <w:rsid w:val="00A85023"/>
    <w:rsid w:val="00A85DEF"/>
    <w:rsid w:val="00A86068"/>
    <w:rsid w:val="00A8640C"/>
    <w:rsid w:val="00A86D5C"/>
    <w:rsid w:val="00A8707E"/>
    <w:rsid w:val="00A91AB2"/>
    <w:rsid w:val="00A93D9F"/>
    <w:rsid w:val="00A94336"/>
    <w:rsid w:val="00A94FE7"/>
    <w:rsid w:val="00A9508D"/>
    <w:rsid w:val="00A959AE"/>
    <w:rsid w:val="00A9602F"/>
    <w:rsid w:val="00A968A2"/>
    <w:rsid w:val="00A96BA3"/>
    <w:rsid w:val="00A97DCB"/>
    <w:rsid w:val="00A97FEC"/>
    <w:rsid w:val="00AA00EB"/>
    <w:rsid w:val="00AA15D4"/>
    <w:rsid w:val="00AA2691"/>
    <w:rsid w:val="00AA3F50"/>
    <w:rsid w:val="00AA4591"/>
    <w:rsid w:val="00AA5E44"/>
    <w:rsid w:val="00AA6D08"/>
    <w:rsid w:val="00AB0424"/>
    <w:rsid w:val="00AB1CD8"/>
    <w:rsid w:val="00AB3523"/>
    <w:rsid w:val="00AB4D4D"/>
    <w:rsid w:val="00AB4E67"/>
    <w:rsid w:val="00AB54D5"/>
    <w:rsid w:val="00AB68E8"/>
    <w:rsid w:val="00AB7150"/>
    <w:rsid w:val="00AC01C2"/>
    <w:rsid w:val="00AC0391"/>
    <w:rsid w:val="00AC3D0E"/>
    <w:rsid w:val="00AC3F95"/>
    <w:rsid w:val="00AC4303"/>
    <w:rsid w:val="00AC44FE"/>
    <w:rsid w:val="00AC49E8"/>
    <w:rsid w:val="00AC515F"/>
    <w:rsid w:val="00AC570D"/>
    <w:rsid w:val="00AC6E72"/>
    <w:rsid w:val="00AC79C4"/>
    <w:rsid w:val="00AC7CB7"/>
    <w:rsid w:val="00AD1ABB"/>
    <w:rsid w:val="00AD20BD"/>
    <w:rsid w:val="00AD314E"/>
    <w:rsid w:val="00AD4931"/>
    <w:rsid w:val="00AD4EEF"/>
    <w:rsid w:val="00AD5028"/>
    <w:rsid w:val="00AD760E"/>
    <w:rsid w:val="00AE04F4"/>
    <w:rsid w:val="00AE0E1F"/>
    <w:rsid w:val="00AE0F8C"/>
    <w:rsid w:val="00AE18E5"/>
    <w:rsid w:val="00AE1BE8"/>
    <w:rsid w:val="00AE2014"/>
    <w:rsid w:val="00AE2751"/>
    <w:rsid w:val="00AE2C7D"/>
    <w:rsid w:val="00AE463B"/>
    <w:rsid w:val="00AE746D"/>
    <w:rsid w:val="00AE7C2B"/>
    <w:rsid w:val="00AF0328"/>
    <w:rsid w:val="00AF0F1C"/>
    <w:rsid w:val="00AF17FE"/>
    <w:rsid w:val="00AF3894"/>
    <w:rsid w:val="00AF3B6C"/>
    <w:rsid w:val="00AF41E7"/>
    <w:rsid w:val="00AF47F6"/>
    <w:rsid w:val="00AF6679"/>
    <w:rsid w:val="00AF6AE7"/>
    <w:rsid w:val="00AF6B7F"/>
    <w:rsid w:val="00AF75E2"/>
    <w:rsid w:val="00AF7E35"/>
    <w:rsid w:val="00B00D3C"/>
    <w:rsid w:val="00B0124F"/>
    <w:rsid w:val="00B01E87"/>
    <w:rsid w:val="00B03466"/>
    <w:rsid w:val="00B041C3"/>
    <w:rsid w:val="00B041E6"/>
    <w:rsid w:val="00B0502A"/>
    <w:rsid w:val="00B05FD9"/>
    <w:rsid w:val="00B077C7"/>
    <w:rsid w:val="00B0797D"/>
    <w:rsid w:val="00B11142"/>
    <w:rsid w:val="00B119B5"/>
    <w:rsid w:val="00B13FEE"/>
    <w:rsid w:val="00B14DB7"/>
    <w:rsid w:val="00B16626"/>
    <w:rsid w:val="00B166D4"/>
    <w:rsid w:val="00B16921"/>
    <w:rsid w:val="00B16E4F"/>
    <w:rsid w:val="00B171CF"/>
    <w:rsid w:val="00B1752C"/>
    <w:rsid w:val="00B1789B"/>
    <w:rsid w:val="00B20903"/>
    <w:rsid w:val="00B217E6"/>
    <w:rsid w:val="00B2211B"/>
    <w:rsid w:val="00B22C58"/>
    <w:rsid w:val="00B2686E"/>
    <w:rsid w:val="00B271B9"/>
    <w:rsid w:val="00B27424"/>
    <w:rsid w:val="00B2777E"/>
    <w:rsid w:val="00B2778F"/>
    <w:rsid w:val="00B2779B"/>
    <w:rsid w:val="00B30151"/>
    <w:rsid w:val="00B30A06"/>
    <w:rsid w:val="00B32271"/>
    <w:rsid w:val="00B32BF4"/>
    <w:rsid w:val="00B34C95"/>
    <w:rsid w:val="00B352AB"/>
    <w:rsid w:val="00B356DD"/>
    <w:rsid w:val="00B36178"/>
    <w:rsid w:val="00B36673"/>
    <w:rsid w:val="00B41742"/>
    <w:rsid w:val="00B41942"/>
    <w:rsid w:val="00B41A10"/>
    <w:rsid w:val="00B426B0"/>
    <w:rsid w:val="00B436D0"/>
    <w:rsid w:val="00B472A9"/>
    <w:rsid w:val="00B47D67"/>
    <w:rsid w:val="00B47D6F"/>
    <w:rsid w:val="00B50CF5"/>
    <w:rsid w:val="00B51B25"/>
    <w:rsid w:val="00B52E16"/>
    <w:rsid w:val="00B5403A"/>
    <w:rsid w:val="00B558CD"/>
    <w:rsid w:val="00B5596F"/>
    <w:rsid w:val="00B578A4"/>
    <w:rsid w:val="00B60940"/>
    <w:rsid w:val="00B6096F"/>
    <w:rsid w:val="00B620E0"/>
    <w:rsid w:val="00B6237A"/>
    <w:rsid w:val="00B64837"/>
    <w:rsid w:val="00B650AD"/>
    <w:rsid w:val="00B658D9"/>
    <w:rsid w:val="00B6637E"/>
    <w:rsid w:val="00B70F4E"/>
    <w:rsid w:val="00B712ED"/>
    <w:rsid w:val="00B71CB4"/>
    <w:rsid w:val="00B71DAA"/>
    <w:rsid w:val="00B71E06"/>
    <w:rsid w:val="00B7223D"/>
    <w:rsid w:val="00B72A0F"/>
    <w:rsid w:val="00B73362"/>
    <w:rsid w:val="00B7454D"/>
    <w:rsid w:val="00B74DAC"/>
    <w:rsid w:val="00B76D20"/>
    <w:rsid w:val="00B7755F"/>
    <w:rsid w:val="00B80674"/>
    <w:rsid w:val="00B81F7E"/>
    <w:rsid w:val="00B8266D"/>
    <w:rsid w:val="00B83373"/>
    <w:rsid w:val="00B8401C"/>
    <w:rsid w:val="00B84603"/>
    <w:rsid w:val="00B8511D"/>
    <w:rsid w:val="00B85478"/>
    <w:rsid w:val="00B85FF2"/>
    <w:rsid w:val="00B9016B"/>
    <w:rsid w:val="00B91788"/>
    <w:rsid w:val="00B91C12"/>
    <w:rsid w:val="00B922C5"/>
    <w:rsid w:val="00B92CB4"/>
    <w:rsid w:val="00B935DB"/>
    <w:rsid w:val="00B95142"/>
    <w:rsid w:val="00B95453"/>
    <w:rsid w:val="00B95BF6"/>
    <w:rsid w:val="00B96087"/>
    <w:rsid w:val="00BA2909"/>
    <w:rsid w:val="00BA2C1B"/>
    <w:rsid w:val="00BA33D9"/>
    <w:rsid w:val="00BA3747"/>
    <w:rsid w:val="00BA389E"/>
    <w:rsid w:val="00BA523D"/>
    <w:rsid w:val="00BA6515"/>
    <w:rsid w:val="00BA6D93"/>
    <w:rsid w:val="00BA7D86"/>
    <w:rsid w:val="00BA7DD3"/>
    <w:rsid w:val="00BB2173"/>
    <w:rsid w:val="00BB316B"/>
    <w:rsid w:val="00BB37C4"/>
    <w:rsid w:val="00BB4085"/>
    <w:rsid w:val="00BB4D8D"/>
    <w:rsid w:val="00BB54B1"/>
    <w:rsid w:val="00BB6071"/>
    <w:rsid w:val="00BB77D8"/>
    <w:rsid w:val="00BC3E91"/>
    <w:rsid w:val="00BC5CDC"/>
    <w:rsid w:val="00BC734E"/>
    <w:rsid w:val="00BD0520"/>
    <w:rsid w:val="00BD3955"/>
    <w:rsid w:val="00BD476D"/>
    <w:rsid w:val="00BD53BD"/>
    <w:rsid w:val="00BE101A"/>
    <w:rsid w:val="00BE135C"/>
    <w:rsid w:val="00BE1E62"/>
    <w:rsid w:val="00BE249D"/>
    <w:rsid w:val="00BE36D1"/>
    <w:rsid w:val="00BE3A75"/>
    <w:rsid w:val="00BE3D81"/>
    <w:rsid w:val="00BE4154"/>
    <w:rsid w:val="00BE4AE1"/>
    <w:rsid w:val="00BE790F"/>
    <w:rsid w:val="00BF1D97"/>
    <w:rsid w:val="00BF2356"/>
    <w:rsid w:val="00BF767D"/>
    <w:rsid w:val="00BF7E49"/>
    <w:rsid w:val="00C011FC"/>
    <w:rsid w:val="00C02D9A"/>
    <w:rsid w:val="00C03256"/>
    <w:rsid w:val="00C03785"/>
    <w:rsid w:val="00C07A10"/>
    <w:rsid w:val="00C10A6F"/>
    <w:rsid w:val="00C1172C"/>
    <w:rsid w:val="00C14070"/>
    <w:rsid w:val="00C14811"/>
    <w:rsid w:val="00C1516B"/>
    <w:rsid w:val="00C16F5E"/>
    <w:rsid w:val="00C2023E"/>
    <w:rsid w:val="00C216C9"/>
    <w:rsid w:val="00C22DE9"/>
    <w:rsid w:val="00C23DE3"/>
    <w:rsid w:val="00C26154"/>
    <w:rsid w:val="00C2617B"/>
    <w:rsid w:val="00C261A9"/>
    <w:rsid w:val="00C2636F"/>
    <w:rsid w:val="00C30180"/>
    <w:rsid w:val="00C301D9"/>
    <w:rsid w:val="00C305EE"/>
    <w:rsid w:val="00C321EB"/>
    <w:rsid w:val="00C32317"/>
    <w:rsid w:val="00C32D0E"/>
    <w:rsid w:val="00C331FA"/>
    <w:rsid w:val="00C3498D"/>
    <w:rsid w:val="00C351D8"/>
    <w:rsid w:val="00C35BD6"/>
    <w:rsid w:val="00C375B3"/>
    <w:rsid w:val="00C430CA"/>
    <w:rsid w:val="00C44276"/>
    <w:rsid w:val="00C5004B"/>
    <w:rsid w:val="00C50F85"/>
    <w:rsid w:val="00C510BF"/>
    <w:rsid w:val="00C512CB"/>
    <w:rsid w:val="00C51E28"/>
    <w:rsid w:val="00C521B9"/>
    <w:rsid w:val="00C52EB5"/>
    <w:rsid w:val="00C557A9"/>
    <w:rsid w:val="00C5597E"/>
    <w:rsid w:val="00C56125"/>
    <w:rsid w:val="00C566DE"/>
    <w:rsid w:val="00C60B34"/>
    <w:rsid w:val="00C60F22"/>
    <w:rsid w:val="00C62505"/>
    <w:rsid w:val="00C6316F"/>
    <w:rsid w:val="00C634BD"/>
    <w:rsid w:val="00C63D23"/>
    <w:rsid w:val="00C643CA"/>
    <w:rsid w:val="00C65D11"/>
    <w:rsid w:val="00C665C6"/>
    <w:rsid w:val="00C678B5"/>
    <w:rsid w:val="00C67E17"/>
    <w:rsid w:val="00C70BE9"/>
    <w:rsid w:val="00C710A4"/>
    <w:rsid w:val="00C712FC"/>
    <w:rsid w:val="00C71C5C"/>
    <w:rsid w:val="00C71F6F"/>
    <w:rsid w:val="00C72913"/>
    <w:rsid w:val="00C72A62"/>
    <w:rsid w:val="00C72ECD"/>
    <w:rsid w:val="00C74057"/>
    <w:rsid w:val="00C74FD5"/>
    <w:rsid w:val="00C76981"/>
    <w:rsid w:val="00C772E1"/>
    <w:rsid w:val="00C77CAB"/>
    <w:rsid w:val="00C80682"/>
    <w:rsid w:val="00C80B35"/>
    <w:rsid w:val="00C81190"/>
    <w:rsid w:val="00C819CF"/>
    <w:rsid w:val="00C85870"/>
    <w:rsid w:val="00C85A9E"/>
    <w:rsid w:val="00C85B80"/>
    <w:rsid w:val="00C87194"/>
    <w:rsid w:val="00C878E1"/>
    <w:rsid w:val="00C87B1B"/>
    <w:rsid w:val="00C9036F"/>
    <w:rsid w:val="00C908D7"/>
    <w:rsid w:val="00C90A04"/>
    <w:rsid w:val="00C90EB7"/>
    <w:rsid w:val="00C90EC4"/>
    <w:rsid w:val="00C90F30"/>
    <w:rsid w:val="00C925C1"/>
    <w:rsid w:val="00C92A42"/>
    <w:rsid w:val="00C92EBA"/>
    <w:rsid w:val="00C9418C"/>
    <w:rsid w:val="00C9429E"/>
    <w:rsid w:val="00C94A9F"/>
    <w:rsid w:val="00C95CF4"/>
    <w:rsid w:val="00C9651B"/>
    <w:rsid w:val="00C96611"/>
    <w:rsid w:val="00C97B79"/>
    <w:rsid w:val="00CA066E"/>
    <w:rsid w:val="00CA20FB"/>
    <w:rsid w:val="00CA2F43"/>
    <w:rsid w:val="00CA4CB5"/>
    <w:rsid w:val="00CA5FC5"/>
    <w:rsid w:val="00CA74D5"/>
    <w:rsid w:val="00CA7A4E"/>
    <w:rsid w:val="00CA7A88"/>
    <w:rsid w:val="00CB0756"/>
    <w:rsid w:val="00CB0D14"/>
    <w:rsid w:val="00CB0E93"/>
    <w:rsid w:val="00CB1CEB"/>
    <w:rsid w:val="00CB2B2A"/>
    <w:rsid w:val="00CB39CD"/>
    <w:rsid w:val="00CB52F6"/>
    <w:rsid w:val="00CB6F6E"/>
    <w:rsid w:val="00CB71B2"/>
    <w:rsid w:val="00CB7F6F"/>
    <w:rsid w:val="00CC1B5F"/>
    <w:rsid w:val="00CC3694"/>
    <w:rsid w:val="00CC4B75"/>
    <w:rsid w:val="00CC59C1"/>
    <w:rsid w:val="00CC763A"/>
    <w:rsid w:val="00CD0F73"/>
    <w:rsid w:val="00CD13B5"/>
    <w:rsid w:val="00CD235D"/>
    <w:rsid w:val="00CD3D92"/>
    <w:rsid w:val="00CD3FC1"/>
    <w:rsid w:val="00CD468C"/>
    <w:rsid w:val="00CD4F74"/>
    <w:rsid w:val="00CD5953"/>
    <w:rsid w:val="00CD5ABC"/>
    <w:rsid w:val="00CD5ED6"/>
    <w:rsid w:val="00CD5F35"/>
    <w:rsid w:val="00CD6652"/>
    <w:rsid w:val="00CD6D66"/>
    <w:rsid w:val="00CD7377"/>
    <w:rsid w:val="00CE00C1"/>
    <w:rsid w:val="00CE0248"/>
    <w:rsid w:val="00CE2C30"/>
    <w:rsid w:val="00CE30E3"/>
    <w:rsid w:val="00CE5C41"/>
    <w:rsid w:val="00CE776F"/>
    <w:rsid w:val="00CF045C"/>
    <w:rsid w:val="00CF0B59"/>
    <w:rsid w:val="00CF0C5F"/>
    <w:rsid w:val="00CF0EFA"/>
    <w:rsid w:val="00CF1A40"/>
    <w:rsid w:val="00CF2E3B"/>
    <w:rsid w:val="00CF3C34"/>
    <w:rsid w:val="00CF3D9E"/>
    <w:rsid w:val="00CF530E"/>
    <w:rsid w:val="00CF5414"/>
    <w:rsid w:val="00CF70A0"/>
    <w:rsid w:val="00D0048F"/>
    <w:rsid w:val="00D011B3"/>
    <w:rsid w:val="00D019A5"/>
    <w:rsid w:val="00D02E80"/>
    <w:rsid w:val="00D06C5D"/>
    <w:rsid w:val="00D100F4"/>
    <w:rsid w:val="00D115C7"/>
    <w:rsid w:val="00D1269E"/>
    <w:rsid w:val="00D12A9B"/>
    <w:rsid w:val="00D13941"/>
    <w:rsid w:val="00D1543C"/>
    <w:rsid w:val="00D15515"/>
    <w:rsid w:val="00D15516"/>
    <w:rsid w:val="00D15697"/>
    <w:rsid w:val="00D15A19"/>
    <w:rsid w:val="00D167D6"/>
    <w:rsid w:val="00D16A05"/>
    <w:rsid w:val="00D16CC2"/>
    <w:rsid w:val="00D170F4"/>
    <w:rsid w:val="00D20911"/>
    <w:rsid w:val="00D21EFB"/>
    <w:rsid w:val="00D221DD"/>
    <w:rsid w:val="00D22294"/>
    <w:rsid w:val="00D229B5"/>
    <w:rsid w:val="00D2374A"/>
    <w:rsid w:val="00D2608E"/>
    <w:rsid w:val="00D265F5"/>
    <w:rsid w:val="00D26D9A"/>
    <w:rsid w:val="00D27838"/>
    <w:rsid w:val="00D31051"/>
    <w:rsid w:val="00D31473"/>
    <w:rsid w:val="00D31670"/>
    <w:rsid w:val="00D3281A"/>
    <w:rsid w:val="00D33B3D"/>
    <w:rsid w:val="00D33F17"/>
    <w:rsid w:val="00D34BCE"/>
    <w:rsid w:val="00D40794"/>
    <w:rsid w:val="00D40D72"/>
    <w:rsid w:val="00D41757"/>
    <w:rsid w:val="00D42D3D"/>
    <w:rsid w:val="00D44B7E"/>
    <w:rsid w:val="00D45B94"/>
    <w:rsid w:val="00D45BD7"/>
    <w:rsid w:val="00D46200"/>
    <w:rsid w:val="00D470B8"/>
    <w:rsid w:val="00D476B3"/>
    <w:rsid w:val="00D5010C"/>
    <w:rsid w:val="00D52372"/>
    <w:rsid w:val="00D552CD"/>
    <w:rsid w:val="00D5580C"/>
    <w:rsid w:val="00D563CB"/>
    <w:rsid w:val="00D566C8"/>
    <w:rsid w:val="00D60007"/>
    <w:rsid w:val="00D606C7"/>
    <w:rsid w:val="00D611B2"/>
    <w:rsid w:val="00D615B2"/>
    <w:rsid w:val="00D64035"/>
    <w:rsid w:val="00D647BF"/>
    <w:rsid w:val="00D64823"/>
    <w:rsid w:val="00D65BD7"/>
    <w:rsid w:val="00D66031"/>
    <w:rsid w:val="00D66662"/>
    <w:rsid w:val="00D67134"/>
    <w:rsid w:val="00D70258"/>
    <w:rsid w:val="00D70D6C"/>
    <w:rsid w:val="00D70DB5"/>
    <w:rsid w:val="00D71309"/>
    <w:rsid w:val="00D71FC4"/>
    <w:rsid w:val="00D7216B"/>
    <w:rsid w:val="00D7302B"/>
    <w:rsid w:val="00D7397B"/>
    <w:rsid w:val="00D7479A"/>
    <w:rsid w:val="00D76779"/>
    <w:rsid w:val="00D77496"/>
    <w:rsid w:val="00D777AB"/>
    <w:rsid w:val="00D80521"/>
    <w:rsid w:val="00D80A3A"/>
    <w:rsid w:val="00D80FC5"/>
    <w:rsid w:val="00D81BEC"/>
    <w:rsid w:val="00D81DE1"/>
    <w:rsid w:val="00D824E0"/>
    <w:rsid w:val="00D82D68"/>
    <w:rsid w:val="00D82DF0"/>
    <w:rsid w:val="00D83345"/>
    <w:rsid w:val="00D86035"/>
    <w:rsid w:val="00D8677F"/>
    <w:rsid w:val="00D86BB9"/>
    <w:rsid w:val="00D903EB"/>
    <w:rsid w:val="00D90E85"/>
    <w:rsid w:val="00D92BEC"/>
    <w:rsid w:val="00D92EAB"/>
    <w:rsid w:val="00D93E29"/>
    <w:rsid w:val="00D944D6"/>
    <w:rsid w:val="00D94B53"/>
    <w:rsid w:val="00D94D48"/>
    <w:rsid w:val="00D95CAF"/>
    <w:rsid w:val="00D96259"/>
    <w:rsid w:val="00D96864"/>
    <w:rsid w:val="00D96FE8"/>
    <w:rsid w:val="00D9703E"/>
    <w:rsid w:val="00D97C9A"/>
    <w:rsid w:val="00D97D49"/>
    <w:rsid w:val="00DA02D6"/>
    <w:rsid w:val="00DA122B"/>
    <w:rsid w:val="00DA1A4D"/>
    <w:rsid w:val="00DA352C"/>
    <w:rsid w:val="00DA3654"/>
    <w:rsid w:val="00DA5E02"/>
    <w:rsid w:val="00DA64B2"/>
    <w:rsid w:val="00DB006F"/>
    <w:rsid w:val="00DB4851"/>
    <w:rsid w:val="00DB5038"/>
    <w:rsid w:val="00DB55FE"/>
    <w:rsid w:val="00DB570B"/>
    <w:rsid w:val="00DB66D1"/>
    <w:rsid w:val="00DB6AA2"/>
    <w:rsid w:val="00DB7980"/>
    <w:rsid w:val="00DC0E1E"/>
    <w:rsid w:val="00DC0EF4"/>
    <w:rsid w:val="00DC11B1"/>
    <w:rsid w:val="00DC22A8"/>
    <w:rsid w:val="00DC3EB4"/>
    <w:rsid w:val="00DC7BBB"/>
    <w:rsid w:val="00DD09DD"/>
    <w:rsid w:val="00DD0A08"/>
    <w:rsid w:val="00DD0F23"/>
    <w:rsid w:val="00DD601E"/>
    <w:rsid w:val="00DD6140"/>
    <w:rsid w:val="00DD71EC"/>
    <w:rsid w:val="00DE3559"/>
    <w:rsid w:val="00DE6255"/>
    <w:rsid w:val="00DE7A51"/>
    <w:rsid w:val="00DF2095"/>
    <w:rsid w:val="00DF2132"/>
    <w:rsid w:val="00DF3BBC"/>
    <w:rsid w:val="00DF449F"/>
    <w:rsid w:val="00E02261"/>
    <w:rsid w:val="00E03078"/>
    <w:rsid w:val="00E03260"/>
    <w:rsid w:val="00E034E2"/>
    <w:rsid w:val="00E034FD"/>
    <w:rsid w:val="00E039E6"/>
    <w:rsid w:val="00E03DCD"/>
    <w:rsid w:val="00E03FA0"/>
    <w:rsid w:val="00E045BD"/>
    <w:rsid w:val="00E07678"/>
    <w:rsid w:val="00E07911"/>
    <w:rsid w:val="00E079BA"/>
    <w:rsid w:val="00E100FF"/>
    <w:rsid w:val="00E10175"/>
    <w:rsid w:val="00E10604"/>
    <w:rsid w:val="00E112E6"/>
    <w:rsid w:val="00E1147D"/>
    <w:rsid w:val="00E11FEC"/>
    <w:rsid w:val="00E120EC"/>
    <w:rsid w:val="00E14747"/>
    <w:rsid w:val="00E14A55"/>
    <w:rsid w:val="00E14D63"/>
    <w:rsid w:val="00E15E1E"/>
    <w:rsid w:val="00E1683C"/>
    <w:rsid w:val="00E16CA0"/>
    <w:rsid w:val="00E20060"/>
    <w:rsid w:val="00E20226"/>
    <w:rsid w:val="00E212D2"/>
    <w:rsid w:val="00E22E8B"/>
    <w:rsid w:val="00E24039"/>
    <w:rsid w:val="00E2447A"/>
    <w:rsid w:val="00E24E49"/>
    <w:rsid w:val="00E25176"/>
    <w:rsid w:val="00E26387"/>
    <w:rsid w:val="00E27B17"/>
    <w:rsid w:val="00E30437"/>
    <w:rsid w:val="00E306AC"/>
    <w:rsid w:val="00E30CF9"/>
    <w:rsid w:val="00E32A2B"/>
    <w:rsid w:val="00E330C9"/>
    <w:rsid w:val="00E33B0F"/>
    <w:rsid w:val="00E34650"/>
    <w:rsid w:val="00E36568"/>
    <w:rsid w:val="00E36729"/>
    <w:rsid w:val="00E3699E"/>
    <w:rsid w:val="00E36A14"/>
    <w:rsid w:val="00E36C1D"/>
    <w:rsid w:val="00E37D5D"/>
    <w:rsid w:val="00E40691"/>
    <w:rsid w:val="00E4093A"/>
    <w:rsid w:val="00E40998"/>
    <w:rsid w:val="00E423FA"/>
    <w:rsid w:val="00E43213"/>
    <w:rsid w:val="00E45671"/>
    <w:rsid w:val="00E45FCF"/>
    <w:rsid w:val="00E468FC"/>
    <w:rsid w:val="00E46BBC"/>
    <w:rsid w:val="00E479DD"/>
    <w:rsid w:val="00E523D5"/>
    <w:rsid w:val="00E52FCD"/>
    <w:rsid w:val="00E53D8D"/>
    <w:rsid w:val="00E55E6E"/>
    <w:rsid w:val="00E56337"/>
    <w:rsid w:val="00E6076F"/>
    <w:rsid w:val="00E60D03"/>
    <w:rsid w:val="00E6147B"/>
    <w:rsid w:val="00E61856"/>
    <w:rsid w:val="00E62BF8"/>
    <w:rsid w:val="00E632CB"/>
    <w:rsid w:val="00E63B9F"/>
    <w:rsid w:val="00E65D10"/>
    <w:rsid w:val="00E66AFD"/>
    <w:rsid w:val="00E670FD"/>
    <w:rsid w:val="00E67CCA"/>
    <w:rsid w:val="00E7071F"/>
    <w:rsid w:val="00E72DD1"/>
    <w:rsid w:val="00E73A3C"/>
    <w:rsid w:val="00E75149"/>
    <w:rsid w:val="00E770C6"/>
    <w:rsid w:val="00E77BAA"/>
    <w:rsid w:val="00E803A2"/>
    <w:rsid w:val="00E809A5"/>
    <w:rsid w:val="00E81809"/>
    <w:rsid w:val="00E82E6C"/>
    <w:rsid w:val="00E85DE5"/>
    <w:rsid w:val="00E86944"/>
    <w:rsid w:val="00E902D4"/>
    <w:rsid w:val="00E903C5"/>
    <w:rsid w:val="00E9121E"/>
    <w:rsid w:val="00E91E0F"/>
    <w:rsid w:val="00E9253F"/>
    <w:rsid w:val="00E928DE"/>
    <w:rsid w:val="00E93087"/>
    <w:rsid w:val="00E930FA"/>
    <w:rsid w:val="00E935EF"/>
    <w:rsid w:val="00E944B2"/>
    <w:rsid w:val="00E94532"/>
    <w:rsid w:val="00E96907"/>
    <w:rsid w:val="00E96B79"/>
    <w:rsid w:val="00E96CA6"/>
    <w:rsid w:val="00E970EB"/>
    <w:rsid w:val="00EA1053"/>
    <w:rsid w:val="00EA1C5E"/>
    <w:rsid w:val="00EA217D"/>
    <w:rsid w:val="00EA348E"/>
    <w:rsid w:val="00EA3969"/>
    <w:rsid w:val="00EA410A"/>
    <w:rsid w:val="00EA4873"/>
    <w:rsid w:val="00EA5F99"/>
    <w:rsid w:val="00EA6266"/>
    <w:rsid w:val="00EA6744"/>
    <w:rsid w:val="00EA6F6D"/>
    <w:rsid w:val="00EA715B"/>
    <w:rsid w:val="00EA7182"/>
    <w:rsid w:val="00EA7A14"/>
    <w:rsid w:val="00EB0988"/>
    <w:rsid w:val="00EB1D96"/>
    <w:rsid w:val="00EB340C"/>
    <w:rsid w:val="00EB3429"/>
    <w:rsid w:val="00EB37BC"/>
    <w:rsid w:val="00EB3D12"/>
    <w:rsid w:val="00EB42C1"/>
    <w:rsid w:val="00EB4D7B"/>
    <w:rsid w:val="00EB4D81"/>
    <w:rsid w:val="00EB5F56"/>
    <w:rsid w:val="00EB63D4"/>
    <w:rsid w:val="00EB63F1"/>
    <w:rsid w:val="00EB7288"/>
    <w:rsid w:val="00EC21A1"/>
    <w:rsid w:val="00EC2A6E"/>
    <w:rsid w:val="00EC30BF"/>
    <w:rsid w:val="00EC3C71"/>
    <w:rsid w:val="00EC4ABD"/>
    <w:rsid w:val="00EC59ED"/>
    <w:rsid w:val="00EC5EF0"/>
    <w:rsid w:val="00EC683E"/>
    <w:rsid w:val="00EC7338"/>
    <w:rsid w:val="00EC744F"/>
    <w:rsid w:val="00EC7EF1"/>
    <w:rsid w:val="00ED1313"/>
    <w:rsid w:val="00ED41F6"/>
    <w:rsid w:val="00ED4AA5"/>
    <w:rsid w:val="00ED5A72"/>
    <w:rsid w:val="00ED721B"/>
    <w:rsid w:val="00ED78B2"/>
    <w:rsid w:val="00EE02EA"/>
    <w:rsid w:val="00EE15D8"/>
    <w:rsid w:val="00EE2B0B"/>
    <w:rsid w:val="00EE34D0"/>
    <w:rsid w:val="00EE41D3"/>
    <w:rsid w:val="00EE54F4"/>
    <w:rsid w:val="00EE60DC"/>
    <w:rsid w:val="00EE6DF6"/>
    <w:rsid w:val="00EE7F40"/>
    <w:rsid w:val="00EF075D"/>
    <w:rsid w:val="00EF08C5"/>
    <w:rsid w:val="00EF1357"/>
    <w:rsid w:val="00EF2327"/>
    <w:rsid w:val="00EF4AF1"/>
    <w:rsid w:val="00EF4C30"/>
    <w:rsid w:val="00EF6DAF"/>
    <w:rsid w:val="00EF7EF3"/>
    <w:rsid w:val="00F00B1C"/>
    <w:rsid w:val="00F00D09"/>
    <w:rsid w:val="00F010A0"/>
    <w:rsid w:val="00F03F9B"/>
    <w:rsid w:val="00F0420D"/>
    <w:rsid w:val="00F0562C"/>
    <w:rsid w:val="00F058B8"/>
    <w:rsid w:val="00F06A02"/>
    <w:rsid w:val="00F07735"/>
    <w:rsid w:val="00F07B73"/>
    <w:rsid w:val="00F10C0C"/>
    <w:rsid w:val="00F114AF"/>
    <w:rsid w:val="00F11958"/>
    <w:rsid w:val="00F153C7"/>
    <w:rsid w:val="00F157B5"/>
    <w:rsid w:val="00F16755"/>
    <w:rsid w:val="00F16794"/>
    <w:rsid w:val="00F1713D"/>
    <w:rsid w:val="00F176BA"/>
    <w:rsid w:val="00F17EEB"/>
    <w:rsid w:val="00F2018A"/>
    <w:rsid w:val="00F220FB"/>
    <w:rsid w:val="00F23E55"/>
    <w:rsid w:val="00F24E3F"/>
    <w:rsid w:val="00F24F6A"/>
    <w:rsid w:val="00F25A2E"/>
    <w:rsid w:val="00F25A36"/>
    <w:rsid w:val="00F25BC4"/>
    <w:rsid w:val="00F26786"/>
    <w:rsid w:val="00F27393"/>
    <w:rsid w:val="00F31DF7"/>
    <w:rsid w:val="00F320BA"/>
    <w:rsid w:val="00F33EF0"/>
    <w:rsid w:val="00F36790"/>
    <w:rsid w:val="00F368C8"/>
    <w:rsid w:val="00F40F3C"/>
    <w:rsid w:val="00F40FE6"/>
    <w:rsid w:val="00F411D7"/>
    <w:rsid w:val="00F415C6"/>
    <w:rsid w:val="00F41B7C"/>
    <w:rsid w:val="00F4269F"/>
    <w:rsid w:val="00F42855"/>
    <w:rsid w:val="00F4315C"/>
    <w:rsid w:val="00F43589"/>
    <w:rsid w:val="00F447E8"/>
    <w:rsid w:val="00F44DB3"/>
    <w:rsid w:val="00F4554F"/>
    <w:rsid w:val="00F478DB"/>
    <w:rsid w:val="00F4793E"/>
    <w:rsid w:val="00F47DEC"/>
    <w:rsid w:val="00F50B36"/>
    <w:rsid w:val="00F51665"/>
    <w:rsid w:val="00F528D6"/>
    <w:rsid w:val="00F539C6"/>
    <w:rsid w:val="00F54770"/>
    <w:rsid w:val="00F55700"/>
    <w:rsid w:val="00F55C8A"/>
    <w:rsid w:val="00F56A5A"/>
    <w:rsid w:val="00F56CAD"/>
    <w:rsid w:val="00F6158C"/>
    <w:rsid w:val="00F62AFB"/>
    <w:rsid w:val="00F64375"/>
    <w:rsid w:val="00F679F3"/>
    <w:rsid w:val="00F67FBA"/>
    <w:rsid w:val="00F740A4"/>
    <w:rsid w:val="00F74397"/>
    <w:rsid w:val="00F753F2"/>
    <w:rsid w:val="00F7551A"/>
    <w:rsid w:val="00F76EF6"/>
    <w:rsid w:val="00F76F55"/>
    <w:rsid w:val="00F775F1"/>
    <w:rsid w:val="00F80F6E"/>
    <w:rsid w:val="00F81234"/>
    <w:rsid w:val="00F81416"/>
    <w:rsid w:val="00F81D6E"/>
    <w:rsid w:val="00F8375F"/>
    <w:rsid w:val="00F844BC"/>
    <w:rsid w:val="00F847BD"/>
    <w:rsid w:val="00F84E84"/>
    <w:rsid w:val="00F853D5"/>
    <w:rsid w:val="00F87BE7"/>
    <w:rsid w:val="00F90D45"/>
    <w:rsid w:val="00F92585"/>
    <w:rsid w:val="00F93070"/>
    <w:rsid w:val="00F93D87"/>
    <w:rsid w:val="00F93E12"/>
    <w:rsid w:val="00F94127"/>
    <w:rsid w:val="00F95408"/>
    <w:rsid w:val="00F97CD8"/>
    <w:rsid w:val="00FA1018"/>
    <w:rsid w:val="00FA22D8"/>
    <w:rsid w:val="00FA482B"/>
    <w:rsid w:val="00FA4BC7"/>
    <w:rsid w:val="00FA5649"/>
    <w:rsid w:val="00FA6295"/>
    <w:rsid w:val="00FA744C"/>
    <w:rsid w:val="00FB17E9"/>
    <w:rsid w:val="00FB18E1"/>
    <w:rsid w:val="00FB1F1D"/>
    <w:rsid w:val="00FB34BD"/>
    <w:rsid w:val="00FB39AB"/>
    <w:rsid w:val="00FB3A01"/>
    <w:rsid w:val="00FB4950"/>
    <w:rsid w:val="00FB4AE6"/>
    <w:rsid w:val="00FB5435"/>
    <w:rsid w:val="00FB58F0"/>
    <w:rsid w:val="00FB6916"/>
    <w:rsid w:val="00FB70F1"/>
    <w:rsid w:val="00FB7630"/>
    <w:rsid w:val="00FB7B9F"/>
    <w:rsid w:val="00FC0933"/>
    <w:rsid w:val="00FC1926"/>
    <w:rsid w:val="00FC38FE"/>
    <w:rsid w:val="00FC3E52"/>
    <w:rsid w:val="00FC47E9"/>
    <w:rsid w:val="00FC6B96"/>
    <w:rsid w:val="00FD0082"/>
    <w:rsid w:val="00FD0F26"/>
    <w:rsid w:val="00FD1284"/>
    <w:rsid w:val="00FD1C20"/>
    <w:rsid w:val="00FD26A0"/>
    <w:rsid w:val="00FD2E9E"/>
    <w:rsid w:val="00FD30D5"/>
    <w:rsid w:val="00FD3202"/>
    <w:rsid w:val="00FD45BA"/>
    <w:rsid w:val="00FD727F"/>
    <w:rsid w:val="00FD74FA"/>
    <w:rsid w:val="00FD7A2B"/>
    <w:rsid w:val="00FD7D47"/>
    <w:rsid w:val="00FD7E81"/>
    <w:rsid w:val="00FE00A7"/>
    <w:rsid w:val="00FE0B6A"/>
    <w:rsid w:val="00FE30C5"/>
    <w:rsid w:val="00FE3C9F"/>
    <w:rsid w:val="00FE43B9"/>
    <w:rsid w:val="00FE47E8"/>
    <w:rsid w:val="00FE5399"/>
    <w:rsid w:val="00FE5B34"/>
    <w:rsid w:val="00FE641C"/>
    <w:rsid w:val="00FF15E9"/>
    <w:rsid w:val="00FF289A"/>
    <w:rsid w:val="00FF2C6B"/>
    <w:rsid w:val="00FF32DB"/>
    <w:rsid w:val="00FF3520"/>
    <w:rsid w:val="00FF5D91"/>
    <w:rsid w:val="00FF62BA"/>
    <w:rsid w:val="00FF736D"/>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53EACAF"/>
  <w15:docId w15:val="{71015893-D648-4344-8E5C-595623CB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color w:val="4E5053" w:themeColor="text1"/>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191"/>
    <w:pPr>
      <w:spacing w:before="120" w:after="120"/>
    </w:pPr>
  </w:style>
  <w:style w:type="paragraph" w:styleId="Heading1">
    <w:name w:val="heading 1"/>
    <w:basedOn w:val="Normal"/>
    <w:next w:val="Normal"/>
    <w:link w:val="Heading1Char"/>
    <w:uiPriority w:val="9"/>
    <w:qFormat/>
    <w:rsid w:val="009048D3"/>
    <w:pPr>
      <w:keepNext/>
      <w:keepLines/>
      <w:pageBreakBefore/>
      <w:numPr>
        <w:numId w:val="1"/>
      </w:numPr>
      <w:pBdr>
        <w:bottom w:val="single" w:sz="4" w:space="1" w:color="003569" w:themeColor="accent6"/>
      </w:pBdr>
      <w:spacing w:before="240" w:after="240" w:line="240" w:lineRule="auto"/>
      <w:jc w:val="left"/>
      <w:outlineLvl w:val="0"/>
    </w:pPr>
    <w:rPr>
      <w:rFonts w:ascii="Calibri" w:eastAsiaTheme="majorEastAsia" w:hAnsi="Calibri" w:cstheme="majorBidi"/>
      <w:b/>
      <w:bCs/>
      <w:color w:val="003569" w:themeColor="accent6"/>
      <w:sz w:val="48"/>
      <w:szCs w:val="28"/>
    </w:rPr>
  </w:style>
  <w:style w:type="paragraph" w:styleId="Heading2">
    <w:name w:val="heading 2"/>
    <w:basedOn w:val="Normal"/>
    <w:next w:val="Normal"/>
    <w:link w:val="Heading2Char"/>
    <w:uiPriority w:val="9"/>
    <w:unhideWhenUsed/>
    <w:qFormat/>
    <w:rsid w:val="006B3647"/>
    <w:pPr>
      <w:keepNext/>
      <w:keepLines/>
      <w:numPr>
        <w:ilvl w:val="1"/>
        <w:numId w:val="1"/>
      </w:numPr>
      <w:spacing w:before="200" w:line="240" w:lineRule="auto"/>
      <w:outlineLvl w:val="1"/>
    </w:pPr>
    <w:rPr>
      <w:rFonts w:ascii="Calibri" w:eastAsiaTheme="majorEastAsia" w:hAnsi="Calibri" w:cstheme="majorBidi"/>
      <w:b/>
      <w:bCs/>
      <w:color w:val="003569" w:themeColor="accent6"/>
      <w:sz w:val="28"/>
      <w:szCs w:val="26"/>
    </w:rPr>
  </w:style>
  <w:style w:type="paragraph" w:styleId="Heading3">
    <w:name w:val="heading 3"/>
    <w:basedOn w:val="Normal"/>
    <w:next w:val="Normal"/>
    <w:link w:val="Heading3Char"/>
    <w:uiPriority w:val="9"/>
    <w:unhideWhenUsed/>
    <w:qFormat/>
    <w:rsid w:val="006B3647"/>
    <w:pPr>
      <w:keepNext/>
      <w:keepLines/>
      <w:numPr>
        <w:ilvl w:val="2"/>
        <w:numId w:val="1"/>
      </w:numPr>
      <w:spacing w:before="200"/>
      <w:ind w:left="851" w:hanging="851"/>
      <w:outlineLvl w:val="2"/>
    </w:pPr>
    <w:rPr>
      <w:rFonts w:ascii="Calibri" w:eastAsiaTheme="majorEastAsia" w:hAnsi="Calibri" w:cstheme="majorBidi"/>
      <w:b/>
      <w:bCs/>
      <w:color w:val="003569" w:themeColor="accent6"/>
      <w:sz w:val="26"/>
      <w:szCs w:val="26"/>
    </w:rPr>
  </w:style>
  <w:style w:type="paragraph" w:styleId="Heading4">
    <w:name w:val="heading 4"/>
    <w:basedOn w:val="Normal"/>
    <w:next w:val="Normal"/>
    <w:link w:val="Heading4Char"/>
    <w:uiPriority w:val="9"/>
    <w:unhideWhenUsed/>
    <w:qFormat/>
    <w:rsid w:val="006B3647"/>
    <w:pPr>
      <w:keepNext/>
      <w:keepLines/>
      <w:numPr>
        <w:ilvl w:val="3"/>
        <w:numId w:val="1"/>
      </w:numPr>
      <w:spacing w:before="200"/>
      <w:outlineLvl w:val="3"/>
    </w:pPr>
    <w:rPr>
      <w:rFonts w:ascii="Calibri" w:eastAsiaTheme="majorEastAsia" w:hAnsi="Calibri" w:cstheme="majorBidi"/>
      <w:b/>
      <w:bCs/>
      <w:i/>
      <w:iCs/>
      <w:color w:val="003569" w:themeColor="accent6"/>
    </w:rPr>
  </w:style>
  <w:style w:type="paragraph" w:styleId="Heading5">
    <w:name w:val="heading 5"/>
    <w:basedOn w:val="Normal"/>
    <w:next w:val="Normal"/>
    <w:link w:val="Heading5Char"/>
    <w:uiPriority w:val="9"/>
    <w:unhideWhenUsed/>
    <w:qFormat/>
    <w:rsid w:val="00AC0391"/>
    <w:pPr>
      <w:keepNext/>
      <w:keepLines/>
      <w:numPr>
        <w:ilvl w:val="4"/>
        <w:numId w:val="1"/>
      </w:numPr>
      <w:spacing w:before="200"/>
      <w:outlineLvl w:val="4"/>
    </w:pPr>
    <w:rPr>
      <w:rFonts w:ascii="Calibri" w:eastAsiaTheme="majorEastAsia" w:hAnsi="Calibri" w:cstheme="majorBidi"/>
      <w:i/>
    </w:rPr>
  </w:style>
  <w:style w:type="paragraph" w:styleId="Heading6">
    <w:name w:val="heading 6"/>
    <w:basedOn w:val="Normal"/>
    <w:next w:val="Normal"/>
    <w:link w:val="Heading6Char"/>
    <w:uiPriority w:val="9"/>
    <w:unhideWhenUsed/>
    <w:qFormat/>
    <w:rsid w:val="00AC0391"/>
    <w:pPr>
      <w:keepNext/>
      <w:keepLines/>
      <w:numPr>
        <w:ilvl w:val="5"/>
        <w:numId w:val="1"/>
      </w:numPr>
      <w:spacing w:before="200"/>
      <w:outlineLvl w:val="5"/>
    </w:pPr>
    <w:rPr>
      <w:rFonts w:ascii="Calibri" w:eastAsiaTheme="majorEastAsia" w:hAnsi="Calibri" w:cstheme="majorBidi"/>
      <w:i/>
      <w:iCs/>
    </w:rPr>
  </w:style>
  <w:style w:type="paragraph" w:styleId="Heading7">
    <w:name w:val="heading 7"/>
    <w:basedOn w:val="Normal"/>
    <w:next w:val="Normal"/>
    <w:link w:val="Heading7Char"/>
    <w:semiHidden/>
    <w:unhideWhenUsed/>
    <w:qFormat/>
    <w:rsid w:val="00AC0391"/>
    <w:pPr>
      <w:keepNext/>
      <w:keepLines/>
      <w:numPr>
        <w:ilvl w:val="6"/>
        <w:numId w:val="1"/>
      </w:numPr>
      <w:spacing w:before="200"/>
      <w:outlineLvl w:val="6"/>
    </w:pPr>
    <w:rPr>
      <w:rFonts w:ascii="Calibri" w:eastAsiaTheme="majorEastAsia" w:hAnsi="Calibri" w:cstheme="majorBidi"/>
      <w:i/>
      <w:iCs/>
    </w:rPr>
  </w:style>
  <w:style w:type="paragraph" w:styleId="Heading8">
    <w:name w:val="heading 8"/>
    <w:basedOn w:val="Normal"/>
    <w:next w:val="Normal"/>
    <w:link w:val="Heading8Char"/>
    <w:unhideWhenUsed/>
    <w:qFormat/>
    <w:rsid w:val="00AC0391"/>
    <w:pPr>
      <w:keepNext/>
      <w:keepLines/>
      <w:numPr>
        <w:ilvl w:val="7"/>
        <w:numId w:val="1"/>
      </w:numPr>
      <w:spacing w:before="200"/>
      <w:outlineLvl w:val="7"/>
    </w:pPr>
    <w:rPr>
      <w:rFonts w:ascii="Calibri" w:eastAsiaTheme="majorEastAsia" w:hAnsi="Calibri" w:cstheme="majorBidi"/>
      <w:sz w:val="20"/>
      <w:szCs w:val="20"/>
    </w:rPr>
  </w:style>
  <w:style w:type="paragraph" w:styleId="Heading9">
    <w:name w:val="heading 9"/>
    <w:basedOn w:val="Normal"/>
    <w:next w:val="Normal"/>
    <w:link w:val="Heading9Char"/>
    <w:unhideWhenUsed/>
    <w:qFormat/>
    <w:rsid w:val="00AC0391"/>
    <w:pPr>
      <w:keepNext/>
      <w:keepLines/>
      <w:numPr>
        <w:ilvl w:val="8"/>
        <w:numId w:val="1"/>
      </w:numPr>
      <w:spacing w:before="200"/>
      <w:outlineLvl w:val="8"/>
    </w:pPr>
    <w:rPr>
      <w:rFonts w:ascii="Calibri" w:eastAsiaTheme="majorEastAsia" w:hAnsi="Calibri" w:cstheme="majorBidi"/>
      <w:i/>
      <w:iCs/>
      <w:color w:val="4E5053"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8D3"/>
    <w:rPr>
      <w:rFonts w:ascii="Calibri" w:eastAsiaTheme="majorEastAsia" w:hAnsi="Calibri" w:cstheme="majorBidi"/>
      <w:b/>
      <w:bCs/>
      <w:color w:val="003569" w:themeColor="accent6"/>
      <w:sz w:val="48"/>
      <w:szCs w:val="28"/>
    </w:rPr>
  </w:style>
  <w:style w:type="character" w:customStyle="1" w:styleId="Heading2Char">
    <w:name w:val="Heading 2 Char"/>
    <w:basedOn w:val="DefaultParagraphFont"/>
    <w:link w:val="Heading2"/>
    <w:uiPriority w:val="9"/>
    <w:rsid w:val="006B3647"/>
    <w:rPr>
      <w:rFonts w:ascii="Calibri" w:eastAsiaTheme="majorEastAsia" w:hAnsi="Calibri" w:cstheme="majorBidi"/>
      <w:b/>
      <w:bCs/>
      <w:color w:val="003569" w:themeColor="accent6"/>
      <w:sz w:val="28"/>
      <w:szCs w:val="26"/>
    </w:rPr>
  </w:style>
  <w:style w:type="character" w:customStyle="1" w:styleId="Heading3Char">
    <w:name w:val="Heading 3 Char"/>
    <w:basedOn w:val="DefaultParagraphFont"/>
    <w:link w:val="Heading3"/>
    <w:uiPriority w:val="9"/>
    <w:rsid w:val="006B3647"/>
    <w:rPr>
      <w:rFonts w:ascii="Calibri" w:eastAsiaTheme="majorEastAsia" w:hAnsi="Calibri" w:cstheme="majorBidi"/>
      <w:b/>
      <w:bCs/>
      <w:color w:val="003569" w:themeColor="accent6"/>
      <w:sz w:val="26"/>
      <w:szCs w:val="26"/>
    </w:rPr>
  </w:style>
  <w:style w:type="character" w:customStyle="1" w:styleId="Heading4Char">
    <w:name w:val="Heading 4 Char"/>
    <w:basedOn w:val="DefaultParagraphFont"/>
    <w:link w:val="Heading4"/>
    <w:uiPriority w:val="9"/>
    <w:rsid w:val="006B3647"/>
    <w:rPr>
      <w:rFonts w:ascii="Calibri" w:eastAsiaTheme="majorEastAsia" w:hAnsi="Calibri" w:cstheme="majorBidi"/>
      <w:b/>
      <w:bCs/>
      <w:i/>
      <w:iCs/>
      <w:color w:val="003569" w:themeColor="accent6"/>
    </w:rPr>
  </w:style>
  <w:style w:type="character" w:customStyle="1" w:styleId="Heading5Char">
    <w:name w:val="Heading 5 Char"/>
    <w:basedOn w:val="DefaultParagraphFont"/>
    <w:link w:val="Heading5"/>
    <w:uiPriority w:val="9"/>
    <w:rsid w:val="00AC0391"/>
    <w:rPr>
      <w:rFonts w:ascii="Calibri" w:eastAsiaTheme="majorEastAsia" w:hAnsi="Calibri" w:cstheme="majorBidi"/>
      <w:i/>
    </w:rPr>
  </w:style>
  <w:style w:type="character" w:customStyle="1" w:styleId="Heading6Char">
    <w:name w:val="Heading 6 Char"/>
    <w:basedOn w:val="DefaultParagraphFont"/>
    <w:link w:val="Heading6"/>
    <w:uiPriority w:val="9"/>
    <w:rsid w:val="00AC0391"/>
    <w:rPr>
      <w:rFonts w:ascii="Calibri" w:eastAsiaTheme="majorEastAsia" w:hAnsi="Calibri" w:cstheme="majorBidi"/>
      <w:i/>
      <w:iCs/>
    </w:rPr>
  </w:style>
  <w:style w:type="character" w:customStyle="1" w:styleId="Heading7Char">
    <w:name w:val="Heading 7 Char"/>
    <w:basedOn w:val="DefaultParagraphFont"/>
    <w:link w:val="Heading7"/>
    <w:semiHidden/>
    <w:rsid w:val="00AC0391"/>
    <w:rPr>
      <w:rFonts w:ascii="Calibri" w:eastAsiaTheme="majorEastAsia" w:hAnsi="Calibri" w:cstheme="majorBidi"/>
      <w:i/>
      <w:iCs/>
    </w:rPr>
  </w:style>
  <w:style w:type="character" w:customStyle="1" w:styleId="Heading8Char">
    <w:name w:val="Heading 8 Char"/>
    <w:basedOn w:val="DefaultParagraphFont"/>
    <w:link w:val="Heading8"/>
    <w:rsid w:val="00AC0391"/>
    <w:rPr>
      <w:rFonts w:ascii="Calibri" w:eastAsiaTheme="majorEastAsia" w:hAnsi="Calibri" w:cstheme="majorBidi"/>
      <w:sz w:val="20"/>
      <w:szCs w:val="20"/>
    </w:rPr>
  </w:style>
  <w:style w:type="character" w:customStyle="1" w:styleId="Heading9Char">
    <w:name w:val="Heading 9 Char"/>
    <w:basedOn w:val="DefaultParagraphFont"/>
    <w:link w:val="Heading9"/>
    <w:rsid w:val="00AC0391"/>
    <w:rPr>
      <w:rFonts w:ascii="Calibri" w:eastAsiaTheme="majorEastAsia" w:hAnsi="Calibri" w:cstheme="majorBidi"/>
      <w:i/>
      <w:iCs/>
      <w:color w:val="4E5053" w:themeColor="text2"/>
      <w:sz w:val="20"/>
      <w:szCs w:val="20"/>
    </w:rPr>
  </w:style>
  <w:style w:type="paragraph" w:styleId="TOCHeading">
    <w:name w:val="TOC Heading"/>
    <w:basedOn w:val="Heading1"/>
    <w:next w:val="Normal"/>
    <w:uiPriority w:val="39"/>
    <w:unhideWhenUsed/>
    <w:qFormat/>
    <w:rsid w:val="009048D3"/>
    <w:pPr>
      <w:pageBreakBefore w:val="0"/>
      <w:numPr>
        <w:numId w:val="0"/>
      </w:numPr>
      <w:outlineLvl w:val="9"/>
    </w:pPr>
    <w:rPr>
      <w:lang w:eastAsia="ja-JP"/>
    </w:rPr>
  </w:style>
  <w:style w:type="paragraph" w:styleId="Header">
    <w:name w:val="header"/>
    <w:basedOn w:val="Normal"/>
    <w:link w:val="HeaderChar"/>
    <w:unhideWhenUsed/>
    <w:rsid w:val="00AC0391"/>
    <w:pPr>
      <w:tabs>
        <w:tab w:val="center" w:pos="4680"/>
        <w:tab w:val="right" w:pos="9360"/>
      </w:tabs>
      <w:spacing w:line="240" w:lineRule="auto"/>
    </w:pPr>
  </w:style>
  <w:style w:type="character" w:customStyle="1" w:styleId="HeaderChar">
    <w:name w:val="Header Char"/>
    <w:basedOn w:val="DefaultParagraphFont"/>
    <w:link w:val="Header"/>
    <w:rsid w:val="00AC0391"/>
    <w:rPr>
      <w:rFonts w:eastAsiaTheme="minorEastAsia"/>
      <w:color w:val="4E5053" w:themeColor="text1"/>
    </w:rPr>
  </w:style>
  <w:style w:type="paragraph" w:styleId="Footer">
    <w:name w:val="footer"/>
    <w:basedOn w:val="Normal"/>
    <w:link w:val="FooterChar"/>
    <w:unhideWhenUsed/>
    <w:rsid w:val="00AC0391"/>
    <w:pPr>
      <w:tabs>
        <w:tab w:val="center" w:pos="4680"/>
        <w:tab w:val="right" w:pos="9360"/>
      </w:tabs>
      <w:spacing w:line="240" w:lineRule="auto"/>
    </w:pPr>
    <w:rPr>
      <w:rFonts w:ascii="Calibri" w:hAnsi="Calibri"/>
      <w:sz w:val="18"/>
    </w:rPr>
  </w:style>
  <w:style w:type="character" w:customStyle="1" w:styleId="FooterChar">
    <w:name w:val="Footer Char"/>
    <w:basedOn w:val="DefaultParagraphFont"/>
    <w:link w:val="Footer"/>
    <w:rsid w:val="00AC0391"/>
    <w:rPr>
      <w:rFonts w:ascii="Calibri" w:eastAsiaTheme="minorEastAsia" w:hAnsi="Calibri"/>
      <w:color w:val="4E5053" w:themeColor="text1"/>
      <w:sz w:val="18"/>
    </w:rPr>
  </w:style>
  <w:style w:type="paragraph" w:styleId="TOC1">
    <w:name w:val="toc 1"/>
    <w:basedOn w:val="Normal"/>
    <w:next w:val="Normal"/>
    <w:autoRedefine/>
    <w:uiPriority w:val="39"/>
    <w:unhideWhenUsed/>
    <w:rsid w:val="00662644"/>
    <w:pPr>
      <w:tabs>
        <w:tab w:val="left" w:pos="440"/>
        <w:tab w:val="right" w:leader="dot" w:pos="9029"/>
      </w:tabs>
      <w:spacing w:before="0" w:after="0" w:line="240" w:lineRule="auto"/>
    </w:pPr>
    <w:rPr>
      <w:rFonts w:ascii="Calibri" w:hAnsi="Calibri"/>
      <w:color w:val="003569" w:themeColor="accent6"/>
    </w:rPr>
  </w:style>
  <w:style w:type="table" w:styleId="TableGrid">
    <w:name w:val="Table Grid"/>
    <w:basedOn w:val="TableNormal"/>
    <w:uiPriority w:val="59"/>
    <w:rsid w:val="00AC0391"/>
    <w:pPr>
      <w:spacing w:before="120" w:after="120" w:line="240" w:lineRule="auto"/>
    </w:pPr>
    <w:rPr>
      <w:lang w:val="en-US"/>
    </w:rPr>
    <w:tblPr>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Pr>
    <w:tcPr>
      <w:shd w:val="clear" w:color="auto" w:fill="auto"/>
    </w:tcPr>
  </w:style>
  <w:style w:type="table" w:styleId="LightList">
    <w:name w:val="Light List"/>
    <w:basedOn w:val="TableNormal"/>
    <w:uiPriority w:val="61"/>
    <w:rsid w:val="006B618A"/>
    <w:pPr>
      <w:spacing w:after="0" w:line="240" w:lineRule="auto"/>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spacing w:before="0" w:after="0" w:line="240" w:lineRule="auto"/>
      </w:pPr>
      <w:rPr>
        <w:b/>
        <w:bCs/>
        <w:color w:val="FFFFFF" w:themeColor="background1"/>
      </w:rPr>
      <w:tblPr/>
      <w:tcPr>
        <w:tcBorders>
          <w:insideH w:val="single" w:sz="4" w:space="0" w:color="FFFFFF" w:themeColor="background1"/>
          <w:insideV w:val="single" w:sz="4" w:space="0" w:color="FFFFFF" w:themeColor="background1"/>
        </w:tcBorders>
        <w:shd w:val="clear" w:color="auto" w:fill="4E5053" w:themeFill="text1"/>
      </w:tcPr>
    </w:tblStylePr>
    <w:tblStylePr w:type="lastRow">
      <w:pPr>
        <w:spacing w:before="0" w:after="0" w:line="240" w:lineRule="auto"/>
      </w:pPr>
      <w:rPr>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tcBorders>
      </w:tcPr>
    </w:tblStylePr>
    <w:tblStylePr w:type="firstCol">
      <w:rPr>
        <w:b w:val="0"/>
        <w:bCs/>
      </w:rPr>
    </w:tblStylePr>
    <w:tblStylePr w:type="lastCol">
      <w:rPr>
        <w:b/>
        <w:bCs/>
      </w:rPr>
    </w:tblStylePr>
    <w:tblStylePr w:type="band1Vert">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Horz">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style>
  <w:style w:type="character" w:styleId="Hyperlink">
    <w:name w:val="Hyperlink"/>
    <w:basedOn w:val="DefaultParagraphFont"/>
    <w:uiPriority w:val="99"/>
    <w:unhideWhenUsed/>
    <w:rsid w:val="00AC0391"/>
    <w:rPr>
      <w:color w:val="0000FF" w:themeColor="hyperlink"/>
      <w:u w:val="single"/>
    </w:rPr>
  </w:style>
  <w:style w:type="table" w:styleId="LightList-Accent3">
    <w:name w:val="Light List Accent 3"/>
    <w:basedOn w:val="TableNormal"/>
    <w:uiPriority w:val="61"/>
    <w:rsid w:val="00AC0391"/>
    <w:pPr>
      <w:spacing w:before="120" w:after="120" w:line="240" w:lineRule="auto"/>
    </w:pPr>
    <w:rPr>
      <w:lang w:val="en-US"/>
    </w:rPr>
    <w:tblPr>
      <w:tblStyleRowBandSize w:val="1"/>
      <w:tblStyleColBandSize w:val="1"/>
      <w:tblBorders>
        <w:top w:val="single" w:sz="4" w:space="0" w:color="68B937" w:themeColor="accent3"/>
        <w:left w:val="single" w:sz="4" w:space="0" w:color="68B937" w:themeColor="accent3"/>
        <w:bottom w:val="single" w:sz="4" w:space="0" w:color="68B937" w:themeColor="accent3"/>
        <w:right w:val="single" w:sz="4" w:space="0" w:color="68B937" w:themeColor="accent3"/>
        <w:insideH w:val="single" w:sz="4" w:space="0" w:color="68B937" w:themeColor="accent3"/>
        <w:insideV w:val="single" w:sz="4" w:space="0" w:color="68B937"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1"/>
          <w:insideV w:val="single" w:sz="4" w:space="0" w:color="FFFFFF" w:themeColor="background1"/>
        </w:tcBorders>
        <w:shd w:val="clear" w:color="auto" w:fill="68B937" w:themeFill="accent3"/>
      </w:tcPr>
    </w:tblStylePr>
    <w:tblStylePr w:type="lastRow">
      <w:pPr>
        <w:spacing w:before="0" w:after="0" w:line="240" w:lineRule="auto"/>
      </w:pPr>
      <w:rPr>
        <w:b/>
        <w:bCs/>
      </w:rPr>
      <w:tblPr/>
      <w:tcPr>
        <w:tcBorders>
          <w:top w:val="double" w:sz="6" w:space="0" w:color="68B937" w:themeColor="accent3"/>
          <w:left w:val="single" w:sz="8" w:space="0" w:color="68B937" w:themeColor="accent3"/>
          <w:bottom w:val="single" w:sz="8" w:space="0" w:color="68B937" w:themeColor="accent3"/>
          <w:right w:val="single" w:sz="8" w:space="0" w:color="68B937" w:themeColor="accent3"/>
        </w:tcBorders>
      </w:tcPr>
    </w:tblStylePr>
    <w:tblStylePr w:type="firstCol">
      <w:rPr>
        <w:b w:val="0"/>
        <w:bCs/>
      </w:rPr>
    </w:tblStylePr>
    <w:tblStylePr w:type="lastCol">
      <w:rPr>
        <w:b w:val="0"/>
        <w:bCs/>
      </w:rPr>
    </w:tblStylePr>
    <w:tblStylePr w:type="band1Vert">
      <w:tblPr/>
      <w:tcPr>
        <w:tcBorders>
          <w:top w:val="single" w:sz="8" w:space="0" w:color="68B937" w:themeColor="accent3"/>
          <w:left w:val="single" w:sz="8" w:space="0" w:color="68B937" w:themeColor="accent3"/>
          <w:bottom w:val="single" w:sz="8" w:space="0" w:color="68B937" w:themeColor="accent3"/>
          <w:right w:val="single" w:sz="8" w:space="0" w:color="68B937" w:themeColor="accent3"/>
        </w:tcBorders>
      </w:tcPr>
    </w:tblStylePr>
    <w:tblStylePr w:type="band1Horz">
      <w:tblPr/>
      <w:tcPr>
        <w:tcBorders>
          <w:top w:val="single" w:sz="8" w:space="0" w:color="68B937" w:themeColor="accent3"/>
          <w:left w:val="single" w:sz="8" w:space="0" w:color="68B937" w:themeColor="accent3"/>
          <w:bottom w:val="single" w:sz="8" w:space="0" w:color="68B937" w:themeColor="accent3"/>
          <w:right w:val="single" w:sz="8" w:space="0" w:color="68B937" w:themeColor="accent3"/>
        </w:tcBorders>
      </w:tcPr>
    </w:tblStylePr>
    <w:tblStylePr w:type="nwCell">
      <w:tblPr/>
      <w:tcPr>
        <w:tcBorders>
          <w:top w:val="nil"/>
          <w:left w:val="single" w:sz="4" w:space="0" w:color="68B937" w:themeColor="accent3"/>
          <w:bottom w:val="nil"/>
          <w:right w:val="nil"/>
          <w:insideH w:val="nil"/>
          <w:insideV w:val="nil"/>
        </w:tcBorders>
      </w:tcPr>
    </w:tblStylePr>
  </w:style>
  <w:style w:type="paragraph" w:customStyle="1" w:styleId="BasicParagraph">
    <w:name w:val="[Basic Paragraph]"/>
    <w:basedOn w:val="Normal"/>
    <w:uiPriority w:val="99"/>
    <w:rsid w:val="00AC0391"/>
    <w:pPr>
      <w:widowControl w:val="0"/>
      <w:autoSpaceDE w:val="0"/>
      <w:autoSpaceDN w:val="0"/>
      <w:adjustRightInd w:val="0"/>
      <w:spacing w:after="0" w:line="288" w:lineRule="auto"/>
      <w:jc w:val="left"/>
      <w:textAlignment w:val="center"/>
    </w:pPr>
    <w:rPr>
      <w:rFonts w:ascii="Times-Italic" w:hAnsi="Times-Italic" w:cs="Times-Italic"/>
      <w:color w:val="000000"/>
      <w:sz w:val="24"/>
      <w:szCs w:val="24"/>
    </w:rPr>
  </w:style>
  <w:style w:type="paragraph" w:customStyle="1" w:styleId="Table-Normal">
    <w:name w:val="Table - Normal"/>
    <w:basedOn w:val="Normal"/>
    <w:qFormat/>
    <w:rsid w:val="00AC0391"/>
    <w:pPr>
      <w:spacing w:before="0" w:after="0" w:line="240" w:lineRule="auto"/>
      <w:jc w:val="left"/>
    </w:pPr>
    <w:rPr>
      <w:bCs/>
    </w:rPr>
  </w:style>
  <w:style w:type="paragraph" w:styleId="EndnoteText">
    <w:name w:val="endnote text"/>
    <w:basedOn w:val="Normal"/>
    <w:link w:val="EndnoteTextChar"/>
    <w:uiPriority w:val="99"/>
    <w:unhideWhenUsed/>
    <w:qFormat/>
    <w:rsid w:val="00AC0391"/>
    <w:pPr>
      <w:spacing w:before="0" w:after="0" w:line="240" w:lineRule="auto"/>
    </w:pPr>
    <w:rPr>
      <w:sz w:val="18"/>
      <w:szCs w:val="20"/>
    </w:rPr>
  </w:style>
  <w:style w:type="character" w:customStyle="1" w:styleId="EndnoteTextChar">
    <w:name w:val="Endnote Text Char"/>
    <w:basedOn w:val="DefaultParagraphFont"/>
    <w:link w:val="EndnoteText"/>
    <w:uiPriority w:val="99"/>
    <w:rsid w:val="00AC0391"/>
    <w:rPr>
      <w:sz w:val="18"/>
      <w:szCs w:val="20"/>
    </w:rPr>
  </w:style>
  <w:style w:type="paragraph" w:customStyle="1" w:styleId="Footertext">
    <w:name w:val="Footer text"/>
    <w:basedOn w:val="Footer"/>
    <w:link w:val="FootertextChar"/>
    <w:rsid w:val="00AC0391"/>
    <w:rPr>
      <w:color w:val="4E5053"/>
    </w:rPr>
  </w:style>
  <w:style w:type="character" w:customStyle="1" w:styleId="FootertextChar">
    <w:name w:val="Footer text Char"/>
    <w:basedOn w:val="FooterChar"/>
    <w:link w:val="Footertext"/>
    <w:rsid w:val="00AC0391"/>
    <w:rPr>
      <w:rFonts w:ascii="Calibri" w:eastAsiaTheme="minorEastAsia" w:hAnsi="Calibri"/>
      <w:color w:val="4E5053"/>
      <w:sz w:val="18"/>
    </w:rPr>
  </w:style>
  <w:style w:type="paragraph" w:customStyle="1" w:styleId="Heading1nonumbering">
    <w:name w:val="Heading 1 no numbering"/>
    <w:basedOn w:val="Heading1"/>
    <w:next w:val="Normal"/>
    <w:rsid w:val="00AC0391"/>
    <w:pPr>
      <w:numPr>
        <w:numId w:val="0"/>
      </w:numPr>
      <w:pBdr>
        <w:bottom w:val="single" w:sz="4" w:space="1" w:color="68B937" w:themeColor="accent3"/>
      </w:pBdr>
    </w:pPr>
  </w:style>
  <w:style w:type="paragraph" w:customStyle="1" w:styleId="AbbreviationList">
    <w:name w:val="Abbreviation List"/>
    <w:basedOn w:val="Normal"/>
    <w:rsid w:val="00AC0391"/>
    <w:pPr>
      <w:ind w:left="1440" w:hanging="1440"/>
    </w:pPr>
  </w:style>
  <w:style w:type="paragraph" w:customStyle="1" w:styleId="AdministrativePage">
    <w:name w:val="Administrative Page"/>
    <w:basedOn w:val="Normal"/>
    <w:rsid w:val="00AC0391"/>
    <w:pPr>
      <w:ind w:left="2880" w:hanging="2880"/>
    </w:pPr>
  </w:style>
  <w:style w:type="paragraph" w:styleId="BalloonText">
    <w:name w:val="Balloon Text"/>
    <w:basedOn w:val="Normal"/>
    <w:link w:val="BalloonTextChar"/>
    <w:semiHidden/>
    <w:unhideWhenUsed/>
    <w:rsid w:val="00AC039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AC0391"/>
    <w:rPr>
      <w:rFonts w:ascii="Tahoma" w:eastAsiaTheme="minorEastAsia" w:hAnsi="Tahoma" w:cs="Tahoma"/>
      <w:color w:val="4E5053" w:themeColor="text1"/>
      <w:sz w:val="16"/>
      <w:szCs w:val="16"/>
    </w:rPr>
  </w:style>
  <w:style w:type="paragraph" w:customStyle="1" w:styleId="Bullet2">
    <w:name w:val="Bullet2"/>
    <w:basedOn w:val="Normal"/>
    <w:link w:val="Bullet2Char"/>
    <w:uiPriority w:val="10"/>
    <w:qFormat/>
    <w:rsid w:val="006B3647"/>
    <w:pPr>
      <w:numPr>
        <w:numId w:val="2"/>
      </w:numPr>
      <w:ind w:left="1134" w:hanging="283"/>
    </w:pPr>
    <w:rPr>
      <w:lang w:eastAsia="ja-JP"/>
    </w:rPr>
  </w:style>
  <w:style w:type="character" w:customStyle="1" w:styleId="Bullet2Char">
    <w:name w:val="Bullet2 Char"/>
    <w:basedOn w:val="DefaultParagraphFont"/>
    <w:link w:val="Bullet2"/>
    <w:uiPriority w:val="10"/>
    <w:rsid w:val="006B3647"/>
    <w:rPr>
      <w:lang w:eastAsia="ja-JP"/>
    </w:rPr>
  </w:style>
  <w:style w:type="paragraph" w:customStyle="1" w:styleId="Bullet3">
    <w:name w:val="Bullet3"/>
    <w:basedOn w:val="Bullet2"/>
    <w:link w:val="Bullet3Char"/>
    <w:uiPriority w:val="10"/>
    <w:qFormat/>
    <w:rsid w:val="006B3647"/>
    <w:pPr>
      <w:numPr>
        <w:numId w:val="3"/>
      </w:numPr>
      <w:ind w:left="1418" w:hanging="284"/>
    </w:pPr>
  </w:style>
  <w:style w:type="character" w:customStyle="1" w:styleId="Bullet3Char">
    <w:name w:val="Bullet3 Char"/>
    <w:basedOn w:val="Bullet2Char"/>
    <w:link w:val="Bullet3"/>
    <w:uiPriority w:val="10"/>
    <w:rsid w:val="006B3647"/>
    <w:rPr>
      <w:lang w:eastAsia="ja-JP"/>
    </w:rPr>
  </w:style>
  <w:style w:type="paragraph" w:customStyle="1" w:styleId="Bullet4">
    <w:name w:val="Bullet4"/>
    <w:basedOn w:val="Bullet3"/>
    <w:link w:val="Bullet4Char"/>
    <w:uiPriority w:val="10"/>
    <w:qFormat/>
    <w:rsid w:val="006B3647"/>
    <w:pPr>
      <w:numPr>
        <w:numId w:val="4"/>
      </w:numPr>
      <w:ind w:left="1701" w:hanging="283"/>
    </w:pPr>
  </w:style>
  <w:style w:type="character" w:customStyle="1" w:styleId="Bullet4Char">
    <w:name w:val="Bullet4 Char"/>
    <w:basedOn w:val="Bullet3Char"/>
    <w:link w:val="Bullet4"/>
    <w:uiPriority w:val="10"/>
    <w:rsid w:val="006B3647"/>
    <w:rPr>
      <w:lang w:eastAsia="ja-JP"/>
    </w:rPr>
  </w:style>
  <w:style w:type="paragraph" w:customStyle="1" w:styleId="Table-Bullet2">
    <w:name w:val="Table-Bullet2"/>
    <w:basedOn w:val="Bullet2"/>
    <w:qFormat/>
    <w:rsid w:val="0065488F"/>
    <w:pPr>
      <w:numPr>
        <w:numId w:val="6"/>
      </w:numPr>
      <w:spacing w:before="0" w:after="0" w:line="240" w:lineRule="auto"/>
      <w:ind w:left="402" w:hanging="154"/>
      <w:jc w:val="left"/>
    </w:pPr>
    <w:rPr>
      <w:bCs/>
      <w:lang w:val="en-US"/>
    </w:rPr>
  </w:style>
  <w:style w:type="paragraph" w:customStyle="1" w:styleId="Table-Bullet1">
    <w:name w:val="Table-Bullet1"/>
    <w:basedOn w:val="Table-Bullet2"/>
    <w:qFormat/>
    <w:rsid w:val="0065488F"/>
    <w:pPr>
      <w:numPr>
        <w:numId w:val="5"/>
      </w:numPr>
      <w:ind w:left="220" w:hanging="220"/>
    </w:pPr>
  </w:style>
  <w:style w:type="paragraph" w:styleId="Caption">
    <w:name w:val="caption"/>
    <w:basedOn w:val="Figure"/>
    <w:next w:val="Normal"/>
    <w:link w:val="CaptionChar"/>
    <w:autoRedefine/>
    <w:unhideWhenUsed/>
    <w:qFormat/>
    <w:rsid w:val="00AC0391"/>
    <w:pPr>
      <w:keepNext/>
      <w:spacing w:before="0" w:after="0" w:line="240" w:lineRule="auto"/>
    </w:pPr>
    <w:rPr>
      <w:b/>
      <w:bCs/>
    </w:rPr>
  </w:style>
  <w:style w:type="character" w:customStyle="1" w:styleId="CaptionChar">
    <w:name w:val="Caption Char"/>
    <w:basedOn w:val="DefaultParagraphFont"/>
    <w:link w:val="Caption"/>
    <w:locked/>
    <w:rsid w:val="00037EE2"/>
    <w:rPr>
      <w:rFonts w:ascii="Calibri" w:eastAsia="Times New Roman" w:hAnsi="Calibri" w:cs="Times New Roman"/>
      <w:b/>
      <w:bCs/>
      <w:color w:val="4E5053"/>
    </w:rPr>
  </w:style>
  <w:style w:type="paragraph" w:styleId="ListParagraph">
    <w:name w:val="List Paragraph"/>
    <w:aliases w:val="Bullet1"/>
    <w:basedOn w:val="Normal"/>
    <w:link w:val="ListParagraphChar"/>
    <w:uiPriority w:val="34"/>
    <w:qFormat/>
    <w:rsid w:val="006B3647"/>
    <w:pPr>
      <w:numPr>
        <w:numId w:val="7"/>
      </w:numPr>
      <w:ind w:left="851" w:hanging="425"/>
    </w:pPr>
    <w:rPr>
      <w:rFonts w:eastAsiaTheme="majorEastAsia"/>
      <w:lang w:eastAsia="ja-JP"/>
    </w:rPr>
  </w:style>
  <w:style w:type="character" w:customStyle="1" w:styleId="ListParagraphChar">
    <w:name w:val="List Paragraph Char"/>
    <w:aliases w:val="Bullet1 Char"/>
    <w:basedOn w:val="DefaultParagraphFont"/>
    <w:link w:val="ListParagraph"/>
    <w:uiPriority w:val="10"/>
    <w:rsid w:val="006B3647"/>
    <w:rPr>
      <w:rFonts w:eastAsiaTheme="majorEastAsia"/>
      <w:lang w:eastAsia="ja-JP"/>
    </w:rPr>
  </w:style>
  <w:style w:type="table" w:styleId="LightList-Accent6">
    <w:name w:val="Light List Accent 6"/>
    <w:basedOn w:val="TableNormal"/>
    <w:uiPriority w:val="61"/>
    <w:rsid w:val="006107AA"/>
    <w:pPr>
      <w:spacing w:after="0" w:line="240" w:lineRule="auto"/>
      <w:jc w:val="left"/>
    </w:pPr>
    <w:tblPr>
      <w:tblStyleRowBandSize w:val="1"/>
      <w:tblStyleColBandSize w:val="1"/>
      <w:tblBorders>
        <w:top w:val="single" w:sz="4" w:space="0" w:color="003569" w:themeColor="accent6"/>
        <w:left w:val="single" w:sz="4" w:space="0" w:color="003569" w:themeColor="accent6"/>
        <w:bottom w:val="single" w:sz="4" w:space="0" w:color="003569" w:themeColor="accent6"/>
        <w:right w:val="single" w:sz="4" w:space="0" w:color="003569" w:themeColor="accent6"/>
        <w:insideH w:val="single" w:sz="4" w:space="0" w:color="003569" w:themeColor="accent6"/>
        <w:insideV w:val="single" w:sz="4" w:space="0" w:color="003569" w:themeColor="accent6"/>
      </w:tblBorders>
    </w:tblPr>
    <w:tcPr>
      <w:shd w:val="clear" w:color="auto" w:fill="auto"/>
    </w:tc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2"/>
          <w:insideV w:val="single" w:sz="4" w:space="0" w:color="FFFFFF" w:themeColor="background2"/>
        </w:tcBorders>
        <w:shd w:val="clear" w:color="auto" w:fill="003569" w:themeFill="accent6"/>
      </w:tcPr>
    </w:tblStylePr>
    <w:tblStylePr w:type="lastRow">
      <w:pPr>
        <w:spacing w:before="0" w:after="0" w:line="240" w:lineRule="auto"/>
      </w:pPr>
      <w:rPr>
        <w:b/>
        <w:bCs/>
      </w:rPr>
      <w:tblPr/>
      <w:tcPr>
        <w:tcBorders>
          <w:top w:val="double" w:sz="6" w:space="0" w:color="003569" w:themeColor="accent6"/>
          <w:left w:val="single" w:sz="8" w:space="0" w:color="003569" w:themeColor="accent6"/>
          <w:bottom w:val="single" w:sz="8" w:space="0" w:color="003569" w:themeColor="accent6"/>
          <w:right w:val="single" w:sz="8" w:space="0" w:color="003569" w:themeColor="accent6"/>
        </w:tcBorders>
      </w:tcPr>
    </w:tblStylePr>
    <w:tblStylePr w:type="firstCol">
      <w:rPr>
        <w:b w:val="0"/>
        <w:bCs/>
      </w:rPr>
    </w:tblStylePr>
    <w:tblStylePr w:type="lastCol">
      <w:rPr>
        <w:b w:val="0"/>
        <w:bCs/>
      </w:rPr>
    </w:tblStylePr>
    <w:tblStylePr w:type="band1Vert">
      <w:tblPr/>
      <w:tcPr>
        <w:tcBorders>
          <w:top w:val="single" w:sz="8" w:space="0" w:color="003569" w:themeColor="accent6"/>
          <w:left w:val="single" w:sz="8" w:space="0" w:color="003569" w:themeColor="accent6"/>
          <w:bottom w:val="single" w:sz="8" w:space="0" w:color="003569" w:themeColor="accent6"/>
          <w:right w:val="single" w:sz="8" w:space="0" w:color="003569" w:themeColor="accent6"/>
        </w:tcBorders>
      </w:tcPr>
    </w:tblStylePr>
    <w:tblStylePr w:type="band1Horz">
      <w:tblPr/>
      <w:tcPr>
        <w:tcBorders>
          <w:top w:val="single" w:sz="4" w:space="0" w:color="003569" w:themeColor="accent6"/>
          <w:left w:val="single" w:sz="4" w:space="0" w:color="003569" w:themeColor="accent6"/>
          <w:bottom w:val="single" w:sz="4" w:space="0" w:color="003569" w:themeColor="accent6"/>
          <w:right w:val="single" w:sz="4" w:space="0" w:color="003569" w:themeColor="accent6"/>
          <w:insideH w:val="single" w:sz="4" w:space="0" w:color="003569" w:themeColor="accent6"/>
          <w:insideV w:val="single" w:sz="4" w:space="0" w:color="003569" w:themeColor="accent6"/>
          <w:tl2br w:val="nil"/>
          <w:tr2bl w:val="nil"/>
        </w:tcBorders>
        <w:shd w:val="clear" w:color="auto" w:fill="auto"/>
      </w:tcPr>
    </w:tblStylePr>
    <w:tblStylePr w:type="band2Horz">
      <w:tblPr/>
      <w:tcPr>
        <w:tcBorders>
          <w:top w:val="single" w:sz="4" w:space="0" w:color="003569" w:themeColor="accent6"/>
          <w:left w:val="single" w:sz="4" w:space="0" w:color="003569" w:themeColor="accent6"/>
          <w:bottom w:val="single" w:sz="4" w:space="0" w:color="003569" w:themeColor="accent6"/>
          <w:right w:val="single" w:sz="4" w:space="0" w:color="003569" w:themeColor="accent6"/>
          <w:insideH w:val="single" w:sz="4" w:space="0" w:color="003569" w:themeColor="accent6"/>
          <w:insideV w:val="single" w:sz="4" w:space="0" w:color="003569" w:themeColor="accent6"/>
          <w:tl2br w:val="nil"/>
          <w:tr2bl w:val="nil"/>
        </w:tcBorders>
        <w:shd w:val="clear" w:color="auto" w:fill="auto"/>
      </w:tcPr>
    </w:tblStylePr>
  </w:style>
  <w:style w:type="table" w:styleId="LightList-Accent4">
    <w:name w:val="Light List Accent 4"/>
    <w:basedOn w:val="TableNormal"/>
    <w:uiPriority w:val="61"/>
    <w:rsid w:val="006B618A"/>
    <w:pPr>
      <w:spacing w:after="0" w:line="240" w:lineRule="auto"/>
    </w:p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insideV w:val="single" w:sz="4" w:space="0" w:color="EF7F04" w:themeColor="accent4"/>
      </w:tblBorders>
    </w:tblPr>
    <w:tblStylePr w:type="firstRow">
      <w:pPr>
        <w:spacing w:before="0" w:after="0" w:line="240" w:lineRule="auto"/>
      </w:pPr>
      <w:rPr>
        <w:b/>
        <w:bCs/>
        <w:color w:val="FFFFFF" w:themeColor="background1"/>
      </w:rPr>
      <w:tblPr/>
      <w:tcPr>
        <w:tcBorders>
          <w:insideH w:val="single" w:sz="4" w:space="0" w:color="FFFFFF" w:themeColor="background1"/>
          <w:insideV w:val="single" w:sz="4" w:space="0" w:color="FFFFFF" w:themeColor="background1"/>
        </w:tcBorders>
        <w:shd w:val="clear" w:color="auto" w:fill="EF7F04" w:themeFill="accent4"/>
      </w:tcPr>
    </w:tblStylePr>
    <w:tblStylePr w:type="lastRow">
      <w:pPr>
        <w:spacing w:before="0" w:after="0" w:line="240" w:lineRule="auto"/>
      </w:pPr>
      <w:rPr>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tcBorders>
      </w:tcPr>
    </w:tblStylePr>
    <w:tblStylePr w:type="firstCol">
      <w:rPr>
        <w:b w:val="0"/>
        <w:bCs/>
      </w:rPr>
    </w:tblStylePr>
    <w:tblStylePr w:type="lastCol">
      <w:rPr>
        <w:b/>
        <w:bCs/>
      </w:r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style>
  <w:style w:type="table" w:styleId="LightList-Accent5">
    <w:name w:val="Light List Accent 5"/>
    <w:basedOn w:val="TableNormal"/>
    <w:uiPriority w:val="61"/>
    <w:rsid w:val="006B618A"/>
    <w:pPr>
      <w:spacing w:after="0" w:line="240" w:lineRule="auto"/>
    </w:pPr>
    <w:tblPr>
      <w:tblStyleRowBandSize w:val="1"/>
      <w:tblStyleColBandSize w:val="1"/>
      <w:tblBorders>
        <w:top w:val="single" w:sz="4" w:space="0" w:color="FFBB2D" w:themeColor="accent5"/>
        <w:left w:val="single" w:sz="4" w:space="0" w:color="FFBB2D" w:themeColor="accent5"/>
        <w:bottom w:val="single" w:sz="4" w:space="0" w:color="FFBB2D" w:themeColor="accent5"/>
        <w:right w:val="single" w:sz="4" w:space="0" w:color="FFBB2D" w:themeColor="accent5"/>
        <w:insideH w:val="single" w:sz="4" w:space="0" w:color="FFBB2D" w:themeColor="accent5"/>
        <w:insideV w:val="single" w:sz="4" w:space="0" w:color="FFBB2D" w:themeColor="accent5"/>
      </w:tblBorders>
    </w:tblPr>
    <w:tblStylePr w:type="firstRow">
      <w:pPr>
        <w:spacing w:before="0" w:after="0" w:line="240" w:lineRule="auto"/>
      </w:pPr>
      <w:rPr>
        <w:b/>
        <w:bCs/>
        <w:color w:val="FFFFFF" w:themeColor="background1"/>
      </w:rPr>
      <w:tblPr/>
      <w:tcPr>
        <w:tcBorders>
          <w:insideH w:val="single" w:sz="4" w:space="0" w:color="FFFFFF" w:themeColor="background1"/>
          <w:insideV w:val="single" w:sz="4" w:space="0" w:color="FFFFFF" w:themeColor="background1"/>
        </w:tcBorders>
        <w:shd w:val="clear" w:color="auto" w:fill="FFBB2D" w:themeFill="accent5"/>
      </w:tcPr>
    </w:tblStylePr>
    <w:tblStylePr w:type="lastRow">
      <w:pPr>
        <w:spacing w:before="0" w:after="0" w:line="240" w:lineRule="auto"/>
      </w:pPr>
      <w:rPr>
        <w:b/>
        <w:bCs/>
      </w:rPr>
      <w:tblPr/>
      <w:tcPr>
        <w:tcBorders>
          <w:top w:val="double" w:sz="6" w:space="0" w:color="FFBB2D" w:themeColor="accent5"/>
          <w:left w:val="single" w:sz="8" w:space="0" w:color="FFBB2D" w:themeColor="accent5"/>
          <w:bottom w:val="single" w:sz="8" w:space="0" w:color="FFBB2D" w:themeColor="accent5"/>
          <w:right w:val="single" w:sz="8" w:space="0" w:color="FFBB2D" w:themeColor="accent5"/>
        </w:tcBorders>
      </w:tcPr>
    </w:tblStylePr>
    <w:tblStylePr w:type="firstCol">
      <w:rPr>
        <w:b w:val="0"/>
        <w:bCs/>
      </w:rPr>
    </w:tblStylePr>
    <w:tblStylePr w:type="lastCol">
      <w:rPr>
        <w:b/>
        <w:bCs/>
      </w:rPr>
    </w:tblStylePr>
    <w:tblStylePr w:type="band1Vert">
      <w:tblPr/>
      <w:tcPr>
        <w:tcBorders>
          <w:top w:val="single" w:sz="8" w:space="0" w:color="FFBB2D" w:themeColor="accent5"/>
          <w:left w:val="single" w:sz="8" w:space="0" w:color="FFBB2D" w:themeColor="accent5"/>
          <w:bottom w:val="single" w:sz="8" w:space="0" w:color="FFBB2D" w:themeColor="accent5"/>
          <w:right w:val="single" w:sz="8" w:space="0" w:color="FFBB2D" w:themeColor="accent5"/>
        </w:tcBorders>
      </w:tcPr>
    </w:tblStylePr>
    <w:tblStylePr w:type="band1Horz">
      <w:tblPr/>
      <w:tcPr>
        <w:tcBorders>
          <w:top w:val="single" w:sz="8" w:space="0" w:color="FFBB2D" w:themeColor="accent5"/>
          <w:left w:val="single" w:sz="8" w:space="0" w:color="FFBB2D" w:themeColor="accent5"/>
          <w:bottom w:val="single" w:sz="8" w:space="0" w:color="FFBB2D" w:themeColor="accent5"/>
          <w:right w:val="single" w:sz="8" w:space="0" w:color="FFBB2D" w:themeColor="accent5"/>
        </w:tcBorders>
      </w:tcPr>
    </w:tblStylePr>
  </w:style>
  <w:style w:type="table" w:styleId="LightList-Accent2">
    <w:name w:val="Light List Accent 2"/>
    <w:basedOn w:val="TableNormal"/>
    <w:uiPriority w:val="61"/>
    <w:rsid w:val="006B618A"/>
    <w:pPr>
      <w:spacing w:after="0" w:line="240" w:lineRule="auto"/>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blBorders>
    </w:tblPr>
    <w:tblStylePr w:type="firstRow">
      <w:pPr>
        <w:spacing w:before="0" w:after="0" w:line="240" w:lineRule="auto"/>
      </w:pPr>
      <w:rPr>
        <w:b/>
        <w:bCs/>
        <w:color w:val="FFFFFF" w:themeColor="background1"/>
      </w:rPr>
      <w:tblPr/>
      <w:tcPr>
        <w:tcBorders>
          <w:insideH w:val="single" w:sz="4" w:space="0" w:color="FFFFFF" w:themeColor="background2"/>
          <w:insideV w:val="single" w:sz="4" w:space="0" w:color="FFFFFF" w:themeColor="background2"/>
        </w:tcBorders>
        <w:shd w:val="clear" w:color="auto" w:fill="00A6CB" w:themeFill="accent2"/>
      </w:tcPr>
    </w:tblStylePr>
    <w:tblStylePr w:type="lastRow">
      <w:pPr>
        <w:spacing w:before="0" w:after="0" w:line="240" w:lineRule="auto"/>
      </w:pPr>
      <w:rPr>
        <w:b/>
        <w:bCs/>
      </w:rPr>
      <w:tblPr/>
      <w:tcPr>
        <w:tcBorders>
          <w:top w:val="double" w:sz="6" w:space="0" w:color="00A6CB" w:themeColor="accent2"/>
          <w:left w:val="single" w:sz="8" w:space="0" w:color="00A6CB" w:themeColor="accent2"/>
          <w:bottom w:val="single" w:sz="8" w:space="0" w:color="00A6CB" w:themeColor="accent2"/>
          <w:right w:val="single" w:sz="8" w:space="0" w:color="00A6CB" w:themeColor="accent2"/>
        </w:tcBorders>
      </w:tcPr>
    </w:tblStylePr>
    <w:tblStylePr w:type="firstCol">
      <w:rPr>
        <w:b w:val="0"/>
        <w:bCs/>
      </w:rPr>
    </w:tblStylePr>
    <w:tblStylePr w:type="lastCol">
      <w:rPr>
        <w:b/>
        <w:bCs/>
      </w:rPr>
    </w:tblStylePr>
    <w:tblStylePr w:type="band1Vert">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tblStylePr w:type="band1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style>
  <w:style w:type="table" w:styleId="LightList-Accent1">
    <w:name w:val="Light List Accent 1"/>
    <w:basedOn w:val="TableNormal"/>
    <w:uiPriority w:val="61"/>
    <w:rsid w:val="006B618A"/>
    <w:pPr>
      <w:spacing w:after="0" w:line="240" w:lineRule="auto"/>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spacing w:before="0" w:after="0" w:line="240" w:lineRule="auto"/>
      </w:pPr>
      <w:rPr>
        <w:b/>
        <w:bCs/>
        <w:color w:val="FFFFFF" w:themeColor="background1"/>
      </w:rPr>
      <w:tblPr/>
      <w:tcPr>
        <w:tcBorders>
          <w:insideH w:val="single" w:sz="4" w:space="0" w:color="FFFFFF" w:themeColor="background1"/>
          <w:insideV w:val="single" w:sz="4" w:space="0" w:color="FFFFFF" w:themeColor="background1"/>
        </w:tcBorders>
        <w:shd w:val="clear" w:color="auto" w:fill="4E5053" w:themeFill="accent1"/>
      </w:tcPr>
    </w:tblStylePr>
    <w:tblStylePr w:type="lastRow">
      <w:pPr>
        <w:spacing w:before="0" w:after="0" w:line="240" w:lineRule="auto"/>
      </w:pPr>
      <w:rPr>
        <w:b/>
        <w:bCs/>
      </w:rPr>
      <w:tblPr/>
      <w:tcPr>
        <w:tcBorders>
          <w:top w:val="double" w:sz="6" w:space="0" w:color="4E5053" w:themeColor="accent1"/>
          <w:left w:val="single" w:sz="8" w:space="0" w:color="4E5053" w:themeColor="accent1"/>
          <w:bottom w:val="single" w:sz="8" w:space="0" w:color="4E5053" w:themeColor="accent1"/>
          <w:right w:val="single" w:sz="8" w:space="0" w:color="4E5053" w:themeColor="accent1"/>
        </w:tcBorders>
      </w:tcPr>
    </w:tblStylePr>
    <w:tblStylePr w:type="firstCol">
      <w:rPr>
        <w:b w:val="0"/>
        <w:bCs/>
      </w:rPr>
    </w:tblStylePr>
    <w:tblStylePr w:type="lastCol">
      <w:rPr>
        <w:b/>
        <w:bCs/>
      </w:rPr>
    </w:tblStylePr>
    <w:tblStylePr w:type="band1Vert">
      <w:tblPr/>
      <w:tcPr>
        <w:tcBorders>
          <w:top w:val="single" w:sz="8" w:space="0" w:color="4E5053" w:themeColor="accent1"/>
          <w:left w:val="single" w:sz="8" w:space="0" w:color="4E5053" w:themeColor="accent1"/>
          <w:bottom w:val="single" w:sz="8" w:space="0" w:color="4E5053" w:themeColor="accent1"/>
          <w:right w:val="single" w:sz="8" w:space="0" w:color="4E5053" w:themeColor="accent1"/>
        </w:tcBorders>
      </w:tcPr>
    </w:tblStylePr>
    <w:tblStylePr w:type="band1Horz">
      <w:tblPr/>
      <w:tcPr>
        <w:tcBorders>
          <w:top w:val="single" w:sz="8" w:space="0" w:color="4E5053" w:themeColor="accent1"/>
          <w:left w:val="single" w:sz="8" w:space="0" w:color="4E5053" w:themeColor="accent1"/>
          <w:bottom w:val="single" w:sz="8" w:space="0" w:color="4E5053" w:themeColor="accent1"/>
          <w:right w:val="single" w:sz="8" w:space="0" w:color="4E5053" w:themeColor="accent1"/>
        </w:tcBorders>
      </w:tcPr>
    </w:tblStylePr>
  </w:style>
  <w:style w:type="paragraph" w:styleId="TOC2">
    <w:name w:val="toc 2"/>
    <w:basedOn w:val="Normal"/>
    <w:next w:val="Normal"/>
    <w:autoRedefine/>
    <w:uiPriority w:val="39"/>
    <w:unhideWhenUsed/>
    <w:rsid w:val="00B30151"/>
    <w:pPr>
      <w:tabs>
        <w:tab w:val="left" w:leader="dot" w:pos="1100"/>
        <w:tab w:val="right" w:leader="dot" w:pos="9040"/>
      </w:tabs>
      <w:spacing w:before="15" w:after="10" w:line="240" w:lineRule="auto"/>
      <w:ind w:left="851" w:right="454" w:hanging="397"/>
    </w:pPr>
    <w:rPr>
      <w:color w:val="003569" w:themeColor="accent6"/>
    </w:rPr>
  </w:style>
  <w:style w:type="character" w:styleId="CommentReference">
    <w:name w:val="annotation reference"/>
    <w:basedOn w:val="DefaultParagraphFont"/>
    <w:uiPriority w:val="99"/>
    <w:semiHidden/>
    <w:unhideWhenUsed/>
    <w:rsid w:val="00B426B0"/>
    <w:rPr>
      <w:sz w:val="16"/>
      <w:szCs w:val="16"/>
    </w:rPr>
  </w:style>
  <w:style w:type="paragraph" w:styleId="CommentText">
    <w:name w:val="annotation text"/>
    <w:basedOn w:val="Normal"/>
    <w:link w:val="CommentTextChar"/>
    <w:unhideWhenUsed/>
    <w:rsid w:val="00B426B0"/>
    <w:pPr>
      <w:spacing w:line="240" w:lineRule="auto"/>
    </w:pPr>
    <w:rPr>
      <w:color w:val="4E5053"/>
      <w:sz w:val="20"/>
      <w:szCs w:val="20"/>
    </w:rPr>
  </w:style>
  <w:style w:type="character" w:customStyle="1" w:styleId="CommentTextChar">
    <w:name w:val="Comment Text Char"/>
    <w:basedOn w:val="DefaultParagraphFont"/>
    <w:link w:val="CommentText"/>
    <w:rsid w:val="00B426B0"/>
    <w:rPr>
      <w:color w:val="4E5053"/>
      <w:sz w:val="20"/>
      <w:szCs w:val="20"/>
    </w:rPr>
  </w:style>
  <w:style w:type="table" w:styleId="MediumShading1-Accent3">
    <w:name w:val="Medium Shading 1 Accent 3"/>
    <w:basedOn w:val="TableNormal"/>
    <w:uiPriority w:val="63"/>
    <w:rsid w:val="006B618A"/>
    <w:pPr>
      <w:spacing w:after="0" w:line="240" w:lineRule="auto"/>
    </w:pPr>
    <w:tblPr>
      <w:tblStyleRowBandSize w:val="1"/>
      <w:tblStyleColBandSize w:val="1"/>
      <w:tblBorders>
        <w:top w:val="single" w:sz="8" w:space="0" w:color="8CD063" w:themeColor="accent3" w:themeTint="BF"/>
        <w:left w:val="single" w:sz="8" w:space="0" w:color="8CD063" w:themeColor="accent3" w:themeTint="BF"/>
        <w:bottom w:val="single" w:sz="8" w:space="0" w:color="8CD063" w:themeColor="accent3" w:themeTint="BF"/>
        <w:right w:val="single" w:sz="8" w:space="0" w:color="8CD063" w:themeColor="accent3" w:themeTint="BF"/>
        <w:insideH w:val="single" w:sz="8" w:space="0" w:color="8CD063" w:themeColor="accent3" w:themeTint="BF"/>
      </w:tblBorders>
    </w:tblPr>
    <w:tblStylePr w:type="firstRow">
      <w:pPr>
        <w:spacing w:before="0" w:after="0" w:line="240" w:lineRule="auto"/>
      </w:pPr>
      <w:rPr>
        <w:b/>
        <w:bCs/>
        <w:color w:val="FFFFFF" w:themeColor="background1"/>
      </w:rPr>
      <w:tblPr/>
      <w:tcPr>
        <w:tcBorders>
          <w:top w:val="single" w:sz="8" w:space="0" w:color="8CD063" w:themeColor="accent3" w:themeTint="BF"/>
          <w:left w:val="single" w:sz="8" w:space="0" w:color="8CD063" w:themeColor="accent3" w:themeTint="BF"/>
          <w:bottom w:val="single" w:sz="8" w:space="0" w:color="8CD063" w:themeColor="accent3" w:themeTint="BF"/>
          <w:right w:val="single" w:sz="8" w:space="0" w:color="8CD063" w:themeColor="accent3" w:themeTint="BF"/>
          <w:insideH w:val="nil"/>
          <w:insideV w:val="nil"/>
        </w:tcBorders>
        <w:shd w:val="clear" w:color="auto" w:fill="68B937" w:themeFill="accent3"/>
      </w:tcPr>
    </w:tblStylePr>
    <w:tblStylePr w:type="lastRow">
      <w:pPr>
        <w:spacing w:before="0" w:after="0" w:line="240" w:lineRule="auto"/>
      </w:pPr>
      <w:rPr>
        <w:b/>
        <w:bCs/>
      </w:rPr>
      <w:tblPr/>
      <w:tcPr>
        <w:tcBorders>
          <w:top w:val="double" w:sz="6" w:space="0" w:color="8CD063" w:themeColor="accent3" w:themeTint="BF"/>
          <w:left w:val="single" w:sz="8" w:space="0" w:color="8CD063" w:themeColor="accent3" w:themeTint="BF"/>
          <w:bottom w:val="single" w:sz="8" w:space="0" w:color="8CD063" w:themeColor="accent3" w:themeTint="BF"/>
          <w:right w:val="single" w:sz="8" w:space="0" w:color="8CD063"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EFCB" w:themeFill="accent3" w:themeFillTint="3F"/>
      </w:tcPr>
    </w:tblStylePr>
    <w:tblStylePr w:type="band1Horz">
      <w:tblPr/>
      <w:tcPr>
        <w:tcBorders>
          <w:insideH w:val="nil"/>
          <w:insideV w:val="nil"/>
        </w:tcBorders>
        <w:shd w:val="clear" w:color="auto" w:fill="D9EFCB" w:themeFill="accent3" w:themeFillTint="3F"/>
      </w:tcPr>
    </w:tblStylePr>
    <w:tblStylePr w:type="band2Horz">
      <w:tblPr/>
      <w:tcPr>
        <w:tcBorders>
          <w:insideH w:val="nil"/>
          <w:insideV w:val="nil"/>
        </w:tcBorders>
      </w:tcPr>
    </w:tblStylePr>
  </w:style>
  <w:style w:type="paragraph" w:styleId="TOC3">
    <w:name w:val="toc 3"/>
    <w:basedOn w:val="Normal"/>
    <w:next w:val="Normal"/>
    <w:autoRedefine/>
    <w:uiPriority w:val="39"/>
    <w:unhideWhenUsed/>
    <w:rsid w:val="0077105E"/>
    <w:pPr>
      <w:spacing w:before="40" w:after="10" w:line="240" w:lineRule="auto"/>
      <w:ind w:left="454" w:right="284"/>
    </w:pPr>
    <w:rPr>
      <w:color w:val="003569" w:themeColor="accent6"/>
    </w:rPr>
  </w:style>
  <w:style w:type="paragraph" w:styleId="TOC4">
    <w:name w:val="toc 4"/>
    <w:basedOn w:val="Normal"/>
    <w:next w:val="Normal"/>
    <w:autoRedefine/>
    <w:uiPriority w:val="39"/>
    <w:semiHidden/>
    <w:unhideWhenUsed/>
    <w:rsid w:val="0077105E"/>
    <w:pPr>
      <w:spacing w:before="0" w:after="0"/>
      <w:ind w:left="658"/>
    </w:pPr>
    <w:rPr>
      <w:color w:val="003569" w:themeColor="accent6"/>
    </w:rPr>
  </w:style>
  <w:style w:type="paragraph" w:styleId="TOC5">
    <w:name w:val="toc 5"/>
    <w:basedOn w:val="Normal"/>
    <w:next w:val="Normal"/>
    <w:autoRedefine/>
    <w:uiPriority w:val="39"/>
    <w:semiHidden/>
    <w:unhideWhenUsed/>
    <w:rsid w:val="0077105E"/>
    <w:pPr>
      <w:spacing w:after="100"/>
      <w:ind w:left="880"/>
    </w:pPr>
    <w:rPr>
      <w:color w:val="003569" w:themeColor="accent6"/>
    </w:rPr>
  </w:style>
  <w:style w:type="table" w:styleId="LightShading-Accent3">
    <w:name w:val="Light Shading Accent 3"/>
    <w:basedOn w:val="TableNormal"/>
    <w:uiPriority w:val="60"/>
    <w:rsid w:val="0017459B"/>
    <w:pPr>
      <w:spacing w:before="120" w:after="120" w:line="240" w:lineRule="auto"/>
      <w:jc w:val="left"/>
    </w:pPr>
    <w:rPr>
      <w:lang w:val="en-US"/>
    </w:rPr>
    <w:tblPr>
      <w:tblStyleRowBandSize w:val="1"/>
      <w:tblStyleColBandSize w:val="1"/>
      <w:tblBorders>
        <w:top w:val="single" w:sz="4" w:space="0" w:color="68B937" w:themeColor="accent3"/>
        <w:left w:val="single" w:sz="4" w:space="0" w:color="68B937" w:themeColor="accent3"/>
        <w:bottom w:val="single" w:sz="4" w:space="0" w:color="68B937" w:themeColor="accent3"/>
        <w:right w:val="single" w:sz="4" w:space="0" w:color="68B937" w:themeColor="accent3"/>
        <w:insideH w:val="single" w:sz="4" w:space="0" w:color="68B937"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68B937" w:themeFill="accent3"/>
      </w:tcPr>
    </w:tblStylePr>
    <w:tblStylePr w:type="lastRow">
      <w:pPr>
        <w:spacing w:before="0" w:after="0" w:line="240" w:lineRule="auto"/>
      </w:pPr>
      <w:rPr>
        <w:b/>
        <w:bCs/>
      </w:rPr>
      <w:tblPr/>
      <w:tcPr>
        <w:tcBorders>
          <w:top w:val="single" w:sz="8" w:space="0" w:color="68B937" w:themeColor="accent3"/>
          <w:left w:val="nil"/>
          <w:bottom w:val="single" w:sz="8" w:space="0" w:color="68B937" w:themeColor="accent3"/>
          <w:right w:val="nil"/>
          <w:insideH w:val="nil"/>
          <w:insideV w:val="nil"/>
        </w:tcBorders>
      </w:tcPr>
    </w:tblStylePr>
    <w:tblStylePr w:type="firstCol">
      <w:rPr>
        <w:b w:val="0"/>
        <w:bCs/>
      </w:rPr>
    </w:tblStylePr>
    <w:tblStylePr w:type="lastCol">
      <w:rPr>
        <w:b w:val="0"/>
        <w:bCs/>
      </w:rPr>
    </w:tblStylePr>
  </w:style>
  <w:style w:type="paragraph" w:styleId="TableofFigures">
    <w:name w:val="table of figures"/>
    <w:basedOn w:val="Normal"/>
    <w:next w:val="Normal"/>
    <w:uiPriority w:val="99"/>
    <w:unhideWhenUsed/>
    <w:rsid w:val="00441D7F"/>
    <w:pPr>
      <w:spacing w:after="0"/>
    </w:pPr>
    <w:rPr>
      <w:color w:val="003569" w:themeColor="accent6"/>
    </w:rPr>
  </w:style>
  <w:style w:type="paragraph" w:styleId="CommentSubject">
    <w:name w:val="annotation subject"/>
    <w:basedOn w:val="CommentText"/>
    <w:next w:val="CommentText"/>
    <w:link w:val="CommentSubjectChar"/>
    <w:uiPriority w:val="99"/>
    <w:semiHidden/>
    <w:unhideWhenUsed/>
    <w:rsid w:val="00FD45BA"/>
    <w:rPr>
      <w:b/>
      <w:bCs/>
      <w:color w:val="4E5053" w:themeColor="text1"/>
    </w:rPr>
  </w:style>
  <w:style w:type="character" w:customStyle="1" w:styleId="CommentSubjectChar">
    <w:name w:val="Comment Subject Char"/>
    <w:basedOn w:val="CommentTextChar"/>
    <w:link w:val="CommentSubject"/>
    <w:uiPriority w:val="99"/>
    <w:semiHidden/>
    <w:rsid w:val="00FD45BA"/>
    <w:rPr>
      <w:b/>
      <w:bCs/>
      <w:color w:val="4E5053"/>
      <w:sz w:val="20"/>
      <w:szCs w:val="20"/>
    </w:rPr>
  </w:style>
  <w:style w:type="paragraph" w:customStyle="1" w:styleId="EndNoteBibliographyTitle">
    <w:name w:val="EndNote Bibliography Title"/>
    <w:basedOn w:val="Normal"/>
    <w:link w:val="EndNoteBibliographyTitleChar"/>
    <w:rsid w:val="008B61B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B61B7"/>
    <w:rPr>
      <w:rFonts w:ascii="Calibri" w:hAnsi="Calibri" w:cs="Calibri"/>
      <w:noProof/>
      <w:lang w:val="en-US"/>
    </w:rPr>
  </w:style>
  <w:style w:type="paragraph" w:customStyle="1" w:styleId="EndNoteBibliography">
    <w:name w:val="EndNote Bibliography"/>
    <w:basedOn w:val="Normal"/>
    <w:link w:val="EndNoteBibliographyChar"/>
    <w:rsid w:val="008B61B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B61B7"/>
    <w:rPr>
      <w:rFonts w:ascii="Calibri" w:hAnsi="Calibri" w:cs="Calibri"/>
      <w:noProof/>
      <w:lang w:val="en-US"/>
    </w:rPr>
  </w:style>
  <w:style w:type="table" w:styleId="ListTable4-Accent6">
    <w:name w:val="List Table 4 Accent 6"/>
    <w:basedOn w:val="TableNormal"/>
    <w:uiPriority w:val="49"/>
    <w:rsid w:val="008B61B7"/>
    <w:pPr>
      <w:spacing w:after="0" w:line="240" w:lineRule="auto"/>
    </w:pPr>
    <w:tblPr>
      <w:tblStyleRowBandSize w:val="1"/>
      <w:tblStyleColBandSize w:val="1"/>
      <w:tblBorders>
        <w:top w:val="single" w:sz="4" w:space="0" w:color="0C85FF" w:themeColor="accent6" w:themeTint="99"/>
        <w:left w:val="single" w:sz="4" w:space="0" w:color="0C85FF" w:themeColor="accent6" w:themeTint="99"/>
        <w:bottom w:val="single" w:sz="4" w:space="0" w:color="0C85FF" w:themeColor="accent6" w:themeTint="99"/>
        <w:right w:val="single" w:sz="4" w:space="0" w:color="0C85FF" w:themeColor="accent6" w:themeTint="99"/>
        <w:insideH w:val="single" w:sz="4" w:space="0" w:color="0C85FF" w:themeColor="accent6" w:themeTint="99"/>
      </w:tblBorders>
    </w:tblPr>
    <w:tblStylePr w:type="firstRow">
      <w:rPr>
        <w:b/>
        <w:bCs/>
        <w:color w:val="FFFFFF" w:themeColor="background1"/>
      </w:rPr>
      <w:tblPr/>
      <w:tcPr>
        <w:tcBorders>
          <w:top w:val="single" w:sz="4" w:space="0" w:color="003569" w:themeColor="accent6"/>
          <w:left w:val="single" w:sz="4" w:space="0" w:color="003569" w:themeColor="accent6"/>
          <w:bottom w:val="single" w:sz="4" w:space="0" w:color="003569" w:themeColor="accent6"/>
          <w:right w:val="single" w:sz="4" w:space="0" w:color="003569" w:themeColor="accent6"/>
          <w:insideH w:val="nil"/>
        </w:tcBorders>
        <w:shd w:val="clear" w:color="auto" w:fill="003569" w:themeFill="accent6"/>
      </w:tcPr>
    </w:tblStylePr>
    <w:tblStylePr w:type="lastRow">
      <w:rPr>
        <w:b/>
        <w:bCs/>
      </w:rPr>
      <w:tblPr/>
      <w:tcPr>
        <w:tcBorders>
          <w:top w:val="double" w:sz="4" w:space="0" w:color="0C85FF" w:themeColor="accent6" w:themeTint="99"/>
        </w:tcBorders>
      </w:tcPr>
    </w:tblStylePr>
    <w:tblStylePr w:type="firstCol">
      <w:rPr>
        <w:b/>
        <w:bCs/>
      </w:rPr>
    </w:tblStylePr>
    <w:tblStylePr w:type="lastCol">
      <w:rPr>
        <w:b/>
        <w:bCs/>
      </w:rPr>
    </w:tblStylePr>
    <w:tblStylePr w:type="band1Vert">
      <w:tblPr/>
      <w:tcPr>
        <w:shd w:val="clear" w:color="auto" w:fill="AED6FF" w:themeFill="accent6" w:themeFillTint="33"/>
      </w:tcPr>
    </w:tblStylePr>
    <w:tblStylePr w:type="band1Horz">
      <w:tblPr/>
      <w:tcPr>
        <w:shd w:val="clear" w:color="auto" w:fill="AED6FF" w:themeFill="accent6" w:themeFillTint="33"/>
      </w:tcPr>
    </w:tblStylePr>
  </w:style>
  <w:style w:type="table" w:styleId="ListTable3-Accent6">
    <w:name w:val="List Table 3 Accent 6"/>
    <w:basedOn w:val="TableNormal"/>
    <w:uiPriority w:val="48"/>
    <w:rsid w:val="008B61B7"/>
    <w:pPr>
      <w:spacing w:after="0" w:line="240" w:lineRule="auto"/>
    </w:pPr>
    <w:tblPr>
      <w:tblStyleRowBandSize w:val="1"/>
      <w:tblStyleColBandSize w:val="1"/>
      <w:tblBorders>
        <w:top w:val="single" w:sz="4" w:space="0" w:color="003569" w:themeColor="accent6"/>
        <w:left w:val="single" w:sz="4" w:space="0" w:color="003569" w:themeColor="accent6"/>
        <w:bottom w:val="single" w:sz="4" w:space="0" w:color="003569" w:themeColor="accent6"/>
        <w:right w:val="single" w:sz="4" w:space="0" w:color="003569" w:themeColor="accent6"/>
      </w:tblBorders>
    </w:tblPr>
    <w:tblStylePr w:type="firstRow">
      <w:rPr>
        <w:b/>
        <w:bCs/>
        <w:color w:val="FFFFFF" w:themeColor="background1"/>
      </w:rPr>
      <w:tblPr/>
      <w:tcPr>
        <w:shd w:val="clear" w:color="auto" w:fill="003569" w:themeFill="accent6"/>
      </w:tcPr>
    </w:tblStylePr>
    <w:tblStylePr w:type="lastRow">
      <w:rPr>
        <w:b/>
        <w:bCs/>
      </w:rPr>
      <w:tblPr/>
      <w:tcPr>
        <w:tcBorders>
          <w:top w:val="double" w:sz="4" w:space="0" w:color="00356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569" w:themeColor="accent6"/>
          <w:right w:val="single" w:sz="4" w:space="0" w:color="003569" w:themeColor="accent6"/>
        </w:tcBorders>
      </w:tcPr>
    </w:tblStylePr>
    <w:tblStylePr w:type="band1Horz">
      <w:tblPr/>
      <w:tcPr>
        <w:tcBorders>
          <w:top w:val="single" w:sz="4" w:space="0" w:color="003569" w:themeColor="accent6"/>
          <w:bottom w:val="single" w:sz="4" w:space="0" w:color="00356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themeColor="accent6"/>
          <w:left w:val="nil"/>
        </w:tcBorders>
      </w:tcPr>
    </w:tblStylePr>
    <w:tblStylePr w:type="swCell">
      <w:tblPr/>
      <w:tcPr>
        <w:tcBorders>
          <w:top w:val="double" w:sz="4" w:space="0" w:color="003569" w:themeColor="accent6"/>
          <w:right w:val="nil"/>
        </w:tcBorders>
      </w:tcPr>
    </w:tblStylePr>
  </w:style>
  <w:style w:type="table" w:styleId="GridTable4-Accent6">
    <w:name w:val="Grid Table 4 Accent 6"/>
    <w:basedOn w:val="TableNormal"/>
    <w:uiPriority w:val="49"/>
    <w:rsid w:val="008B61B7"/>
    <w:pPr>
      <w:spacing w:after="0" w:line="240" w:lineRule="auto"/>
    </w:pPr>
    <w:tblPr>
      <w:tblStyleRowBandSize w:val="1"/>
      <w:tblStyleColBandSize w:val="1"/>
      <w:tblBorders>
        <w:top w:val="single" w:sz="4" w:space="0" w:color="0C85FF" w:themeColor="accent6" w:themeTint="99"/>
        <w:left w:val="single" w:sz="4" w:space="0" w:color="0C85FF" w:themeColor="accent6" w:themeTint="99"/>
        <w:bottom w:val="single" w:sz="4" w:space="0" w:color="0C85FF" w:themeColor="accent6" w:themeTint="99"/>
        <w:right w:val="single" w:sz="4" w:space="0" w:color="0C85FF" w:themeColor="accent6" w:themeTint="99"/>
        <w:insideH w:val="single" w:sz="4" w:space="0" w:color="0C85FF" w:themeColor="accent6" w:themeTint="99"/>
        <w:insideV w:val="single" w:sz="4" w:space="0" w:color="0C85FF" w:themeColor="accent6" w:themeTint="99"/>
      </w:tblBorders>
    </w:tblPr>
    <w:tblStylePr w:type="firstRow">
      <w:rPr>
        <w:b/>
        <w:bCs/>
        <w:color w:val="FFFFFF" w:themeColor="background1"/>
      </w:rPr>
      <w:tblPr/>
      <w:tcPr>
        <w:tcBorders>
          <w:top w:val="single" w:sz="4" w:space="0" w:color="003569" w:themeColor="accent6"/>
          <w:left w:val="single" w:sz="4" w:space="0" w:color="003569" w:themeColor="accent6"/>
          <w:bottom w:val="single" w:sz="4" w:space="0" w:color="003569" w:themeColor="accent6"/>
          <w:right w:val="single" w:sz="4" w:space="0" w:color="003569" w:themeColor="accent6"/>
          <w:insideH w:val="nil"/>
          <w:insideV w:val="nil"/>
        </w:tcBorders>
        <w:shd w:val="clear" w:color="auto" w:fill="003569" w:themeFill="accent6"/>
      </w:tcPr>
    </w:tblStylePr>
    <w:tblStylePr w:type="lastRow">
      <w:rPr>
        <w:b/>
        <w:bCs/>
      </w:rPr>
      <w:tblPr/>
      <w:tcPr>
        <w:tcBorders>
          <w:top w:val="double" w:sz="4" w:space="0" w:color="003569" w:themeColor="accent6"/>
        </w:tcBorders>
      </w:tcPr>
    </w:tblStylePr>
    <w:tblStylePr w:type="firstCol">
      <w:rPr>
        <w:b/>
        <w:bCs/>
      </w:rPr>
    </w:tblStylePr>
    <w:tblStylePr w:type="lastCol">
      <w:rPr>
        <w:b/>
        <w:bCs/>
      </w:rPr>
    </w:tblStylePr>
    <w:tblStylePr w:type="band1Vert">
      <w:tblPr/>
      <w:tcPr>
        <w:shd w:val="clear" w:color="auto" w:fill="AED6FF" w:themeFill="accent6" w:themeFillTint="33"/>
      </w:tcPr>
    </w:tblStylePr>
    <w:tblStylePr w:type="band1Horz">
      <w:tblPr/>
      <w:tcPr>
        <w:shd w:val="clear" w:color="auto" w:fill="AED6FF" w:themeFill="accent6" w:themeFillTint="33"/>
      </w:tcPr>
    </w:tblStylePr>
  </w:style>
  <w:style w:type="character" w:customStyle="1" w:styleId="UnresolvedMention1">
    <w:name w:val="Unresolved Mention1"/>
    <w:basedOn w:val="DefaultParagraphFont"/>
    <w:uiPriority w:val="99"/>
    <w:semiHidden/>
    <w:unhideWhenUsed/>
    <w:rsid w:val="008B61B7"/>
    <w:rPr>
      <w:color w:val="808080"/>
      <w:shd w:val="clear" w:color="auto" w:fill="E6E6E6"/>
    </w:rPr>
  </w:style>
  <w:style w:type="character" w:customStyle="1" w:styleId="UnresolvedMention2">
    <w:name w:val="Unresolved Mention2"/>
    <w:basedOn w:val="DefaultParagraphFont"/>
    <w:uiPriority w:val="99"/>
    <w:semiHidden/>
    <w:unhideWhenUsed/>
    <w:rsid w:val="008B61B7"/>
    <w:rPr>
      <w:color w:val="808080"/>
      <w:shd w:val="clear" w:color="auto" w:fill="E6E6E6"/>
    </w:rPr>
  </w:style>
  <w:style w:type="paragraph" w:styleId="Revision">
    <w:name w:val="Revision"/>
    <w:hidden/>
    <w:uiPriority w:val="99"/>
    <w:semiHidden/>
    <w:rsid w:val="008B61B7"/>
    <w:pPr>
      <w:spacing w:after="0" w:line="240" w:lineRule="auto"/>
      <w:jc w:val="left"/>
    </w:pPr>
  </w:style>
  <w:style w:type="paragraph" w:customStyle="1" w:styleId="Compact">
    <w:name w:val="Compact"/>
    <w:basedOn w:val="Normal"/>
    <w:qFormat/>
    <w:rsid w:val="00F11958"/>
    <w:pPr>
      <w:spacing w:before="0" w:after="0" w:line="252" w:lineRule="auto"/>
      <w:jc w:val="left"/>
    </w:pPr>
    <w:rPr>
      <w:rFonts w:asciiTheme="majorHAnsi" w:eastAsia="SimSun" w:hAnsiTheme="majorHAnsi" w:cstheme="majorHAnsi"/>
      <w:bCs/>
      <w:color w:val="auto"/>
      <w:sz w:val="20"/>
      <w:szCs w:val="20"/>
    </w:rPr>
  </w:style>
  <w:style w:type="table" w:customStyle="1" w:styleId="Table">
    <w:name w:val="Table"/>
    <w:basedOn w:val="TableNormal"/>
    <w:uiPriority w:val="61"/>
    <w:rsid w:val="00F11958"/>
    <w:pPr>
      <w:spacing w:after="0" w:line="240" w:lineRule="auto"/>
      <w:jc w:val="left"/>
    </w:pPr>
    <w:rPr>
      <w:rFonts w:eastAsia="SimSun"/>
      <w:color w:val="4E5053"/>
    </w:rPr>
    <w:tblPr>
      <w:tblStyleRowBandSize w:val="1"/>
      <w:tblStyleColBandSize w:val="1"/>
      <w:tblInd w:w="0" w:type="nil"/>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insideV w:val="single" w:sz="4" w:space="0" w:color="FFFFFF"/>
        </w:tcBorders>
        <w:shd w:val="clear" w:color="auto" w:fill="003569"/>
      </w:tcPr>
    </w:tblStylePr>
    <w:tblStylePr w:type="lastRow">
      <w:pPr>
        <w:spacing w:beforeLines="0" w:before="0" w:beforeAutospacing="0" w:afterLines="0" w:after="0" w:afterAutospacing="0" w:line="240" w:lineRule="auto"/>
      </w:pPr>
      <w:rPr>
        <w:b/>
        <w:bCs/>
      </w:rPr>
      <w:tblPr/>
      <w:tcPr>
        <w:tcBorders>
          <w:top w:val="single" w:sz="4"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4" w:space="0" w:color="003569"/>
          <w:left w:val="single" w:sz="4" w:space="0" w:color="003569"/>
          <w:bottom w:val="single" w:sz="4" w:space="0" w:color="003569"/>
          <w:right w:val="single" w:sz="4" w:space="0" w:color="003569"/>
          <w:insideH w:val="single" w:sz="4" w:space="0" w:color="003569"/>
          <w:insideV w:val="single" w:sz="4" w:space="0" w:color="003569"/>
          <w:tl2br w:val="nil"/>
          <w:tr2bl w:val="nil"/>
        </w:tcBorders>
      </w:tcPr>
    </w:tblStylePr>
    <w:tblStylePr w:type="band2Horz">
      <w:tblPr/>
      <w:tcPr>
        <w:tcBorders>
          <w:top w:val="single" w:sz="4" w:space="0" w:color="003569"/>
          <w:left w:val="single" w:sz="4" w:space="0" w:color="003569"/>
          <w:bottom w:val="single" w:sz="4" w:space="0" w:color="003569"/>
          <w:right w:val="single" w:sz="4" w:space="0" w:color="003569"/>
          <w:insideH w:val="single" w:sz="4" w:space="0" w:color="003569"/>
          <w:insideV w:val="single" w:sz="4" w:space="0" w:color="003569"/>
          <w:tl2br w:val="nil"/>
          <w:tr2bl w:val="nil"/>
        </w:tcBorders>
      </w:tcPr>
    </w:tblStylePr>
  </w:style>
  <w:style w:type="character" w:customStyle="1" w:styleId="ref-title">
    <w:name w:val="ref-title"/>
    <w:basedOn w:val="DefaultParagraphFont"/>
    <w:rsid w:val="00F11958"/>
  </w:style>
  <w:style w:type="character" w:customStyle="1" w:styleId="element-citation">
    <w:name w:val="element-citation"/>
    <w:basedOn w:val="DefaultParagraphFont"/>
    <w:rsid w:val="00F11958"/>
  </w:style>
  <w:style w:type="character" w:customStyle="1" w:styleId="ref-journal">
    <w:name w:val="ref-journal"/>
    <w:basedOn w:val="DefaultParagraphFont"/>
    <w:rsid w:val="00F11958"/>
  </w:style>
  <w:style w:type="character" w:customStyle="1" w:styleId="ref-vol">
    <w:name w:val="ref-vol"/>
    <w:basedOn w:val="DefaultParagraphFont"/>
    <w:rsid w:val="00F11958"/>
  </w:style>
  <w:style w:type="character" w:customStyle="1" w:styleId="nowrap">
    <w:name w:val="nowrap"/>
    <w:basedOn w:val="DefaultParagraphFont"/>
    <w:rsid w:val="00F11958"/>
  </w:style>
  <w:style w:type="paragraph" w:customStyle="1" w:styleId="p">
    <w:name w:val="p"/>
    <w:basedOn w:val="Normal"/>
    <w:rsid w:val="00F11958"/>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styleId="Emphasis">
    <w:name w:val="Emphasis"/>
    <w:basedOn w:val="DefaultParagraphFont"/>
    <w:uiPriority w:val="20"/>
    <w:qFormat/>
    <w:rsid w:val="00F11958"/>
    <w:rPr>
      <w:i/>
      <w:iCs/>
    </w:rPr>
  </w:style>
  <w:style w:type="character" w:customStyle="1" w:styleId="BodyTextChar">
    <w:name w:val="Body Text Char"/>
    <w:basedOn w:val="DefaultParagraphFont"/>
    <w:link w:val="BodyText"/>
    <w:semiHidden/>
    <w:rsid w:val="00F11958"/>
    <w:rPr>
      <w:rFonts w:ascii="Calibri" w:eastAsia="Times New Roman" w:hAnsi="Calibri" w:cs="Times New Roman"/>
      <w:color w:val="4E5053"/>
    </w:rPr>
  </w:style>
  <w:style w:type="paragraph" w:styleId="BodyText">
    <w:name w:val="Body Text"/>
    <w:basedOn w:val="Normal"/>
    <w:next w:val="Normal"/>
    <w:link w:val="BodyTextChar"/>
    <w:semiHidden/>
    <w:unhideWhenUsed/>
    <w:qFormat/>
    <w:rsid w:val="00F11958"/>
    <w:rPr>
      <w:rFonts w:ascii="Calibri" w:eastAsia="Times New Roman" w:hAnsi="Calibri" w:cs="Times New Roman"/>
      <w:color w:val="4E5053"/>
    </w:rPr>
  </w:style>
  <w:style w:type="paragraph" w:customStyle="1" w:styleId="FirstParagraph">
    <w:name w:val="First Paragraph"/>
    <w:basedOn w:val="Normal"/>
    <w:next w:val="Normal"/>
    <w:qFormat/>
    <w:rsid w:val="00F11958"/>
    <w:rPr>
      <w:rFonts w:ascii="Calibri" w:eastAsia="Times New Roman" w:hAnsi="Calibri" w:cs="Times New Roman"/>
      <w:color w:val="4E5053"/>
    </w:rPr>
  </w:style>
  <w:style w:type="table" w:styleId="TableGridLight">
    <w:name w:val="Grid Table Light"/>
    <w:basedOn w:val="TableNormal"/>
    <w:uiPriority w:val="40"/>
    <w:rsid w:val="00F119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BodyText"/>
    <w:link w:val="TitleChar"/>
    <w:qFormat/>
    <w:rsid w:val="00F11958"/>
    <w:pPr>
      <w:keepNext/>
      <w:keepLines/>
      <w:spacing w:before="100" w:beforeAutospacing="1"/>
      <w:jc w:val="center"/>
    </w:pPr>
    <w:rPr>
      <w:rFonts w:asciiTheme="majorHAnsi" w:eastAsiaTheme="majorEastAsia" w:hAnsiTheme="majorHAnsi" w:cstheme="majorBidi"/>
      <w:b/>
      <w:bCs/>
      <w:color w:val="37383A" w:themeColor="accent1" w:themeShade="B5"/>
      <w:sz w:val="36"/>
      <w:szCs w:val="36"/>
      <w:u w:val="single"/>
    </w:rPr>
  </w:style>
  <w:style w:type="character" w:customStyle="1" w:styleId="TitleChar">
    <w:name w:val="Title Char"/>
    <w:basedOn w:val="DefaultParagraphFont"/>
    <w:link w:val="Title"/>
    <w:rsid w:val="00F11958"/>
    <w:rPr>
      <w:rFonts w:asciiTheme="majorHAnsi" w:eastAsiaTheme="majorEastAsia" w:hAnsiTheme="majorHAnsi" w:cstheme="majorBidi"/>
      <w:b/>
      <w:bCs/>
      <w:color w:val="37383A" w:themeColor="accent1" w:themeShade="B5"/>
      <w:sz w:val="36"/>
      <w:szCs w:val="36"/>
      <w:u w:val="single"/>
    </w:rPr>
  </w:style>
  <w:style w:type="paragraph" w:customStyle="1" w:styleId="msonormal0">
    <w:name w:val="msonormal"/>
    <w:basedOn w:val="Normal"/>
    <w:rsid w:val="00F11958"/>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FootnoteTextChar">
    <w:name w:val="Footnote Text Char"/>
    <w:basedOn w:val="DefaultParagraphFont"/>
    <w:link w:val="FootnoteText"/>
    <w:uiPriority w:val="9"/>
    <w:semiHidden/>
    <w:rsid w:val="00F11958"/>
    <w:rPr>
      <w:rFonts w:ascii="Calibri" w:eastAsia="Times New Roman" w:hAnsi="Calibri" w:cs="Times New Roman"/>
      <w:color w:val="4E5053"/>
    </w:rPr>
  </w:style>
  <w:style w:type="paragraph" w:styleId="FootnoteText">
    <w:name w:val="footnote text"/>
    <w:basedOn w:val="Normal"/>
    <w:link w:val="FootnoteTextChar"/>
    <w:uiPriority w:val="9"/>
    <w:semiHidden/>
    <w:unhideWhenUsed/>
    <w:qFormat/>
    <w:rsid w:val="00F11958"/>
    <w:rPr>
      <w:rFonts w:ascii="Calibri" w:eastAsia="Times New Roman" w:hAnsi="Calibri" w:cs="Times New Roman"/>
      <w:color w:val="4E5053"/>
    </w:rPr>
  </w:style>
  <w:style w:type="paragraph" w:styleId="Subtitle">
    <w:name w:val="Subtitle"/>
    <w:basedOn w:val="Title"/>
    <w:next w:val="BodyText"/>
    <w:link w:val="SubtitleChar"/>
    <w:qFormat/>
    <w:rsid w:val="00F11958"/>
    <w:rPr>
      <w:sz w:val="30"/>
      <w:szCs w:val="30"/>
    </w:rPr>
  </w:style>
  <w:style w:type="character" w:customStyle="1" w:styleId="SubtitleChar">
    <w:name w:val="Subtitle Char"/>
    <w:basedOn w:val="DefaultParagraphFont"/>
    <w:link w:val="Subtitle"/>
    <w:rsid w:val="00F11958"/>
    <w:rPr>
      <w:rFonts w:asciiTheme="majorHAnsi" w:eastAsiaTheme="majorEastAsia" w:hAnsiTheme="majorHAnsi" w:cstheme="majorBidi"/>
      <w:b/>
      <w:bCs/>
      <w:color w:val="37383A" w:themeColor="accent1" w:themeShade="B5"/>
      <w:sz w:val="30"/>
      <w:szCs w:val="30"/>
      <w:u w:val="single"/>
    </w:rPr>
  </w:style>
  <w:style w:type="character" w:customStyle="1" w:styleId="DateChar">
    <w:name w:val="Date Char"/>
    <w:basedOn w:val="DefaultParagraphFont"/>
    <w:link w:val="Date"/>
    <w:semiHidden/>
    <w:rsid w:val="00F11958"/>
    <w:rPr>
      <w:rFonts w:eastAsiaTheme="minorHAnsi"/>
      <w:color w:val="auto"/>
      <w:sz w:val="24"/>
      <w:szCs w:val="24"/>
      <w:lang w:val="en-US"/>
    </w:rPr>
  </w:style>
  <w:style w:type="paragraph" w:styleId="Date">
    <w:name w:val="Date"/>
    <w:next w:val="BodyText"/>
    <w:link w:val="DateChar"/>
    <w:semiHidden/>
    <w:unhideWhenUsed/>
    <w:qFormat/>
    <w:rsid w:val="00F11958"/>
    <w:pPr>
      <w:keepNext/>
      <w:keepLines/>
      <w:spacing w:line="240" w:lineRule="auto"/>
      <w:jc w:val="center"/>
    </w:pPr>
    <w:rPr>
      <w:rFonts w:eastAsiaTheme="minorHAnsi"/>
      <w:color w:val="auto"/>
      <w:sz w:val="24"/>
      <w:szCs w:val="24"/>
      <w:lang w:val="en-US"/>
    </w:rPr>
  </w:style>
  <w:style w:type="paragraph" w:customStyle="1" w:styleId="Author">
    <w:name w:val="Author"/>
    <w:next w:val="BodyText"/>
    <w:qFormat/>
    <w:rsid w:val="00F11958"/>
    <w:pPr>
      <w:keepNext/>
      <w:keepLines/>
      <w:spacing w:line="240" w:lineRule="auto"/>
      <w:jc w:val="center"/>
    </w:pPr>
    <w:rPr>
      <w:rFonts w:eastAsiaTheme="minorHAnsi"/>
      <w:color w:val="auto"/>
      <w:sz w:val="24"/>
      <w:szCs w:val="24"/>
      <w:lang w:val="en-US"/>
    </w:rPr>
  </w:style>
  <w:style w:type="paragraph" w:customStyle="1" w:styleId="Abstract">
    <w:name w:val="Abstract"/>
    <w:basedOn w:val="Normal"/>
    <w:next w:val="BodyText"/>
    <w:qFormat/>
    <w:rsid w:val="00F11958"/>
    <w:pPr>
      <w:keepNext/>
      <w:keepLines/>
      <w:spacing w:before="300" w:after="300"/>
    </w:pPr>
    <w:rPr>
      <w:rFonts w:ascii="Calibri" w:eastAsia="Times New Roman" w:hAnsi="Calibri" w:cs="Times New Roman"/>
      <w:color w:val="4E5053"/>
      <w:sz w:val="20"/>
      <w:szCs w:val="20"/>
    </w:rPr>
  </w:style>
  <w:style w:type="paragraph" w:customStyle="1" w:styleId="Definition">
    <w:name w:val="Definition"/>
    <w:basedOn w:val="Normal"/>
    <w:rsid w:val="00F11958"/>
    <w:rPr>
      <w:rFonts w:ascii="Calibri" w:eastAsia="Times New Roman" w:hAnsi="Calibri" w:cs="Times New Roman"/>
      <w:color w:val="4E5053"/>
    </w:rPr>
  </w:style>
  <w:style w:type="paragraph" w:customStyle="1" w:styleId="DefinitionTerm">
    <w:name w:val="Definition Term"/>
    <w:basedOn w:val="Normal"/>
    <w:next w:val="Definition"/>
    <w:rsid w:val="00F11958"/>
    <w:pPr>
      <w:keepNext/>
      <w:keepLines/>
      <w:spacing w:after="0"/>
    </w:pPr>
    <w:rPr>
      <w:rFonts w:ascii="Calibri" w:eastAsia="Times New Roman" w:hAnsi="Calibri" w:cs="Times New Roman"/>
      <w:b/>
      <w:color w:val="4E5053"/>
    </w:rPr>
  </w:style>
  <w:style w:type="paragraph" w:customStyle="1" w:styleId="TableCaption">
    <w:name w:val="Table Caption"/>
    <w:basedOn w:val="Caption"/>
    <w:rsid w:val="00F11958"/>
    <w:pPr>
      <w:spacing w:before="120" w:after="120" w:line="276" w:lineRule="auto"/>
    </w:pPr>
    <w:rPr>
      <w:b w:val="0"/>
      <w:bCs w:val="0"/>
      <w:i/>
    </w:rPr>
  </w:style>
  <w:style w:type="paragraph" w:customStyle="1" w:styleId="ImageCaption">
    <w:name w:val="Image Caption"/>
    <w:basedOn w:val="Caption"/>
    <w:rsid w:val="00F11958"/>
    <w:pPr>
      <w:keepNext w:val="0"/>
      <w:spacing w:before="120" w:after="120" w:line="276" w:lineRule="auto"/>
    </w:pPr>
    <w:rPr>
      <w:b w:val="0"/>
      <w:bCs w:val="0"/>
      <w:i/>
    </w:rPr>
  </w:style>
  <w:style w:type="paragraph" w:customStyle="1" w:styleId="Figure">
    <w:name w:val="Figure"/>
    <w:basedOn w:val="Normal"/>
    <w:rsid w:val="00F11958"/>
    <w:rPr>
      <w:rFonts w:ascii="Calibri" w:eastAsia="Times New Roman" w:hAnsi="Calibri" w:cs="Times New Roman"/>
      <w:color w:val="4E5053"/>
    </w:rPr>
  </w:style>
  <w:style w:type="paragraph" w:customStyle="1" w:styleId="FigurewithCaption">
    <w:name w:val="Figure with Caption"/>
    <w:basedOn w:val="Figure"/>
    <w:rsid w:val="00F11958"/>
    <w:pPr>
      <w:keepNext/>
    </w:pPr>
  </w:style>
  <w:style w:type="character" w:customStyle="1" w:styleId="VerbatimChar">
    <w:name w:val="Verbatim Char"/>
    <w:basedOn w:val="CaptionChar"/>
    <w:link w:val="SourceCode"/>
    <w:locked/>
    <w:rsid w:val="00F11958"/>
    <w:rPr>
      <w:rFonts w:ascii="Consolas" w:eastAsia="Times New Roman" w:hAnsi="Consolas" w:cs="Times New Roman"/>
      <w:b/>
      <w:bCs/>
      <w:color w:val="4E5053"/>
      <w:shd w:val="clear" w:color="auto" w:fill="F8F8F8"/>
    </w:rPr>
  </w:style>
  <w:style w:type="paragraph" w:customStyle="1" w:styleId="SourceCode">
    <w:name w:val="Source Code"/>
    <w:basedOn w:val="Normal"/>
    <w:link w:val="VerbatimChar"/>
    <w:rsid w:val="00F11958"/>
    <w:pPr>
      <w:shd w:val="clear" w:color="auto" w:fill="F8F8F8"/>
      <w:wordWrap w:val="0"/>
    </w:pPr>
    <w:rPr>
      <w:rFonts w:ascii="Consolas" w:hAnsi="Consolas"/>
      <w:b/>
      <w:bCs/>
    </w:rPr>
  </w:style>
  <w:style w:type="character" w:customStyle="1" w:styleId="KeywordTok">
    <w:name w:val="KeywordTok"/>
    <w:basedOn w:val="VerbatimChar"/>
    <w:rsid w:val="00F11958"/>
    <w:rPr>
      <w:rFonts w:ascii="Consolas" w:eastAsia="Times New Roman" w:hAnsi="Consolas" w:cs="Times New Roman"/>
      <w:b w:val="0"/>
      <w:bCs/>
      <w:color w:val="204A87"/>
      <w:shd w:val="clear" w:color="auto" w:fill="F8F8F8"/>
    </w:rPr>
  </w:style>
  <w:style w:type="character" w:customStyle="1" w:styleId="DataTypeTok">
    <w:name w:val="DataTypeTok"/>
    <w:basedOn w:val="VerbatimChar"/>
    <w:rsid w:val="00F11958"/>
    <w:rPr>
      <w:rFonts w:ascii="Consolas" w:eastAsia="Times New Roman" w:hAnsi="Consolas" w:cs="Times New Roman"/>
      <w:b/>
      <w:bCs/>
      <w:color w:val="204A87"/>
      <w:shd w:val="clear" w:color="auto" w:fill="F8F8F8"/>
    </w:rPr>
  </w:style>
  <w:style w:type="character" w:customStyle="1" w:styleId="DecValTok">
    <w:name w:val="DecValTok"/>
    <w:basedOn w:val="VerbatimChar"/>
    <w:rsid w:val="00F11958"/>
    <w:rPr>
      <w:rFonts w:ascii="Consolas" w:eastAsia="Times New Roman" w:hAnsi="Consolas" w:cs="Times New Roman"/>
      <w:b/>
      <w:bCs/>
      <w:color w:val="0000CF"/>
      <w:shd w:val="clear" w:color="auto" w:fill="F8F8F8"/>
    </w:rPr>
  </w:style>
  <w:style w:type="character" w:customStyle="1" w:styleId="BaseNTok">
    <w:name w:val="BaseNTok"/>
    <w:basedOn w:val="VerbatimChar"/>
    <w:rsid w:val="00F11958"/>
    <w:rPr>
      <w:rFonts w:ascii="Consolas" w:eastAsia="Times New Roman" w:hAnsi="Consolas" w:cs="Times New Roman"/>
      <w:b/>
      <w:bCs/>
      <w:color w:val="0000CF"/>
      <w:shd w:val="clear" w:color="auto" w:fill="F8F8F8"/>
    </w:rPr>
  </w:style>
  <w:style w:type="character" w:customStyle="1" w:styleId="FloatTok">
    <w:name w:val="FloatTok"/>
    <w:basedOn w:val="VerbatimChar"/>
    <w:rsid w:val="00F11958"/>
    <w:rPr>
      <w:rFonts w:ascii="Consolas" w:eastAsia="Times New Roman" w:hAnsi="Consolas" w:cs="Times New Roman"/>
      <w:b/>
      <w:bCs/>
      <w:color w:val="0000CF"/>
      <w:shd w:val="clear" w:color="auto" w:fill="F8F8F8"/>
    </w:rPr>
  </w:style>
  <w:style w:type="character" w:customStyle="1" w:styleId="ConstantTok">
    <w:name w:val="ConstantTok"/>
    <w:basedOn w:val="VerbatimChar"/>
    <w:rsid w:val="00F11958"/>
    <w:rPr>
      <w:rFonts w:ascii="Consolas" w:eastAsia="Times New Roman" w:hAnsi="Consolas" w:cs="Times New Roman"/>
      <w:b/>
      <w:bCs/>
      <w:color w:val="000000"/>
      <w:shd w:val="clear" w:color="auto" w:fill="F8F8F8"/>
    </w:rPr>
  </w:style>
  <w:style w:type="character" w:customStyle="1" w:styleId="CharTok">
    <w:name w:val="CharTok"/>
    <w:basedOn w:val="VerbatimChar"/>
    <w:rsid w:val="00F11958"/>
    <w:rPr>
      <w:rFonts w:ascii="Consolas" w:eastAsia="Times New Roman" w:hAnsi="Consolas" w:cs="Times New Roman"/>
      <w:b/>
      <w:bCs/>
      <w:color w:val="4E9A06"/>
      <w:shd w:val="clear" w:color="auto" w:fill="F8F8F8"/>
    </w:rPr>
  </w:style>
  <w:style w:type="character" w:customStyle="1" w:styleId="SpecialCharTok">
    <w:name w:val="SpecialCharTok"/>
    <w:basedOn w:val="VerbatimChar"/>
    <w:rsid w:val="00F11958"/>
    <w:rPr>
      <w:rFonts w:ascii="Consolas" w:eastAsia="Times New Roman" w:hAnsi="Consolas" w:cs="Times New Roman"/>
      <w:b/>
      <w:bCs/>
      <w:color w:val="000000"/>
      <w:shd w:val="clear" w:color="auto" w:fill="F8F8F8"/>
    </w:rPr>
  </w:style>
  <w:style w:type="character" w:customStyle="1" w:styleId="StringTok">
    <w:name w:val="StringTok"/>
    <w:basedOn w:val="VerbatimChar"/>
    <w:rsid w:val="00F11958"/>
    <w:rPr>
      <w:rFonts w:ascii="Consolas" w:eastAsia="Times New Roman" w:hAnsi="Consolas" w:cs="Times New Roman"/>
      <w:b/>
      <w:bCs/>
      <w:color w:val="4E9A06"/>
      <w:shd w:val="clear" w:color="auto" w:fill="F8F8F8"/>
    </w:rPr>
  </w:style>
  <w:style w:type="character" w:customStyle="1" w:styleId="VerbatimStringTok">
    <w:name w:val="VerbatimStringTok"/>
    <w:basedOn w:val="VerbatimChar"/>
    <w:rsid w:val="00F11958"/>
    <w:rPr>
      <w:rFonts w:ascii="Consolas" w:eastAsia="Times New Roman" w:hAnsi="Consolas" w:cs="Times New Roman"/>
      <w:b/>
      <w:bCs/>
      <w:color w:val="4E9A06"/>
      <w:shd w:val="clear" w:color="auto" w:fill="F8F8F8"/>
    </w:rPr>
  </w:style>
  <w:style w:type="character" w:customStyle="1" w:styleId="SpecialStringTok">
    <w:name w:val="SpecialStringTok"/>
    <w:basedOn w:val="VerbatimChar"/>
    <w:rsid w:val="00F11958"/>
    <w:rPr>
      <w:rFonts w:ascii="Consolas" w:eastAsia="Times New Roman" w:hAnsi="Consolas" w:cs="Times New Roman"/>
      <w:b/>
      <w:bCs/>
      <w:color w:val="4E9A06"/>
      <w:shd w:val="clear" w:color="auto" w:fill="F8F8F8"/>
    </w:rPr>
  </w:style>
  <w:style w:type="character" w:customStyle="1" w:styleId="ImportTok">
    <w:name w:val="ImportTok"/>
    <w:basedOn w:val="VerbatimChar"/>
    <w:rsid w:val="00F11958"/>
    <w:rPr>
      <w:rFonts w:ascii="Consolas" w:eastAsia="Times New Roman" w:hAnsi="Consolas" w:cs="Times New Roman"/>
      <w:b/>
      <w:bCs/>
      <w:color w:val="4E5053"/>
      <w:shd w:val="clear" w:color="auto" w:fill="F8F8F8"/>
    </w:rPr>
  </w:style>
  <w:style w:type="character" w:customStyle="1" w:styleId="CommentTok">
    <w:name w:val="CommentTok"/>
    <w:basedOn w:val="VerbatimChar"/>
    <w:rsid w:val="00F11958"/>
    <w:rPr>
      <w:rFonts w:ascii="Consolas" w:eastAsia="Times New Roman" w:hAnsi="Consolas" w:cs="Times New Roman"/>
      <w:b/>
      <w:bCs/>
      <w:i/>
      <w:color w:val="8F5902"/>
      <w:shd w:val="clear" w:color="auto" w:fill="F8F8F8"/>
    </w:rPr>
  </w:style>
  <w:style w:type="character" w:customStyle="1" w:styleId="DocumentationTok">
    <w:name w:val="DocumentationTok"/>
    <w:basedOn w:val="VerbatimChar"/>
    <w:rsid w:val="00F11958"/>
    <w:rPr>
      <w:rFonts w:ascii="Consolas" w:eastAsia="Times New Roman" w:hAnsi="Consolas" w:cs="Times New Roman"/>
      <w:b w:val="0"/>
      <w:bCs/>
      <w:i/>
      <w:color w:val="8F5902"/>
      <w:shd w:val="clear" w:color="auto" w:fill="F8F8F8"/>
    </w:rPr>
  </w:style>
  <w:style w:type="character" w:customStyle="1" w:styleId="AnnotationTok">
    <w:name w:val="AnnotationTok"/>
    <w:basedOn w:val="VerbatimChar"/>
    <w:rsid w:val="00F11958"/>
    <w:rPr>
      <w:rFonts w:ascii="Consolas" w:eastAsia="Times New Roman" w:hAnsi="Consolas" w:cs="Times New Roman"/>
      <w:b w:val="0"/>
      <w:bCs/>
      <w:i/>
      <w:color w:val="8F5902"/>
      <w:shd w:val="clear" w:color="auto" w:fill="F8F8F8"/>
    </w:rPr>
  </w:style>
  <w:style w:type="character" w:customStyle="1" w:styleId="CommentVarTok">
    <w:name w:val="CommentVarTok"/>
    <w:basedOn w:val="VerbatimChar"/>
    <w:rsid w:val="00F11958"/>
    <w:rPr>
      <w:rFonts w:ascii="Consolas" w:eastAsia="Times New Roman" w:hAnsi="Consolas" w:cs="Times New Roman"/>
      <w:b w:val="0"/>
      <w:bCs/>
      <w:i/>
      <w:color w:val="8F5902"/>
      <w:shd w:val="clear" w:color="auto" w:fill="F8F8F8"/>
    </w:rPr>
  </w:style>
  <w:style w:type="character" w:customStyle="1" w:styleId="OtherTok">
    <w:name w:val="OtherTok"/>
    <w:basedOn w:val="VerbatimChar"/>
    <w:rsid w:val="00F11958"/>
    <w:rPr>
      <w:rFonts w:ascii="Consolas" w:eastAsia="Times New Roman" w:hAnsi="Consolas" w:cs="Times New Roman"/>
      <w:b/>
      <w:bCs/>
      <w:color w:val="8F5902"/>
      <w:shd w:val="clear" w:color="auto" w:fill="F8F8F8"/>
    </w:rPr>
  </w:style>
  <w:style w:type="character" w:customStyle="1" w:styleId="FunctionTok">
    <w:name w:val="FunctionTok"/>
    <w:basedOn w:val="VerbatimChar"/>
    <w:rsid w:val="00F11958"/>
    <w:rPr>
      <w:rFonts w:ascii="Consolas" w:eastAsia="Times New Roman" w:hAnsi="Consolas" w:cs="Times New Roman"/>
      <w:b/>
      <w:bCs/>
      <w:color w:val="000000"/>
      <w:shd w:val="clear" w:color="auto" w:fill="F8F8F8"/>
    </w:rPr>
  </w:style>
  <w:style w:type="character" w:customStyle="1" w:styleId="VariableTok">
    <w:name w:val="VariableTok"/>
    <w:basedOn w:val="VerbatimChar"/>
    <w:rsid w:val="00F11958"/>
    <w:rPr>
      <w:rFonts w:ascii="Consolas" w:eastAsia="Times New Roman" w:hAnsi="Consolas" w:cs="Times New Roman"/>
      <w:b/>
      <w:bCs/>
      <w:color w:val="000000"/>
      <w:shd w:val="clear" w:color="auto" w:fill="F8F8F8"/>
    </w:rPr>
  </w:style>
  <w:style w:type="character" w:customStyle="1" w:styleId="ControlFlowTok">
    <w:name w:val="ControlFlowTok"/>
    <w:basedOn w:val="VerbatimChar"/>
    <w:rsid w:val="00F11958"/>
    <w:rPr>
      <w:rFonts w:ascii="Consolas" w:eastAsia="Times New Roman" w:hAnsi="Consolas" w:cs="Times New Roman"/>
      <w:b w:val="0"/>
      <w:bCs/>
      <w:color w:val="204A87"/>
      <w:shd w:val="clear" w:color="auto" w:fill="F8F8F8"/>
    </w:rPr>
  </w:style>
  <w:style w:type="character" w:customStyle="1" w:styleId="OperatorTok">
    <w:name w:val="OperatorTok"/>
    <w:basedOn w:val="VerbatimChar"/>
    <w:rsid w:val="00F11958"/>
    <w:rPr>
      <w:rFonts w:ascii="Consolas" w:eastAsia="Times New Roman" w:hAnsi="Consolas" w:cs="Times New Roman"/>
      <w:b w:val="0"/>
      <w:bCs/>
      <w:color w:val="CE5C00"/>
      <w:shd w:val="clear" w:color="auto" w:fill="F8F8F8"/>
    </w:rPr>
  </w:style>
  <w:style w:type="character" w:customStyle="1" w:styleId="BuiltInTok">
    <w:name w:val="BuiltInTok"/>
    <w:basedOn w:val="VerbatimChar"/>
    <w:rsid w:val="00F11958"/>
    <w:rPr>
      <w:rFonts w:ascii="Consolas" w:eastAsia="Times New Roman" w:hAnsi="Consolas" w:cs="Times New Roman"/>
      <w:b/>
      <w:bCs/>
      <w:color w:val="4E5053"/>
      <w:shd w:val="clear" w:color="auto" w:fill="F8F8F8"/>
    </w:rPr>
  </w:style>
  <w:style w:type="character" w:customStyle="1" w:styleId="ExtensionTok">
    <w:name w:val="ExtensionTok"/>
    <w:basedOn w:val="VerbatimChar"/>
    <w:rsid w:val="00F11958"/>
    <w:rPr>
      <w:rFonts w:ascii="Consolas" w:eastAsia="Times New Roman" w:hAnsi="Consolas" w:cs="Times New Roman"/>
      <w:b/>
      <w:bCs/>
      <w:color w:val="4E5053"/>
      <w:shd w:val="clear" w:color="auto" w:fill="F8F8F8"/>
    </w:rPr>
  </w:style>
  <w:style w:type="character" w:customStyle="1" w:styleId="PreprocessorTok">
    <w:name w:val="PreprocessorTok"/>
    <w:basedOn w:val="VerbatimChar"/>
    <w:rsid w:val="00F11958"/>
    <w:rPr>
      <w:rFonts w:ascii="Consolas" w:eastAsia="Times New Roman" w:hAnsi="Consolas" w:cs="Times New Roman"/>
      <w:b/>
      <w:bCs/>
      <w:i/>
      <w:color w:val="8F5902"/>
      <w:shd w:val="clear" w:color="auto" w:fill="F8F8F8"/>
    </w:rPr>
  </w:style>
  <w:style w:type="character" w:customStyle="1" w:styleId="AttributeTok">
    <w:name w:val="AttributeTok"/>
    <w:basedOn w:val="VerbatimChar"/>
    <w:rsid w:val="00F11958"/>
    <w:rPr>
      <w:rFonts w:ascii="Consolas" w:eastAsia="Times New Roman" w:hAnsi="Consolas" w:cs="Times New Roman"/>
      <w:b/>
      <w:bCs/>
      <w:color w:val="C4A000"/>
      <w:shd w:val="clear" w:color="auto" w:fill="F8F8F8"/>
    </w:rPr>
  </w:style>
  <w:style w:type="character" w:customStyle="1" w:styleId="RegionMarkerTok">
    <w:name w:val="RegionMarkerTok"/>
    <w:basedOn w:val="VerbatimChar"/>
    <w:rsid w:val="00F11958"/>
    <w:rPr>
      <w:rFonts w:ascii="Consolas" w:eastAsia="Times New Roman" w:hAnsi="Consolas" w:cs="Times New Roman"/>
      <w:b/>
      <w:bCs/>
      <w:color w:val="4E5053"/>
      <w:shd w:val="clear" w:color="auto" w:fill="F8F8F8"/>
    </w:rPr>
  </w:style>
  <w:style w:type="character" w:customStyle="1" w:styleId="InformationTok">
    <w:name w:val="InformationTok"/>
    <w:basedOn w:val="VerbatimChar"/>
    <w:rsid w:val="00F11958"/>
    <w:rPr>
      <w:rFonts w:ascii="Consolas" w:eastAsia="Times New Roman" w:hAnsi="Consolas" w:cs="Times New Roman"/>
      <w:b w:val="0"/>
      <w:bCs/>
      <w:i/>
      <w:color w:val="8F5902"/>
      <w:shd w:val="clear" w:color="auto" w:fill="F8F8F8"/>
    </w:rPr>
  </w:style>
  <w:style w:type="character" w:customStyle="1" w:styleId="WarningTok">
    <w:name w:val="WarningTok"/>
    <w:basedOn w:val="VerbatimChar"/>
    <w:rsid w:val="00F11958"/>
    <w:rPr>
      <w:rFonts w:ascii="Consolas" w:eastAsia="Times New Roman" w:hAnsi="Consolas" w:cs="Times New Roman"/>
      <w:b w:val="0"/>
      <w:bCs/>
      <w:i/>
      <w:color w:val="8F5902"/>
      <w:shd w:val="clear" w:color="auto" w:fill="F8F8F8"/>
    </w:rPr>
  </w:style>
  <w:style w:type="character" w:customStyle="1" w:styleId="AlertTok">
    <w:name w:val="AlertTok"/>
    <w:basedOn w:val="VerbatimChar"/>
    <w:rsid w:val="00F11958"/>
    <w:rPr>
      <w:rFonts w:ascii="Consolas" w:eastAsia="Times New Roman" w:hAnsi="Consolas" w:cs="Times New Roman"/>
      <w:b/>
      <w:bCs/>
      <w:color w:val="EF2929"/>
      <w:shd w:val="clear" w:color="auto" w:fill="F8F8F8"/>
    </w:rPr>
  </w:style>
  <w:style w:type="character" w:customStyle="1" w:styleId="ErrorTok">
    <w:name w:val="ErrorTok"/>
    <w:basedOn w:val="VerbatimChar"/>
    <w:rsid w:val="00F11958"/>
    <w:rPr>
      <w:rFonts w:ascii="Consolas" w:eastAsia="Times New Roman" w:hAnsi="Consolas" w:cs="Times New Roman"/>
      <w:b w:val="0"/>
      <w:bCs/>
      <w:color w:val="A40000"/>
      <w:shd w:val="clear" w:color="auto" w:fill="F8F8F8"/>
    </w:rPr>
  </w:style>
  <w:style w:type="character" w:customStyle="1" w:styleId="NormalTok">
    <w:name w:val="NormalTok"/>
    <w:basedOn w:val="VerbatimChar"/>
    <w:rsid w:val="00F11958"/>
    <w:rPr>
      <w:rFonts w:ascii="Consolas" w:eastAsia="Times New Roman" w:hAnsi="Consolas" w:cs="Times New Roman"/>
      <w:b/>
      <w:bCs/>
      <w:color w:val="4E5053"/>
      <w:shd w:val="clear" w:color="auto" w:fill="F8F8F8"/>
    </w:rPr>
  </w:style>
  <w:style w:type="character" w:customStyle="1" w:styleId="UnresolvedMention">
    <w:name w:val="Unresolved Mention"/>
    <w:basedOn w:val="DefaultParagraphFont"/>
    <w:uiPriority w:val="99"/>
    <w:semiHidden/>
    <w:unhideWhenUsed/>
    <w:rsid w:val="000A5201"/>
    <w:rPr>
      <w:color w:val="605E5C"/>
      <w:shd w:val="clear" w:color="auto" w:fill="E1DFDD"/>
    </w:rPr>
  </w:style>
  <w:style w:type="paragraph" w:styleId="NormalWeb">
    <w:name w:val="Normal (Web)"/>
    <w:basedOn w:val="Normal"/>
    <w:uiPriority w:val="99"/>
    <w:semiHidden/>
    <w:unhideWhenUsed/>
    <w:rsid w:val="000A5201"/>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table" w:customStyle="1" w:styleId="Table1">
    <w:name w:val="Table1"/>
    <w:basedOn w:val="TableNormal"/>
    <w:uiPriority w:val="61"/>
    <w:rsid w:val="000A5201"/>
    <w:pPr>
      <w:spacing w:after="0" w:line="240" w:lineRule="auto"/>
      <w:jc w:val="left"/>
    </w:pPr>
    <w:rPr>
      <w:rFonts w:ascii="Cambria" w:eastAsia="SimSun" w:hAnsi="Cambria" w:cs="Times New Roman"/>
      <w:color w:val="4E5053"/>
    </w:rPr>
    <w:tblPr>
      <w:tblStyleRowBandSize w:val="1"/>
      <w:tblStyleColBandSize w:val="1"/>
      <w:tblInd w:w="0" w:type="nil"/>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Pr>
    <w:tblStylePr w:type="firstRow">
      <w:pPr>
        <w:spacing w:beforeLines="0" w:before="100" w:beforeAutospacing="1" w:afterLines="0" w:after="100" w:afterAutospacing="1" w:line="240" w:lineRule="auto"/>
      </w:pPr>
      <w:rPr>
        <w:b/>
        <w:bCs/>
        <w:color w:val="FFFFFF"/>
      </w:rPr>
      <w:tblPr/>
      <w:tcPr>
        <w:tcBorders>
          <w:insideH w:val="single" w:sz="4" w:space="0" w:color="FFFFFF"/>
          <w:insideV w:val="single" w:sz="4" w:space="0" w:color="FFFFFF"/>
        </w:tcBorders>
        <w:shd w:val="clear" w:color="auto" w:fill="003569"/>
      </w:tcPr>
    </w:tblStylePr>
    <w:tblStylePr w:type="lastRow">
      <w:pPr>
        <w:spacing w:beforeLines="0" w:before="100" w:beforeAutospacing="1" w:afterLines="0" w:after="100" w:afterAutospacing="1" w:line="240" w:lineRule="auto"/>
      </w:pPr>
      <w:rPr>
        <w:b w:val="0"/>
        <w:bCs/>
      </w:rPr>
      <w:tblPr/>
      <w:tcPr>
        <w:tcBorders>
          <w:top w:val="single" w:sz="4"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4" w:space="0" w:color="003569"/>
          <w:left w:val="single" w:sz="4" w:space="0" w:color="003569"/>
          <w:bottom w:val="single" w:sz="4" w:space="0" w:color="003569"/>
          <w:right w:val="single" w:sz="4" w:space="0" w:color="003569"/>
          <w:insideH w:val="single" w:sz="4" w:space="0" w:color="003569"/>
          <w:insideV w:val="single" w:sz="4" w:space="0" w:color="003569"/>
          <w:tl2br w:val="nil"/>
          <w:tr2bl w:val="nil"/>
        </w:tcBorders>
      </w:tcPr>
    </w:tblStylePr>
    <w:tblStylePr w:type="band2Horz">
      <w:tblPr/>
      <w:tcPr>
        <w:tcBorders>
          <w:top w:val="single" w:sz="4" w:space="0" w:color="003569"/>
          <w:left w:val="single" w:sz="4" w:space="0" w:color="003569"/>
          <w:bottom w:val="single" w:sz="4" w:space="0" w:color="003569"/>
          <w:right w:val="single" w:sz="4" w:space="0" w:color="003569"/>
          <w:insideH w:val="single" w:sz="4" w:space="0" w:color="003569"/>
          <w:insideV w:val="single" w:sz="4" w:space="0" w:color="003569"/>
          <w:tl2br w:val="nil"/>
          <w:tr2bl w:val="nil"/>
        </w:tcBorders>
      </w:tcPr>
    </w:tblStylePr>
  </w:style>
  <w:style w:type="table" w:customStyle="1" w:styleId="Table2">
    <w:name w:val="Table2"/>
    <w:basedOn w:val="TableNormal"/>
    <w:uiPriority w:val="61"/>
    <w:rsid w:val="000A5201"/>
    <w:pPr>
      <w:spacing w:after="0" w:line="240" w:lineRule="auto"/>
      <w:jc w:val="left"/>
    </w:pPr>
    <w:rPr>
      <w:rFonts w:ascii="Cambria" w:eastAsia="SimSun" w:hAnsi="Cambria" w:cs="Times New Roman"/>
      <w:color w:val="4E5053"/>
    </w:rPr>
    <w:tblPr>
      <w:tblStyleRowBandSize w:val="1"/>
      <w:tblStyleColBandSize w:val="1"/>
      <w:tblInd w:w="0" w:type="nil"/>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Pr>
    <w:tblStylePr w:type="firstRow">
      <w:pPr>
        <w:spacing w:beforeLines="0" w:before="100" w:beforeAutospacing="1" w:afterLines="0" w:after="100" w:afterAutospacing="1" w:line="240" w:lineRule="auto"/>
      </w:pPr>
      <w:rPr>
        <w:b/>
        <w:bCs/>
        <w:color w:val="FFFFFF"/>
      </w:rPr>
      <w:tblPr/>
      <w:tcPr>
        <w:tcBorders>
          <w:insideH w:val="single" w:sz="4" w:space="0" w:color="FFFFFF"/>
          <w:insideV w:val="single" w:sz="4" w:space="0" w:color="FFFFFF"/>
        </w:tcBorders>
        <w:shd w:val="clear" w:color="auto" w:fill="003569"/>
      </w:tcPr>
    </w:tblStylePr>
    <w:tblStylePr w:type="lastRow">
      <w:pPr>
        <w:spacing w:beforeLines="0" w:before="100" w:beforeAutospacing="1" w:afterLines="0" w:after="100" w:afterAutospacing="1" w:line="240" w:lineRule="auto"/>
      </w:pPr>
      <w:rPr>
        <w:b w:val="0"/>
        <w:bCs/>
      </w:rPr>
      <w:tblPr/>
      <w:tcPr>
        <w:tcBorders>
          <w:top w:val="single" w:sz="4"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4" w:space="0" w:color="003569"/>
          <w:left w:val="single" w:sz="4" w:space="0" w:color="003569"/>
          <w:bottom w:val="single" w:sz="4" w:space="0" w:color="003569"/>
          <w:right w:val="single" w:sz="4" w:space="0" w:color="003569"/>
          <w:insideH w:val="single" w:sz="4" w:space="0" w:color="003569"/>
          <w:insideV w:val="single" w:sz="4" w:space="0" w:color="003569"/>
          <w:tl2br w:val="nil"/>
          <w:tr2bl w:val="nil"/>
        </w:tcBorders>
      </w:tcPr>
    </w:tblStylePr>
    <w:tblStylePr w:type="band2Horz">
      <w:tblPr/>
      <w:tcPr>
        <w:tcBorders>
          <w:top w:val="single" w:sz="4" w:space="0" w:color="003569"/>
          <w:left w:val="single" w:sz="4" w:space="0" w:color="003569"/>
          <w:bottom w:val="single" w:sz="4" w:space="0" w:color="003569"/>
          <w:right w:val="single" w:sz="4" w:space="0" w:color="003569"/>
          <w:insideH w:val="single" w:sz="4" w:space="0" w:color="003569"/>
          <w:insideV w:val="single" w:sz="4" w:space="0" w:color="003569"/>
          <w:tl2br w:val="nil"/>
          <w:tr2bl w:val="nil"/>
        </w:tcBorders>
      </w:tcPr>
    </w:tblStylePr>
  </w:style>
  <w:style w:type="character" w:styleId="FollowedHyperlink">
    <w:name w:val="FollowedHyperlink"/>
    <w:basedOn w:val="DefaultParagraphFont"/>
    <w:uiPriority w:val="99"/>
    <w:semiHidden/>
    <w:unhideWhenUsed/>
    <w:rsid w:val="000A5201"/>
    <w:rPr>
      <w:color w:val="800080" w:themeColor="followedHyperlink"/>
      <w:u w:val="single"/>
    </w:rPr>
  </w:style>
  <w:style w:type="paragraph" w:styleId="BlockText">
    <w:name w:val="Block Text"/>
    <w:basedOn w:val="BodyText"/>
    <w:next w:val="BodyText"/>
    <w:uiPriority w:val="9"/>
    <w:semiHidden/>
    <w:unhideWhenUsed/>
    <w:qFormat/>
    <w:rsid w:val="000A5201"/>
    <w:pPr>
      <w:spacing w:before="100" w:after="100"/>
    </w:pPr>
    <w:rPr>
      <w:rFonts w:asciiTheme="majorHAnsi" w:eastAsiaTheme="majorEastAsia" w:hAnsiTheme="majorHAnsi" w:cstheme="majorBidi"/>
      <w:bCs/>
      <w:sz w:val="20"/>
      <w:szCs w:val="20"/>
    </w:rPr>
  </w:style>
  <w:style w:type="paragraph" w:styleId="Bibliography">
    <w:name w:val="Bibliography"/>
    <w:basedOn w:val="Normal"/>
    <w:semiHidden/>
    <w:unhideWhenUsed/>
    <w:qFormat/>
    <w:rsid w:val="000A5201"/>
    <w:rPr>
      <w:rFonts w:ascii="Calibri" w:eastAsia="Times New Roman" w:hAnsi="Calibri" w:cs="Times New Roman"/>
      <w:color w:val="4E5053"/>
    </w:rPr>
  </w:style>
  <w:style w:type="character" w:styleId="FootnoteReference">
    <w:name w:val="footnote reference"/>
    <w:basedOn w:val="CaptionChar"/>
    <w:semiHidden/>
    <w:unhideWhenUsed/>
    <w:rsid w:val="000A5201"/>
    <w:rPr>
      <w:rFonts w:ascii="Calibri" w:eastAsia="Times New Roman" w:hAnsi="Calibri" w:cs="Times New Roman"/>
      <w:b/>
      <w:bCs/>
      <w:i/>
      <w:color w:val="4E5053"/>
      <w:vertAlign w:val="superscript"/>
    </w:rPr>
  </w:style>
  <w:style w:type="table" w:customStyle="1" w:styleId="Style1">
    <w:name w:val="Style1"/>
    <w:basedOn w:val="TableNormal"/>
    <w:uiPriority w:val="99"/>
    <w:rsid w:val="000A5201"/>
    <w:pPr>
      <w:spacing w:after="0" w:line="240" w:lineRule="auto"/>
      <w:jc w:val="left"/>
    </w:pPr>
    <w:rPr>
      <w:rFonts w:eastAsiaTheme="minorHAnsi"/>
      <w:color w:val="auto"/>
      <w:sz w:val="24"/>
      <w:szCs w:val="24"/>
      <w:lang w:val="en-US"/>
    </w:rPr>
    <w:tblPr>
      <w:tblInd w:w="0" w:type="nil"/>
    </w:tblPr>
  </w:style>
  <w:style w:type="table" w:customStyle="1" w:styleId="LightList-Accent61">
    <w:name w:val="Light List - Accent 61"/>
    <w:basedOn w:val="TableNormal"/>
    <w:uiPriority w:val="61"/>
    <w:rsid w:val="000A5201"/>
    <w:pPr>
      <w:spacing w:after="0" w:line="240" w:lineRule="auto"/>
      <w:jc w:val="left"/>
    </w:pPr>
    <w:rPr>
      <w:rFonts w:eastAsia="SimSun"/>
      <w:color w:val="4E5053"/>
    </w:rPr>
    <w:tblPr>
      <w:tblStyleRowBandSize w:val="1"/>
      <w:tblStyleColBandSize w:val="1"/>
      <w:tblInd w:w="0" w:type="nil"/>
      <w:tblBorders>
        <w:top w:val="single" w:sz="4" w:space="0" w:color="003569"/>
        <w:left w:val="single" w:sz="4" w:space="0" w:color="003569"/>
        <w:bottom w:val="single" w:sz="4" w:space="0" w:color="003569"/>
        <w:right w:val="single" w:sz="4" w:space="0" w:color="003569"/>
        <w:insideH w:val="single" w:sz="4" w:space="0" w:color="003569"/>
        <w:insideV w:val="single" w:sz="4" w:space="0" w:color="003569"/>
      </w:tblBorders>
    </w:tblPr>
    <w:tblStylePr w:type="firstRow">
      <w:pPr>
        <w:spacing w:beforeLines="0" w:before="100" w:beforeAutospacing="1" w:afterLines="0" w:after="100" w:afterAutospacing="1" w:line="240" w:lineRule="auto"/>
      </w:pPr>
      <w:rPr>
        <w:b/>
        <w:bCs/>
        <w:color w:val="FFFFFF"/>
      </w:rPr>
      <w:tblPr/>
      <w:tcPr>
        <w:tcBorders>
          <w:insideH w:val="single" w:sz="4" w:space="0" w:color="FFFFFF"/>
          <w:insideV w:val="single" w:sz="4" w:space="0" w:color="FFFFFF"/>
        </w:tcBorders>
        <w:shd w:val="clear" w:color="auto" w:fill="003569"/>
      </w:tcPr>
    </w:tblStylePr>
    <w:tblStylePr w:type="lastRow">
      <w:pPr>
        <w:spacing w:beforeLines="0" w:before="100" w:beforeAutospacing="1" w:afterLines="0" w:after="100" w:afterAutospacing="1" w:line="240" w:lineRule="auto"/>
      </w:pPr>
      <w:rPr>
        <w:b w:val="0"/>
        <w:bCs/>
      </w:rPr>
      <w:tblPr/>
      <w:tcPr>
        <w:tcBorders>
          <w:top w:val="single" w:sz="4" w:space="0" w:color="003569"/>
          <w:left w:val="single" w:sz="8" w:space="0" w:color="003569"/>
          <w:bottom w:val="single" w:sz="8" w:space="0" w:color="003569"/>
          <w:right w:val="single" w:sz="8" w:space="0" w:color="003569"/>
        </w:tcBorders>
      </w:tcPr>
    </w:tblStylePr>
    <w:tblStylePr w:type="firstCol">
      <w:rPr>
        <w:b w:val="0"/>
        <w:bCs/>
      </w:rPr>
    </w:tblStylePr>
    <w:tblStylePr w:type="lastCol">
      <w:rPr>
        <w:b w:val="0"/>
        <w:bCs/>
      </w:rPr>
    </w:tblStylePr>
    <w:tblStylePr w:type="band1Vert">
      <w:tblPr/>
      <w:tcPr>
        <w:tcBorders>
          <w:top w:val="single" w:sz="8" w:space="0" w:color="003569"/>
          <w:left w:val="single" w:sz="8" w:space="0" w:color="003569"/>
          <w:bottom w:val="single" w:sz="8" w:space="0" w:color="003569"/>
          <w:right w:val="single" w:sz="8" w:space="0" w:color="003569"/>
        </w:tcBorders>
      </w:tcPr>
    </w:tblStylePr>
    <w:tblStylePr w:type="band1Horz">
      <w:tblPr/>
      <w:tcPr>
        <w:tcBorders>
          <w:top w:val="single" w:sz="4" w:space="0" w:color="003569"/>
          <w:left w:val="single" w:sz="4" w:space="0" w:color="003569"/>
          <w:bottom w:val="single" w:sz="4" w:space="0" w:color="003569"/>
          <w:right w:val="single" w:sz="4" w:space="0" w:color="003569"/>
          <w:insideH w:val="single" w:sz="4" w:space="0" w:color="003569"/>
          <w:insideV w:val="single" w:sz="4" w:space="0" w:color="003569"/>
          <w:tl2br w:val="nil"/>
          <w:tr2bl w:val="nil"/>
        </w:tcBorders>
      </w:tcPr>
    </w:tblStylePr>
    <w:tblStylePr w:type="band2Horz">
      <w:tblPr/>
      <w:tcPr>
        <w:tcBorders>
          <w:top w:val="single" w:sz="4" w:space="0" w:color="003569"/>
          <w:left w:val="single" w:sz="4" w:space="0" w:color="003569"/>
          <w:bottom w:val="single" w:sz="4" w:space="0" w:color="003569"/>
          <w:right w:val="single" w:sz="4" w:space="0" w:color="003569"/>
          <w:insideH w:val="single" w:sz="4" w:space="0" w:color="003569"/>
          <w:insideV w:val="single" w:sz="4" w:space="0" w:color="003569"/>
          <w:tl2br w:val="nil"/>
          <w:tr2bl w:val="nil"/>
        </w:tcBorders>
      </w:tcPr>
    </w:tblStylePr>
  </w:style>
  <w:style w:type="character" w:styleId="EndnoteReference">
    <w:name w:val="endnote reference"/>
    <w:basedOn w:val="DefaultParagraphFont"/>
    <w:uiPriority w:val="99"/>
    <w:semiHidden/>
    <w:unhideWhenUsed/>
    <w:rsid w:val="000A5201"/>
    <w:rPr>
      <w:vertAlign w:val="superscript"/>
    </w:rPr>
  </w:style>
  <w:style w:type="character" w:customStyle="1" w:styleId="al-author-name-more">
    <w:name w:val="al-author-name-more"/>
    <w:basedOn w:val="DefaultParagraphFont"/>
    <w:rsid w:val="00504AB4"/>
  </w:style>
  <w:style w:type="character" w:customStyle="1" w:styleId="delimiter">
    <w:name w:val="delimiter"/>
    <w:basedOn w:val="DefaultParagraphFont"/>
    <w:rsid w:val="00504AB4"/>
  </w:style>
  <w:style w:type="table" w:customStyle="1" w:styleId="Tables2">
    <w:name w:val="Tables2"/>
    <w:basedOn w:val="TableNormal"/>
    <w:uiPriority w:val="99"/>
    <w:rsid w:val="00504CD8"/>
    <w:pPr>
      <w:spacing w:after="0" w:line="240" w:lineRule="auto"/>
      <w:jc w:val="left"/>
    </w:pPr>
    <w:rPr>
      <w:rFonts w:ascii="Times New Roman" w:eastAsia="SimSun" w:hAnsi="Times New Roman"/>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Times New Roman" w:hAnsi="Times New Roman" w:cs="Times New Roman" w:hint="default"/>
        <w:b/>
        <w:color w:val="FFFFFF"/>
        <w:sz w:val="24"/>
        <w:szCs w:val="24"/>
      </w:rPr>
      <w:tblPr/>
      <w:tcPr>
        <w:tcBorders>
          <w:insideH w:val="single" w:sz="4" w:space="0" w:color="FFFFFF"/>
          <w:insideV w:val="single" w:sz="4" w:space="0" w:color="FFFFFF"/>
        </w:tcBorders>
        <w:shd w:val="clear" w:color="auto" w:fill="003366"/>
        <w:vAlign w:val="center"/>
      </w:tcPr>
    </w:tblStylePr>
    <w:tblStylePr w:type="lastRow">
      <w:pPr>
        <w:jc w:val="center"/>
      </w:pPr>
    </w:tblStylePr>
    <w:tblStylePr w:type="firstCol">
      <w:pPr>
        <w:jc w:val="center"/>
      </w:pPr>
      <w:tblPr/>
      <w:tcPr>
        <w:vAlign w:val="center"/>
      </w:tcPr>
    </w:tblStylePr>
    <w:tblStylePr w:type="lastCol">
      <w:pPr>
        <w:jc w:val="center"/>
      </w:pPr>
      <w:rPr>
        <w:rFonts w:ascii="Times New Roman" w:hAnsi="Times New Roman" w:cs="Times New Roman" w:hint="default"/>
        <w:sz w:val="24"/>
        <w:szCs w:val="24"/>
      </w:rPr>
    </w:tblStylePr>
  </w:style>
  <w:style w:type="character" w:styleId="PlaceholderText">
    <w:name w:val="Placeholder Text"/>
    <w:basedOn w:val="DefaultParagraphFont"/>
    <w:uiPriority w:val="99"/>
    <w:semiHidden/>
    <w:rsid w:val="00BA7DD3"/>
    <w:rPr>
      <w:color w:val="808080"/>
    </w:rPr>
  </w:style>
  <w:style w:type="table" w:styleId="PlainTable1">
    <w:name w:val="Plain Table 1"/>
    <w:basedOn w:val="TableNormal"/>
    <w:uiPriority w:val="41"/>
    <w:rsid w:val="004F62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1987">
      <w:bodyDiv w:val="1"/>
      <w:marLeft w:val="0"/>
      <w:marRight w:val="0"/>
      <w:marTop w:val="0"/>
      <w:marBottom w:val="0"/>
      <w:divBdr>
        <w:top w:val="none" w:sz="0" w:space="0" w:color="auto"/>
        <w:left w:val="none" w:sz="0" w:space="0" w:color="auto"/>
        <w:bottom w:val="none" w:sz="0" w:space="0" w:color="auto"/>
        <w:right w:val="none" w:sz="0" w:space="0" w:color="auto"/>
      </w:divBdr>
    </w:div>
    <w:div w:id="37362458">
      <w:bodyDiv w:val="1"/>
      <w:marLeft w:val="0"/>
      <w:marRight w:val="0"/>
      <w:marTop w:val="0"/>
      <w:marBottom w:val="0"/>
      <w:divBdr>
        <w:top w:val="none" w:sz="0" w:space="0" w:color="auto"/>
        <w:left w:val="none" w:sz="0" w:space="0" w:color="auto"/>
        <w:bottom w:val="none" w:sz="0" w:space="0" w:color="auto"/>
        <w:right w:val="none" w:sz="0" w:space="0" w:color="auto"/>
      </w:divBdr>
    </w:div>
    <w:div w:id="39130023">
      <w:bodyDiv w:val="1"/>
      <w:marLeft w:val="0"/>
      <w:marRight w:val="0"/>
      <w:marTop w:val="0"/>
      <w:marBottom w:val="0"/>
      <w:divBdr>
        <w:top w:val="none" w:sz="0" w:space="0" w:color="auto"/>
        <w:left w:val="none" w:sz="0" w:space="0" w:color="auto"/>
        <w:bottom w:val="none" w:sz="0" w:space="0" w:color="auto"/>
        <w:right w:val="none" w:sz="0" w:space="0" w:color="auto"/>
      </w:divBdr>
    </w:div>
    <w:div w:id="77530986">
      <w:bodyDiv w:val="1"/>
      <w:marLeft w:val="0"/>
      <w:marRight w:val="0"/>
      <w:marTop w:val="0"/>
      <w:marBottom w:val="0"/>
      <w:divBdr>
        <w:top w:val="none" w:sz="0" w:space="0" w:color="auto"/>
        <w:left w:val="none" w:sz="0" w:space="0" w:color="auto"/>
        <w:bottom w:val="none" w:sz="0" w:space="0" w:color="auto"/>
        <w:right w:val="none" w:sz="0" w:space="0" w:color="auto"/>
      </w:divBdr>
    </w:div>
    <w:div w:id="80490903">
      <w:bodyDiv w:val="1"/>
      <w:marLeft w:val="0"/>
      <w:marRight w:val="0"/>
      <w:marTop w:val="0"/>
      <w:marBottom w:val="0"/>
      <w:divBdr>
        <w:top w:val="none" w:sz="0" w:space="0" w:color="auto"/>
        <w:left w:val="none" w:sz="0" w:space="0" w:color="auto"/>
        <w:bottom w:val="none" w:sz="0" w:space="0" w:color="auto"/>
        <w:right w:val="none" w:sz="0" w:space="0" w:color="auto"/>
      </w:divBdr>
    </w:div>
    <w:div w:id="129595783">
      <w:bodyDiv w:val="1"/>
      <w:marLeft w:val="0"/>
      <w:marRight w:val="0"/>
      <w:marTop w:val="0"/>
      <w:marBottom w:val="0"/>
      <w:divBdr>
        <w:top w:val="none" w:sz="0" w:space="0" w:color="auto"/>
        <w:left w:val="none" w:sz="0" w:space="0" w:color="auto"/>
        <w:bottom w:val="none" w:sz="0" w:space="0" w:color="auto"/>
        <w:right w:val="none" w:sz="0" w:space="0" w:color="auto"/>
      </w:divBdr>
    </w:div>
    <w:div w:id="143815516">
      <w:bodyDiv w:val="1"/>
      <w:marLeft w:val="0"/>
      <w:marRight w:val="0"/>
      <w:marTop w:val="0"/>
      <w:marBottom w:val="0"/>
      <w:divBdr>
        <w:top w:val="none" w:sz="0" w:space="0" w:color="auto"/>
        <w:left w:val="none" w:sz="0" w:space="0" w:color="auto"/>
        <w:bottom w:val="none" w:sz="0" w:space="0" w:color="auto"/>
        <w:right w:val="none" w:sz="0" w:space="0" w:color="auto"/>
      </w:divBdr>
      <w:divsChild>
        <w:div w:id="1276793405">
          <w:marLeft w:val="562"/>
          <w:marRight w:val="0"/>
          <w:marTop w:val="20"/>
          <w:marBottom w:val="20"/>
          <w:divBdr>
            <w:top w:val="none" w:sz="0" w:space="0" w:color="auto"/>
            <w:left w:val="none" w:sz="0" w:space="0" w:color="auto"/>
            <w:bottom w:val="none" w:sz="0" w:space="0" w:color="auto"/>
            <w:right w:val="none" w:sz="0" w:space="0" w:color="auto"/>
          </w:divBdr>
        </w:div>
      </w:divsChild>
    </w:div>
    <w:div w:id="150869880">
      <w:bodyDiv w:val="1"/>
      <w:marLeft w:val="0"/>
      <w:marRight w:val="0"/>
      <w:marTop w:val="0"/>
      <w:marBottom w:val="0"/>
      <w:divBdr>
        <w:top w:val="none" w:sz="0" w:space="0" w:color="auto"/>
        <w:left w:val="none" w:sz="0" w:space="0" w:color="auto"/>
        <w:bottom w:val="none" w:sz="0" w:space="0" w:color="auto"/>
        <w:right w:val="none" w:sz="0" w:space="0" w:color="auto"/>
      </w:divBdr>
    </w:div>
    <w:div w:id="171379295">
      <w:bodyDiv w:val="1"/>
      <w:marLeft w:val="0"/>
      <w:marRight w:val="0"/>
      <w:marTop w:val="0"/>
      <w:marBottom w:val="0"/>
      <w:divBdr>
        <w:top w:val="none" w:sz="0" w:space="0" w:color="auto"/>
        <w:left w:val="none" w:sz="0" w:space="0" w:color="auto"/>
        <w:bottom w:val="none" w:sz="0" w:space="0" w:color="auto"/>
        <w:right w:val="none" w:sz="0" w:space="0" w:color="auto"/>
      </w:divBdr>
    </w:div>
    <w:div w:id="200632963">
      <w:bodyDiv w:val="1"/>
      <w:marLeft w:val="0"/>
      <w:marRight w:val="0"/>
      <w:marTop w:val="0"/>
      <w:marBottom w:val="0"/>
      <w:divBdr>
        <w:top w:val="none" w:sz="0" w:space="0" w:color="auto"/>
        <w:left w:val="none" w:sz="0" w:space="0" w:color="auto"/>
        <w:bottom w:val="none" w:sz="0" w:space="0" w:color="auto"/>
        <w:right w:val="none" w:sz="0" w:space="0" w:color="auto"/>
      </w:divBdr>
    </w:div>
    <w:div w:id="243413611">
      <w:bodyDiv w:val="1"/>
      <w:marLeft w:val="0"/>
      <w:marRight w:val="0"/>
      <w:marTop w:val="0"/>
      <w:marBottom w:val="0"/>
      <w:divBdr>
        <w:top w:val="none" w:sz="0" w:space="0" w:color="auto"/>
        <w:left w:val="none" w:sz="0" w:space="0" w:color="auto"/>
        <w:bottom w:val="none" w:sz="0" w:space="0" w:color="auto"/>
        <w:right w:val="none" w:sz="0" w:space="0" w:color="auto"/>
      </w:divBdr>
    </w:div>
    <w:div w:id="304896956">
      <w:bodyDiv w:val="1"/>
      <w:marLeft w:val="0"/>
      <w:marRight w:val="0"/>
      <w:marTop w:val="0"/>
      <w:marBottom w:val="0"/>
      <w:divBdr>
        <w:top w:val="none" w:sz="0" w:space="0" w:color="auto"/>
        <w:left w:val="none" w:sz="0" w:space="0" w:color="auto"/>
        <w:bottom w:val="none" w:sz="0" w:space="0" w:color="auto"/>
        <w:right w:val="none" w:sz="0" w:space="0" w:color="auto"/>
      </w:divBdr>
    </w:div>
    <w:div w:id="322390073">
      <w:bodyDiv w:val="1"/>
      <w:marLeft w:val="0"/>
      <w:marRight w:val="0"/>
      <w:marTop w:val="0"/>
      <w:marBottom w:val="0"/>
      <w:divBdr>
        <w:top w:val="none" w:sz="0" w:space="0" w:color="auto"/>
        <w:left w:val="none" w:sz="0" w:space="0" w:color="auto"/>
        <w:bottom w:val="none" w:sz="0" w:space="0" w:color="auto"/>
        <w:right w:val="none" w:sz="0" w:space="0" w:color="auto"/>
      </w:divBdr>
    </w:div>
    <w:div w:id="336658917">
      <w:bodyDiv w:val="1"/>
      <w:marLeft w:val="0"/>
      <w:marRight w:val="0"/>
      <w:marTop w:val="0"/>
      <w:marBottom w:val="0"/>
      <w:divBdr>
        <w:top w:val="none" w:sz="0" w:space="0" w:color="auto"/>
        <w:left w:val="none" w:sz="0" w:space="0" w:color="auto"/>
        <w:bottom w:val="none" w:sz="0" w:space="0" w:color="auto"/>
        <w:right w:val="none" w:sz="0" w:space="0" w:color="auto"/>
      </w:divBdr>
    </w:div>
    <w:div w:id="340356546">
      <w:bodyDiv w:val="1"/>
      <w:marLeft w:val="0"/>
      <w:marRight w:val="0"/>
      <w:marTop w:val="0"/>
      <w:marBottom w:val="0"/>
      <w:divBdr>
        <w:top w:val="none" w:sz="0" w:space="0" w:color="auto"/>
        <w:left w:val="none" w:sz="0" w:space="0" w:color="auto"/>
        <w:bottom w:val="none" w:sz="0" w:space="0" w:color="auto"/>
        <w:right w:val="none" w:sz="0" w:space="0" w:color="auto"/>
      </w:divBdr>
    </w:div>
    <w:div w:id="372268746">
      <w:bodyDiv w:val="1"/>
      <w:marLeft w:val="0"/>
      <w:marRight w:val="0"/>
      <w:marTop w:val="0"/>
      <w:marBottom w:val="0"/>
      <w:divBdr>
        <w:top w:val="none" w:sz="0" w:space="0" w:color="auto"/>
        <w:left w:val="none" w:sz="0" w:space="0" w:color="auto"/>
        <w:bottom w:val="none" w:sz="0" w:space="0" w:color="auto"/>
        <w:right w:val="none" w:sz="0" w:space="0" w:color="auto"/>
      </w:divBdr>
    </w:div>
    <w:div w:id="406465291">
      <w:bodyDiv w:val="1"/>
      <w:marLeft w:val="0"/>
      <w:marRight w:val="0"/>
      <w:marTop w:val="0"/>
      <w:marBottom w:val="0"/>
      <w:divBdr>
        <w:top w:val="none" w:sz="0" w:space="0" w:color="auto"/>
        <w:left w:val="none" w:sz="0" w:space="0" w:color="auto"/>
        <w:bottom w:val="none" w:sz="0" w:space="0" w:color="auto"/>
        <w:right w:val="none" w:sz="0" w:space="0" w:color="auto"/>
      </w:divBdr>
    </w:div>
    <w:div w:id="410930403">
      <w:bodyDiv w:val="1"/>
      <w:marLeft w:val="0"/>
      <w:marRight w:val="0"/>
      <w:marTop w:val="0"/>
      <w:marBottom w:val="0"/>
      <w:divBdr>
        <w:top w:val="none" w:sz="0" w:space="0" w:color="auto"/>
        <w:left w:val="none" w:sz="0" w:space="0" w:color="auto"/>
        <w:bottom w:val="none" w:sz="0" w:space="0" w:color="auto"/>
        <w:right w:val="none" w:sz="0" w:space="0" w:color="auto"/>
      </w:divBdr>
    </w:div>
    <w:div w:id="414784584">
      <w:bodyDiv w:val="1"/>
      <w:marLeft w:val="0"/>
      <w:marRight w:val="0"/>
      <w:marTop w:val="0"/>
      <w:marBottom w:val="0"/>
      <w:divBdr>
        <w:top w:val="none" w:sz="0" w:space="0" w:color="auto"/>
        <w:left w:val="none" w:sz="0" w:space="0" w:color="auto"/>
        <w:bottom w:val="none" w:sz="0" w:space="0" w:color="auto"/>
        <w:right w:val="none" w:sz="0" w:space="0" w:color="auto"/>
      </w:divBdr>
    </w:div>
    <w:div w:id="432210435">
      <w:bodyDiv w:val="1"/>
      <w:marLeft w:val="0"/>
      <w:marRight w:val="0"/>
      <w:marTop w:val="0"/>
      <w:marBottom w:val="0"/>
      <w:divBdr>
        <w:top w:val="none" w:sz="0" w:space="0" w:color="auto"/>
        <w:left w:val="none" w:sz="0" w:space="0" w:color="auto"/>
        <w:bottom w:val="none" w:sz="0" w:space="0" w:color="auto"/>
        <w:right w:val="none" w:sz="0" w:space="0" w:color="auto"/>
      </w:divBdr>
      <w:divsChild>
        <w:div w:id="174418930">
          <w:marLeft w:val="0"/>
          <w:marRight w:val="0"/>
          <w:marTop w:val="0"/>
          <w:marBottom w:val="0"/>
          <w:divBdr>
            <w:top w:val="none" w:sz="0" w:space="0" w:color="auto"/>
            <w:left w:val="none" w:sz="0" w:space="0" w:color="auto"/>
            <w:bottom w:val="none" w:sz="0" w:space="0" w:color="auto"/>
            <w:right w:val="none" w:sz="0" w:space="0" w:color="auto"/>
          </w:divBdr>
          <w:divsChild>
            <w:div w:id="500582769">
              <w:marLeft w:val="0"/>
              <w:marRight w:val="0"/>
              <w:marTop w:val="0"/>
              <w:marBottom w:val="0"/>
              <w:divBdr>
                <w:top w:val="none" w:sz="0" w:space="0" w:color="auto"/>
                <w:left w:val="none" w:sz="0" w:space="0" w:color="auto"/>
                <w:bottom w:val="none" w:sz="0" w:space="0" w:color="auto"/>
                <w:right w:val="none" w:sz="0" w:space="0" w:color="auto"/>
              </w:divBdr>
              <w:divsChild>
                <w:div w:id="301156428">
                  <w:marLeft w:val="0"/>
                  <w:marRight w:val="0"/>
                  <w:marTop w:val="0"/>
                  <w:marBottom w:val="0"/>
                  <w:divBdr>
                    <w:top w:val="none" w:sz="0" w:space="0" w:color="auto"/>
                    <w:left w:val="none" w:sz="0" w:space="0" w:color="auto"/>
                    <w:bottom w:val="none" w:sz="0" w:space="0" w:color="auto"/>
                    <w:right w:val="none" w:sz="0" w:space="0" w:color="auto"/>
                  </w:divBdr>
                  <w:divsChild>
                    <w:div w:id="1625773575">
                      <w:marLeft w:val="0"/>
                      <w:marRight w:val="0"/>
                      <w:marTop w:val="0"/>
                      <w:marBottom w:val="0"/>
                      <w:divBdr>
                        <w:top w:val="none" w:sz="0" w:space="0" w:color="auto"/>
                        <w:left w:val="none" w:sz="0" w:space="0" w:color="auto"/>
                        <w:bottom w:val="none" w:sz="0" w:space="0" w:color="auto"/>
                        <w:right w:val="none" w:sz="0" w:space="0" w:color="auto"/>
                      </w:divBdr>
                      <w:divsChild>
                        <w:div w:id="1453281218">
                          <w:marLeft w:val="0"/>
                          <w:marRight w:val="0"/>
                          <w:marTop w:val="100"/>
                          <w:marBottom w:val="100"/>
                          <w:divBdr>
                            <w:top w:val="single" w:sz="6" w:space="8" w:color="4285F4"/>
                            <w:left w:val="single" w:sz="6" w:space="8" w:color="4285F4"/>
                            <w:bottom w:val="single" w:sz="6" w:space="0" w:color="4285F4"/>
                            <w:right w:val="single" w:sz="6" w:space="11" w:color="4285F4"/>
                          </w:divBdr>
                          <w:divsChild>
                            <w:div w:id="1218124534">
                              <w:marLeft w:val="0"/>
                              <w:marRight w:val="0"/>
                              <w:marTop w:val="0"/>
                              <w:marBottom w:val="0"/>
                              <w:divBdr>
                                <w:top w:val="none" w:sz="0" w:space="0" w:color="auto"/>
                                <w:left w:val="none" w:sz="0" w:space="0" w:color="auto"/>
                                <w:bottom w:val="none" w:sz="0" w:space="0" w:color="auto"/>
                                <w:right w:val="none" w:sz="0" w:space="0" w:color="auto"/>
                              </w:divBdr>
                              <w:divsChild>
                                <w:div w:id="873691063">
                                  <w:marLeft w:val="0"/>
                                  <w:marRight w:val="0"/>
                                  <w:marTop w:val="0"/>
                                  <w:marBottom w:val="0"/>
                                  <w:divBdr>
                                    <w:top w:val="none" w:sz="0" w:space="0" w:color="auto"/>
                                    <w:left w:val="none" w:sz="0" w:space="0" w:color="auto"/>
                                    <w:bottom w:val="none" w:sz="0" w:space="0" w:color="auto"/>
                                    <w:right w:val="none" w:sz="0" w:space="0" w:color="auto"/>
                                  </w:divBdr>
                                  <w:divsChild>
                                    <w:div w:id="3573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302557">
                      <w:marLeft w:val="0"/>
                      <w:marRight w:val="0"/>
                      <w:marTop w:val="0"/>
                      <w:marBottom w:val="0"/>
                      <w:divBdr>
                        <w:top w:val="none" w:sz="0" w:space="0" w:color="auto"/>
                        <w:left w:val="none" w:sz="0" w:space="0" w:color="auto"/>
                        <w:bottom w:val="none" w:sz="0" w:space="0" w:color="auto"/>
                        <w:right w:val="none" w:sz="0" w:space="0" w:color="auto"/>
                      </w:divBdr>
                    </w:div>
                    <w:div w:id="1626157774">
                      <w:marLeft w:val="0"/>
                      <w:marRight w:val="0"/>
                      <w:marTop w:val="120"/>
                      <w:marBottom w:val="0"/>
                      <w:divBdr>
                        <w:top w:val="none" w:sz="0" w:space="0" w:color="auto"/>
                        <w:left w:val="none" w:sz="0" w:space="0" w:color="auto"/>
                        <w:bottom w:val="none" w:sz="0" w:space="0" w:color="auto"/>
                        <w:right w:val="none" w:sz="0" w:space="0" w:color="auto"/>
                      </w:divBdr>
                      <w:divsChild>
                        <w:div w:id="933364255">
                          <w:marLeft w:val="0"/>
                          <w:marRight w:val="0"/>
                          <w:marTop w:val="0"/>
                          <w:marBottom w:val="0"/>
                          <w:divBdr>
                            <w:top w:val="none" w:sz="0" w:space="0" w:color="auto"/>
                            <w:left w:val="none" w:sz="0" w:space="0" w:color="auto"/>
                            <w:bottom w:val="none" w:sz="0" w:space="0" w:color="auto"/>
                            <w:right w:val="none" w:sz="0" w:space="0" w:color="auto"/>
                          </w:divBdr>
                          <w:divsChild>
                            <w:div w:id="951286945">
                              <w:marLeft w:val="60"/>
                              <w:marRight w:val="60"/>
                              <w:marTop w:val="60"/>
                              <w:marBottom w:val="60"/>
                              <w:divBdr>
                                <w:top w:val="none" w:sz="0" w:space="0" w:color="auto"/>
                                <w:left w:val="none" w:sz="0" w:space="0" w:color="auto"/>
                                <w:bottom w:val="none" w:sz="0" w:space="0" w:color="auto"/>
                                <w:right w:val="none" w:sz="0" w:space="0" w:color="auto"/>
                              </w:divBdr>
                              <w:divsChild>
                                <w:div w:id="240142803">
                                  <w:marLeft w:val="0"/>
                                  <w:marRight w:val="0"/>
                                  <w:marTop w:val="0"/>
                                  <w:marBottom w:val="0"/>
                                  <w:divBdr>
                                    <w:top w:val="single" w:sz="6" w:space="0" w:color="DADCE0"/>
                                    <w:left w:val="single" w:sz="6" w:space="0" w:color="DADCE0"/>
                                    <w:bottom w:val="single" w:sz="6" w:space="0" w:color="DADCE0"/>
                                    <w:right w:val="single" w:sz="6" w:space="0" w:color="DADCE0"/>
                                  </w:divBdr>
                                  <w:divsChild>
                                    <w:div w:id="1325163741">
                                      <w:marLeft w:val="0"/>
                                      <w:marRight w:val="0"/>
                                      <w:marTop w:val="0"/>
                                      <w:marBottom w:val="0"/>
                                      <w:divBdr>
                                        <w:top w:val="none" w:sz="0" w:space="0" w:color="auto"/>
                                        <w:left w:val="none" w:sz="0" w:space="0" w:color="auto"/>
                                        <w:bottom w:val="none" w:sz="0" w:space="0" w:color="auto"/>
                                        <w:right w:val="none" w:sz="0" w:space="0" w:color="auto"/>
                                      </w:divBdr>
                                    </w:div>
                                    <w:div w:id="2054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31902">
                              <w:marLeft w:val="60"/>
                              <w:marRight w:val="60"/>
                              <w:marTop w:val="60"/>
                              <w:marBottom w:val="60"/>
                              <w:divBdr>
                                <w:top w:val="none" w:sz="0" w:space="0" w:color="auto"/>
                                <w:left w:val="none" w:sz="0" w:space="0" w:color="auto"/>
                                <w:bottom w:val="none" w:sz="0" w:space="0" w:color="auto"/>
                                <w:right w:val="none" w:sz="0" w:space="0" w:color="auto"/>
                              </w:divBdr>
                              <w:divsChild>
                                <w:div w:id="1450122904">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102456731">
                              <w:marLeft w:val="60"/>
                              <w:marRight w:val="60"/>
                              <w:marTop w:val="60"/>
                              <w:marBottom w:val="60"/>
                              <w:divBdr>
                                <w:top w:val="none" w:sz="0" w:space="0" w:color="auto"/>
                                <w:left w:val="none" w:sz="0" w:space="0" w:color="auto"/>
                                <w:bottom w:val="none" w:sz="0" w:space="0" w:color="auto"/>
                                <w:right w:val="none" w:sz="0" w:space="0" w:color="auto"/>
                              </w:divBdr>
                              <w:divsChild>
                                <w:div w:id="143806259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1515286">
                              <w:marLeft w:val="60"/>
                              <w:marRight w:val="60"/>
                              <w:marTop w:val="60"/>
                              <w:marBottom w:val="60"/>
                              <w:divBdr>
                                <w:top w:val="none" w:sz="0" w:space="0" w:color="auto"/>
                                <w:left w:val="none" w:sz="0" w:space="0" w:color="auto"/>
                                <w:bottom w:val="none" w:sz="0" w:space="0" w:color="auto"/>
                                <w:right w:val="none" w:sz="0" w:space="0" w:color="auto"/>
                              </w:divBdr>
                              <w:divsChild>
                                <w:div w:id="1984692577">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510409764">
                              <w:marLeft w:val="60"/>
                              <w:marRight w:val="60"/>
                              <w:marTop w:val="60"/>
                              <w:marBottom w:val="60"/>
                              <w:divBdr>
                                <w:top w:val="none" w:sz="0" w:space="0" w:color="auto"/>
                                <w:left w:val="none" w:sz="0" w:space="0" w:color="auto"/>
                                <w:bottom w:val="none" w:sz="0" w:space="0" w:color="auto"/>
                                <w:right w:val="none" w:sz="0" w:space="0" w:color="auto"/>
                              </w:divBdr>
                              <w:divsChild>
                                <w:div w:id="12851965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493376104">
                              <w:marLeft w:val="60"/>
                              <w:marRight w:val="60"/>
                              <w:marTop w:val="60"/>
                              <w:marBottom w:val="60"/>
                              <w:divBdr>
                                <w:top w:val="none" w:sz="0" w:space="0" w:color="auto"/>
                                <w:left w:val="none" w:sz="0" w:space="0" w:color="auto"/>
                                <w:bottom w:val="none" w:sz="0" w:space="0" w:color="auto"/>
                                <w:right w:val="none" w:sz="0" w:space="0" w:color="auto"/>
                              </w:divBdr>
                              <w:divsChild>
                                <w:div w:id="789010974">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890338290">
                              <w:marLeft w:val="60"/>
                              <w:marRight w:val="60"/>
                              <w:marTop w:val="60"/>
                              <w:marBottom w:val="60"/>
                              <w:divBdr>
                                <w:top w:val="none" w:sz="0" w:space="0" w:color="auto"/>
                                <w:left w:val="none" w:sz="0" w:space="0" w:color="auto"/>
                                <w:bottom w:val="none" w:sz="0" w:space="0" w:color="auto"/>
                                <w:right w:val="none" w:sz="0" w:space="0" w:color="auto"/>
                              </w:divBdr>
                              <w:divsChild>
                                <w:div w:id="167525875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7631448">
                              <w:marLeft w:val="60"/>
                              <w:marRight w:val="60"/>
                              <w:marTop w:val="60"/>
                              <w:marBottom w:val="60"/>
                              <w:divBdr>
                                <w:top w:val="none" w:sz="0" w:space="0" w:color="auto"/>
                                <w:left w:val="none" w:sz="0" w:space="0" w:color="auto"/>
                                <w:bottom w:val="none" w:sz="0" w:space="0" w:color="auto"/>
                                <w:right w:val="none" w:sz="0" w:space="0" w:color="auto"/>
                              </w:divBdr>
                              <w:divsChild>
                                <w:div w:id="187380671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46771973">
                              <w:marLeft w:val="60"/>
                              <w:marRight w:val="60"/>
                              <w:marTop w:val="60"/>
                              <w:marBottom w:val="60"/>
                              <w:divBdr>
                                <w:top w:val="none" w:sz="0" w:space="0" w:color="auto"/>
                                <w:left w:val="none" w:sz="0" w:space="0" w:color="auto"/>
                                <w:bottom w:val="none" w:sz="0" w:space="0" w:color="auto"/>
                                <w:right w:val="none" w:sz="0" w:space="0" w:color="auto"/>
                              </w:divBdr>
                              <w:divsChild>
                                <w:div w:id="1562982354">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990595256">
                              <w:marLeft w:val="60"/>
                              <w:marRight w:val="60"/>
                              <w:marTop w:val="60"/>
                              <w:marBottom w:val="60"/>
                              <w:divBdr>
                                <w:top w:val="none" w:sz="0" w:space="0" w:color="auto"/>
                                <w:left w:val="none" w:sz="0" w:space="0" w:color="auto"/>
                                <w:bottom w:val="none" w:sz="0" w:space="0" w:color="auto"/>
                                <w:right w:val="none" w:sz="0" w:space="0" w:color="auto"/>
                              </w:divBdr>
                              <w:divsChild>
                                <w:div w:id="209323262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938829799">
                              <w:marLeft w:val="60"/>
                              <w:marRight w:val="60"/>
                              <w:marTop w:val="60"/>
                              <w:marBottom w:val="60"/>
                              <w:divBdr>
                                <w:top w:val="none" w:sz="0" w:space="0" w:color="auto"/>
                                <w:left w:val="none" w:sz="0" w:space="0" w:color="auto"/>
                                <w:bottom w:val="none" w:sz="0" w:space="0" w:color="auto"/>
                                <w:right w:val="none" w:sz="0" w:space="0" w:color="auto"/>
                              </w:divBdr>
                              <w:divsChild>
                                <w:div w:id="762452837">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414857500">
                              <w:marLeft w:val="60"/>
                              <w:marRight w:val="60"/>
                              <w:marTop w:val="60"/>
                              <w:marBottom w:val="60"/>
                              <w:divBdr>
                                <w:top w:val="none" w:sz="0" w:space="0" w:color="auto"/>
                                <w:left w:val="none" w:sz="0" w:space="0" w:color="auto"/>
                                <w:bottom w:val="none" w:sz="0" w:space="0" w:color="auto"/>
                                <w:right w:val="none" w:sz="0" w:space="0" w:color="auto"/>
                              </w:divBdr>
                              <w:divsChild>
                                <w:div w:id="67928062">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763990829">
                              <w:marLeft w:val="60"/>
                              <w:marRight w:val="60"/>
                              <w:marTop w:val="60"/>
                              <w:marBottom w:val="60"/>
                              <w:divBdr>
                                <w:top w:val="none" w:sz="0" w:space="0" w:color="auto"/>
                                <w:left w:val="none" w:sz="0" w:space="0" w:color="auto"/>
                                <w:bottom w:val="none" w:sz="0" w:space="0" w:color="auto"/>
                                <w:right w:val="none" w:sz="0" w:space="0" w:color="auto"/>
                              </w:divBdr>
                              <w:divsChild>
                                <w:div w:id="1694067085">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377972753">
                              <w:marLeft w:val="60"/>
                              <w:marRight w:val="60"/>
                              <w:marTop w:val="60"/>
                              <w:marBottom w:val="60"/>
                              <w:divBdr>
                                <w:top w:val="none" w:sz="0" w:space="0" w:color="auto"/>
                                <w:left w:val="none" w:sz="0" w:space="0" w:color="auto"/>
                                <w:bottom w:val="none" w:sz="0" w:space="0" w:color="auto"/>
                                <w:right w:val="none" w:sz="0" w:space="0" w:color="auto"/>
                              </w:divBdr>
                              <w:divsChild>
                                <w:div w:id="69723864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020164290">
                              <w:marLeft w:val="60"/>
                              <w:marRight w:val="60"/>
                              <w:marTop w:val="60"/>
                              <w:marBottom w:val="60"/>
                              <w:divBdr>
                                <w:top w:val="none" w:sz="0" w:space="0" w:color="auto"/>
                                <w:left w:val="none" w:sz="0" w:space="0" w:color="auto"/>
                                <w:bottom w:val="none" w:sz="0" w:space="0" w:color="auto"/>
                                <w:right w:val="none" w:sz="0" w:space="0" w:color="auto"/>
                              </w:divBdr>
                              <w:divsChild>
                                <w:div w:id="107793965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325593188">
                              <w:marLeft w:val="60"/>
                              <w:marRight w:val="60"/>
                              <w:marTop w:val="60"/>
                              <w:marBottom w:val="60"/>
                              <w:divBdr>
                                <w:top w:val="none" w:sz="0" w:space="0" w:color="auto"/>
                                <w:left w:val="none" w:sz="0" w:space="0" w:color="auto"/>
                                <w:bottom w:val="none" w:sz="0" w:space="0" w:color="auto"/>
                                <w:right w:val="none" w:sz="0" w:space="0" w:color="auto"/>
                              </w:divBdr>
                              <w:divsChild>
                                <w:div w:id="139231444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17532727">
                              <w:marLeft w:val="60"/>
                              <w:marRight w:val="60"/>
                              <w:marTop w:val="60"/>
                              <w:marBottom w:val="60"/>
                              <w:divBdr>
                                <w:top w:val="none" w:sz="0" w:space="0" w:color="auto"/>
                                <w:left w:val="none" w:sz="0" w:space="0" w:color="auto"/>
                                <w:bottom w:val="none" w:sz="0" w:space="0" w:color="auto"/>
                                <w:right w:val="none" w:sz="0" w:space="0" w:color="auto"/>
                              </w:divBdr>
                              <w:divsChild>
                                <w:div w:id="23817375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009671053">
                              <w:marLeft w:val="60"/>
                              <w:marRight w:val="60"/>
                              <w:marTop w:val="60"/>
                              <w:marBottom w:val="60"/>
                              <w:divBdr>
                                <w:top w:val="none" w:sz="0" w:space="0" w:color="auto"/>
                                <w:left w:val="none" w:sz="0" w:space="0" w:color="auto"/>
                                <w:bottom w:val="none" w:sz="0" w:space="0" w:color="auto"/>
                                <w:right w:val="none" w:sz="0" w:space="0" w:color="auto"/>
                              </w:divBdr>
                              <w:divsChild>
                                <w:div w:id="74588498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770077090">
                              <w:marLeft w:val="60"/>
                              <w:marRight w:val="60"/>
                              <w:marTop w:val="60"/>
                              <w:marBottom w:val="60"/>
                              <w:divBdr>
                                <w:top w:val="none" w:sz="0" w:space="0" w:color="auto"/>
                                <w:left w:val="none" w:sz="0" w:space="0" w:color="auto"/>
                                <w:bottom w:val="none" w:sz="0" w:space="0" w:color="auto"/>
                                <w:right w:val="none" w:sz="0" w:space="0" w:color="auto"/>
                              </w:divBdr>
                              <w:divsChild>
                                <w:div w:id="422650438">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926963266">
                              <w:marLeft w:val="60"/>
                              <w:marRight w:val="60"/>
                              <w:marTop w:val="60"/>
                              <w:marBottom w:val="60"/>
                              <w:divBdr>
                                <w:top w:val="none" w:sz="0" w:space="0" w:color="auto"/>
                                <w:left w:val="none" w:sz="0" w:space="0" w:color="auto"/>
                                <w:bottom w:val="none" w:sz="0" w:space="0" w:color="auto"/>
                                <w:right w:val="none" w:sz="0" w:space="0" w:color="auto"/>
                              </w:divBdr>
                              <w:divsChild>
                                <w:div w:id="1330327924">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370568395">
                              <w:marLeft w:val="60"/>
                              <w:marRight w:val="60"/>
                              <w:marTop w:val="60"/>
                              <w:marBottom w:val="60"/>
                              <w:divBdr>
                                <w:top w:val="none" w:sz="0" w:space="0" w:color="auto"/>
                                <w:left w:val="none" w:sz="0" w:space="0" w:color="auto"/>
                                <w:bottom w:val="none" w:sz="0" w:space="0" w:color="auto"/>
                                <w:right w:val="none" w:sz="0" w:space="0" w:color="auto"/>
                              </w:divBdr>
                              <w:divsChild>
                                <w:div w:id="1262908833">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400493931">
                              <w:marLeft w:val="60"/>
                              <w:marRight w:val="60"/>
                              <w:marTop w:val="60"/>
                              <w:marBottom w:val="60"/>
                              <w:divBdr>
                                <w:top w:val="none" w:sz="0" w:space="0" w:color="auto"/>
                                <w:left w:val="none" w:sz="0" w:space="0" w:color="auto"/>
                                <w:bottom w:val="none" w:sz="0" w:space="0" w:color="auto"/>
                                <w:right w:val="none" w:sz="0" w:space="0" w:color="auto"/>
                              </w:divBdr>
                              <w:divsChild>
                                <w:div w:id="79687740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108231432">
                              <w:marLeft w:val="60"/>
                              <w:marRight w:val="60"/>
                              <w:marTop w:val="60"/>
                              <w:marBottom w:val="60"/>
                              <w:divBdr>
                                <w:top w:val="none" w:sz="0" w:space="0" w:color="auto"/>
                                <w:left w:val="none" w:sz="0" w:space="0" w:color="auto"/>
                                <w:bottom w:val="none" w:sz="0" w:space="0" w:color="auto"/>
                                <w:right w:val="none" w:sz="0" w:space="0" w:color="auto"/>
                              </w:divBdr>
                              <w:divsChild>
                                <w:div w:id="1176842178">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665743879">
                              <w:marLeft w:val="60"/>
                              <w:marRight w:val="60"/>
                              <w:marTop w:val="60"/>
                              <w:marBottom w:val="60"/>
                              <w:divBdr>
                                <w:top w:val="none" w:sz="0" w:space="0" w:color="auto"/>
                                <w:left w:val="none" w:sz="0" w:space="0" w:color="auto"/>
                                <w:bottom w:val="none" w:sz="0" w:space="0" w:color="auto"/>
                                <w:right w:val="none" w:sz="0" w:space="0" w:color="auto"/>
                              </w:divBdr>
                              <w:divsChild>
                                <w:div w:id="1492480834">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2091389131">
                              <w:marLeft w:val="60"/>
                              <w:marRight w:val="60"/>
                              <w:marTop w:val="60"/>
                              <w:marBottom w:val="60"/>
                              <w:divBdr>
                                <w:top w:val="none" w:sz="0" w:space="0" w:color="auto"/>
                                <w:left w:val="none" w:sz="0" w:space="0" w:color="auto"/>
                                <w:bottom w:val="none" w:sz="0" w:space="0" w:color="auto"/>
                                <w:right w:val="none" w:sz="0" w:space="0" w:color="auto"/>
                              </w:divBdr>
                              <w:divsChild>
                                <w:div w:id="1906141705">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360279681">
                              <w:marLeft w:val="60"/>
                              <w:marRight w:val="60"/>
                              <w:marTop w:val="60"/>
                              <w:marBottom w:val="60"/>
                              <w:divBdr>
                                <w:top w:val="none" w:sz="0" w:space="0" w:color="auto"/>
                                <w:left w:val="none" w:sz="0" w:space="0" w:color="auto"/>
                                <w:bottom w:val="none" w:sz="0" w:space="0" w:color="auto"/>
                                <w:right w:val="none" w:sz="0" w:space="0" w:color="auto"/>
                              </w:divBdr>
                              <w:divsChild>
                                <w:div w:id="149927310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818185078">
                              <w:marLeft w:val="60"/>
                              <w:marRight w:val="60"/>
                              <w:marTop w:val="60"/>
                              <w:marBottom w:val="60"/>
                              <w:divBdr>
                                <w:top w:val="none" w:sz="0" w:space="0" w:color="auto"/>
                                <w:left w:val="none" w:sz="0" w:space="0" w:color="auto"/>
                                <w:bottom w:val="none" w:sz="0" w:space="0" w:color="auto"/>
                                <w:right w:val="none" w:sz="0" w:space="0" w:color="auto"/>
                              </w:divBdr>
                              <w:divsChild>
                                <w:div w:id="1693997188">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393086475">
                              <w:marLeft w:val="60"/>
                              <w:marRight w:val="60"/>
                              <w:marTop w:val="60"/>
                              <w:marBottom w:val="60"/>
                              <w:divBdr>
                                <w:top w:val="none" w:sz="0" w:space="0" w:color="auto"/>
                                <w:left w:val="none" w:sz="0" w:space="0" w:color="auto"/>
                                <w:bottom w:val="none" w:sz="0" w:space="0" w:color="auto"/>
                                <w:right w:val="none" w:sz="0" w:space="0" w:color="auto"/>
                              </w:divBdr>
                              <w:divsChild>
                                <w:div w:id="1352881015">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152671751">
                              <w:marLeft w:val="60"/>
                              <w:marRight w:val="60"/>
                              <w:marTop w:val="60"/>
                              <w:marBottom w:val="60"/>
                              <w:divBdr>
                                <w:top w:val="none" w:sz="0" w:space="0" w:color="auto"/>
                                <w:left w:val="none" w:sz="0" w:space="0" w:color="auto"/>
                                <w:bottom w:val="none" w:sz="0" w:space="0" w:color="auto"/>
                                <w:right w:val="none" w:sz="0" w:space="0" w:color="auto"/>
                              </w:divBdr>
                              <w:divsChild>
                                <w:div w:id="1620916987">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612662328">
                              <w:marLeft w:val="60"/>
                              <w:marRight w:val="60"/>
                              <w:marTop w:val="60"/>
                              <w:marBottom w:val="60"/>
                              <w:divBdr>
                                <w:top w:val="none" w:sz="0" w:space="0" w:color="auto"/>
                                <w:left w:val="none" w:sz="0" w:space="0" w:color="auto"/>
                                <w:bottom w:val="none" w:sz="0" w:space="0" w:color="auto"/>
                                <w:right w:val="none" w:sz="0" w:space="0" w:color="auto"/>
                              </w:divBdr>
                              <w:divsChild>
                                <w:div w:id="48844590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393625139">
                              <w:marLeft w:val="60"/>
                              <w:marRight w:val="60"/>
                              <w:marTop w:val="60"/>
                              <w:marBottom w:val="60"/>
                              <w:divBdr>
                                <w:top w:val="none" w:sz="0" w:space="0" w:color="auto"/>
                                <w:left w:val="none" w:sz="0" w:space="0" w:color="auto"/>
                                <w:bottom w:val="none" w:sz="0" w:space="0" w:color="auto"/>
                                <w:right w:val="none" w:sz="0" w:space="0" w:color="auto"/>
                              </w:divBdr>
                              <w:divsChild>
                                <w:div w:id="1854805773">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222060747">
                              <w:marLeft w:val="60"/>
                              <w:marRight w:val="60"/>
                              <w:marTop w:val="60"/>
                              <w:marBottom w:val="60"/>
                              <w:divBdr>
                                <w:top w:val="none" w:sz="0" w:space="0" w:color="auto"/>
                                <w:left w:val="none" w:sz="0" w:space="0" w:color="auto"/>
                                <w:bottom w:val="none" w:sz="0" w:space="0" w:color="auto"/>
                                <w:right w:val="none" w:sz="0" w:space="0" w:color="auto"/>
                              </w:divBdr>
                              <w:divsChild>
                                <w:div w:id="252518703">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2095583836">
                              <w:marLeft w:val="60"/>
                              <w:marRight w:val="60"/>
                              <w:marTop w:val="60"/>
                              <w:marBottom w:val="60"/>
                              <w:divBdr>
                                <w:top w:val="none" w:sz="0" w:space="0" w:color="auto"/>
                                <w:left w:val="none" w:sz="0" w:space="0" w:color="auto"/>
                                <w:bottom w:val="none" w:sz="0" w:space="0" w:color="auto"/>
                                <w:right w:val="none" w:sz="0" w:space="0" w:color="auto"/>
                              </w:divBdr>
                              <w:divsChild>
                                <w:div w:id="1671982571">
                                  <w:marLeft w:val="0"/>
                                  <w:marRight w:val="0"/>
                                  <w:marTop w:val="0"/>
                                  <w:marBottom w:val="0"/>
                                  <w:divBdr>
                                    <w:top w:val="single" w:sz="6" w:space="0" w:color="4285F4"/>
                                    <w:left w:val="single" w:sz="6" w:space="0" w:color="4285F4"/>
                                    <w:bottom w:val="single" w:sz="6" w:space="0" w:color="4285F4"/>
                                    <w:right w:val="single" w:sz="6" w:space="0" w:color="4285F4"/>
                                  </w:divBdr>
                                </w:div>
                              </w:divsChild>
                            </w:div>
                            <w:div w:id="1661234157">
                              <w:marLeft w:val="60"/>
                              <w:marRight w:val="60"/>
                              <w:marTop w:val="60"/>
                              <w:marBottom w:val="60"/>
                              <w:divBdr>
                                <w:top w:val="none" w:sz="0" w:space="0" w:color="auto"/>
                                <w:left w:val="none" w:sz="0" w:space="0" w:color="auto"/>
                                <w:bottom w:val="none" w:sz="0" w:space="0" w:color="auto"/>
                                <w:right w:val="none" w:sz="0" w:space="0" w:color="auto"/>
                              </w:divBdr>
                              <w:divsChild>
                                <w:div w:id="1404372034">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sChild>
        </w:div>
      </w:divsChild>
    </w:div>
    <w:div w:id="444428092">
      <w:bodyDiv w:val="1"/>
      <w:marLeft w:val="0"/>
      <w:marRight w:val="0"/>
      <w:marTop w:val="0"/>
      <w:marBottom w:val="0"/>
      <w:divBdr>
        <w:top w:val="none" w:sz="0" w:space="0" w:color="auto"/>
        <w:left w:val="none" w:sz="0" w:space="0" w:color="auto"/>
        <w:bottom w:val="none" w:sz="0" w:space="0" w:color="auto"/>
        <w:right w:val="none" w:sz="0" w:space="0" w:color="auto"/>
      </w:divBdr>
    </w:div>
    <w:div w:id="445466436">
      <w:bodyDiv w:val="1"/>
      <w:marLeft w:val="0"/>
      <w:marRight w:val="0"/>
      <w:marTop w:val="0"/>
      <w:marBottom w:val="0"/>
      <w:divBdr>
        <w:top w:val="none" w:sz="0" w:space="0" w:color="auto"/>
        <w:left w:val="none" w:sz="0" w:space="0" w:color="auto"/>
        <w:bottom w:val="none" w:sz="0" w:space="0" w:color="auto"/>
        <w:right w:val="none" w:sz="0" w:space="0" w:color="auto"/>
      </w:divBdr>
    </w:div>
    <w:div w:id="454060797">
      <w:bodyDiv w:val="1"/>
      <w:marLeft w:val="0"/>
      <w:marRight w:val="0"/>
      <w:marTop w:val="0"/>
      <w:marBottom w:val="0"/>
      <w:divBdr>
        <w:top w:val="none" w:sz="0" w:space="0" w:color="auto"/>
        <w:left w:val="none" w:sz="0" w:space="0" w:color="auto"/>
        <w:bottom w:val="none" w:sz="0" w:space="0" w:color="auto"/>
        <w:right w:val="none" w:sz="0" w:space="0" w:color="auto"/>
      </w:divBdr>
    </w:div>
    <w:div w:id="470370754">
      <w:bodyDiv w:val="1"/>
      <w:marLeft w:val="0"/>
      <w:marRight w:val="0"/>
      <w:marTop w:val="0"/>
      <w:marBottom w:val="0"/>
      <w:divBdr>
        <w:top w:val="none" w:sz="0" w:space="0" w:color="auto"/>
        <w:left w:val="none" w:sz="0" w:space="0" w:color="auto"/>
        <w:bottom w:val="none" w:sz="0" w:space="0" w:color="auto"/>
        <w:right w:val="none" w:sz="0" w:space="0" w:color="auto"/>
      </w:divBdr>
    </w:div>
    <w:div w:id="481965408">
      <w:bodyDiv w:val="1"/>
      <w:marLeft w:val="0"/>
      <w:marRight w:val="0"/>
      <w:marTop w:val="0"/>
      <w:marBottom w:val="0"/>
      <w:divBdr>
        <w:top w:val="none" w:sz="0" w:space="0" w:color="auto"/>
        <w:left w:val="none" w:sz="0" w:space="0" w:color="auto"/>
        <w:bottom w:val="none" w:sz="0" w:space="0" w:color="auto"/>
        <w:right w:val="none" w:sz="0" w:space="0" w:color="auto"/>
      </w:divBdr>
    </w:div>
    <w:div w:id="481973280">
      <w:bodyDiv w:val="1"/>
      <w:marLeft w:val="0"/>
      <w:marRight w:val="0"/>
      <w:marTop w:val="0"/>
      <w:marBottom w:val="0"/>
      <w:divBdr>
        <w:top w:val="none" w:sz="0" w:space="0" w:color="auto"/>
        <w:left w:val="none" w:sz="0" w:space="0" w:color="auto"/>
        <w:bottom w:val="none" w:sz="0" w:space="0" w:color="auto"/>
        <w:right w:val="none" w:sz="0" w:space="0" w:color="auto"/>
      </w:divBdr>
    </w:div>
    <w:div w:id="484129318">
      <w:bodyDiv w:val="1"/>
      <w:marLeft w:val="0"/>
      <w:marRight w:val="0"/>
      <w:marTop w:val="0"/>
      <w:marBottom w:val="0"/>
      <w:divBdr>
        <w:top w:val="none" w:sz="0" w:space="0" w:color="auto"/>
        <w:left w:val="none" w:sz="0" w:space="0" w:color="auto"/>
        <w:bottom w:val="none" w:sz="0" w:space="0" w:color="auto"/>
        <w:right w:val="none" w:sz="0" w:space="0" w:color="auto"/>
      </w:divBdr>
    </w:div>
    <w:div w:id="502358025">
      <w:bodyDiv w:val="1"/>
      <w:marLeft w:val="0"/>
      <w:marRight w:val="0"/>
      <w:marTop w:val="0"/>
      <w:marBottom w:val="0"/>
      <w:divBdr>
        <w:top w:val="none" w:sz="0" w:space="0" w:color="auto"/>
        <w:left w:val="none" w:sz="0" w:space="0" w:color="auto"/>
        <w:bottom w:val="none" w:sz="0" w:space="0" w:color="auto"/>
        <w:right w:val="none" w:sz="0" w:space="0" w:color="auto"/>
      </w:divBdr>
    </w:div>
    <w:div w:id="519316064">
      <w:bodyDiv w:val="1"/>
      <w:marLeft w:val="0"/>
      <w:marRight w:val="0"/>
      <w:marTop w:val="0"/>
      <w:marBottom w:val="0"/>
      <w:divBdr>
        <w:top w:val="none" w:sz="0" w:space="0" w:color="auto"/>
        <w:left w:val="none" w:sz="0" w:space="0" w:color="auto"/>
        <w:bottom w:val="none" w:sz="0" w:space="0" w:color="auto"/>
        <w:right w:val="none" w:sz="0" w:space="0" w:color="auto"/>
      </w:divBdr>
    </w:div>
    <w:div w:id="525484851">
      <w:bodyDiv w:val="1"/>
      <w:marLeft w:val="0"/>
      <w:marRight w:val="0"/>
      <w:marTop w:val="0"/>
      <w:marBottom w:val="0"/>
      <w:divBdr>
        <w:top w:val="none" w:sz="0" w:space="0" w:color="auto"/>
        <w:left w:val="none" w:sz="0" w:space="0" w:color="auto"/>
        <w:bottom w:val="none" w:sz="0" w:space="0" w:color="auto"/>
        <w:right w:val="none" w:sz="0" w:space="0" w:color="auto"/>
      </w:divBdr>
    </w:div>
    <w:div w:id="534197354">
      <w:bodyDiv w:val="1"/>
      <w:marLeft w:val="0"/>
      <w:marRight w:val="0"/>
      <w:marTop w:val="0"/>
      <w:marBottom w:val="0"/>
      <w:divBdr>
        <w:top w:val="none" w:sz="0" w:space="0" w:color="auto"/>
        <w:left w:val="none" w:sz="0" w:space="0" w:color="auto"/>
        <w:bottom w:val="none" w:sz="0" w:space="0" w:color="auto"/>
        <w:right w:val="none" w:sz="0" w:space="0" w:color="auto"/>
      </w:divBdr>
    </w:div>
    <w:div w:id="570966995">
      <w:bodyDiv w:val="1"/>
      <w:marLeft w:val="0"/>
      <w:marRight w:val="0"/>
      <w:marTop w:val="0"/>
      <w:marBottom w:val="0"/>
      <w:divBdr>
        <w:top w:val="none" w:sz="0" w:space="0" w:color="auto"/>
        <w:left w:val="none" w:sz="0" w:space="0" w:color="auto"/>
        <w:bottom w:val="none" w:sz="0" w:space="0" w:color="auto"/>
        <w:right w:val="none" w:sz="0" w:space="0" w:color="auto"/>
      </w:divBdr>
    </w:div>
    <w:div w:id="571549534">
      <w:bodyDiv w:val="1"/>
      <w:marLeft w:val="0"/>
      <w:marRight w:val="0"/>
      <w:marTop w:val="0"/>
      <w:marBottom w:val="0"/>
      <w:divBdr>
        <w:top w:val="none" w:sz="0" w:space="0" w:color="auto"/>
        <w:left w:val="none" w:sz="0" w:space="0" w:color="auto"/>
        <w:bottom w:val="none" w:sz="0" w:space="0" w:color="auto"/>
        <w:right w:val="none" w:sz="0" w:space="0" w:color="auto"/>
      </w:divBdr>
    </w:div>
    <w:div w:id="592661848">
      <w:bodyDiv w:val="1"/>
      <w:marLeft w:val="0"/>
      <w:marRight w:val="0"/>
      <w:marTop w:val="0"/>
      <w:marBottom w:val="0"/>
      <w:divBdr>
        <w:top w:val="none" w:sz="0" w:space="0" w:color="auto"/>
        <w:left w:val="none" w:sz="0" w:space="0" w:color="auto"/>
        <w:bottom w:val="none" w:sz="0" w:space="0" w:color="auto"/>
        <w:right w:val="none" w:sz="0" w:space="0" w:color="auto"/>
      </w:divBdr>
    </w:div>
    <w:div w:id="643201041">
      <w:bodyDiv w:val="1"/>
      <w:marLeft w:val="0"/>
      <w:marRight w:val="0"/>
      <w:marTop w:val="0"/>
      <w:marBottom w:val="0"/>
      <w:divBdr>
        <w:top w:val="none" w:sz="0" w:space="0" w:color="auto"/>
        <w:left w:val="none" w:sz="0" w:space="0" w:color="auto"/>
        <w:bottom w:val="none" w:sz="0" w:space="0" w:color="auto"/>
        <w:right w:val="none" w:sz="0" w:space="0" w:color="auto"/>
      </w:divBdr>
      <w:divsChild>
        <w:div w:id="386536664">
          <w:marLeft w:val="0"/>
          <w:marRight w:val="0"/>
          <w:marTop w:val="166"/>
          <w:marBottom w:val="166"/>
          <w:divBdr>
            <w:top w:val="none" w:sz="0" w:space="0" w:color="auto"/>
            <w:left w:val="none" w:sz="0" w:space="0" w:color="auto"/>
            <w:bottom w:val="none" w:sz="0" w:space="0" w:color="auto"/>
            <w:right w:val="none" w:sz="0" w:space="0" w:color="auto"/>
          </w:divBdr>
          <w:divsChild>
            <w:div w:id="34775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97280">
      <w:bodyDiv w:val="1"/>
      <w:marLeft w:val="0"/>
      <w:marRight w:val="0"/>
      <w:marTop w:val="0"/>
      <w:marBottom w:val="0"/>
      <w:divBdr>
        <w:top w:val="none" w:sz="0" w:space="0" w:color="auto"/>
        <w:left w:val="none" w:sz="0" w:space="0" w:color="auto"/>
        <w:bottom w:val="none" w:sz="0" w:space="0" w:color="auto"/>
        <w:right w:val="none" w:sz="0" w:space="0" w:color="auto"/>
      </w:divBdr>
    </w:div>
    <w:div w:id="704451823">
      <w:bodyDiv w:val="1"/>
      <w:marLeft w:val="0"/>
      <w:marRight w:val="0"/>
      <w:marTop w:val="0"/>
      <w:marBottom w:val="0"/>
      <w:divBdr>
        <w:top w:val="none" w:sz="0" w:space="0" w:color="auto"/>
        <w:left w:val="none" w:sz="0" w:space="0" w:color="auto"/>
        <w:bottom w:val="none" w:sz="0" w:space="0" w:color="auto"/>
        <w:right w:val="none" w:sz="0" w:space="0" w:color="auto"/>
      </w:divBdr>
    </w:div>
    <w:div w:id="731545372">
      <w:bodyDiv w:val="1"/>
      <w:marLeft w:val="0"/>
      <w:marRight w:val="0"/>
      <w:marTop w:val="0"/>
      <w:marBottom w:val="0"/>
      <w:divBdr>
        <w:top w:val="none" w:sz="0" w:space="0" w:color="auto"/>
        <w:left w:val="none" w:sz="0" w:space="0" w:color="auto"/>
        <w:bottom w:val="none" w:sz="0" w:space="0" w:color="auto"/>
        <w:right w:val="none" w:sz="0" w:space="0" w:color="auto"/>
      </w:divBdr>
    </w:div>
    <w:div w:id="751050670">
      <w:bodyDiv w:val="1"/>
      <w:marLeft w:val="0"/>
      <w:marRight w:val="0"/>
      <w:marTop w:val="0"/>
      <w:marBottom w:val="0"/>
      <w:divBdr>
        <w:top w:val="none" w:sz="0" w:space="0" w:color="auto"/>
        <w:left w:val="none" w:sz="0" w:space="0" w:color="auto"/>
        <w:bottom w:val="none" w:sz="0" w:space="0" w:color="auto"/>
        <w:right w:val="none" w:sz="0" w:space="0" w:color="auto"/>
      </w:divBdr>
    </w:div>
    <w:div w:id="776799889">
      <w:bodyDiv w:val="1"/>
      <w:marLeft w:val="0"/>
      <w:marRight w:val="0"/>
      <w:marTop w:val="0"/>
      <w:marBottom w:val="0"/>
      <w:divBdr>
        <w:top w:val="none" w:sz="0" w:space="0" w:color="auto"/>
        <w:left w:val="none" w:sz="0" w:space="0" w:color="auto"/>
        <w:bottom w:val="none" w:sz="0" w:space="0" w:color="auto"/>
        <w:right w:val="none" w:sz="0" w:space="0" w:color="auto"/>
      </w:divBdr>
    </w:div>
    <w:div w:id="796877666">
      <w:bodyDiv w:val="1"/>
      <w:marLeft w:val="0"/>
      <w:marRight w:val="0"/>
      <w:marTop w:val="0"/>
      <w:marBottom w:val="0"/>
      <w:divBdr>
        <w:top w:val="none" w:sz="0" w:space="0" w:color="auto"/>
        <w:left w:val="none" w:sz="0" w:space="0" w:color="auto"/>
        <w:bottom w:val="none" w:sz="0" w:space="0" w:color="auto"/>
        <w:right w:val="none" w:sz="0" w:space="0" w:color="auto"/>
      </w:divBdr>
    </w:div>
    <w:div w:id="814175573">
      <w:bodyDiv w:val="1"/>
      <w:marLeft w:val="0"/>
      <w:marRight w:val="0"/>
      <w:marTop w:val="0"/>
      <w:marBottom w:val="0"/>
      <w:divBdr>
        <w:top w:val="none" w:sz="0" w:space="0" w:color="auto"/>
        <w:left w:val="none" w:sz="0" w:space="0" w:color="auto"/>
        <w:bottom w:val="none" w:sz="0" w:space="0" w:color="auto"/>
        <w:right w:val="none" w:sz="0" w:space="0" w:color="auto"/>
      </w:divBdr>
    </w:div>
    <w:div w:id="826088481">
      <w:bodyDiv w:val="1"/>
      <w:marLeft w:val="0"/>
      <w:marRight w:val="0"/>
      <w:marTop w:val="0"/>
      <w:marBottom w:val="0"/>
      <w:divBdr>
        <w:top w:val="none" w:sz="0" w:space="0" w:color="auto"/>
        <w:left w:val="none" w:sz="0" w:space="0" w:color="auto"/>
        <w:bottom w:val="none" w:sz="0" w:space="0" w:color="auto"/>
        <w:right w:val="none" w:sz="0" w:space="0" w:color="auto"/>
      </w:divBdr>
    </w:div>
    <w:div w:id="834955183">
      <w:bodyDiv w:val="1"/>
      <w:marLeft w:val="0"/>
      <w:marRight w:val="0"/>
      <w:marTop w:val="0"/>
      <w:marBottom w:val="0"/>
      <w:divBdr>
        <w:top w:val="none" w:sz="0" w:space="0" w:color="auto"/>
        <w:left w:val="none" w:sz="0" w:space="0" w:color="auto"/>
        <w:bottom w:val="none" w:sz="0" w:space="0" w:color="auto"/>
        <w:right w:val="none" w:sz="0" w:space="0" w:color="auto"/>
      </w:divBdr>
    </w:div>
    <w:div w:id="838541327">
      <w:bodyDiv w:val="1"/>
      <w:marLeft w:val="0"/>
      <w:marRight w:val="0"/>
      <w:marTop w:val="0"/>
      <w:marBottom w:val="0"/>
      <w:divBdr>
        <w:top w:val="none" w:sz="0" w:space="0" w:color="auto"/>
        <w:left w:val="none" w:sz="0" w:space="0" w:color="auto"/>
        <w:bottom w:val="none" w:sz="0" w:space="0" w:color="auto"/>
        <w:right w:val="none" w:sz="0" w:space="0" w:color="auto"/>
      </w:divBdr>
    </w:div>
    <w:div w:id="854341734">
      <w:bodyDiv w:val="1"/>
      <w:marLeft w:val="0"/>
      <w:marRight w:val="0"/>
      <w:marTop w:val="0"/>
      <w:marBottom w:val="0"/>
      <w:divBdr>
        <w:top w:val="none" w:sz="0" w:space="0" w:color="auto"/>
        <w:left w:val="none" w:sz="0" w:space="0" w:color="auto"/>
        <w:bottom w:val="none" w:sz="0" w:space="0" w:color="auto"/>
        <w:right w:val="none" w:sz="0" w:space="0" w:color="auto"/>
      </w:divBdr>
    </w:div>
    <w:div w:id="871923509">
      <w:bodyDiv w:val="1"/>
      <w:marLeft w:val="0"/>
      <w:marRight w:val="0"/>
      <w:marTop w:val="0"/>
      <w:marBottom w:val="0"/>
      <w:divBdr>
        <w:top w:val="none" w:sz="0" w:space="0" w:color="auto"/>
        <w:left w:val="none" w:sz="0" w:space="0" w:color="auto"/>
        <w:bottom w:val="none" w:sz="0" w:space="0" w:color="auto"/>
        <w:right w:val="none" w:sz="0" w:space="0" w:color="auto"/>
      </w:divBdr>
    </w:div>
    <w:div w:id="881793995">
      <w:bodyDiv w:val="1"/>
      <w:marLeft w:val="0"/>
      <w:marRight w:val="0"/>
      <w:marTop w:val="0"/>
      <w:marBottom w:val="0"/>
      <w:divBdr>
        <w:top w:val="none" w:sz="0" w:space="0" w:color="auto"/>
        <w:left w:val="none" w:sz="0" w:space="0" w:color="auto"/>
        <w:bottom w:val="none" w:sz="0" w:space="0" w:color="auto"/>
        <w:right w:val="none" w:sz="0" w:space="0" w:color="auto"/>
      </w:divBdr>
    </w:div>
    <w:div w:id="922419456">
      <w:bodyDiv w:val="1"/>
      <w:marLeft w:val="0"/>
      <w:marRight w:val="0"/>
      <w:marTop w:val="0"/>
      <w:marBottom w:val="0"/>
      <w:divBdr>
        <w:top w:val="none" w:sz="0" w:space="0" w:color="auto"/>
        <w:left w:val="none" w:sz="0" w:space="0" w:color="auto"/>
        <w:bottom w:val="none" w:sz="0" w:space="0" w:color="auto"/>
        <w:right w:val="none" w:sz="0" w:space="0" w:color="auto"/>
      </w:divBdr>
    </w:div>
    <w:div w:id="922757053">
      <w:bodyDiv w:val="1"/>
      <w:marLeft w:val="0"/>
      <w:marRight w:val="0"/>
      <w:marTop w:val="0"/>
      <w:marBottom w:val="0"/>
      <w:divBdr>
        <w:top w:val="none" w:sz="0" w:space="0" w:color="auto"/>
        <w:left w:val="none" w:sz="0" w:space="0" w:color="auto"/>
        <w:bottom w:val="none" w:sz="0" w:space="0" w:color="auto"/>
        <w:right w:val="none" w:sz="0" w:space="0" w:color="auto"/>
      </w:divBdr>
    </w:div>
    <w:div w:id="972292310">
      <w:bodyDiv w:val="1"/>
      <w:marLeft w:val="0"/>
      <w:marRight w:val="0"/>
      <w:marTop w:val="0"/>
      <w:marBottom w:val="0"/>
      <w:divBdr>
        <w:top w:val="none" w:sz="0" w:space="0" w:color="auto"/>
        <w:left w:val="none" w:sz="0" w:space="0" w:color="auto"/>
        <w:bottom w:val="none" w:sz="0" w:space="0" w:color="auto"/>
        <w:right w:val="none" w:sz="0" w:space="0" w:color="auto"/>
      </w:divBdr>
    </w:div>
    <w:div w:id="989871504">
      <w:bodyDiv w:val="1"/>
      <w:marLeft w:val="0"/>
      <w:marRight w:val="0"/>
      <w:marTop w:val="0"/>
      <w:marBottom w:val="0"/>
      <w:divBdr>
        <w:top w:val="none" w:sz="0" w:space="0" w:color="auto"/>
        <w:left w:val="none" w:sz="0" w:space="0" w:color="auto"/>
        <w:bottom w:val="none" w:sz="0" w:space="0" w:color="auto"/>
        <w:right w:val="none" w:sz="0" w:space="0" w:color="auto"/>
      </w:divBdr>
    </w:div>
    <w:div w:id="1019743496">
      <w:bodyDiv w:val="1"/>
      <w:marLeft w:val="0"/>
      <w:marRight w:val="0"/>
      <w:marTop w:val="0"/>
      <w:marBottom w:val="0"/>
      <w:divBdr>
        <w:top w:val="none" w:sz="0" w:space="0" w:color="auto"/>
        <w:left w:val="none" w:sz="0" w:space="0" w:color="auto"/>
        <w:bottom w:val="none" w:sz="0" w:space="0" w:color="auto"/>
        <w:right w:val="none" w:sz="0" w:space="0" w:color="auto"/>
      </w:divBdr>
    </w:div>
    <w:div w:id="1044718064">
      <w:bodyDiv w:val="1"/>
      <w:marLeft w:val="0"/>
      <w:marRight w:val="0"/>
      <w:marTop w:val="0"/>
      <w:marBottom w:val="0"/>
      <w:divBdr>
        <w:top w:val="none" w:sz="0" w:space="0" w:color="auto"/>
        <w:left w:val="none" w:sz="0" w:space="0" w:color="auto"/>
        <w:bottom w:val="none" w:sz="0" w:space="0" w:color="auto"/>
        <w:right w:val="none" w:sz="0" w:space="0" w:color="auto"/>
      </w:divBdr>
    </w:div>
    <w:div w:id="1099059226">
      <w:bodyDiv w:val="1"/>
      <w:marLeft w:val="0"/>
      <w:marRight w:val="0"/>
      <w:marTop w:val="0"/>
      <w:marBottom w:val="0"/>
      <w:divBdr>
        <w:top w:val="none" w:sz="0" w:space="0" w:color="auto"/>
        <w:left w:val="none" w:sz="0" w:space="0" w:color="auto"/>
        <w:bottom w:val="none" w:sz="0" w:space="0" w:color="auto"/>
        <w:right w:val="none" w:sz="0" w:space="0" w:color="auto"/>
      </w:divBdr>
    </w:div>
    <w:div w:id="1100831343">
      <w:bodyDiv w:val="1"/>
      <w:marLeft w:val="0"/>
      <w:marRight w:val="0"/>
      <w:marTop w:val="0"/>
      <w:marBottom w:val="0"/>
      <w:divBdr>
        <w:top w:val="none" w:sz="0" w:space="0" w:color="auto"/>
        <w:left w:val="none" w:sz="0" w:space="0" w:color="auto"/>
        <w:bottom w:val="none" w:sz="0" w:space="0" w:color="auto"/>
        <w:right w:val="none" w:sz="0" w:space="0" w:color="auto"/>
      </w:divBdr>
    </w:div>
    <w:div w:id="1115364230">
      <w:bodyDiv w:val="1"/>
      <w:marLeft w:val="0"/>
      <w:marRight w:val="0"/>
      <w:marTop w:val="0"/>
      <w:marBottom w:val="0"/>
      <w:divBdr>
        <w:top w:val="none" w:sz="0" w:space="0" w:color="auto"/>
        <w:left w:val="none" w:sz="0" w:space="0" w:color="auto"/>
        <w:bottom w:val="none" w:sz="0" w:space="0" w:color="auto"/>
        <w:right w:val="none" w:sz="0" w:space="0" w:color="auto"/>
      </w:divBdr>
    </w:div>
    <w:div w:id="1116095804">
      <w:bodyDiv w:val="1"/>
      <w:marLeft w:val="0"/>
      <w:marRight w:val="0"/>
      <w:marTop w:val="0"/>
      <w:marBottom w:val="0"/>
      <w:divBdr>
        <w:top w:val="none" w:sz="0" w:space="0" w:color="auto"/>
        <w:left w:val="none" w:sz="0" w:space="0" w:color="auto"/>
        <w:bottom w:val="none" w:sz="0" w:space="0" w:color="auto"/>
        <w:right w:val="none" w:sz="0" w:space="0" w:color="auto"/>
      </w:divBdr>
      <w:divsChild>
        <w:div w:id="336999389">
          <w:marLeft w:val="0"/>
          <w:marRight w:val="0"/>
          <w:marTop w:val="0"/>
          <w:marBottom w:val="0"/>
          <w:divBdr>
            <w:top w:val="none" w:sz="0" w:space="0" w:color="auto"/>
            <w:left w:val="none" w:sz="0" w:space="0" w:color="auto"/>
            <w:bottom w:val="none" w:sz="0" w:space="0" w:color="auto"/>
            <w:right w:val="none" w:sz="0" w:space="0" w:color="auto"/>
          </w:divBdr>
          <w:divsChild>
            <w:div w:id="1270701490">
              <w:marLeft w:val="0"/>
              <w:marRight w:val="0"/>
              <w:marTop w:val="0"/>
              <w:marBottom w:val="0"/>
              <w:divBdr>
                <w:top w:val="none" w:sz="0" w:space="0" w:color="auto"/>
                <w:left w:val="none" w:sz="0" w:space="0" w:color="auto"/>
                <w:bottom w:val="none" w:sz="0" w:space="0" w:color="auto"/>
                <w:right w:val="none" w:sz="0" w:space="0" w:color="auto"/>
              </w:divBdr>
              <w:divsChild>
                <w:div w:id="116184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39462">
      <w:bodyDiv w:val="1"/>
      <w:marLeft w:val="0"/>
      <w:marRight w:val="0"/>
      <w:marTop w:val="0"/>
      <w:marBottom w:val="0"/>
      <w:divBdr>
        <w:top w:val="none" w:sz="0" w:space="0" w:color="auto"/>
        <w:left w:val="none" w:sz="0" w:space="0" w:color="auto"/>
        <w:bottom w:val="none" w:sz="0" w:space="0" w:color="auto"/>
        <w:right w:val="none" w:sz="0" w:space="0" w:color="auto"/>
      </w:divBdr>
    </w:div>
    <w:div w:id="1154181443">
      <w:bodyDiv w:val="1"/>
      <w:marLeft w:val="0"/>
      <w:marRight w:val="0"/>
      <w:marTop w:val="0"/>
      <w:marBottom w:val="0"/>
      <w:divBdr>
        <w:top w:val="none" w:sz="0" w:space="0" w:color="auto"/>
        <w:left w:val="none" w:sz="0" w:space="0" w:color="auto"/>
        <w:bottom w:val="none" w:sz="0" w:space="0" w:color="auto"/>
        <w:right w:val="none" w:sz="0" w:space="0" w:color="auto"/>
      </w:divBdr>
    </w:div>
    <w:div w:id="1162237085">
      <w:bodyDiv w:val="1"/>
      <w:marLeft w:val="0"/>
      <w:marRight w:val="0"/>
      <w:marTop w:val="0"/>
      <w:marBottom w:val="0"/>
      <w:divBdr>
        <w:top w:val="none" w:sz="0" w:space="0" w:color="auto"/>
        <w:left w:val="none" w:sz="0" w:space="0" w:color="auto"/>
        <w:bottom w:val="none" w:sz="0" w:space="0" w:color="auto"/>
        <w:right w:val="none" w:sz="0" w:space="0" w:color="auto"/>
      </w:divBdr>
    </w:div>
    <w:div w:id="1193497359">
      <w:bodyDiv w:val="1"/>
      <w:marLeft w:val="0"/>
      <w:marRight w:val="0"/>
      <w:marTop w:val="0"/>
      <w:marBottom w:val="0"/>
      <w:divBdr>
        <w:top w:val="none" w:sz="0" w:space="0" w:color="auto"/>
        <w:left w:val="none" w:sz="0" w:space="0" w:color="auto"/>
        <w:bottom w:val="none" w:sz="0" w:space="0" w:color="auto"/>
        <w:right w:val="none" w:sz="0" w:space="0" w:color="auto"/>
      </w:divBdr>
    </w:div>
    <w:div w:id="1240094644">
      <w:bodyDiv w:val="1"/>
      <w:marLeft w:val="0"/>
      <w:marRight w:val="0"/>
      <w:marTop w:val="0"/>
      <w:marBottom w:val="0"/>
      <w:divBdr>
        <w:top w:val="none" w:sz="0" w:space="0" w:color="auto"/>
        <w:left w:val="none" w:sz="0" w:space="0" w:color="auto"/>
        <w:bottom w:val="none" w:sz="0" w:space="0" w:color="auto"/>
        <w:right w:val="none" w:sz="0" w:space="0" w:color="auto"/>
      </w:divBdr>
    </w:div>
    <w:div w:id="1241409456">
      <w:bodyDiv w:val="1"/>
      <w:marLeft w:val="0"/>
      <w:marRight w:val="0"/>
      <w:marTop w:val="0"/>
      <w:marBottom w:val="0"/>
      <w:divBdr>
        <w:top w:val="none" w:sz="0" w:space="0" w:color="auto"/>
        <w:left w:val="none" w:sz="0" w:space="0" w:color="auto"/>
        <w:bottom w:val="none" w:sz="0" w:space="0" w:color="auto"/>
        <w:right w:val="none" w:sz="0" w:space="0" w:color="auto"/>
      </w:divBdr>
    </w:div>
    <w:div w:id="1249999099">
      <w:bodyDiv w:val="1"/>
      <w:marLeft w:val="0"/>
      <w:marRight w:val="0"/>
      <w:marTop w:val="0"/>
      <w:marBottom w:val="0"/>
      <w:divBdr>
        <w:top w:val="none" w:sz="0" w:space="0" w:color="auto"/>
        <w:left w:val="none" w:sz="0" w:space="0" w:color="auto"/>
        <w:bottom w:val="none" w:sz="0" w:space="0" w:color="auto"/>
        <w:right w:val="none" w:sz="0" w:space="0" w:color="auto"/>
      </w:divBdr>
    </w:div>
    <w:div w:id="1260258934">
      <w:bodyDiv w:val="1"/>
      <w:marLeft w:val="0"/>
      <w:marRight w:val="0"/>
      <w:marTop w:val="0"/>
      <w:marBottom w:val="0"/>
      <w:divBdr>
        <w:top w:val="none" w:sz="0" w:space="0" w:color="auto"/>
        <w:left w:val="none" w:sz="0" w:space="0" w:color="auto"/>
        <w:bottom w:val="none" w:sz="0" w:space="0" w:color="auto"/>
        <w:right w:val="none" w:sz="0" w:space="0" w:color="auto"/>
      </w:divBdr>
    </w:div>
    <w:div w:id="1278104902">
      <w:bodyDiv w:val="1"/>
      <w:marLeft w:val="0"/>
      <w:marRight w:val="0"/>
      <w:marTop w:val="0"/>
      <w:marBottom w:val="0"/>
      <w:divBdr>
        <w:top w:val="none" w:sz="0" w:space="0" w:color="auto"/>
        <w:left w:val="none" w:sz="0" w:space="0" w:color="auto"/>
        <w:bottom w:val="none" w:sz="0" w:space="0" w:color="auto"/>
        <w:right w:val="none" w:sz="0" w:space="0" w:color="auto"/>
      </w:divBdr>
    </w:div>
    <w:div w:id="1294943715">
      <w:bodyDiv w:val="1"/>
      <w:marLeft w:val="0"/>
      <w:marRight w:val="0"/>
      <w:marTop w:val="0"/>
      <w:marBottom w:val="0"/>
      <w:divBdr>
        <w:top w:val="none" w:sz="0" w:space="0" w:color="auto"/>
        <w:left w:val="none" w:sz="0" w:space="0" w:color="auto"/>
        <w:bottom w:val="none" w:sz="0" w:space="0" w:color="auto"/>
        <w:right w:val="none" w:sz="0" w:space="0" w:color="auto"/>
      </w:divBdr>
      <w:divsChild>
        <w:div w:id="107747285">
          <w:marLeft w:val="0"/>
          <w:marRight w:val="0"/>
          <w:marTop w:val="0"/>
          <w:marBottom w:val="0"/>
          <w:divBdr>
            <w:top w:val="none" w:sz="0" w:space="0" w:color="auto"/>
            <w:left w:val="none" w:sz="0" w:space="0" w:color="auto"/>
            <w:bottom w:val="none" w:sz="0" w:space="0" w:color="auto"/>
            <w:right w:val="none" w:sz="0" w:space="0" w:color="auto"/>
          </w:divBdr>
          <w:divsChild>
            <w:div w:id="2076781127">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316182175">
      <w:bodyDiv w:val="1"/>
      <w:marLeft w:val="0"/>
      <w:marRight w:val="0"/>
      <w:marTop w:val="0"/>
      <w:marBottom w:val="0"/>
      <w:divBdr>
        <w:top w:val="none" w:sz="0" w:space="0" w:color="auto"/>
        <w:left w:val="none" w:sz="0" w:space="0" w:color="auto"/>
        <w:bottom w:val="none" w:sz="0" w:space="0" w:color="auto"/>
        <w:right w:val="none" w:sz="0" w:space="0" w:color="auto"/>
      </w:divBdr>
    </w:div>
    <w:div w:id="1319921130">
      <w:bodyDiv w:val="1"/>
      <w:marLeft w:val="0"/>
      <w:marRight w:val="0"/>
      <w:marTop w:val="0"/>
      <w:marBottom w:val="0"/>
      <w:divBdr>
        <w:top w:val="none" w:sz="0" w:space="0" w:color="auto"/>
        <w:left w:val="none" w:sz="0" w:space="0" w:color="auto"/>
        <w:bottom w:val="none" w:sz="0" w:space="0" w:color="auto"/>
        <w:right w:val="none" w:sz="0" w:space="0" w:color="auto"/>
      </w:divBdr>
    </w:div>
    <w:div w:id="1382636535">
      <w:bodyDiv w:val="1"/>
      <w:marLeft w:val="0"/>
      <w:marRight w:val="0"/>
      <w:marTop w:val="0"/>
      <w:marBottom w:val="0"/>
      <w:divBdr>
        <w:top w:val="none" w:sz="0" w:space="0" w:color="auto"/>
        <w:left w:val="none" w:sz="0" w:space="0" w:color="auto"/>
        <w:bottom w:val="none" w:sz="0" w:space="0" w:color="auto"/>
        <w:right w:val="none" w:sz="0" w:space="0" w:color="auto"/>
      </w:divBdr>
    </w:div>
    <w:div w:id="1395082178">
      <w:bodyDiv w:val="1"/>
      <w:marLeft w:val="0"/>
      <w:marRight w:val="0"/>
      <w:marTop w:val="0"/>
      <w:marBottom w:val="0"/>
      <w:divBdr>
        <w:top w:val="none" w:sz="0" w:space="0" w:color="auto"/>
        <w:left w:val="none" w:sz="0" w:space="0" w:color="auto"/>
        <w:bottom w:val="none" w:sz="0" w:space="0" w:color="auto"/>
        <w:right w:val="none" w:sz="0" w:space="0" w:color="auto"/>
      </w:divBdr>
    </w:div>
    <w:div w:id="1399085929">
      <w:bodyDiv w:val="1"/>
      <w:marLeft w:val="0"/>
      <w:marRight w:val="0"/>
      <w:marTop w:val="0"/>
      <w:marBottom w:val="0"/>
      <w:divBdr>
        <w:top w:val="none" w:sz="0" w:space="0" w:color="auto"/>
        <w:left w:val="none" w:sz="0" w:space="0" w:color="auto"/>
        <w:bottom w:val="none" w:sz="0" w:space="0" w:color="auto"/>
        <w:right w:val="none" w:sz="0" w:space="0" w:color="auto"/>
      </w:divBdr>
    </w:div>
    <w:div w:id="1401101701">
      <w:bodyDiv w:val="1"/>
      <w:marLeft w:val="0"/>
      <w:marRight w:val="0"/>
      <w:marTop w:val="0"/>
      <w:marBottom w:val="0"/>
      <w:divBdr>
        <w:top w:val="none" w:sz="0" w:space="0" w:color="auto"/>
        <w:left w:val="none" w:sz="0" w:space="0" w:color="auto"/>
        <w:bottom w:val="none" w:sz="0" w:space="0" w:color="auto"/>
        <w:right w:val="none" w:sz="0" w:space="0" w:color="auto"/>
      </w:divBdr>
    </w:div>
    <w:div w:id="1408579322">
      <w:bodyDiv w:val="1"/>
      <w:marLeft w:val="0"/>
      <w:marRight w:val="0"/>
      <w:marTop w:val="0"/>
      <w:marBottom w:val="0"/>
      <w:divBdr>
        <w:top w:val="none" w:sz="0" w:space="0" w:color="auto"/>
        <w:left w:val="none" w:sz="0" w:space="0" w:color="auto"/>
        <w:bottom w:val="none" w:sz="0" w:space="0" w:color="auto"/>
        <w:right w:val="none" w:sz="0" w:space="0" w:color="auto"/>
      </w:divBdr>
      <w:divsChild>
        <w:div w:id="827476929">
          <w:marLeft w:val="446"/>
          <w:marRight w:val="0"/>
          <w:marTop w:val="0"/>
          <w:marBottom w:val="0"/>
          <w:divBdr>
            <w:top w:val="none" w:sz="0" w:space="0" w:color="auto"/>
            <w:left w:val="none" w:sz="0" w:space="0" w:color="auto"/>
            <w:bottom w:val="none" w:sz="0" w:space="0" w:color="auto"/>
            <w:right w:val="none" w:sz="0" w:space="0" w:color="auto"/>
          </w:divBdr>
        </w:div>
      </w:divsChild>
    </w:div>
    <w:div w:id="1409964269">
      <w:bodyDiv w:val="1"/>
      <w:marLeft w:val="0"/>
      <w:marRight w:val="0"/>
      <w:marTop w:val="0"/>
      <w:marBottom w:val="0"/>
      <w:divBdr>
        <w:top w:val="none" w:sz="0" w:space="0" w:color="auto"/>
        <w:left w:val="none" w:sz="0" w:space="0" w:color="auto"/>
        <w:bottom w:val="none" w:sz="0" w:space="0" w:color="auto"/>
        <w:right w:val="none" w:sz="0" w:space="0" w:color="auto"/>
      </w:divBdr>
    </w:div>
    <w:div w:id="1438021961">
      <w:bodyDiv w:val="1"/>
      <w:marLeft w:val="0"/>
      <w:marRight w:val="0"/>
      <w:marTop w:val="0"/>
      <w:marBottom w:val="0"/>
      <w:divBdr>
        <w:top w:val="none" w:sz="0" w:space="0" w:color="auto"/>
        <w:left w:val="none" w:sz="0" w:space="0" w:color="auto"/>
        <w:bottom w:val="none" w:sz="0" w:space="0" w:color="auto"/>
        <w:right w:val="none" w:sz="0" w:space="0" w:color="auto"/>
      </w:divBdr>
    </w:div>
    <w:div w:id="1450321911">
      <w:bodyDiv w:val="1"/>
      <w:marLeft w:val="0"/>
      <w:marRight w:val="0"/>
      <w:marTop w:val="0"/>
      <w:marBottom w:val="0"/>
      <w:divBdr>
        <w:top w:val="none" w:sz="0" w:space="0" w:color="auto"/>
        <w:left w:val="none" w:sz="0" w:space="0" w:color="auto"/>
        <w:bottom w:val="none" w:sz="0" w:space="0" w:color="auto"/>
        <w:right w:val="none" w:sz="0" w:space="0" w:color="auto"/>
      </w:divBdr>
    </w:div>
    <w:div w:id="1452432415">
      <w:bodyDiv w:val="1"/>
      <w:marLeft w:val="0"/>
      <w:marRight w:val="0"/>
      <w:marTop w:val="0"/>
      <w:marBottom w:val="0"/>
      <w:divBdr>
        <w:top w:val="none" w:sz="0" w:space="0" w:color="auto"/>
        <w:left w:val="none" w:sz="0" w:space="0" w:color="auto"/>
        <w:bottom w:val="none" w:sz="0" w:space="0" w:color="auto"/>
        <w:right w:val="none" w:sz="0" w:space="0" w:color="auto"/>
      </w:divBdr>
    </w:div>
    <w:div w:id="1491822834">
      <w:bodyDiv w:val="1"/>
      <w:marLeft w:val="0"/>
      <w:marRight w:val="0"/>
      <w:marTop w:val="0"/>
      <w:marBottom w:val="0"/>
      <w:divBdr>
        <w:top w:val="none" w:sz="0" w:space="0" w:color="auto"/>
        <w:left w:val="none" w:sz="0" w:space="0" w:color="auto"/>
        <w:bottom w:val="none" w:sz="0" w:space="0" w:color="auto"/>
        <w:right w:val="none" w:sz="0" w:space="0" w:color="auto"/>
      </w:divBdr>
    </w:div>
    <w:div w:id="1548109436">
      <w:bodyDiv w:val="1"/>
      <w:marLeft w:val="0"/>
      <w:marRight w:val="0"/>
      <w:marTop w:val="0"/>
      <w:marBottom w:val="0"/>
      <w:divBdr>
        <w:top w:val="none" w:sz="0" w:space="0" w:color="auto"/>
        <w:left w:val="none" w:sz="0" w:space="0" w:color="auto"/>
        <w:bottom w:val="none" w:sz="0" w:space="0" w:color="auto"/>
        <w:right w:val="none" w:sz="0" w:space="0" w:color="auto"/>
      </w:divBdr>
    </w:div>
    <w:div w:id="1549100249">
      <w:bodyDiv w:val="1"/>
      <w:marLeft w:val="0"/>
      <w:marRight w:val="0"/>
      <w:marTop w:val="0"/>
      <w:marBottom w:val="0"/>
      <w:divBdr>
        <w:top w:val="none" w:sz="0" w:space="0" w:color="auto"/>
        <w:left w:val="none" w:sz="0" w:space="0" w:color="auto"/>
        <w:bottom w:val="none" w:sz="0" w:space="0" w:color="auto"/>
        <w:right w:val="none" w:sz="0" w:space="0" w:color="auto"/>
      </w:divBdr>
    </w:div>
    <w:div w:id="1572619935">
      <w:bodyDiv w:val="1"/>
      <w:marLeft w:val="0"/>
      <w:marRight w:val="0"/>
      <w:marTop w:val="0"/>
      <w:marBottom w:val="0"/>
      <w:divBdr>
        <w:top w:val="none" w:sz="0" w:space="0" w:color="auto"/>
        <w:left w:val="none" w:sz="0" w:space="0" w:color="auto"/>
        <w:bottom w:val="none" w:sz="0" w:space="0" w:color="auto"/>
        <w:right w:val="none" w:sz="0" w:space="0" w:color="auto"/>
      </w:divBdr>
    </w:div>
    <w:div w:id="1578978962">
      <w:bodyDiv w:val="1"/>
      <w:marLeft w:val="0"/>
      <w:marRight w:val="0"/>
      <w:marTop w:val="0"/>
      <w:marBottom w:val="0"/>
      <w:divBdr>
        <w:top w:val="none" w:sz="0" w:space="0" w:color="auto"/>
        <w:left w:val="none" w:sz="0" w:space="0" w:color="auto"/>
        <w:bottom w:val="none" w:sz="0" w:space="0" w:color="auto"/>
        <w:right w:val="none" w:sz="0" w:space="0" w:color="auto"/>
      </w:divBdr>
    </w:div>
    <w:div w:id="1585803616">
      <w:bodyDiv w:val="1"/>
      <w:marLeft w:val="0"/>
      <w:marRight w:val="0"/>
      <w:marTop w:val="0"/>
      <w:marBottom w:val="0"/>
      <w:divBdr>
        <w:top w:val="none" w:sz="0" w:space="0" w:color="auto"/>
        <w:left w:val="none" w:sz="0" w:space="0" w:color="auto"/>
        <w:bottom w:val="none" w:sz="0" w:space="0" w:color="auto"/>
        <w:right w:val="none" w:sz="0" w:space="0" w:color="auto"/>
      </w:divBdr>
    </w:div>
    <w:div w:id="1600599738">
      <w:bodyDiv w:val="1"/>
      <w:marLeft w:val="0"/>
      <w:marRight w:val="0"/>
      <w:marTop w:val="0"/>
      <w:marBottom w:val="0"/>
      <w:divBdr>
        <w:top w:val="none" w:sz="0" w:space="0" w:color="auto"/>
        <w:left w:val="none" w:sz="0" w:space="0" w:color="auto"/>
        <w:bottom w:val="none" w:sz="0" w:space="0" w:color="auto"/>
        <w:right w:val="none" w:sz="0" w:space="0" w:color="auto"/>
      </w:divBdr>
    </w:div>
    <w:div w:id="1604923048">
      <w:bodyDiv w:val="1"/>
      <w:marLeft w:val="0"/>
      <w:marRight w:val="0"/>
      <w:marTop w:val="0"/>
      <w:marBottom w:val="0"/>
      <w:divBdr>
        <w:top w:val="none" w:sz="0" w:space="0" w:color="auto"/>
        <w:left w:val="none" w:sz="0" w:space="0" w:color="auto"/>
        <w:bottom w:val="none" w:sz="0" w:space="0" w:color="auto"/>
        <w:right w:val="none" w:sz="0" w:space="0" w:color="auto"/>
      </w:divBdr>
    </w:div>
    <w:div w:id="1625699498">
      <w:bodyDiv w:val="1"/>
      <w:marLeft w:val="0"/>
      <w:marRight w:val="0"/>
      <w:marTop w:val="0"/>
      <w:marBottom w:val="0"/>
      <w:divBdr>
        <w:top w:val="none" w:sz="0" w:space="0" w:color="auto"/>
        <w:left w:val="none" w:sz="0" w:space="0" w:color="auto"/>
        <w:bottom w:val="none" w:sz="0" w:space="0" w:color="auto"/>
        <w:right w:val="none" w:sz="0" w:space="0" w:color="auto"/>
      </w:divBdr>
    </w:div>
    <w:div w:id="1633751825">
      <w:bodyDiv w:val="1"/>
      <w:marLeft w:val="0"/>
      <w:marRight w:val="0"/>
      <w:marTop w:val="0"/>
      <w:marBottom w:val="0"/>
      <w:divBdr>
        <w:top w:val="none" w:sz="0" w:space="0" w:color="auto"/>
        <w:left w:val="none" w:sz="0" w:space="0" w:color="auto"/>
        <w:bottom w:val="none" w:sz="0" w:space="0" w:color="auto"/>
        <w:right w:val="none" w:sz="0" w:space="0" w:color="auto"/>
      </w:divBdr>
    </w:div>
    <w:div w:id="1672945506">
      <w:bodyDiv w:val="1"/>
      <w:marLeft w:val="0"/>
      <w:marRight w:val="0"/>
      <w:marTop w:val="0"/>
      <w:marBottom w:val="0"/>
      <w:divBdr>
        <w:top w:val="none" w:sz="0" w:space="0" w:color="auto"/>
        <w:left w:val="none" w:sz="0" w:space="0" w:color="auto"/>
        <w:bottom w:val="none" w:sz="0" w:space="0" w:color="auto"/>
        <w:right w:val="none" w:sz="0" w:space="0" w:color="auto"/>
      </w:divBdr>
    </w:div>
    <w:div w:id="1688172437">
      <w:bodyDiv w:val="1"/>
      <w:marLeft w:val="0"/>
      <w:marRight w:val="0"/>
      <w:marTop w:val="0"/>
      <w:marBottom w:val="0"/>
      <w:divBdr>
        <w:top w:val="none" w:sz="0" w:space="0" w:color="auto"/>
        <w:left w:val="none" w:sz="0" w:space="0" w:color="auto"/>
        <w:bottom w:val="none" w:sz="0" w:space="0" w:color="auto"/>
        <w:right w:val="none" w:sz="0" w:space="0" w:color="auto"/>
      </w:divBdr>
    </w:div>
    <w:div w:id="1724406044">
      <w:bodyDiv w:val="1"/>
      <w:marLeft w:val="0"/>
      <w:marRight w:val="0"/>
      <w:marTop w:val="0"/>
      <w:marBottom w:val="0"/>
      <w:divBdr>
        <w:top w:val="none" w:sz="0" w:space="0" w:color="auto"/>
        <w:left w:val="none" w:sz="0" w:space="0" w:color="auto"/>
        <w:bottom w:val="none" w:sz="0" w:space="0" w:color="auto"/>
        <w:right w:val="none" w:sz="0" w:space="0" w:color="auto"/>
      </w:divBdr>
    </w:div>
    <w:div w:id="1727602306">
      <w:bodyDiv w:val="1"/>
      <w:marLeft w:val="0"/>
      <w:marRight w:val="0"/>
      <w:marTop w:val="0"/>
      <w:marBottom w:val="0"/>
      <w:divBdr>
        <w:top w:val="none" w:sz="0" w:space="0" w:color="auto"/>
        <w:left w:val="none" w:sz="0" w:space="0" w:color="auto"/>
        <w:bottom w:val="none" w:sz="0" w:space="0" w:color="auto"/>
        <w:right w:val="none" w:sz="0" w:space="0" w:color="auto"/>
      </w:divBdr>
    </w:div>
    <w:div w:id="1747604547">
      <w:bodyDiv w:val="1"/>
      <w:marLeft w:val="0"/>
      <w:marRight w:val="0"/>
      <w:marTop w:val="0"/>
      <w:marBottom w:val="0"/>
      <w:divBdr>
        <w:top w:val="none" w:sz="0" w:space="0" w:color="auto"/>
        <w:left w:val="none" w:sz="0" w:space="0" w:color="auto"/>
        <w:bottom w:val="none" w:sz="0" w:space="0" w:color="auto"/>
        <w:right w:val="none" w:sz="0" w:space="0" w:color="auto"/>
      </w:divBdr>
    </w:div>
    <w:div w:id="1750155776">
      <w:bodyDiv w:val="1"/>
      <w:marLeft w:val="0"/>
      <w:marRight w:val="0"/>
      <w:marTop w:val="0"/>
      <w:marBottom w:val="0"/>
      <w:divBdr>
        <w:top w:val="none" w:sz="0" w:space="0" w:color="auto"/>
        <w:left w:val="none" w:sz="0" w:space="0" w:color="auto"/>
        <w:bottom w:val="none" w:sz="0" w:space="0" w:color="auto"/>
        <w:right w:val="none" w:sz="0" w:space="0" w:color="auto"/>
      </w:divBdr>
    </w:div>
    <w:div w:id="1793017410">
      <w:bodyDiv w:val="1"/>
      <w:marLeft w:val="0"/>
      <w:marRight w:val="0"/>
      <w:marTop w:val="0"/>
      <w:marBottom w:val="0"/>
      <w:divBdr>
        <w:top w:val="none" w:sz="0" w:space="0" w:color="auto"/>
        <w:left w:val="none" w:sz="0" w:space="0" w:color="auto"/>
        <w:bottom w:val="none" w:sz="0" w:space="0" w:color="auto"/>
        <w:right w:val="none" w:sz="0" w:space="0" w:color="auto"/>
      </w:divBdr>
    </w:div>
    <w:div w:id="1804615014">
      <w:bodyDiv w:val="1"/>
      <w:marLeft w:val="0"/>
      <w:marRight w:val="0"/>
      <w:marTop w:val="0"/>
      <w:marBottom w:val="0"/>
      <w:divBdr>
        <w:top w:val="none" w:sz="0" w:space="0" w:color="auto"/>
        <w:left w:val="none" w:sz="0" w:space="0" w:color="auto"/>
        <w:bottom w:val="none" w:sz="0" w:space="0" w:color="auto"/>
        <w:right w:val="none" w:sz="0" w:space="0" w:color="auto"/>
      </w:divBdr>
    </w:div>
    <w:div w:id="1809592439">
      <w:bodyDiv w:val="1"/>
      <w:marLeft w:val="0"/>
      <w:marRight w:val="0"/>
      <w:marTop w:val="0"/>
      <w:marBottom w:val="0"/>
      <w:divBdr>
        <w:top w:val="none" w:sz="0" w:space="0" w:color="auto"/>
        <w:left w:val="none" w:sz="0" w:space="0" w:color="auto"/>
        <w:bottom w:val="none" w:sz="0" w:space="0" w:color="auto"/>
        <w:right w:val="none" w:sz="0" w:space="0" w:color="auto"/>
      </w:divBdr>
    </w:div>
    <w:div w:id="1828856485">
      <w:bodyDiv w:val="1"/>
      <w:marLeft w:val="0"/>
      <w:marRight w:val="0"/>
      <w:marTop w:val="0"/>
      <w:marBottom w:val="0"/>
      <w:divBdr>
        <w:top w:val="none" w:sz="0" w:space="0" w:color="auto"/>
        <w:left w:val="none" w:sz="0" w:space="0" w:color="auto"/>
        <w:bottom w:val="none" w:sz="0" w:space="0" w:color="auto"/>
        <w:right w:val="none" w:sz="0" w:space="0" w:color="auto"/>
      </w:divBdr>
    </w:div>
    <w:div w:id="1867714536">
      <w:bodyDiv w:val="1"/>
      <w:marLeft w:val="0"/>
      <w:marRight w:val="0"/>
      <w:marTop w:val="0"/>
      <w:marBottom w:val="0"/>
      <w:divBdr>
        <w:top w:val="none" w:sz="0" w:space="0" w:color="auto"/>
        <w:left w:val="none" w:sz="0" w:space="0" w:color="auto"/>
        <w:bottom w:val="none" w:sz="0" w:space="0" w:color="auto"/>
        <w:right w:val="none" w:sz="0" w:space="0" w:color="auto"/>
      </w:divBdr>
    </w:div>
    <w:div w:id="1875730479">
      <w:bodyDiv w:val="1"/>
      <w:marLeft w:val="0"/>
      <w:marRight w:val="0"/>
      <w:marTop w:val="0"/>
      <w:marBottom w:val="0"/>
      <w:divBdr>
        <w:top w:val="none" w:sz="0" w:space="0" w:color="auto"/>
        <w:left w:val="none" w:sz="0" w:space="0" w:color="auto"/>
        <w:bottom w:val="none" w:sz="0" w:space="0" w:color="auto"/>
        <w:right w:val="none" w:sz="0" w:space="0" w:color="auto"/>
      </w:divBdr>
    </w:div>
    <w:div w:id="1879007937">
      <w:bodyDiv w:val="1"/>
      <w:marLeft w:val="0"/>
      <w:marRight w:val="0"/>
      <w:marTop w:val="0"/>
      <w:marBottom w:val="0"/>
      <w:divBdr>
        <w:top w:val="none" w:sz="0" w:space="0" w:color="auto"/>
        <w:left w:val="none" w:sz="0" w:space="0" w:color="auto"/>
        <w:bottom w:val="none" w:sz="0" w:space="0" w:color="auto"/>
        <w:right w:val="none" w:sz="0" w:space="0" w:color="auto"/>
      </w:divBdr>
    </w:div>
    <w:div w:id="1881744018">
      <w:bodyDiv w:val="1"/>
      <w:marLeft w:val="0"/>
      <w:marRight w:val="0"/>
      <w:marTop w:val="0"/>
      <w:marBottom w:val="0"/>
      <w:divBdr>
        <w:top w:val="none" w:sz="0" w:space="0" w:color="auto"/>
        <w:left w:val="none" w:sz="0" w:space="0" w:color="auto"/>
        <w:bottom w:val="none" w:sz="0" w:space="0" w:color="auto"/>
        <w:right w:val="none" w:sz="0" w:space="0" w:color="auto"/>
      </w:divBdr>
    </w:div>
    <w:div w:id="1897349146">
      <w:bodyDiv w:val="1"/>
      <w:marLeft w:val="0"/>
      <w:marRight w:val="0"/>
      <w:marTop w:val="0"/>
      <w:marBottom w:val="0"/>
      <w:divBdr>
        <w:top w:val="none" w:sz="0" w:space="0" w:color="auto"/>
        <w:left w:val="none" w:sz="0" w:space="0" w:color="auto"/>
        <w:bottom w:val="none" w:sz="0" w:space="0" w:color="auto"/>
        <w:right w:val="none" w:sz="0" w:space="0" w:color="auto"/>
      </w:divBdr>
    </w:div>
    <w:div w:id="1908369819">
      <w:bodyDiv w:val="1"/>
      <w:marLeft w:val="0"/>
      <w:marRight w:val="0"/>
      <w:marTop w:val="0"/>
      <w:marBottom w:val="0"/>
      <w:divBdr>
        <w:top w:val="none" w:sz="0" w:space="0" w:color="auto"/>
        <w:left w:val="none" w:sz="0" w:space="0" w:color="auto"/>
        <w:bottom w:val="none" w:sz="0" w:space="0" w:color="auto"/>
        <w:right w:val="none" w:sz="0" w:space="0" w:color="auto"/>
      </w:divBdr>
    </w:div>
    <w:div w:id="1923176000">
      <w:bodyDiv w:val="1"/>
      <w:marLeft w:val="0"/>
      <w:marRight w:val="0"/>
      <w:marTop w:val="0"/>
      <w:marBottom w:val="0"/>
      <w:divBdr>
        <w:top w:val="none" w:sz="0" w:space="0" w:color="auto"/>
        <w:left w:val="none" w:sz="0" w:space="0" w:color="auto"/>
        <w:bottom w:val="none" w:sz="0" w:space="0" w:color="auto"/>
        <w:right w:val="none" w:sz="0" w:space="0" w:color="auto"/>
      </w:divBdr>
    </w:div>
    <w:div w:id="1964118320">
      <w:bodyDiv w:val="1"/>
      <w:marLeft w:val="0"/>
      <w:marRight w:val="0"/>
      <w:marTop w:val="0"/>
      <w:marBottom w:val="0"/>
      <w:divBdr>
        <w:top w:val="none" w:sz="0" w:space="0" w:color="auto"/>
        <w:left w:val="none" w:sz="0" w:space="0" w:color="auto"/>
        <w:bottom w:val="none" w:sz="0" w:space="0" w:color="auto"/>
        <w:right w:val="none" w:sz="0" w:space="0" w:color="auto"/>
      </w:divBdr>
    </w:div>
    <w:div w:id="1965849046">
      <w:bodyDiv w:val="1"/>
      <w:marLeft w:val="0"/>
      <w:marRight w:val="0"/>
      <w:marTop w:val="0"/>
      <w:marBottom w:val="0"/>
      <w:divBdr>
        <w:top w:val="none" w:sz="0" w:space="0" w:color="auto"/>
        <w:left w:val="none" w:sz="0" w:space="0" w:color="auto"/>
        <w:bottom w:val="none" w:sz="0" w:space="0" w:color="auto"/>
        <w:right w:val="none" w:sz="0" w:space="0" w:color="auto"/>
      </w:divBdr>
    </w:div>
    <w:div w:id="1989893457">
      <w:bodyDiv w:val="1"/>
      <w:marLeft w:val="0"/>
      <w:marRight w:val="0"/>
      <w:marTop w:val="0"/>
      <w:marBottom w:val="0"/>
      <w:divBdr>
        <w:top w:val="none" w:sz="0" w:space="0" w:color="auto"/>
        <w:left w:val="none" w:sz="0" w:space="0" w:color="auto"/>
        <w:bottom w:val="none" w:sz="0" w:space="0" w:color="auto"/>
        <w:right w:val="none" w:sz="0" w:space="0" w:color="auto"/>
      </w:divBdr>
    </w:div>
    <w:div w:id="1995911307">
      <w:bodyDiv w:val="1"/>
      <w:marLeft w:val="0"/>
      <w:marRight w:val="0"/>
      <w:marTop w:val="0"/>
      <w:marBottom w:val="0"/>
      <w:divBdr>
        <w:top w:val="none" w:sz="0" w:space="0" w:color="auto"/>
        <w:left w:val="none" w:sz="0" w:space="0" w:color="auto"/>
        <w:bottom w:val="none" w:sz="0" w:space="0" w:color="auto"/>
        <w:right w:val="none" w:sz="0" w:space="0" w:color="auto"/>
      </w:divBdr>
    </w:div>
    <w:div w:id="2002462843">
      <w:bodyDiv w:val="1"/>
      <w:marLeft w:val="0"/>
      <w:marRight w:val="0"/>
      <w:marTop w:val="0"/>
      <w:marBottom w:val="0"/>
      <w:divBdr>
        <w:top w:val="none" w:sz="0" w:space="0" w:color="auto"/>
        <w:left w:val="none" w:sz="0" w:space="0" w:color="auto"/>
        <w:bottom w:val="none" w:sz="0" w:space="0" w:color="auto"/>
        <w:right w:val="none" w:sz="0" w:space="0" w:color="auto"/>
      </w:divBdr>
    </w:div>
    <w:div w:id="2010327296">
      <w:bodyDiv w:val="1"/>
      <w:marLeft w:val="0"/>
      <w:marRight w:val="0"/>
      <w:marTop w:val="0"/>
      <w:marBottom w:val="0"/>
      <w:divBdr>
        <w:top w:val="none" w:sz="0" w:space="0" w:color="auto"/>
        <w:left w:val="none" w:sz="0" w:space="0" w:color="auto"/>
        <w:bottom w:val="none" w:sz="0" w:space="0" w:color="auto"/>
        <w:right w:val="none" w:sz="0" w:space="0" w:color="auto"/>
      </w:divBdr>
    </w:div>
    <w:div w:id="2075540245">
      <w:bodyDiv w:val="1"/>
      <w:marLeft w:val="0"/>
      <w:marRight w:val="0"/>
      <w:marTop w:val="0"/>
      <w:marBottom w:val="0"/>
      <w:divBdr>
        <w:top w:val="none" w:sz="0" w:space="0" w:color="auto"/>
        <w:left w:val="none" w:sz="0" w:space="0" w:color="auto"/>
        <w:bottom w:val="none" w:sz="0" w:space="0" w:color="auto"/>
        <w:right w:val="none" w:sz="0" w:space="0" w:color="auto"/>
      </w:divBdr>
    </w:div>
    <w:div w:id="2105490802">
      <w:bodyDiv w:val="1"/>
      <w:marLeft w:val="0"/>
      <w:marRight w:val="0"/>
      <w:marTop w:val="0"/>
      <w:marBottom w:val="0"/>
      <w:divBdr>
        <w:top w:val="none" w:sz="0" w:space="0" w:color="auto"/>
        <w:left w:val="none" w:sz="0" w:space="0" w:color="auto"/>
        <w:bottom w:val="none" w:sz="0" w:space="0" w:color="auto"/>
        <w:right w:val="none" w:sz="0" w:space="0" w:color="auto"/>
      </w:divBdr>
    </w:div>
    <w:div w:id="2145073305">
      <w:bodyDiv w:val="1"/>
      <w:marLeft w:val="0"/>
      <w:marRight w:val="0"/>
      <w:marTop w:val="0"/>
      <w:marBottom w:val="0"/>
      <w:divBdr>
        <w:top w:val="none" w:sz="0" w:space="0" w:color="auto"/>
        <w:left w:val="none" w:sz="0" w:space="0" w:color="auto"/>
        <w:bottom w:val="none" w:sz="0" w:space="0" w:color="auto"/>
        <w:right w:val="none" w:sz="0" w:space="0" w:color="auto"/>
      </w:divBdr>
    </w:div>
    <w:div w:id="214526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26" Type="http://schemas.microsoft.com/office/2014/relationships/chartEx" Target="charts/chartEx1.xml"/><Relationship Id="rId39" Type="http://schemas.openxmlformats.org/officeDocument/2006/relationships/footer" Target="footer2.xml"/><Relationship Id="rId3" Type="http://schemas.openxmlformats.org/officeDocument/2006/relationships/customXml" Target="../customXml/item3.xml"/><Relationship Id="rId34" Type="http://schemas.openxmlformats.org/officeDocument/2006/relationships/image" Target="media/image6.JPG"/><Relationship Id="rId7" Type="http://schemas.openxmlformats.org/officeDocument/2006/relationships/settings" Target="settings.xml"/><Relationship Id="rId33" Type="http://schemas.openxmlformats.org/officeDocument/2006/relationships/image" Target="media/image5.JPG"/><Relationship Id="rId38"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32" Type="http://schemas.openxmlformats.org/officeDocument/2006/relationships/image" Target="media/image4.JP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28" Type="http://schemas.microsoft.com/office/2014/relationships/chartEx" Target="charts/chartEx2.xml"/><Relationship Id="rId36"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27" Type="http://schemas.openxmlformats.org/officeDocument/2006/relationships/image" Target="media/image1.png"/><Relationship Id="rId30" Type="http://schemas.microsoft.com/office/2014/relationships/chartEx" Target="charts/chartEx3.xm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lobal.adelphigroup.com\av\SHARED\Projs\UK\NN8968A%20-%20TTO%20injection%20disutility%20study\Report\4.%20TTO%20interview%20RESULTS\April%202021%20graphing%20all%20results\TTO%20for%20the%20three%20countries%20v0_4%20scale%20starts%20at%20zero.xlsx" TargetMode="External"/><Relationship Id="rId4" Type="http://schemas.openxmlformats.org/officeDocument/2006/relationships/themeOverride" Target="../theme/themeOverride1.xm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global.adelphigroup.com\av\SHARED\Projs\UK\NN8968A%20-%20TTO%20injection%20disutility%20study\Report\4.%20TTO%20interview%20RESULTS\April%202021%20graphing%20all%20results\TTO%20for%20the%20three%20countries%20v0_4%20scale%20starts%20at%20zero.xlsx" TargetMode="External"/><Relationship Id="rId4" Type="http://schemas.openxmlformats.org/officeDocument/2006/relationships/themeOverride" Target="../theme/themeOverride2.xml"/></Relationships>
</file>

<file path=word/charts/_rels/chartEx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global.adelphigroup.com\av\SHARED\Projs\UK\NN8968A%20-%20TTO%20injection%20disutility%20study\Report\4.%20TTO%20interview%20RESULTS\April%202021%20graphing%20all%20results\TTO%20for%20the%20three%20countries%20v0_4%20scale%20starts%20at%20zero.xlsx" TargetMode="External"/><Relationship Id="rId4" Type="http://schemas.openxmlformats.org/officeDocument/2006/relationships/themeOverride" Target="../theme/themeOverride3.xm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UK!$C$7:$C$116</cx:f>
        <cx:lvl ptCount="110" formatCode="0.00">
          <cx:pt idx="0">0.20000000000000001</cx:pt>
          <cx:pt idx="1">0.80000000000000004</cx:pt>
          <cx:pt idx="2">0.90000000000000002</cx:pt>
          <cx:pt idx="3">0.84999999999999998</cx:pt>
          <cx:pt idx="4">0.875</cx:pt>
          <cx:pt idx="5">0.94999999999999996</cx:pt>
          <cx:pt idx="6">0.9375</cx:pt>
          <cx:pt idx="7">0.97499999999999998</cx:pt>
          <cx:pt idx="8">0.99166666666666659</cx:pt>
          <cx:pt idx="9">0.80000000000000004</cx:pt>
          <cx:pt idx="10">0.50416666666666665</cx:pt>
          <cx:pt idx="11">0.80000000000000004</cx:pt>
          <cx:pt idx="12">0.80000000000000004</cx:pt>
          <cx:pt idx="13">0.59999999999999998</cx:pt>
          <cx:pt idx="14">0.75</cx:pt>
          <cx:pt idx="15">0.99583333333333335</cx:pt>
          <cx:pt idx="16">0.99583333333333335</cx:pt>
          <cx:pt idx="17">0.99583333333333335</cx:pt>
          <cx:pt idx="18">0.99583333333333335</cx:pt>
          <cx:pt idx="19">0.94999999999999996</cx:pt>
          <cx:pt idx="20">0.94999999999999996</cx:pt>
          <cx:pt idx="21">0.97499999999999998</cx:pt>
          <cx:pt idx="22">0.97499999999999998</cx:pt>
          <cx:pt idx="23">1</cx:pt>
          <cx:pt idx="24">0.94583333333333341</cx:pt>
          <cx:pt idx="25">0.99583333333333335</cx:pt>
          <cx:pt idx="26">0.99583333333333335</cx:pt>
          <cx:pt idx="27">0.90000000000000002</cx:pt>
          <cx:pt idx="28">0.94999999999999996</cx:pt>
          <cx:pt idx="29">0.875</cx:pt>
          <cx:pt idx="30">0.94999999999999996</cx:pt>
          <cx:pt idx="31">0.94999999999999996</cx:pt>
          <cx:pt idx="32">0.94999999999999996</cx:pt>
          <cx:pt idx="33">0.97499999999999998</cx:pt>
          <cx:pt idx="34">0.69999999999999996</cx:pt>
          <cx:pt idx="35">0.94999999999999996</cx:pt>
          <cx:pt idx="36">0.74583333333333335</cx:pt>
          <cx:pt idx="37">0.99583333333333335</cx:pt>
          <cx:pt idx="38">0.99583333333333335</cx:pt>
          <cx:pt idx="39">0.59999999999999998</cx:pt>
          <cx:pt idx="40">0.99583333333333335</cx:pt>
          <cx:pt idx="41">0.99583333333333335</cx:pt>
          <cx:pt idx="42">0.89583333333333337</cx:pt>
          <cx:pt idx="43">0.875</cx:pt>
          <cx:pt idx="44">0.34999999999999998</cx:pt>
          <cx:pt idx="45">0.99583333333333335</cx:pt>
          <cx:pt idx="46">0.94999999999999996</cx:pt>
          <cx:pt idx="47">0.92500000000000004</cx:pt>
          <cx:pt idx="48">0.97499999999999998</cx:pt>
          <cx:pt idx="49">0.99583333333333335</cx:pt>
          <cx:pt idx="50">0.84583333333333344</cx:pt>
          <cx:pt idx="51">0.90000000000000002</cx:pt>
          <cx:pt idx="52">0.99583333333333335</cx:pt>
          <cx:pt idx="53">0.90000000000000002</cx:pt>
          <cx:pt idx="54">0.89583333333333337</cx:pt>
          <cx:pt idx="55">0.99166666666666659</cx:pt>
          <cx:pt idx="56">0.99583333333333335</cx:pt>
          <cx:pt idx="57">0.75</cx:pt>
          <cx:pt idx="58">0.84583333333333344</cx:pt>
          <cx:pt idx="59">0.80000000000000004</cx:pt>
          <cx:pt idx="60">0.99583333333333335</cx:pt>
          <cx:pt idx="61">0.84999999999999998</cx:pt>
          <cx:pt idx="62">0.90000000000000002</cx:pt>
          <cx:pt idx="63">0.97499999999999998</cx:pt>
          <cx:pt idx="64">0.99583333333333335</cx:pt>
          <cx:pt idx="65">0.5</cx:pt>
          <cx:pt idx="66">0.4458333333333333</cx:pt>
          <cx:pt idx="67">0.94999999999999996</cx:pt>
          <cx:pt idx="68">0.90000000000000002</cx:pt>
          <cx:pt idx="69">0.99583333333333335</cx:pt>
          <cx:pt idx="70">0.75</cx:pt>
          <cx:pt idx="71">0.90000000000000002</cx:pt>
          <cx:pt idx="72">0.92500000000000004</cx:pt>
          <cx:pt idx="73">0.99583333333333335</cx:pt>
          <cx:pt idx="74">0.29999999999999999</cx:pt>
          <cx:pt idx="75">0.64583333333333326</cx:pt>
          <cx:pt idx="76">0.94999999999999996</cx:pt>
          <cx:pt idx="77">0.94999999999999996</cx:pt>
          <cx:pt idx="78">0.99583333333333335</cx:pt>
          <cx:pt idx="79">1</cx:pt>
          <cx:pt idx="80">0.90000000000000002</cx:pt>
          <cx:pt idx="81">0.68333333333333335</cx:pt>
          <cx:pt idx="82">0.99583333333333335</cx:pt>
          <cx:pt idx="83">0.99583333333333335</cx:pt>
          <cx:pt idx="84">0.82499999999999996</cx:pt>
          <cx:pt idx="85">0.94999999999999996</cx:pt>
          <cx:pt idx="86">0.99583333333333335</cx:pt>
          <cx:pt idx="87">0.94999999999999996</cx:pt>
          <cx:pt idx="88">0.65000000000000002</cx:pt>
          <cx:pt idx="89">0.79583333333333328</cx:pt>
          <cx:pt idx="90">0.83333333333333337</cx:pt>
          <cx:pt idx="91">0.94999999999999996</cx:pt>
          <cx:pt idx="92">1</cx:pt>
          <cx:pt idx="93">0.99583333333333335</cx:pt>
          <cx:pt idx="94">0.99583333333333335</cx:pt>
          <cx:pt idx="95">0.94999999999999996</cx:pt>
          <cx:pt idx="96">0.99583333333333335</cx:pt>
          <cx:pt idx="97">0.90000000000000002</cx:pt>
          <cx:pt idx="98">0.99583333333333335</cx:pt>
          <cx:pt idx="99">0.94999999999999996</cx:pt>
          <cx:pt idx="100">0.99583333333333335</cx:pt>
          <cx:pt idx="101">0.99583333333333335</cx:pt>
          <cx:pt idx="102">0.90000000000000002</cx:pt>
          <cx:pt idx="103">0.75</cx:pt>
          <cx:pt idx="104">0.84999999999999998</cx:pt>
          <cx:pt idx="105">0.80000000000000004</cx:pt>
          <cx:pt idx="106">0.29999999999999999</cx:pt>
          <cx:pt idx="107">0.875</cx:pt>
          <cx:pt idx="108">0.83750000000000002</cx:pt>
          <cx:pt idx="109">0.99583333333333335</cx:pt>
        </cx:lvl>
      </cx:numDim>
    </cx:data>
    <cx:data id="1">
      <cx:numDim type="val">
        <cx:f>UK!$D$7:$D$116</cx:f>
        <cx:lvl ptCount="110" formatCode="0.00">
          <cx:pt idx="0">0.24583333333333335</cx:pt>
          <cx:pt idx="1">0.69999999999999996</cx:pt>
          <cx:pt idx="2">0.90000000000000002</cx:pt>
          <cx:pt idx="3">0.84999999999999998</cx:pt>
          <cx:pt idx="4">0.875</cx:pt>
          <cx:pt idx="5">0.94999999999999996</cx:pt>
          <cx:pt idx="6">0.9375</cx:pt>
          <cx:pt idx="7">0.96666666666666656</cx:pt>
          <cx:pt idx="8">0.95833333333333337</cx:pt>
          <cx:pt idx="9">0.90000000000000002</cx:pt>
          <cx:pt idx="10">0.49583333333333329</cx:pt>
          <cx:pt idx="11">0.75</cx:pt>
          <cx:pt idx="12">0.69999999999999996</cx:pt>
          <cx:pt idx="13">0.59999999999999998</cx:pt>
          <cx:pt idx="14">0.69999999999999996</cx:pt>
          <cx:pt idx="15">0.99583333333333335</cx:pt>
          <cx:pt idx="16">0.99583333333333335</cx:pt>
          <cx:pt idx="17">0.90000000000000002</cx:pt>
          <cx:pt idx="18">0.98750000000000004</cx:pt>
          <cx:pt idx="19">0.94999999999999996</cx:pt>
          <cx:pt idx="20">0.94999999999999996</cx:pt>
          <cx:pt idx="21">0.97499999999999998</cx:pt>
          <cx:pt idx="22">0.97499999999999998</cx:pt>
          <cx:pt idx="23">1</cx:pt>
          <cx:pt idx="24">0.90000000000000002</cx:pt>
          <cx:pt idx="25">0.99583333333333335</cx:pt>
          <cx:pt idx="26">0.99583333333333335</cx:pt>
          <cx:pt idx="27">0.80000000000000004</cx:pt>
          <cx:pt idx="28">0.94999999999999996</cx:pt>
          <cx:pt idx="29">0.90000000000000002</cx:pt>
          <cx:pt idx="30">0.90000000000000002</cx:pt>
          <cx:pt idx="31">0.94999999999999996</cx:pt>
          <cx:pt idx="32">0.94999999999999996</cx:pt>
          <cx:pt idx="33">0.97499999999999998</cx:pt>
          <cx:pt idx="34">0.90000000000000002</cx:pt>
          <cx:pt idx="35">0.94999999999999996</cx:pt>
          <cx:pt idx="36">0.94583333333333341</cx:pt>
          <cx:pt idx="37">0.94583333333333341</cx:pt>
          <cx:pt idx="38">0.99583333333333335</cx:pt>
          <cx:pt idx="39">0.59999999999999998</cx:pt>
          <cx:pt idx="40">0.94583333333333341</cx:pt>
          <cx:pt idx="41">0.99583333333333335</cx:pt>
          <cx:pt idx="42">0.79583333333333328</cx:pt>
          <cx:pt idx="43">0.82499999999999996</cx:pt>
          <cx:pt idx="44">0.29999999999999999</cx:pt>
          <cx:pt idx="45">0.99583333333333335</cx:pt>
          <cx:pt idx="46">0.90000000000000002</cx:pt>
          <cx:pt idx="47">0.84999999999999998</cx:pt>
          <cx:pt idx="48">0.9375</cx:pt>
          <cx:pt idx="49">0.99583333333333335</cx:pt>
          <cx:pt idx="50">0.74583333333333335</cx:pt>
          <cx:pt idx="51">0.83333333333333337</cx:pt>
          <cx:pt idx="52">0.90000000000000002</cx:pt>
          <cx:pt idx="53">0.80000000000000004</cx:pt>
          <cx:pt idx="54">0.92500000000000004</cx:pt>
          <cx:pt idx="55">0.93333333333333335</cx:pt>
          <cx:pt idx="56">0.96666666666666656</cx:pt>
          <cx:pt idx="57">0.72499999999999998</cx:pt>
          <cx:pt idx="58">0.7416666666666667</cx:pt>
          <cx:pt idx="59">0.69999999999999996</cx:pt>
          <cx:pt idx="60">0.99583333333333335</cx:pt>
          <cx:pt idx="61">0.82499999999999996</cx:pt>
          <cx:pt idx="62">0.90000000000000002</cx:pt>
          <cx:pt idx="63">0.94166666666666665</cx:pt>
          <cx:pt idx="64">0.94583333333333341</cx:pt>
          <cx:pt idx="65">0.5</cx:pt>
          <cx:pt idx="66">0.20000000000000001</cx:pt>
          <cx:pt idx="67">0.94999999999999996</cx:pt>
          <cx:pt idx="68">0.90000000000000002</cx:pt>
          <cx:pt idx="69">0.99583333333333335</cx:pt>
          <cx:pt idx="70">0.69999999999999996</cx:pt>
          <cx:pt idx="71">0.90000000000000002</cx:pt>
          <cx:pt idx="72">0.90000000000000002</cx:pt>
          <cx:pt idx="73">0.94999999999999996</cx:pt>
          <cx:pt idx="74">0</cx:pt>
          <cx:pt idx="75">0.64583333333333326</cx:pt>
          <cx:pt idx="76">0.94999999999999996</cx:pt>
          <cx:pt idx="77">0.94999999999999996</cx:pt>
          <cx:pt idx="78">0.84999999999999998</cx:pt>
          <cx:pt idx="79">0.90000000000000002</cx:pt>
          <cx:pt idx="80">0.90000000000000002</cx:pt>
          <cx:pt idx="81">0.80000000000000004</cx:pt>
          <cx:pt idx="82">0.94999999999999996</cx:pt>
          <cx:pt idx="83">0.94999999999999996</cx:pt>
          <cx:pt idx="84">0.84583333333333344</cx:pt>
          <cx:pt idx="85">0.90000000000000002</cx:pt>
          <cx:pt idx="86">0.99583333333333335</cx:pt>
          <cx:pt idx="87">0.94999999999999996</cx:pt>
          <cx:pt idx="88">0.5</cx:pt>
          <cx:pt idx="89">0.84999999999999998</cx:pt>
          <cx:pt idx="90">0.82916666666666661</cx:pt>
          <cx:pt idx="91">0.94999999999999996</cx:pt>
          <cx:pt idx="92">1</cx:pt>
          <cx:pt idx="93">0.99583333333333335</cx:pt>
          <cx:pt idx="94">0.99583333333333335</cx:pt>
          <cx:pt idx="95">0.94999999999999996</cx:pt>
          <cx:pt idx="96">0.99583333333333335</cx:pt>
          <cx:pt idx="97">0.90000000000000002</cx:pt>
          <cx:pt idx="98">0.97499999999999998</cx:pt>
          <cx:pt idx="99">0.94999999999999996</cx:pt>
          <cx:pt idx="100">0.99583333333333335</cx:pt>
          <cx:pt idx="101">0.84999999999999998</cx:pt>
          <cx:pt idx="102">0.94999999999999996</cx:pt>
          <cx:pt idx="103">0.77500000000000002</cx:pt>
          <cx:pt idx="104">0.80000000000000004</cx:pt>
          <cx:pt idx="105">0.90416666666666656</cx:pt>
          <cx:pt idx="106">0.625</cx:pt>
          <cx:pt idx="107">0.84166666666666656</cx:pt>
          <cx:pt idx="108">0.73750000000000004</cx:pt>
          <cx:pt idx="109">0.94999999999999996</cx:pt>
        </cx:lvl>
      </cx:numDim>
    </cx:data>
    <cx:data id="2">
      <cx:numDim type="val">
        <cx:f>UK!$E$7:$E$116</cx:f>
        <cx:lvl ptCount="110" formatCode="0.00">
          <cx:pt idx="0">0.25</cx:pt>
          <cx:pt idx="1">0.69999999999999996</cx:pt>
          <cx:pt idx="2">0.90000000000000002</cx:pt>
          <cx:pt idx="3">0.84999999999999998</cx:pt>
          <cx:pt idx="4">0.875</cx:pt>
          <cx:pt idx="5">0.79166666666666674</cx:pt>
          <cx:pt idx="6">0.91666666666666663</cx:pt>
          <cx:pt idx="7">0.96250000000000002</cx:pt>
          <cx:pt idx="8">0.85833333333333339</cx:pt>
          <cx:pt idx="9">0.69999999999999996</cx:pt>
          <cx:pt idx="10">0.45416666666666672</cx:pt>
          <cx:pt idx="11">0.75</cx:pt>
          <cx:pt idx="12">0.59999999999999998</cx:pt>
          <cx:pt idx="13">0.59999999999999998</cx:pt>
          <cx:pt idx="14">0.59999999999999998</cx:pt>
          <cx:pt idx="15">0.94999999999999996</cx:pt>
          <cx:pt idx="16">0.99583333333333335</cx:pt>
          <cx:pt idx="17">0.90000000000000002</cx:pt>
          <cx:pt idx="18">0.90000000000000002</cx:pt>
          <cx:pt idx="19">0.90000000000000002</cx:pt>
          <cx:pt idx="20">0.94999999999999996</cx:pt>
          <cx:pt idx="21">0.94999999999999996</cx:pt>
          <cx:pt idx="22">0.97499999999999998</cx:pt>
          <cx:pt idx="23">0.90000000000000002</cx:pt>
          <cx:pt idx="24">0.80000000000000004</cx:pt>
          <cx:pt idx="25">0.99583333333333335</cx:pt>
          <cx:pt idx="26">0.99583333333333335</cx:pt>
          <cx:pt idx="27">0.65000000000000002</cx:pt>
          <cx:pt idx="28">0.94999999999999996</cx:pt>
          <cx:pt idx="29">0.90000000000000002</cx:pt>
          <cx:pt idx="30">0.80000000000000004</cx:pt>
          <cx:pt idx="31">0.94999999999999996</cx:pt>
          <cx:pt idx="32">0.94999999999999996</cx:pt>
          <cx:pt idx="33">0.97499999999999998</cx:pt>
          <cx:pt idx="34">0.69999999999999996</cx:pt>
          <cx:pt idx="35">0.94999999999999996</cx:pt>
          <cx:pt idx="36">0.94583333333333341</cx:pt>
          <cx:pt idx="37">0.84583333333333344</cx:pt>
          <cx:pt idx="38">0.99583333333333335</cx:pt>
          <cx:pt idx="39">0.55000000000000004</cx:pt>
          <cx:pt idx="40">0.80000000000000004</cx:pt>
          <cx:pt idx="41">0.99583333333333335</cx:pt>
          <cx:pt idx="42">0.75416666666666665</cx:pt>
          <cx:pt idx="43">0.80416666666666659</cx:pt>
          <cx:pt idx="44">0.34999999999999998</cx:pt>
          <cx:pt idx="45">0.99583333333333335</cx:pt>
          <cx:pt idx="46">0.84999999999999998</cx:pt>
          <cx:pt idx="47">0.82499999999999996</cx:pt>
          <cx:pt idx="48">0.91249999999999998</cx:pt>
          <cx:pt idx="49">0.99583333333333335</cx:pt>
          <cx:pt idx="50">0.64583333333333326</cx:pt>
          <cx:pt idx="51">0.80000000000000004</cx:pt>
          <cx:pt idx="52">0.84999999999999998</cx:pt>
          <cx:pt idx="53">0.80000000000000004</cx:pt>
          <cx:pt idx="54">0.85416666666666663</cx:pt>
          <cx:pt idx="55">0.80000000000000004</cx:pt>
          <cx:pt idx="56">0.80416666666666659</cx:pt>
          <cx:pt idx="57">0.69999999999999996</cx:pt>
          <cx:pt idx="58">0.72499999999999998</cx:pt>
          <cx:pt idx="59">0.59999999999999998</cx:pt>
          <cx:pt idx="60">0.99583333333333335</cx:pt>
          <cx:pt idx="61">0.82499999999999996</cx:pt>
          <cx:pt idx="62">0.90000000000000002</cx:pt>
          <cx:pt idx="63">0.94999999999999996</cx:pt>
          <cx:pt idx="64">0.90000000000000002</cx:pt>
          <cx:pt idx="65">0.37916666666666665</cx:pt>
          <cx:pt idx="66">0.04583333333333333</cx:pt>
          <cx:pt idx="67">0.94999999999999996</cx:pt>
          <cx:pt idx="68">0.90000000000000002</cx:pt>
          <cx:pt idx="69">0.99583333333333335</cx:pt>
          <cx:pt idx="70">0.59999999999999998</cx:pt>
          <cx:pt idx="71">0.89583333333333337</cx:pt>
          <cx:pt idx="72">0.90000000000000002</cx:pt>
          <cx:pt idx="73">0.90000000000000002</cx:pt>
          <cx:pt idx="74">0</cx:pt>
          <cx:pt idx="75">0.64583333333333326</cx:pt>
          <cx:pt idx="76">0.94999999999999996</cx:pt>
          <cx:pt idx="77">0.94999999999999996</cx:pt>
          <cx:pt idx="78">0.75</cx:pt>
          <cx:pt idx="79">0.90000000000000002</cx:pt>
          <cx:pt idx="80">0.80000000000000004</cx:pt>
          <cx:pt idx="81">0.57499999999999996</cx:pt>
          <cx:pt idx="82">0.94583333333333341</cx:pt>
          <cx:pt idx="83">0.94999999999999996</cx:pt>
          <cx:pt idx="84">0.90000000000000002</cx:pt>
          <cx:pt idx="85">0.90000000000000002</cx:pt>
          <cx:pt idx="86">0.94999999999999996</cx:pt>
          <cx:pt idx="87">0.94999999999999996</cx:pt>
          <cx:pt idx="88">0.5</cx:pt>
          <cx:pt idx="89">0.70416666666666672</cx:pt>
          <cx:pt idx="90">0.82499999999999996</cx:pt>
          <cx:pt idx="91">0.94999999999999996</cx:pt>
          <cx:pt idx="92">0.89583333333333337</cx:pt>
          <cx:pt idx="93">0.99583333333333335</cx:pt>
          <cx:pt idx="94">0.99583333333333335</cx:pt>
          <cx:pt idx="95">0.90000000000000002</cx:pt>
          <cx:pt idx="96">0.99583333333333335</cx:pt>
          <cx:pt idx="97">0.88749999999999996</cx:pt>
          <cx:pt idx="98">0.97499999999999998</cx:pt>
          <cx:pt idx="99">0.94999999999999996</cx:pt>
          <cx:pt idx="100">0.99583333333333335</cx:pt>
          <cx:pt idx="101">0.75</cx:pt>
          <cx:pt idx="102">0.90000000000000002</cx:pt>
          <cx:pt idx="103">0.75</cx:pt>
          <cx:pt idx="104">1</cx:pt>
          <cx:pt idx="105">0.80000000000000004</cx:pt>
          <cx:pt idx="106">0.29999999999999999</cx:pt>
          <cx:pt idx="107">0.74583333333333335</cx:pt>
          <cx:pt idx="108">0.72499999999999998</cx:pt>
          <cx:pt idx="109">0.90000000000000002</cx:pt>
        </cx:lvl>
      </cx:numDim>
    </cx:data>
    <cx:data id="3">
      <cx:numDim type="val">
        <cx:f>UK!$F$7:$F$116</cx:f>
        <cx:lvl ptCount="110" formatCode="0.00">
          <cx:pt idx="0">0.20000000000000001</cx:pt>
          <cx:pt idx="1">0.69999999999999996</cx:pt>
          <cx:pt idx="2">0.80000000000000004</cx:pt>
          <cx:pt idx="3">0.85416666666666663</cx:pt>
          <cx:pt idx="4">0.99583333333333335</cx:pt>
          <cx:pt idx="5">0.94999999999999996</cx:pt>
          <cx:pt idx="6">0.92083333333333339</cx:pt>
          <cx:pt idx="7">0.875</cx:pt>
          <cx:pt idx="8">0.97083333333333344</cx:pt>
          <cx:pt idx="9">0.90000000000000002</cx:pt>
          <cx:pt idx="10">0.50416666666666665</cx:pt>
          <cx:pt idx="11">0.84999999999999998</cx:pt>
          <cx:pt idx="12">0.90000000000000002</cx:pt>
          <cx:pt idx="13">0.75</cx:pt>
          <cx:pt idx="14">0.92500000000000004</cx:pt>
          <cx:pt idx="15">0.99583333333333335</cx:pt>
          <cx:pt idx="16">0.99583333333333335</cx:pt>
          <cx:pt idx="17">0.99583333333333335</cx:pt>
          <cx:pt idx="18">0.90000000000000002</cx:pt>
          <cx:pt idx="19">0.99583333333333335</cx:pt>
          <cx:pt idx="20">0.97499999999999998</cx:pt>
          <cx:pt idx="21">0.99583333333333335</cx:pt>
          <cx:pt idx="22">1</cx:pt>
          <cx:pt idx="23">0.82499999999999996</cx:pt>
          <cx:pt idx="24">0.99583333333333335</cx:pt>
          <cx:pt idx="25">0.99583333333333335</cx:pt>
          <cx:pt idx="26">0.80000000000000004</cx:pt>
          <cx:pt idx="27">0.90000000000000002</cx:pt>
          <cx:pt idx="28">0.90000000000000002</cx:pt>
          <cx:pt idx="29">0.90000000000000002</cx:pt>
          <cx:pt idx="30">0.99583333333333335</cx:pt>
          <cx:pt idx="31">0.94999999999999996</cx:pt>
          <cx:pt idx="32">0.99583333333333335</cx:pt>
          <cx:pt idx="33">0.98333333333333339</cx:pt>
          <cx:pt idx="34">0.94999999999999996</cx:pt>
          <cx:pt idx="35">0.94999999999999996</cx:pt>
          <cx:pt idx="36">0.90000000000000002</cx:pt>
          <cx:pt idx="37">0.84583333333333344</cx:pt>
          <cx:pt idx="38">0.99583333333333335</cx:pt>
          <cx:pt idx="39">0.59999999999999998</cx:pt>
          <cx:pt idx="40">0.90000000000000002</cx:pt>
          <cx:pt idx="41">0.99583333333333335</cx:pt>
          <cx:pt idx="42">0.99583333333333335</cx:pt>
          <cx:pt idx="43">0.94999999999999996</cx:pt>
          <cx:pt idx="44">0.34583333333333333</cx:pt>
          <cx:pt idx="45">0.99583333333333335</cx:pt>
          <cx:pt idx="46">0.94999999999999996</cx:pt>
          <cx:pt idx="47">0.875</cx:pt>
          <cx:pt idx="48">0.99583333333333335</cx:pt>
          <cx:pt idx="49">0.99583333333333335</cx:pt>
          <cx:pt idx="50">0.99583333333333335</cx:pt>
          <cx:pt idx="51">0.90000000000000002</cx:pt>
          <cx:pt idx="52">0.84999999999999998</cx:pt>
          <cx:pt idx="53">0.97499999999999998</cx:pt>
          <cx:pt idx="54">0.99583333333333335</cx:pt>
          <cx:pt idx="55">0.98333333333333339</cx:pt>
          <cx:pt idx="56">0.97499999999999998</cx:pt>
          <cx:pt idx="57">0.96250000000000002</cx:pt>
          <cx:pt idx="58">0.72499999999999998</cx:pt>
          <cx:pt idx="59">0.69999999999999996</cx:pt>
          <cx:pt idx="60">0.99583333333333335</cx:pt>
          <cx:pt idx="61">0.94583333333333341</cx:pt>
          <cx:pt idx="62">0.99583333333333335</cx:pt>
          <cx:pt idx="63">0.90000000000000002</cx:pt>
          <cx:pt idx="64">0.55000000000000004</cx:pt>
          <cx:pt idx="65">0.94999999999999996</cx:pt>
          <cx:pt idx="66">0.59999999999999998</cx:pt>
          <cx:pt idx="67">0.04583333333333333</cx:pt>
          <cx:pt idx="68">0.97499999999999998</cx:pt>
          <cx:pt idx="69">0.94999999999999996</cx:pt>
          <cx:pt idx="70">0.99583333333333335</cx:pt>
          <cx:pt idx="71">0.90000000000000002</cx:pt>
          <cx:pt idx="72">0.90000000000000002</cx:pt>
          <cx:pt idx="73">0.75</cx:pt>
          <cx:pt idx="74">0.99583333333333335</cx:pt>
          <cx:pt idx="75">0.94999999999999996</cx:pt>
          <cx:pt idx="76">0.67500000000000004</cx:pt>
          <cx:pt idx="77">0.94999999999999996</cx:pt>
          <cx:pt idx="78">0.90000000000000002</cx:pt>
          <cx:pt idx="79">0.84999999999999998</cx:pt>
          <cx:pt idx="80">0.99583333333333335</cx:pt>
          <cx:pt idx="81">0.80000000000000004</cx:pt>
          <cx:pt idx="82">0.94999999999999996</cx:pt>
          <cx:pt idx="83">0.89583333333333337</cx:pt>
          <cx:pt idx="84">0.94999999999999996</cx:pt>
          <cx:pt idx="85">0.94999999999999996</cx:pt>
          <cx:pt idx="86">0.99583333333333335</cx:pt>
          <cx:pt idx="87">0.99583333333333335</cx:pt>
          <cx:pt idx="88">0.55000000000000004</cx:pt>
          <cx:pt idx="89">0.84999999999999998</cx:pt>
          <cx:pt idx="90">0.90000000000000002</cx:pt>
          <cx:pt idx="91">0.94999999999999996</cx:pt>
          <cx:pt idx="92">1</cx:pt>
          <cx:pt idx="93">0.99583333333333335</cx:pt>
          <cx:pt idx="94">0.99583333333333335</cx:pt>
          <cx:pt idx="95">0.90000000000000002</cx:pt>
          <cx:pt idx="96">0.99583333333333335</cx:pt>
          <cx:pt idx="97">0.94999999999999996</cx:pt>
          <cx:pt idx="98">0.99583333333333335</cx:pt>
          <cx:pt idx="99">0.90000000000000002</cx:pt>
          <cx:pt idx="100">0.99583333333333335</cx:pt>
          <cx:pt idx="101">0.97499999999999998</cx:pt>
          <cx:pt idx="102">0.90000000000000002</cx:pt>
          <cx:pt idx="103">0.69999999999999996</cx:pt>
          <cx:pt idx="104">0.80000000000000004</cx:pt>
          <cx:pt idx="105">0.75</cx:pt>
          <cx:pt idx="106">0.99583333333333335</cx:pt>
          <cx:pt idx="107">0.93333333333333335</cx:pt>
          <cx:pt idx="108">0.88333333333333341</cx:pt>
          <cx:pt idx="109">0.99583333333333335</cx:pt>
        </cx:lvl>
      </cx:numDim>
    </cx:data>
    <cx:data id="4">
      <cx:numDim type="val">
        <cx:f>UK!$G$7:$G$116</cx:f>
        <cx:lvl ptCount="110" formatCode="0.00">
          <cx:pt idx="0">0.20000000000000001</cx:pt>
          <cx:pt idx="1">0.69999999999999996</cx:pt>
          <cx:pt idx="2">0.80000000000000004</cx:pt>
          <cx:pt idx="3">0.84999999999999998</cx:pt>
          <cx:pt idx="4">0.89166666666666661</cx:pt>
          <cx:pt idx="5">0.90000000000000002</cx:pt>
          <cx:pt idx="6">0.91666666666666663</cx:pt>
          <cx:pt idx="7">0.92500000000000004</cx:pt>
          <cx:pt idx="8">0.91666666666666663</cx:pt>
          <cx:pt idx="9">0.90000000000000002</cx:pt>
          <cx:pt idx="10">0.59999999999999998</cx:pt>
          <cx:pt idx="11">0.75</cx:pt>
          <cx:pt idx="12">0.80000000000000004</cx:pt>
          <cx:pt idx="13">0.90000000000000002</cx:pt>
          <cx:pt idx="14">0.94999999999999996</cx:pt>
          <cx:pt idx="15">0.99583333333333335</cx:pt>
          <cx:pt idx="16">0.94999999999999996</cx:pt>
          <cx:pt idx="17">0.99583333333333335</cx:pt>
          <cx:pt idx="18">0.90000000000000002</cx:pt>
          <cx:pt idx="19">0.94999999999999996</cx:pt>
          <cx:pt idx="20">0.97499999999999998</cx:pt>
          <cx:pt idx="21">0.99583333333333335</cx:pt>
          <cx:pt idx="22">1</cx:pt>
          <cx:pt idx="23">0.80000000000000004</cx:pt>
          <cx:pt idx="24">0.99583333333333335</cx:pt>
          <cx:pt idx="25">0.99583333333333335</cx:pt>
          <cx:pt idx="26">0.69999999999999996</cx:pt>
          <cx:pt idx="27">0.80000000000000004</cx:pt>
          <cx:pt idx="28">0.90000000000000002</cx:pt>
          <cx:pt idx="29">0.90000000000000002</cx:pt>
          <cx:pt idx="30">0.99583333333333335</cx:pt>
          <cx:pt idx="31">0.94999999999999996</cx:pt>
          <cx:pt idx="32">0.94999999999999996</cx:pt>
          <cx:pt idx="33">0.97499999999999998</cx:pt>
          <cx:pt idx="34">0.94999999999999996</cx:pt>
          <cx:pt idx="35">0.94999999999999996</cx:pt>
          <cx:pt idx="36">0.90000000000000002</cx:pt>
          <cx:pt idx="37">0.84583333333333344</cx:pt>
          <cx:pt idx="38">0.98750000000000004</cx:pt>
          <cx:pt idx="39">0.59999999999999998</cx:pt>
          <cx:pt idx="40">0.90000000000000002</cx:pt>
          <cx:pt idx="41">0.99583333333333335</cx:pt>
          <cx:pt idx="42">0.89583333333333337</cx:pt>
          <cx:pt idx="43">0.94583333333333341</cx:pt>
          <cx:pt idx="44">0.34583333333333333</cx:pt>
          <cx:pt idx="45">0.99583333333333335</cx:pt>
          <cx:pt idx="46">0.92083333333333339</cx:pt>
          <cx:pt idx="47">0.875</cx:pt>
          <cx:pt idx="48">0.96250000000000002</cx:pt>
          <cx:pt idx="49">0.99583333333333335</cx:pt>
          <cx:pt idx="50">0.84583333333333344</cx:pt>
          <cx:pt idx="51">0.84999999999999998</cx:pt>
          <cx:pt idx="52">0.80000000000000004</cx:pt>
          <cx:pt idx="53">0.9375</cx:pt>
          <cx:pt idx="54">0.99583333333333335</cx:pt>
          <cx:pt idx="55">0.90000000000000002</cx:pt>
          <cx:pt idx="56">0.96250000000000002</cx:pt>
          <cx:pt idx="57">0.94999999999999996</cx:pt>
          <cx:pt idx="58">0.72499999999999998</cx:pt>
          <cx:pt idx="59">0.69999999999999996</cx:pt>
          <cx:pt idx="60">0.99583333333333335</cx:pt>
          <cx:pt idx="61">0.90416666666666656</cx:pt>
          <cx:pt idx="62">0.94999999999999996</cx:pt>
          <cx:pt idx="63">0.90000000000000002</cx:pt>
          <cx:pt idx="64">0.5</cx:pt>
          <cx:pt idx="65">0.90000000000000002</cx:pt>
          <cx:pt idx="66">0.84999999999999998</cx:pt>
          <cx:pt idx="67">0.04583333333333333</cx:pt>
          <cx:pt idx="68">0.94999999999999996</cx:pt>
          <cx:pt idx="69">0.94999999999999996</cx:pt>
          <cx:pt idx="70">0.99583333333333335</cx:pt>
          <cx:pt idx="71">0.99583333333333335</cx:pt>
          <cx:pt idx="72">0.94999999999999996</cx:pt>
          <cx:pt idx="73">0.94999999999999996</cx:pt>
          <cx:pt idx="74">0.99583333333333335</cx:pt>
          <cx:pt idx="75">0.025000000000000001</cx:pt>
          <cx:pt idx="76">0.625</cx:pt>
          <cx:pt idx="77">0.94999999999999996</cx:pt>
          <cx:pt idx="78">0.90000000000000002</cx:pt>
          <cx:pt idx="79">0.94999999999999996</cx:pt>
          <cx:pt idx="80">0.94999999999999996</cx:pt>
          <cx:pt idx="81">0.90000000000000002</cx:pt>
          <cx:pt idx="82">0.94999999999999996</cx:pt>
          <cx:pt idx="83">0.94999999999999996</cx:pt>
          <cx:pt idx="84">0.94999999999999996</cx:pt>
          <cx:pt idx="85">0.94999999999999996</cx:pt>
          <cx:pt idx="86">0.99583333333333335</cx:pt>
          <cx:pt idx="87">0.99583333333333335</cx:pt>
          <cx:pt idx="88">0.5</cx:pt>
          <cx:pt idx="89">0.94999999999999996</cx:pt>
          <cx:pt idx="90">0.90000000000000002</cx:pt>
          <cx:pt idx="91">0.94999999999999996</cx:pt>
          <cx:pt idx="92">0.97499999999999998</cx:pt>
          <cx:pt idx="93">0.99583333333333335</cx:pt>
          <cx:pt idx="94">0.99583333333333335</cx:pt>
          <cx:pt idx="95">0.94999999999999996</cx:pt>
          <cx:pt idx="96">0.99583333333333335</cx:pt>
          <cx:pt idx="97">0.94999999999999996</cx:pt>
          <cx:pt idx="98">0.99583333333333335</cx:pt>
          <cx:pt idx="99">0.90000000000000002</cx:pt>
          <cx:pt idx="100">0.99166666666666659</cx:pt>
          <cx:pt idx="101">0.95416666666666661</cx:pt>
          <cx:pt idx="102">0.94999999999999996</cx:pt>
          <cx:pt idx="103">0.75</cx:pt>
          <cx:pt idx="104">0.94999999999999996</cx:pt>
          <cx:pt idx="105">0.75</cx:pt>
          <cx:pt idx="106">0.99583333333333335</cx:pt>
          <cx:pt idx="107">0.88333333333333341</cx:pt>
          <cx:pt idx="108">0.82499999999999996</cx:pt>
          <cx:pt idx="109">0.94999999999999996</cx:pt>
        </cx:lvl>
      </cx:numDim>
    </cx:data>
    <cx:data id="5">
      <cx:numDim type="val">
        <cx:f>UK!$H$7:$H$116</cx:f>
        <cx:lvl ptCount="110" formatCode="0.00">
          <cx:pt idx="0">0.20000000000000001</cx:pt>
          <cx:pt idx="1">0.59999999999999998</cx:pt>
          <cx:pt idx="2">0.80000000000000004</cx:pt>
          <cx:pt idx="3">0.84999999999999998</cx:pt>
          <cx:pt idx="4">0.875</cx:pt>
          <cx:pt idx="5">0.79166666666666674</cx:pt>
          <cx:pt idx="6">0.91666666666666663</cx:pt>
          <cx:pt idx="7">0.82499999999999996</cx:pt>
          <cx:pt idx="8">0.90416666666666656</cx:pt>
          <cx:pt idx="9">0.80000000000000004</cx:pt>
          <cx:pt idx="10">0.55000000000000004</cx:pt>
          <cx:pt idx="11">0.75</cx:pt>
          <cx:pt idx="12">0.80000000000000004</cx:pt>
          <cx:pt idx="13">0.90000000000000002</cx:pt>
          <cx:pt idx="14">0.94999999999999996</cx:pt>
          <cx:pt idx="15">0.99583333333333335</cx:pt>
          <cx:pt idx="16">0.90000000000000002</cx:pt>
          <cx:pt idx="17">0.90000000000000002</cx:pt>
          <cx:pt idx="18">0.90000000000000002</cx:pt>
          <cx:pt idx="19">0.94999999999999996</cx:pt>
          <cx:pt idx="20">0.97499999999999998</cx:pt>
          <cx:pt idx="21">0.97499999999999998</cx:pt>
          <cx:pt idx="22">0.90000000000000002</cx:pt>
          <cx:pt idx="23">0.80000000000000004</cx:pt>
          <cx:pt idx="24">0.99583333333333335</cx:pt>
          <cx:pt idx="25">0.99583333333333335</cx:pt>
          <cx:pt idx="26">0.5</cx:pt>
          <cx:pt idx="27">0.80000000000000004</cx:pt>
          <cx:pt idx="28">0.80000000000000004</cx:pt>
          <cx:pt idx="29">0.90000000000000002</cx:pt>
          <cx:pt idx="30">0.99583333333333335</cx:pt>
          <cx:pt idx="31">0.94999999999999996</cx:pt>
          <cx:pt idx="32">0.94999999999999996</cx:pt>
          <cx:pt idx="33">0.97499999999999998</cx:pt>
          <cx:pt idx="34">0.90000000000000002</cx:pt>
          <cx:pt idx="35">0.94999999999999996</cx:pt>
          <cx:pt idx="36">0.80000000000000004</cx:pt>
          <cx:pt idx="37">0.84583333333333344</cx:pt>
          <cx:pt idx="38">0.98750000000000004</cx:pt>
          <cx:pt idx="39">0.59999999999999998</cx:pt>
          <cx:pt idx="40">0.80000000000000004</cx:pt>
          <cx:pt idx="41">0.99583333333333335</cx:pt>
          <cx:pt idx="42">0.79583333333333328</cx:pt>
          <cx:pt idx="43">0.90000000000000002</cx:pt>
          <cx:pt idx="44">0.34583333333333333</cx:pt>
          <cx:pt idx="45">0.99583333333333335</cx:pt>
          <cx:pt idx="46">0.90000000000000002</cx:pt>
          <cx:pt idx="47">0.875</cx:pt>
          <cx:pt idx="48">0.91249999999999998</cx:pt>
          <cx:pt idx="49">0.99583333333333335</cx:pt>
          <cx:pt idx="50">0.59583333333333333</cx:pt>
          <cx:pt idx="51">0.80000000000000004</cx:pt>
          <cx:pt idx="52">0.75</cx:pt>
          <cx:pt idx="53">0.90000000000000002</cx:pt>
          <cx:pt idx="54">0.97499999999999998</cx:pt>
          <cx:pt idx="55">0.82499999999999996</cx:pt>
          <cx:pt idx="56">0.82499999999999996</cx:pt>
          <cx:pt idx="57">0.91249999999999998</cx:pt>
          <cx:pt idx="58">0.71250000000000002</cx:pt>
          <cx:pt idx="59">0.69999999999999996</cx:pt>
          <cx:pt idx="60">0.99583333333333335</cx:pt>
          <cx:pt idx="61">0.72499999999999998</cx:pt>
          <cx:pt idx="62">0.90000000000000002</cx:pt>
          <cx:pt idx="63">0.90000000000000002</cx:pt>
          <cx:pt idx="64">0.5</cx:pt>
          <cx:pt idx="65">0.90000000000000002</cx:pt>
          <cx:pt idx="66">0.75</cx:pt>
          <cx:pt idx="67">0.04583333333333333</cx:pt>
          <cx:pt idx="68">0.94999999999999996</cx:pt>
          <cx:pt idx="69">0.94999999999999996</cx:pt>
          <cx:pt idx="70">0.98333333333333339</cx:pt>
          <cx:pt idx="71">0.90000000000000002</cx:pt>
          <cx:pt idx="72">0.94999999999999996</cx:pt>
          <cx:pt idx="73">0.90000000000000002</cx:pt>
          <cx:pt idx="74">0.99583333333333335</cx:pt>
          <cx:pt idx="75">0</cx:pt>
          <cx:pt idx="76">0.625</cx:pt>
          <cx:pt idx="77">0.94999999999999996</cx:pt>
          <cx:pt idx="78">0.80000000000000004</cx:pt>
          <cx:pt idx="79">0.94999999999999996</cx:pt>
          <cx:pt idx="80">0.90000000000000002</cx:pt>
          <cx:pt idx="81">0.90000000000000002</cx:pt>
          <cx:pt idx="82">0.94999999999999996</cx:pt>
          <cx:pt idx="83">0.94999999999999996</cx:pt>
          <cx:pt idx="84">0.94999999999999996</cx:pt>
          <cx:pt idx="85">0.94999999999999996</cx:pt>
          <cx:pt idx="86">0.94999999999999996</cx:pt>
          <cx:pt idx="87">0.99583333333333335</cx:pt>
          <cx:pt idx="88">0.5</cx:pt>
          <cx:pt idx="89">0.89583333333333337</cx:pt>
          <cx:pt idx="90">0.90000000000000002</cx:pt>
          <cx:pt idx="91">0.94999999999999996</cx:pt>
          <cx:pt idx="92">0.89583333333333337</cx:pt>
          <cx:pt idx="93">0.99583333333333335</cx:pt>
          <cx:pt idx="94">0.99583333333333335</cx:pt>
          <cx:pt idx="95">0.90000000000000002</cx:pt>
          <cx:pt idx="96">0.99583333333333335</cx:pt>
          <cx:pt idx="97">0.94999999999999996</cx:pt>
          <cx:pt idx="98">0.97499999999999998</cx:pt>
          <cx:pt idx="99">0.90000000000000002</cx:pt>
          <cx:pt idx="100">0.98750000000000004</cx:pt>
          <cx:pt idx="101">0.90000000000000002</cx:pt>
          <cx:pt idx="102">0.90000000000000002</cx:pt>
          <cx:pt idx="103">0.75</cx:pt>
          <cx:pt idx="104">0.90000000000000002</cx:pt>
          <cx:pt idx="105">0.75</cx:pt>
          <cx:pt idx="106">0.84999999999999998</cx:pt>
          <cx:pt idx="107">0.84166666666666656</cx:pt>
          <cx:pt idx="108">0.82499999999999996</cx:pt>
          <cx:pt idx="109">0.92500000000000004</cx:pt>
        </cx:lvl>
      </cx:numDim>
    </cx:data>
    <cx:data id="6">
      <cx:numDim type="val">
        <cx:f>UK!$I$7:$I$116</cx:f>
        <cx:lvl ptCount="110" formatCode="0.00">
          <cx:pt idx="0">0.20000000000000001</cx:pt>
          <cx:pt idx="1">0.59999999999999998</cx:pt>
          <cx:pt idx="2">0.80000000000000004</cx:pt>
          <cx:pt idx="3">0.90000000000000002</cx:pt>
          <cx:pt idx="4">0.88333333333333341</cx:pt>
          <cx:pt idx="5">0.90000000000000002</cx:pt>
          <cx:pt idx="6">0.91666666666666663</cx:pt>
          <cx:pt idx="7">0.875</cx:pt>
          <cx:pt idx="8">0.90416666666666656</cx:pt>
          <cx:pt idx="9">0.90000000000000002</cx:pt>
          <cx:pt idx="10">0.59999999999999998</cx:pt>
          <cx:pt idx="11">0.75</cx:pt>
          <cx:pt idx="12">0.80000000000000004</cx:pt>
          <cx:pt idx="13">0.82499999999999996</cx:pt>
          <cx:pt idx="14">0.99583333333333335</cx:pt>
          <cx:pt idx="15">0.99583333333333335</cx:pt>
          <cx:pt idx="16">0.94999999999999996</cx:pt>
          <cx:pt idx="17">0.94999999999999996</cx:pt>
          <cx:pt idx="18">0.90000000000000002</cx:pt>
          <cx:pt idx="19">0.94999999999999996</cx:pt>
          <cx:pt idx="20">0.97499999999999998</cx:pt>
          <cx:pt idx="21">0.99583333333333335</cx:pt>
          <cx:pt idx="22">1</cx:pt>
          <cx:pt idx="23">0.80000000000000004</cx:pt>
          <cx:pt idx="24">0.99583333333333335</cx:pt>
          <cx:pt idx="25">0.99583333333333335</cx:pt>
          <cx:pt idx="26">0.69999999999999996</cx:pt>
          <cx:pt idx="27">0.80000000000000004</cx:pt>
          <cx:pt idx="28">0.80000000000000004</cx:pt>
          <cx:pt idx="29">0.94999999999999996</cx:pt>
          <cx:pt idx="30">0.99583333333333335</cx:pt>
          <cx:pt idx="31">0.94999999999999996</cx:pt>
          <cx:pt idx="32">0.94999999999999996</cx:pt>
          <cx:pt idx="33">0.97499999999999998</cx:pt>
          <cx:pt idx="34">0.94999999999999996</cx:pt>
          <cx:pt idx="35">0.94999999999999996</cx:pt>
          <cx:pt idx="36">0.80000000000000004</cx:pt>
          <cx:pt idx="37">0.94583333333333341</cx:pt>
          <cx:pt idx="38">0.98750000000000004</cx:pt>
          <cx:pt idx="39">0.59999999999999998</cx:pt>
          <cx:pt idx="40">0.80000000000000004</cx:pt>
          <cx:pt idx="41">0.99583333333333335</cx:pt>
          <cx:pt idx="42">0.89583333333333337</cx:pt>
          <cx:pt idx="43">0.90000000000000002</cx:pt>
          <cx:pt idx="44">0.34583333333333333</cx:pt>
          <cx:pt idx="45">0.99583333333333335</cx:pt>
          <cx:pt idx="46">0.90000000000000002</cx:pt>
          <cx:pt idx="47">0.875</cx:pt>
          <cx:pt idx="48">0.94583333333333341</cx:pt>
          <cx:pt idx="49">0.99583333333333335</cx:pt>
          <cx:pt idx="50">0.80416666666666659</cx:pt>
          <cx:pt idx="51">0.84999999999999998</cx:pt>
          <cx:pt idx="52">0.77500000000000002</cx:pt>
          <cx:pt idx="53">0.94999999999999996</cx:pt>
          <cx:pt idx="54">0.97499999999999998</cx:pt>
          <cx:pt idx="55">0.84999999999999998</cx:pt>
          <cx:pt idx="56">0.95416666666666661</cx:pt>
          <cx:pt idx="57">0.90000000000000002</cx:pt>
          <cx:pt idx="58">0.72499999999999998</cx:pt>
          <cx:pt idx="59">0.80000000000000004</cx:pt>
          <cx:pt idx="60">0.99583333333333335</cx:pt>
          <cx:pt idx="61">0.90416666666666656</cx:pt>
          <cx:pt idx="62">0.94583333333333341</cx:pt>
          <cx:pt idx="63">0.90000000000000002</cx:pt>
          <cx:pt idx="64">0.5</cx:pt>
          <cx:pt idx="65">0.90000000000000002</cx:pt>
          <cx:pt idx="66">0.75</cx:pt>
          <cx:pt idx="67">0.04583333333333333</cx:pt>
          <cx:pt idx="68">0.94999999999999996</cx:pt>
          <cx:pt idx="69">0.94999999999999996</cx:pt>
          <cx:pt idx="70">0.94999999999999996</cx:pt>
          <cx:pt idx="71">0.99583333333333335</cx:pt>
          <cx:pt idx="72">0.90000000000000002</cx:pt>
          <cx:pt idx="73">0.90000000000000002</cx:pt>
          <cx:pt idx="74">0.99583333333333335</cx:pt>
          <cx:pt idx="75">0</cx:pt>
          <cx:pt idx="76">0.625</cx:pt>
          <cx:pt idx="77">0.94999999999999996</cx:pt>
          <cx:pt idx="78">0.90000000000000002</cx:pt>
          <cx:pt idx="79">0.99166666666666659</cx:pt>
          <cx:pt idx="80">0.90000000000000002</cx:pt>
          <cx:pt idx="81">0.80000000000000004</cx:pt>
          <cx:pt idx="82">0.94999999999999996</cx:pt>
          <cx:pt idx="83">0.97499999999999998</cx:pt>
          <cx:pt idx="84">0.94999999999999996</cx:pt>
          <cx:pt idx="85">0.94999999999999996</cx:pt>
          <cx:pt idx="86">0.99583333333333335</cx:pt>
          <cx:pt idx="87">0.99583333333333335</cx:pt>
          <cx:pt idx="88">0.5</cx:pt>
          <cx:pt idx="89">0.99583333333333335</cx:pt>
          <cx:pt idx="90">0.90000000000000002</cx:pt>
          <cx:pt idx="91">0.94999999999999996</cx:pt>
          <cx:pt idx="92">1</cx:pt>
          <cx:pt idx="93">0.99583333333333335</cx:pt>
          <cx:pt idx="94">0.99583333333333335</cx:pt>
          <cx:pt idx="95">0.94999999999999996</cx:pt>
          <cx:pt idx="96">0.99583333333333335</cx:pt>
          <cx:pt idx="97">0.94999999999999996</cx:pt>
          <cx:pt idx="98">0.97499999999999998</cx:pt>
          <cx:pt idx="99">0.90000000000000002</cx:pt>
          <cx:pt idx="100">0.98750000000000004</cx:pt>
          <cx:pt idx="101">0.95416666666666661</cx:pt>
          <cx:pt idx="102">0.84999999999999998</cx:pt>
          <cx:pt idx="103">0.75</cx:pt>
          <cx:pt idx="104">0.90000000000000002</cx:pt>
          <cx:pt idx="105">0.75</cx:pt>
          <cx:pt idx="106">0.84999999999999998</cx:pt>
          <cx:pt idx="107">0.86250000000000004</cx:pt>
          <cx:pt idx="108">0.82499999999999996</cx:pt>
          <cx:pt idx="109">0.92500000000000004</cx:pt>
        </cx:lvl>
      </cx:numDim>
    </cx:data>
    <cx:data id="7">
      <cx:numDim type="val">
        <cx:f>UK!$J$7:$J$116</cx:f>
        <cx:lvl ptCount="110" formatCode="0.00">
          <cx:pt idx="0">0.20000000000000001</cx:pt>
          <cx:pt idx="1">0.80000000000000004</cx:pt>
          <cx:pt idx="2">0.80000000000000004</cx:pt>
          <cx:pt idx="3">0.84999999999999998</cx:pt>
          <cx:pt idx="4">0.86250000000000004</cx:pt>
          <cx:pt idx="5">0.79166666666666674</cx:pt>
          <cx:pt idx="6">0.90833333333333344</cx:pt>
          <cx:pt idx="7">0.80833333333333335</cx:pt>
          <cx:pt idx="8">0.84999999999999998</cx:pt>
          <cx:pt idx="9">0.80000000000000004</cx:pt>
          <cx:pt idx="10">0.5</cx:pt>
          <cx:pt idx="11">0.75</cx:pt>
          <cx:pt idx="12">0.80000000000000004</cx:pt>
          <cx:pt idx="13">0.75</cx:pt>
          <cx:pt idx="14">0.94999999999999996</cx:pt>
          <cx:pt idx="15">0.99583333333333335</cx:pt>
          <cx:pt idx="16">0.90000000000000002</cx:pt>
          <cx:pt idx="17">0.80000000000000004</cx:pt>
          <cx:pt idx="18">0.80000000000000004</cx:pt>
          <cx:pt idx="19">0.94999999999999996</cx:pt>
          <cx:pt idx="20">0.94999999999999996</cx:pt>
          <cx:pt idx="21">0.97499999999999998</cx:pt>
          <cx:pt idx="22">0.90000000000000002</cx:pt>
          <cx:pt idx="23">0.80000000000000004</cx:pt>
          <cx:pt idx="24">0.99583333333333335</cx:pt>
          <cx:pt idx="25">0.99583333333333335</cx:pt>
          <cx:pt idx="26">0.5</cx:pt>
          <cx:pt idx="27">0.80000000000000004</cx:pt>
          <cx:pt idx="28">0.80000000000000004</cx:pt>
          <cx:pt idx="29">0.94999999999999996</cx:pt>
          <cx:pt idx="30">0.99583333333333335</cx:pt>
          <cx:pt idx="31">0.94999999999999996</cx:pt>
          <cx:pt idx="32">0.94999999999999996</cx:pt>
          <cx:pt idx="33">0.97499999999999998</cx:pt>
          <cx:pt idx="34">0.80000000000000004</cx:pt>
          <cx:pt idx="35">0.90000000000000002</cx:pt>
          <cx:pt idx="36">0.80000000000000004</cx:pt>
          <cx:pt idx="37">0.79583333333333328</cx:pt>
          <cx:pt idx="38">0.98750000000000004</cx:pt>
          <cx:pt idx="39">0.5</cx:pt>
          <cx:pt idx="40">0.69999999999999996</cx:pt>
          <cx:pt idx="41">0.99583333333333335</cx:pt>
          <cx:pt idx="42">0.79583333333333328</cx:pt>
          <cx:pt idx="43">0.88749999999999996</cx:pt>
          <cx:pt idx="44">0.34583333333333333</cx:pt>
          <cx:pt idx="45">0.99583333333333335</cx:pt>
          <cx:pt idx="46">0.84999999999999998</cx:pt>
          <cx:pt idx="47">0.875</cx:pt>
          <cx:pt idx="48">0.89583333333333337</cx:pt>
          <cx:pt idx="49">0.99583333333333335</cx:pt>
          <cx:pt idx="50">0.45833333333333331</cx:pt>
          <cx:pt idx="51">0.80000000000000004</cx:pt>
          <cx:pt idx="52">0.74583333333333335</cx:pt>
          <cx:pt idx="53">0.90000000000000002</cx:pt>
          <cx:pt idx="54">0.94583333333333341</cx:pt>
          <cx:pt idx="55">0.65833333333333333</cx:pt>
          <cx:pt idx="56">0.83750000000000002</cx:pt>
          <cx:pt idx="57">0.84999999999999998</cx:pt>
          <cx:pt idx="58">0.71250000000000002</cx:pt>
          <cx:pt idx="59">0.80000000000000004</cx:pt>
          <cx:pt idx="60">0.99583333333333335</cx:pt>
          <cx:pt idx="61">0.72499999999999998</cx:pt>
          <cx:pt idx="62">0.89583333333333337</cx:pt>
          <cx:pt idx="63">0.90000000000000002</cx:pt>
          <cx:pt idx="64">0.5</cx:pt>
          <cx:pt idx="65">0.80000000000000004</cx:pt>
          <cx:pt idx="66">0.69999999999999996</cx:pt>
          <cx:pt idx="67">0.04583333333333333</cx:pt>
          <cx:pt idx="68">0.94999999999999996</cx:pt>
          <cx:pt idx="69">0.94999999999999996</cx:pt>
          <cx:pt idx="70">0.94999999999999996</cx:pt>
          <cx:pt idx="71">0.90000000000000002</cx:pt>
          <cx:pt idx="72">0.90000000000000002</cx:pt>
          <cx:pt idx="73">0.80000000000000004</cx:pt>
          <cx:pt idx="74">0.94999999999999996</cx:pt>
          <cx:pt idx="75">0</cx:pt>
          <cx:pt idx="76">0.625</cx:pt>
          <cx:pt idx="77">0.94999999999999996</cx:pt>
          <cx:pt idx="78">0.80000000000000004</cx:pt>
          <cx:pt idx="79">0.94999999999999996</cx:pt>
          <cx:pt idx="80">0.90000000000000002</cx:pt>
          <cx:pt idx="81">0.75</cx:pt>
          <cx:pt idx="82">0.94999999999999996</cx:pt>
          <cx:pt idx="83">0.94999999999999996</cx:pt>
          <cx:pt idx="84">0.94999999999999996</cx:pt>
          <cx:pt idx="85">0.94999999999999996</cx:pt>
          <cx:pt idx="86">0.94999999999999996</cx:pt>
          <cx:pt idx="87">0.94583333333333341</cx:pt>
          <cx:pt idx="88">0.5</cx:pt>
          <cx:pt idx="89">0.84583333333333344</cx:pt>
          <cx:pt idx="90">0.90000000000000002</cx:pt>
          <cx:pt idx="91">0.94999999999999996</cx:pt>
          <cx:pt idx="92">0.79583333333333328</cx:pt>
          <cx:pt idx="93">0.99583333333333335</cx:pt>
          <cx:pt idx="94">0.99583333333333335</cx:pt>
          <cx:pt idx="95">0.90000000000000002</cx:pt>
          <cx:pt idx="96">0.99583333333333335</cx:pt>
          <cx:pt idx="97">0.94999999999999996</cx:pt>
          <cx:pt idx="98">0.97499999999999998</cx:pt>
          <cx:pt idx="99">0.90000000000000002</cx:pt>
          <cx:pt idx="100">0.98333333333333339</cx:pt>
          <cx:pt idx="101">0.80416666666666659</cx:pt>
          <cx:pt idx="102">1</cx:pt>
          <cx:pt idx="103">0.75</cx:pt>
          <cx:pt idx="104">0.80000000000000004</cx:pt>
          <cx:pt idx="105">0.75</cx:pt>
          <cx:pt idx="106">0.90000000000000002</cx:pt>
          <cx:pt idx="107">0.82916666666666661</cx:pt>
          <cx:pt idx="108">0.78749999999999998</cx:pt>
          <cx:pt idx="109">0.82499999999999996</cx:pt>
        </cx:lvl>
      </cx:numDim>
    </cx:data>
    <cx:data id="8">
      <cx:numDim type="val">
        <cx:f>UK!$K$7:$K$116</cx:f>
        <cx:lvl ptCount="110" formatCode="0.00">
          <cx:pt idx="0">0.20000000000000001</cx:pt>
          <cx:pt idx="1">0.59999999999999998</cx:pt>
          <cx:pt idx="2">0.80000000000000004</cx:pt>
          <cx:pt idx="3">0.84999999999999998</cx:pt>
          <cx:pt idx="4">0.82083333333333341</cx:pt>
          <cx:pt idx="5">0.59999999999999998</cx:pt>
          <cx:pt idx="6">0.90000000000000002</cx:pt>
          <cx:pt idx="7">0.80000000000000004</cx:pt>
          <cx:pt idx="8">0.78749999999999998</cx:pt>
          <cx:pt idx="9">0.69999999999999996</cx:pt>
          <cx:pt idx="10">0.49583333333333329</cx:pt>
          <cx:pt idx="11">0.75</cx:pt>
          <cx:pt idx="12">0.69999999999999996</cx:pt>
          <cx:pt idx="13">0.59999999999999998</cx:pt>
          <cx:pt idx="14">0.90000000000000002</cx:pt>
          <cx:pt idx="15">0.59999999999999998</cx:pt>
          <cx:pt idx="16">0.80000000000000004</cx:pt>
          <cx:pt idx="17">0.59999999999999998</cx:pt>
          <cx:pt idx="18">0.80000000000000004</cx:pt>
          <cx:pt idx="19">0.90000000000000002</cx:pt>
          <cx:pt idx="20">0.90000000000000002</cx:pt>
          <cx:pt idx="21">0.92500000000000004</cx:pt>
          <cx:pt idx="22">0.80000000000000004</cx:pt>
          <cx:pt idx="23">0.80000000000000004</cx:pt>
          <cx:pt idx="24">0.99583333333333335</cx:pt>
          <cx:pt idx="25">0.94999999999999996</cx:pt>
          <cx:pt idx="26">0.45000000000000001</cx:pt>
          <cx:pt idx="27">0.5</cx:pt>
          <cx:pt idx="28">0.80000000000000004</cx:pt>
          <cx:pt idx="29">0.94999999999999996</cx:pt>
          <cx:pt idx="30">0.90000000000000002</cx:pt>
          <cx:pt idx="31">0.90000000000000002</cx:pt>
          <cx:pt idx="32">0.94999999999999996</cx:pt>
          <cx:pt idx="33">0.90000000000000002</cx:pt>
          <cx:pt idx="34">0.69999999999999996</cx:pt>
          <cx:pt idx="35">0.90000000000000002</cx:pt>
          <cx:pt idx="36">0.80000000000000004</cx:pt>
          <cx:pt idx="37">0.79583333333333328</cx:pt>
          <cx:pt idx="38">0.98750000000000004</cx:pt>
          <cx:pt idx="39">0.5</cx:pt>
          <cx:pt idx="40">0</cx:pt>
          <cx:pt idx="41">0.99583333333333335</cx:pt>
          <cx:pt idx="42">0.6958333333333333</cx:pt>
          <cx:pt idx="43">0.34999999999999998</cx:pt>
          <cx:pt idx="44">0.25</cx:pt>
          <cx:pt idx="45">0.99583333333333335</cx:pt>
          <cx:pt idx="46">0.80000000000000004</cx:pt>
          <cx:pt idx="47">0.875</cx:pt>
          <cx:pt idx="48">0.6958333333333333</cx:pt>
          <cx:pt idx="49">0.99583333333333335</cx:pt>
          <cx:pt idx="50">0.29583333333333334</cx:pt>
          <cx:pt idx="51">0.69999999999999996</cx:pt>
          <cx:pt idx="52">0.49583333333333329</cx:pt>
          <cx:pt idx="53">0.80000000000000004</cx:pt>
          <cx:pt idx="54">0.79583333333333328</cx:pt>
          <cx:pt idx="55">0.625</cx:pt>
          <cx:pt idx="56">0.70416666666666672</cx:pt>
          <cx:pt idx="57">0.80000000000000004</cx:pt>
          <cx:pt idx="58">0.64166666666666672</cx:pt>
          <cx:pt idx="59">0.45000000000000001</cx:pt>
          <cx:pt idx="60">0.99583333333333335</cx:pt>
          <cx:pt idx="61">0.69166666666666665</cx:pt>
          <cx:pt idx="62">0.79583333333333328</cx:pt>
          <cx:pt idx="63">0.90000000000000002</cx:pt>
          <cx:pt idx="64">0.5</cx:pt>
          <cx:pt idx="65">0.80000000000000004</cx:pt>
          <cx:pt idx="66">0.45000000000000001</cx:pt>
          <cx:pt idx="67">0.04583333333333333</cx:pt>
          <cx:pt idx="68">0.94999999999999996</cx:pt>
          <cx:pt idx="69">0.90000000000000002</cx:pt>
          <cx:pt idx="70">0.94999999999999996</cx:pt>
          <cx:pt idx="71">0.80000000000000004</cx:pt>
          <cx:pt idx="72">0.88749999999999996</cx:pt>
          <cx:pt idx="73">0.69999999999999996</cx:pt>
          <cx:pt idx="74">0.90000000000000002</cx:pt>
          <cx:pt idx="75">0</cx:pt>
          <cx:pt idx="76">0.625</cx:pt>
          <cx:pt idx="77">0.90000000000000002</cx:pt>
          <cx:pt idx="78">0.59999999999999998</cx:pt>
          <cx:pt idx="79">0.75</cx:pt>
          <cx:pt idx="80">0.99166666666666659</cx:pt>
          <cx:pt idx="81">0.69999999999999996</cx:pt>
          <cx:pt idx="82">0.90000000000000002</cx:pt>
          <cx:pt idx="83">0.90000000000000002</cx:pt>
          <cx:pt idx="84">0.92500000000000004</cx:pt>
          <cx:pt idx="85">0.69999999999999996</cx:pt>
          <cx:pt idx="86">0.69999999999999996</cx:pt>
          <cx:pt idx="87">0.89583333333333337</cx:pt>
          <cx:pt idx="88">0.5</cx:pt>
          <cx:pt idx="89">0.79583333333333328</cx:pt>
          <cx:pt idx="90">0.83333333333333337</cx:pt>
          <cx:pt idx="91">0.94999999999999996</cx:pt>
          <cx:pt idx="92">0.6958333333333333</cx:pt>
          <cx:pt idx="93">0.90000000000000002</cx:pt>
          <cx:pt idx="94">0.6958333333333333</cx:pt>
          <cx:pt idx="95">0.80000000000000004</cx:pt>
          <cx:pt idx="96">0.99583333333333335</cx:pt>
          <cx:pt idx="97">0.90000000000000002</cx:pt>
          <cx:pt idx="98">0.49583333333333329</cx:pt>
          <cx:pt idx="99">0.80000000000000004</cx:pt>
          <cx:pt idx="100">0.97083333333333344</cx:pt>
          <cx:pt idx="101">0.75</cx:pt>
          <cx:pt idx="102">0.84999999999999998</cx:pt>
          <cx:pt idx="103">0.75</cx:pt>
          <cx:pt idx="104">0.59999999999999998</cx:pt>
          <cx:pt idx="105">0.72083333333333333</cx:pt>
          <cx:pt idx="106">0.84999999999999998</cx:pt>
          <cx:pt idx="107">0.79583333333333328</cx:pt>
          <cx:pt idx="108">0.72499999999999998</cx:pt>
          <cx:pt idx="109">0.72499999999999998</cx:pt>
        </cx:lvl>
      </cx:numDim>
    </cx:data>
  </cx:chartData>
  <cx:chart>
    <cx:plotArea>
      <cx:plotAreaRegion>
        <cx:series layoutId="boxWhisker" uniqueId="{C6D6CC7F-90BE-4D36-8367-F1B0C2CD670B}">
          <cx:spPr>
            <a:solidFill>
              <a:schemeClr val="accent2">
                <a:lumMod val="60000"/>
                <a:lumOff val="40000"/>
              </a:schemeClr>
            </a:solidFill>
            <a:ln>
              <a:solidFill>
                <a:sysClr val="windowText" lastClr="000000"/>
              </a:solidFill>
            </a:ln>
          </cx:spPr>
          <cx:dataId val="0"/>
          <cx:layoutPr>
            <cx:visibility meanLine="0" meanMarker="1" nonoutliers="0" outliers="1"/>
            <cx:statistics quartileMethod="exclusive"/>
          </cx:layoutPr>
        </cx:series>
        <cx:series layoutId="boxWhisker" uniqueId="{69A07C4E-04CC-48AC-AAD9-3ABEBDC048F4}">
          <cx:spPr>
            <a:solidFill>
              <a:schemeClr val="accent2">
                <a:lumMod val="20000"/>
                <a:lumOff val="80000"/>
              </a:schemeClr>
            </a:solidFill>
            <a:ln>
              <a:solidFill>
                <a:sysClr val="windowText" lastClr="000000"/>
              </a:solidFill>
            </a:ln>
          </cx:spPr>
          <cx:dataId val="1"/>
          <cx:layoutPr>
            <cx:visibility meanLine="0" meanMarker="1" nonoutliers="0" outliers="1"/>
            <cx:statistics quartileMethod="exclusive"/>
          </cx:layoutPr>
        </cx:series>
        <cx:series layoutId="boxWhisker" uniqueId="{8B5C9061-20A2-4AAE-9312-C8DC06250854}">
          <cx:spPr>
            <a:solidFill>
              <a:schemeClr val="accent2">
                <a:lumMod val="20000"/>
                <a:lumOff val="80000"/>
              </a:schemeClr>
            </a:solidFill>
            <a:ln>
              <a:solidFill>
                <a:sysClr val="windowText" lastClr="000000"/>
              </a:solidFill>
            </a:ln>
          </cx:spPr>
          <cx:dataId val="2"/>
          <cx:layoutPr>
            <cx:visibility meanLine="0" meanMarker="1" nonoutliers="0" outliers="1"/>
            <cx:statistics quartileMethod="exclusive"/>
          </cx:layoutPr>
        </cx:series>
        <cx:series layoutId="boxWhisker" uniqueId="{070E6CA7-6A51-4B69-AFEC-A89A2E3251D9}">
          <cx:spPr>
            <a:solidFill>
              <a:schemeClr val="accent5"/>
            </a:solidFill>
            <a:ln>
              <a:solidFill>
                <a:sysClr val="windowText" lastClr="000000"/>
              </a:solidFill>
            </a:ln>
          </cx:spPr>
          <cx:dataId val="3"/>
          <cx:layoutPr>
            <cx:visibility meanLine="0" meanMarker="1" nonoutliers="0" outliers="1"/>
            <cx:statistics quartileMethod="exclusive"/>
          </cx:layoutPr>
        </cx:series>
        <cx:series layoutId="boxWhisker" uniqueId="{FF2A2F67-501C-4FDC-8E97-F4EF1F05EF74}">
          <cx:spPr>
            <a:solidFill>
              <a:schemeClr val="accent1">
                <a:lumMod val="60000"/>
                <a:lumOff val="40000"/>
              </a:schemeClr>
            </a:solidFill>
            <a:ln>
              <a:solidFill>
                <a:sysClr val="windowText" lastClr="000000"/>
              </a:solidFill>
            </a:ln>
          </cx:spPr>
          <cx:dataId val="4"/>
          <cx:layoutPr>
            <cx:visibility meanLine="0" meanMarker="1" nonoutliers="0" outliers="1"/>
            <cx:statistics quartileMethod="exclusive"/>
          </cx:layoutPr>
        </cx:series>
        <cx:series layoutId="boxWhisker" uniqueId="{180E57AE-A8B4-4509-9382-4DAE9E5AC802}">
          <cx:spPr>
            <a:solidFill>
              <a:schemeClr val="accent1">
                <a:lumMod val="60000"/>
                <a:lumOff val="40000"/>
              </a:schemeClr>
            </a:solidFill>
            <a:ln>
              <a:solidFill>
                <a:sysClr val="windowText" lastClr="000000"/>
              </a:solidFill>
            </a:ln>
          </cx:spPr>
          <cx:dataId val="5"/>
          <cx:layoutPr>
            <cx:visibility meanLine="0" meanMarker="1" nonoutliers="0" outliers="1"/>
            <cx:statistics quartileMethod="exclusive"/>
          </cx:layoutPr>
        </cx:series>
        <cx:series layoutId="boxWhisker" uniqueId="{F7BBE4C5-6303-47D4-ACCF-0C129265B3CC}">
          <cx:spPr>
            <a:solidFill>
              <a:schemeClr val="accent1">
                <a:lumMod val="20000"/>
                <a:lumOff val="80000"/>
              </a:schemeClr>
            </a:solidFill>
            <a:ln>
              <a:solidFill>
                <a:sysClr val="windowText" lastClr="000000"/>
              </a:solidFill>
            </a:ln>
          </cx:spPr>
          <cx:dataId val="6"/>
          <cx:layoutPr>
            <cx:visibility meanLine="0" meanMarker="1" nonoutliers="0" outliers="1"/>
            <cx:statistics quartileMethod="exclusive"/>
          </cx:layoutPr>
        </cx:series>
        <cx:series layoutId="boxWhisker" uniqueId="{14774BEF-AB25-4A98-8848-524E88FBFB40}">
          <cx:spPr>
            <a:solidFill>
              <a:schemeClr val="accent1">
                <a:lumMod val="20000"/>
                <a:lumOff val="80000"/>
              </a:schemeClr>
            </a:solidFill>
            <a:ln>
              <a:solidFill>
                <a:sysClr val="windowText" lastClr="000000"/>
              </a:solidFill>
            </a:ln>
          </cx:spPr>
          <cx:dataId val="7"/>
          <cx:layoutPr>
            <cx:visibility meanLine="0" meanMarker="1" nonoutliers="0" outliers="1"/>
            <cx:statistics quartileMethod="exclusive"/>
          </cx:layoutPr>
        </cx:series>
        <cx:series layoutId="boxWhisker" uniqueId="{4C002474-D896-4BDB-B197-06222AD7DB19}">
          <cx:spPr>
            <a:solidFill>
              <a:schemeClr val="accent1">
                <a:lumMod val="20000"/>
                <a:lumOff val="80000"/>
              </a:schemeClr>
            </a:solidFill>
            <a:ln>
              <a:solidFill>
                <a:sysClr val="windowText" lastClr="000000"/>
              </a:solidFill>
            </a:ln>
          </cx:spPr>
          <cx:dataId val="8"/>
          <cx:layoutPr>
            <cx:visibility meanLine="0" meanMarker="1" nonoutliers="0" outliers="1"/>
            <cx:statistics quartileMethod="exclusive"/>
          </cx:layoutPr>
        </cx:series>
      </cx:plotAreaRegion>
      <cx:axis id="0" hidden="1">
        <cx:catScaling gapWidth="1"/>
        <cx:tickLabels/>
      </cx:axis>
      <cx:axis id="1">
        <cx:valScaling max="1" min="0"/>
        <cx:majorGridlines/>
        <cx:tickLabels/>
      </cx:axis>
    </cx:plotArea>
  </cx:chart>
  <cx:spPr>
    <a:ln>
      <a:solidFill>
        <a:srgbClr val="002060"/>
      </a:solidFill>
    </a:ln>
  </cx:spPr>
  <cx:clrMapOvr bg1="lt1" tx1="dk1" bg2="lt2" tx2="dk2" accent1="accent1" accent2="accent2" accent3="accent3" accent4="accent4" accent5="accent5" accent6="accent6" hlink="hlink" folHlink="folHlink"/>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Canada!$C$7:$C$106</cx:f>
        <cx:lvl ptCount="100" formatCode="0.00">
          <cx:pt idx="0">0.75</cx:pt>
          <cx:pt idx="1">1</cx:pt>
          <cx:pt idx="2">0.80000000000000004</cx:pt>
          <cx:pt idx="3">0</cx:pt>
          <cx:pt idx="4">1</cx:pt>
          <cx:pt idx="5">1</cx:pt>
          <cx:pt idx="6">1</cx:pt>
          <cx:pt idx="7">1</cx:pt>
          <cx:pt idx="8">1</cx:pt>
          <cx:pt idx="9">1</cx:pt>
          <cx:pt idx="10">1</cx:pt>
          <cx:pt idx="11">0.90000000000000002</cx:pt>
          <cx:pt idx="12">1</cx:pt>
          <cx:pt idx="13">0.75</cx:pt>
          <cx:pt idx="14">1</cx:pt>
          <cx:pt idx="15">1</cx:pt>
          <cx:pt idx="16">0.94999999999999996</cx:pt>
          <cx:pt idx="17">1</cx:pt>
          <cx:pt idx="18">1</cx:pt>
          <cx:pt idx="19">0.5</cx:pt>
          <cx:pt idx="20">0.94999999999999996</cx:pt>
          <cx:pt idx="21">1</cx:pt>
          <cx:pt idx="22">0.65000000000000002</cx:pt>
          <cx:pt idx="23">1</cx:pt>
          <cx:pt idx="24">0.94999999999999996</cx:pt>
          <cx:pt idx="25">0.94999999999999996</cx:pt>
          <cx:pt idx="26">0.5</cx:pt>
          <cx:pt idx="27">0.99583333333333335</cx:pt>
          <cx:pt idx="28">0.99583333333333335</cx:pt>
          <cx:pt idx="29">0.99583333333333335</cx:pt>
          <cx:pt idx="30">0.90000000000000002</cx:pt>
          <cx:pt idx="31">0.40000000000000002</cx:pt>
          <cx:pt idx="32">0.75</cx:pt>
          <cx:pt idx="33">0.80000000000000004</cx:pt>
          <cx:pt idx="34">0.99583333333333335</cx:pt>
          <cx:pt idx="35">0.80000000000000004</cx:pt>
          <cx:pt idx="36">0.90000000000000002</cx:pt>
          <cx:pt idx="37">0.80000000000000004</cx:pt>
          <cx:pt idx="38">0.90000000000000002</cx:pt>
          <cx:pt idx="39">0.90000000000000002</cx:pt>
          <cx:pt idx="40">0.90000000000000002</cx:pt>
          <cx:pt idx="41">0.69999999999999996</cx:pt>
          <cx:pt idx="42">1</cx:pt>
          <cx:pt idx="43">0.90000000000000002</cx:pt>
          <cx:pt idx="44">1</cx:pt>
          <cx:pt idx="45">0.69999999999999996</cx:pt>
          <cx:pt idx="46">0.69999999999999996</cx:pt>
          <cx:pt idx="47">0.5</cx:pt>
          <cx:pt idx="48">0.59999999999999998</cx:pt>
          <cx:pt idx="49">0.90000000000000002</cx:pt>
          <cx:pt idx="50">1</cx:pt>
          <cx:pt idx="51">1</cx:pt>
          <cx:pt idx="52">0.80000000000000004</cx:pt>
          <cx:pt idx="53">0.90000000000000002</cx:pt>
          <cx:pt idx="54">0.69999999999999996</cx:pt>
          <cx:pt idx="55">0.97499999999999998</cx:pt>
          <cx:pt idx="56">0.95416666666666661</cx:pt>
          <cx:pt idx="57">0.40000000000000002</cx:pt>
          <cx:pt idx="58">0.25</cx:pt>
          <cx:pt idx="59">1</cx:pt>
          <cx:pt idx="60">0.80000000000000004</cx:pt>
          <cx:pt idx="61">0.80000000000000004</cx:pt>
          <cx:pt idx="62">1</cx:pt>
          <cx:pt idx="63">0.99583333333333335</cx:pt>
          <cx:pt idx="64">0.25</cx:pt>
          <cx:pt idx="65">0.94999999999999996</cx:pt>
          <cx:pt idx="66">1</cx:pt>
          <cx:pt idx="67">0.69999999999999996</cx:pt>
          <cx:pt idx="68">1</cx:pt>
          <cx:pt idx="69">1</cx:pt>
          <cx:pt idx="70">0.99583333333333335</cx:pt>
          <cx:pt idx="71">0.5</cx:pt>
          <cx:pt idx="72">0.29999999999999999</cx:pt>
          <cx:pt idx="73">1</cx:pt>
          <cx:pt idx="74">1</cx:pt>
          <cx:pt idx="75">0.90000000000000002</cx:pt>
          <cx:pt idx="76">0.80000000000000004</cx:pt>
          <cx:pt idx="77">0.99583333333333335</cx:pt>
          <cx:pt idx="78">0.90000000000000002</cx:pt>
          <cx:pt idx="79">1</cx:pt>
          <cx:pt idx="80">0.90000000000000002</cx:pt>
          <cx:pt idx="81">0.90000000000000002</cx:pt>
          <cx:pt idx="82">0.80000000000000004</cx:pt>
          <cx:pt idx="83">1</cx:pt>
          <cx:pt idx="84">0.92500000000000004</cx:pt>
          <cx:pt idx="85">0.90000000000000002</cx:pt>
          <cx:pt idx="86">0.89583333333333337</cx:pt>
          <cx:pt idx="87">0.94166666666666665</cx:pt>
          <cx:pt idx="88">0.80000000000000004</cx:pt>
          <cx:pt idx="89">1</cx:pt>
          <cx:pt idx="90">0.94999999999999996</cx:pt>
          <cx:pt idx="91">0</cx:pt>
          <cx:pt idx="92">0.94999999999999996</cx:pt>
          <cx:pt idx="93">0.40000000000000002</cx:pt>
          <cx:pt idx="94">0.90000000000000002</cx:pt>
          <cx:pt idx="95">0.80000000000000004</cx:pt>
          <cx:pt idx="96">1</cx:pt>
          <cx:pt idx="97">0.65000000000000002</cx:pt>
          <cx:pt idx="98">0.99583333333333335</cx:pt>
          <cx:pt idx="99">1</cx:pt>
        </cx:lvl>
      </cx:numDim>
    </cx:data>
    <cx:data id="1">
      <cx:numDim type="val">
        <cx:f>Canada!$D$7:$D$106</cx:f>
        <cx:lvl ptCount="100" formatCode="0.00">
          <cx:pt idx="0">0.65000000000000002</cx:pt>
          <cx:pt idx="1">1</cx:pt>
          <cx:pt idx="2">0.90000000000000002</cx:pt>
          <cx:pt idx="3">0</cx:pt>
          <cx:pt idx="4">1</cx:pt>
          <cx:pt idx="5">1</cx:pt>
          <cx:pt idx="6">1</cx:pt>
          <cx:pt idx="7">1</cx:pt>
          <cx:pt idx="8">1</cx:pt>
          <cx:pt idx="9">1</cx:pt>
          <cx:pt idx="10">1</cx:pt>
          <cx:pt idx="11">0.80000000000000004</cx:pt>
          <cx:pt idx="12">0.90000000000000002</cx:pt>
          <cx:pt idx="13">0.80000000000000004</cx:pt>
          <cx:pt idx="14">0.90000000000000002</cx:pt>
          <cx:pt idx="15">0.90000000000000002</cx:pt>
          <cx:pt idx="16">0.99583333333333335</cx:pt>
          <cx:pt idx="17">0.92500000000000004</cx:pt>
          <cx:pt idx="18">0.20000000000000001</cx:pt>
          <cx:pt idx="19">0</cx:pt>
          <cx:pt idx="20">0.97499999999999998</cx:pt>
          <cx:pt idx="21">0.80000000000000004</cx:pt>
          <cx:pt idx="22">0.625</cx:pt>
          <cx:pt idx="23">0.99166666666666659</cx:pt>
          <cx:pt idx="24">0.94999999999999996</cx:pt>
          <cx:pt idx="25">0.90000000000000002</cx:pt>
          <cx:pt idx="26">0</cx:pt>
          <cx:pt idx="27">0.99583333333333335</cx:pt>
          <cx:pt idx="28">0.99583333333333335</cx:pt>
          <cx:pt idx="29">0.99583333333333335</cx:pt>
          <cx:pt idx="30">0.90000000000000002</cx:pt>
          <cx:pt idx="31">0.40000000000000002</cx:pt>
          <cx:pt idx="32">0.75</cx:pt>
          <cx:pt idx="33">0.80000000000000004</cx:pt>
          <cx:pt idx="34">0.70416666666666672</cx:pt>
          <cx:pt idx="35">0.80000000000000004</cx:pt>
          <cx:pt idx="36">0.80000000000000004</cx:pt>
          <cx:pt idx="37">0.59999999999999998</cx:pt>
          <cx:pt idx="38">0.90000000000000002</cx:pt>
          <cx:pt idx="39">0.90000000000000002</cx:pt>
          <cx:pt idx="40">0.90000000000000002</cx:pt>
          <cx:pt idx="41">0.69999999999999996</cx:pt>
          <cx:pt idx="42">1</cx:pt>
          <cx:pt idx="43">0.84999999999999998</cx:pt>
          <cx:pt idx="44">1</cx:pt>
          <cx:pt idx="45">0.69999999999999996</cx:pt>
          <cx:pt idx="46">0.69999999999999996</cx:pt>
          <cx:pt idx="47">0.45000000000000001</cx:pt>
          <cx:pt idx="48">0.59999999999999998</cx:pt>
          <cx:pt idx="49">0.90000000000000002</cx:pt>
          <cx:pt idx="50">1</cx:pt>
          <cx:pt idx="51">1</cx:pt>
          <cx:pt idx="52">0.80000000000000004</cx:pt>
          <cx:pt idx="53">0.65000000000000002</cx:pt>
          <cx:pt idx="54">0.69999999999999996</cx:pt>
          <cx:pt idx="55">0.96250000000000002</cx:pt>
          <cx:pt idx="56">0.95416666666666661</cx:pt>
          <cx:pt idx="57">0.29999999999999999</cx:pt>
          <cx:pt idx="58">0.20000000000000001</cx:pt>
          <cx:pt idx="59">1</cx:pt>
          <cx:pt idx="60">0.80000000000000004</cx:pt>
          <cx:pt idx="61">0.80000000000000004</cx:pt>
          <cx:pt idx="62">0.90000000000000002</cx:pt>
          <cx:pt idx="63">0.99583333333333335</cx:pt>
          <cx:pt idx="64">0.25</cx:pt>
          <cx:pt idx="65">0.94999999999999996</cx:pt>
          <cx:pt idx="66">1</cx:pt>
          <cx:pt idx="67">0.69999999999999996</cx:pt>
          <cx:pt idx="68">0.90000000000000002</cx:pt>
          <cx:pt idx="69">1</cx:pt>
          <cx:pt idx="70">0.99583333333333335</cx:pt>
          <cx:pt idx="71">0.55000000000000004</cx:pt>
          <cx:pt idx="72">0.29999999999999999</cx:pt>
          <cx:pt idx="73">1</cx:pt>
          <cx:pt idx="74">1</cx:pt>
          <cx:pt idx="75">0.80000000000000004</cx:pt>
          <cx:pt idx="76">0.75</cx:pt>
          <cx:pt idx="77">0.98333333333333339</cx:pt>
          <cx:pt idx="78">0.80000000000000004</cx:pt>
          <cx:pt idx="79">0.94999999999999996</cx:pt>
          <cx:pt idx="80">0.90000000000000002</cx:pt>
          <cx:pt idx="81">0.84999999999999998</cx:pt>
          <cx:pt idx="82">0.5</cx:pt>
          <cx:pt idx="83">1</cx:pt>
          <cx:pt idx="84">0.90000000000000002</cx:pt>
          <cx:pt idx="85">0.90000000000000002</cx:pt>
          <cx:pt idx="86">0.84999999999999998</cx:pt>
          <cx:pt idx="87">0.93333333333333335</cx:pt>
          <cx:pt idx="88">0.80000000000000004</cx:pt>
          <cx:pt idx="89">1</cx:pt>
          <cx:pt idx="90">0.90000000000000002</cx:pt>
          <cx:pt idx="91">0</cx:pt>
          <cx:pt idx="92">0.92500000000000004</cx:pt>
          <cx:pt idx="93">0.40000000000000002</cx:pt>
          <cx:pt idx="94">0.90000000000000002</cx:pt>
          <cx:pt idx="95">0.80000000000000004</cx:pt>
          <cx:pt idx="96">0.69999999999999996</cx:pt>
          <cx:pt idx="97">0.69999999999999996</cx:pt>
          <cx:pt idx="98">0.80000000000000004</cx:pt>
          <cx:pt idx="99">0.72499999999999998</cx:pt>
        </cx:lvl>
      </cx:numDim>
    </cx:data>
    <cx:data id="2">
      <cx:numDim type="val">
        <cx:f>Canada!$E$7:$E$106</cx:f>
        <cx:lvl ptCount="100" formatCode="0.00">
          <cx:pt idx="0">0.69999999999999996</cx:pt>
          <cx:pt idx="1">1</cx:pt>
          <cx:pt idx="2">0.69999999999999996</cx:pt>
          <cx:pt idx="3">0</cx:pt>
          <cx:pt idx="4">1</cx:pt>
          <cx:pt idx="5">1</cx:pt>
          <cx:pt idx="6">1</cx:pt>
          <cx:pt idx="7">1</cx:pt>
          <cx:pt idx="8">1</cx:pt>
          <cx:pt idx="9">1</cx:pt>
          <cx:pt idx="10">1</cx:pt>
          <cx:pt idx="11">0.75</cx:pt>
          <cx:pt idx="12">0.75</cx:pt>
          <cx:pt idx="13">0.69999999999999996</cx:pt>
          <cx:pt idx="14">0.80000000000000004</cx:pt>
          <cx:pt idx="15">0.90000000000000002</cx:pt>
          <cx:pt idx="16">0.94999999999999996</cx:pt>
          <cx:pt idx="17">0.94999999999999996</cx:pt>
          <cx:pt idx="18">0</cx:pt>
          <cx:pt idx="19">0</cx:pt>
          <cx:pt idx="20">0.94999999999999996</cx:pt>
          <cx:pt idx="21">0.69999999999999996</cx:pt>
          <cx:pt idx="22">0.57499999999999996</cx:pt>
          <cx:pt idx="23">0.96666666666666656</cx:pt>
          <cx:pt idx="24">0.94999999999999996</cx:pt>
          <cx:pt idx="25">0.84999999999999998</cx:pt>
          <cx:pt idx="26">0</cx:pt>
          <cx:pt idx="27">0.99583333333333335</cx:pt>
          <cx:pt idx="28">0.69999999999999996</cx:pt>
          <cx:pt idx="29">0.99583333333333335</cx:pt>
          <cx:pt idx="30">0.90000000000000002</cx:pt>
          <cx:pt idx="31">0.40000000000000002</cx:pt>
          <cx:pt idx="32">0.75</cx:pt>
          <cx:pt idx="33">0.80000000000000004</cx:pt>
          <cx:pt idx="34">0.70416666666666672</cx:pt>
          <cx:pt idx="35">0.80000000000000004</cx:pt>
          <cx:pt idx="36">0.80000000000000004</cx:pt>
          <cx:pt idx="37">0.5</cx:pt>
          <cx:pt idx="38">0.90000000000000002</cx:pt>
          <cx:pt idx="39">0.90000000000000002</cx:pt>
          <cx:pt idx="40">0.90000000000000002</cx:pt>
          <cx:pt idx="41">0.59999999999999998</cx:pt>
          <cx:pt idx="42">1</cx:pt>
          <cx:pt idx="43">0.90000000000000002</cx:pt>
          <cx:pt idx="44">1</cx:pt>
          <cx:pt idx="45">0.69999999999999996</cx:pt>
          <cx:pt idx="46">0.59999999999999998</cx:pt>
          <cx:pt idx="47">0</cx:pt>
          <cx:pt idx="48">0.59999999999999998</cx:pt>
          <cx:pt idx="49">0.90000000000000002</cx:pt>
          <cx:pt idx="50">1</cx:pt>
          <cx:pt idx="51">0.98333333333333339</cx:pt>
          <cx:pt idx="52">0.80000000000000004</cx:pt>
          <cx:pt idx="53">0.55000000000000004</cx:pt>
          <cx:pt idx="54">0.59999999999999998</cx:pt>
          <cx:pt idx="55">0.94999999999999996</cx:pt>
          <cx:pt idx="56">0.95416666666666661</cx:pt>
          <cx:pt idx="57">0.29999999999999999</cx:pt>
          <cx:pt idx="58">0.20000000000000001</cx:pt>
          <cx:pt idx="59">1</cx:pt>
          <cx:pt idx="60">0.69999999999999996</cx:pt>
          <cx:pt idx="61">0.80000000000000004</cx:pt>
          <cx:pt idx="62">0.80000000000000004</cx:pt>
          <cx:pt idx="63">0.99583333333333335</cx:pt>
          <cx:pt idx="64">0.25</cx:pt>
          <cx:pt idx="65">0.90000000000000002</cx:pt>
          <cx:pt idx="66">1</cx:pt>
          <cx:pt idx="67">0.69999999999999996</cx:pt>
          <cx:pt idx="68">0.90000000000000002</cx:pt>
          <cx:pt idx="69">1</cx:pt>
          <cx:pt idx="70">0.99583333333333335</cx:pt>
          <cx:pt idx="71">0.55000000000000004</cx:pt>
          <cx:pt idx="72">0.25</cx:pt>
          <cx:pt idx="73">1</cx:pt>
          <cx:pt idx="74">1</cx:pt>
          <cx:pt idx="75">0.75</cx:pt>
          <cx:pt idx="76">0.75</cx:pt>
          <cx:pt idx="77">0.94999999999999996</cx:pt>
          <cx:pt idx="78">0.80000000000000004</cx:pt>
          <cx:pt idx="79">0.84999999999999998</cx:pt>
          <cx:pt idx="80">0.90000000000000002</cx:pt>
          <cx:pt idx="81">0.80000000000000004</cx:pt>
          <cx:pt idx="82">0.5</cx:pt>
          <cx:pt idx="83">1</cx:pt>
          <cx:pt idx="84">0.80000000000000004</cx:pt>
          <cx:pt idx="85">0.90000000000000002</cx:pt>
          <cx:pt idx="86">0.84999999999999998</cx:pt>
          <cx:pt idx="87">0.92916666666666659</cx:pt>
          <cx:pt idx="88">0.69999999999999996</cx:pt>
          <cx:pt idx="89">1</cx:pt>
          <cx:pt idx="90">0.80000000000000004</cx:pt>
          <cx:pt idx="91">0</cx:pt>
          <cx:pt idx="92">0.90000000000000002</cx:pt>
          <cx:pt idx="93">0.52083333333333326</cx:pt>
          <cx:pt idx="94">0.90000000000000002</cx:pt>
          <cx:pt idx="95">0.69999999999999996</cx:pt>
          <cx:pt idx="96">0.5</cx:pt>
          <cx:pt idx="97">0.69999999999999996</cx:pt>
          <cx:pt idx="98">0.80000000000000004</cx:pt>
          <cx:pt idx="99">0.72499999999999998</cx:pt>
        </cx:lvl>
      </cx:numDim>
    </cx:data>
    <cx:data id="3">
      <cx:numDim type="val">
        <cx:f>Canada!$F$7:$F$106</cx:f>
        <cx:lvl ptCount="100" formatCode="0.00">
          <cx:pt idx="0">0.80000000000000004</cx:pt>
          <cx:pt idx="1">1</cx:pt>
          <cx:pt idx="2">0.69999999999999996</cx:pt>
          <cx:pt idx="3">0.94999999999999996</cx:pt>
          <cx:pt idx="4">1</cx:pt>
          <cx:pt idx="5">1</cx:pt>
          <cx:pt idx="6">1</cx:pt>
          <cx:pt idx="7">1</cx:pt>
          <cx:pt idx="8">1</cx:pt>
          <cx:pt idx="9">1</cx:pt>
          <cx:pt idx="10">1</cx:pt>
          <cx:pt idx="11">0.69999999999999996</cx:pt>
          <cx:pt idx="12">0.90000000000000002</cx:pt>
          <cx:pt idx="13">0.80000000000000004</cx:pt>
          <cx:pt idx="14">1</cx:pt>
          <cx:pt idx="15">0.94999999999999996</cx:pt>
          <cx:pt idx="16">0.99583333333333335</cx:pt>
          <cx:pt idx="17">0.94999999999999996</cx:pt>
          <cx:pt idx="18">1</cx:pt>
          <cx:pt idx="19">0</cx:pt>
          <cx:pt idx="20">1</cx:pt>
          <cx:pt idx="21">1</cx:pt>
          <cx:pt idx="22">0.80000000000000004</cx:pt>
          <cx:pt idx="23">1</cx:pt>
          <cx:pt idx="24">0.94999999999999996</cx:pt>
          <cx:pt idx="25">0.94999999999999996</cx:pt>
          <cx:pt idx="26">0.34999999999999998</cx:pt>
          <cx:pt idx="27">0.99583333333333335</cx:pt>
          <cx:pt idx="28">0.99583333333333335</cx:pt>
          <cx:pt idx="29">0.99583333333333335</cx:pt>
          <cx:pt idx="30">0.90000000000000002</cx:pt>
          <cx:pt idx="31">0.99583333333333335</cx:pt>
          <cx:pt idx="32">1</cx:pt>
          <cx:pt idx="33">0.90000000000000002</cx:pt>
          <cx:pt idx="34">0.99583333333333335</cx:pt>
          <cx:pt idx="35">0.90000000000000002</cx:pt>
          <cx:pt idx="36">0.80000000000000004</cx:pt>
          <cx:pt idx="37">0.80000000000000004</cx:pt>
          <cx:pt idx="38">1</cx:pt>
          <cx:pt idx="39">0.90000000000000002</cx:pt>
          <cx:pt idx="40">0.94999999999999996</cx:pt>
          <cx:pt idx="41">0.80000000000000004</cx:pt>
          <cx:pt idx="42">1</cx:pt>
          <cx:pt idx="43">1</cx:pt>
          <cx:pt idx="44">1</cx:pt>
          <cx:pt idx="45">0.69999999999999996</cx:pt>
          <cx:pt idx="46">0.69999999999999996</cx:pt>
          <cx:pt idx="47">0.5</cx:pt>
          <cx:pt idx="48">0.5</cx:pt>
          <cx:pt idx="49">0.90000000000000002</cx:pt>
          <cx:pt idx="50">1</cx:pt>
          <cx:pt idx="51">0.98333333333333339</cx:pt>
          <cx:pt idx="52">0.90000000000000002</cx:pt>
          <cx:pt idx="53">0.90000000000000002</cx:pt>
          <cx:pt idx="54">0.90000000000000002</cx:pt>
          <cx:pt idx="55">0.94999999999999996</cx:pt>
          <cx:pt idx="56">0.97499999999999998</cx:pt>
          <cx:pt idx="57">0.40000000000000002</cx:pt>
          <cx:pt idx="58">0.28333333333333333</cx:pt>
          <cx:pt idx="59">0.90000000000000002</cx:pt>
          <cx:pt idx="60">0.69999999999999996</cx:pt>
          <cx:pt idx="61">0.80000000000000004</cx:pt>
          <cx:pt idx="62">0.80000000000000004</cx:pt>
          <cx:pt idx="63">0.99583333333333335</cx:pt>
          <cx:pt idx="64">1</cx:pt>
          <cx:pt idx="65">0.80000000000000004</cx:pt>
          <cx:pt idx="66">1</cx:pt>
          <cx:pt idx="67">0.80000000000000004</cx:pt>
          <cx:pt idx="68">0.90000000000000002</cx:pt>
          <cx:pt idx="69">1</cx:pt>
          <cx:pt idx="70">0.99583333333333335</cx:pt>
          <cx:pt idx="71">0.90000000000000002</cx:pt>
          <cx:pt idx="72">0.5</cx:pt>
          <cx:pt idx="73">1</cx:pt>
          <cx:pt idx="74">1</cx:pt>
          <cx:pt idx="75">0.90000000000000002</cx:pt>
          <cx:pt idx="76">0.69999999999999996</cx:pt>
          <cx:pt idx="77">0.97916666666666663</cx:pt>
          <cx:pt idx="78">1</cx:pt>
          <cx:pt idx="79">0.94999999999999996</cx:pt>
          <cx:pt idx="80">0.90000000000000002</cx:pt>
          <cx:pt idx="81">1</cx:pt>
          <cx:pt idx="82">0.90000000000000002</cx:pt>
          <cx:pt idx="83">1</cx:pt>
          <cx:pt idx="84">0.80000000000000004</cx:pt>
          <cx:pt idx="85">0.80000000000000004</cx:pt>
          <cx:pt idx="86">0.90000000000000002</cx:pt>
          <cx:pt idx="87">0.99166666666666659</cx:pt>
          <cx:pt idx="88">1</cx:pt>
          <cx:pt idx="89">1</cx:pt>
          <cx:pt idx="90">0.94999999999999996</cx:pt>
          <cx:pt idx="91">0</cx:pt>
          <cx:pt idx="92">1</cx:pt>
          <cx:pt idx="93">0.5</cx:pt>
          <cx:pt idx="94">0.94999999999999996</cx:pt>
          <cx:pt idx="95">0.90000000000000002</cx:pt>
          <cx:pt idx="96">0.875</cx:pt>
          <cx:pt idx="97">1</cx:pt>
          <cx:pt idx="98">0.75</cx:pt>
          <cx:pt idx="99">1</cx:pt>
        </cx:lvl>
      </cx:numDim>
    </cx:data>
    <cx:data id="4">
      <cx:numDim type="val">
        <cx:f>Canada!$G$7:$G$106</cx:f>
        <cx:lvl ptCount="100" formatCode="0.00">
          <cx:pt idx="0">0.75</cx:pt>
          <cx:pt idx="1">1</cx:pt>
          <cx:pt idx="2">0.69999999999999996</cx:pt>
          <cx:pt idx="3">0.94999999999999996</cx:pt>
          <cx:pt idx="4">1</cx:pt>
          <cx:pt idx="5">1</cx:pt>
          <cx:pt idx="6">1</cx:pt>
          <cx:pt idx="7">1</cx:pt>
          <cx:pt idx="8">1</cx:pt>
          <cx:pt idx="9">1</cx:pt>
          <cx:pt idx="10">1</cx:pt>
          <cx:pt idx="11">0.65000000000000002</cx:pt>
          <cx:pt idx="12">0.90000000000000002</cx:pt>
          <cx:pt idx="13">0.80000000000000004</cx:pt>
          <cx:pt idx="14">1</cx:pt>
          <cx:pt idx="15">0.94999999999999996</cx:pt>
          <cx:pt idx="16">0.99583333333333335</cx:pt>
          <cx:pt idx="17">0.90000000000000002</cx:pt>
          <cx:pt idx="18">1</cx:pt>
          <cx:pt idx="19">0</cx:pt>
          <cx:pt idx="20">1</cx:pt>
          <cx:pt idx="21">1</cx:pt>
          <cx:pt idx="22">0.75</cx:pt>
          <cx:pt idx="23">0.96666666666666656</cx:pt>
          <cx:pt idx="24">0.94999999999999996</cx:pt>
          <cx:pt idx="25">0.90000000000000002</cx:pt>
          <cx:pt idx="26">0.59999999999999998</cx:pt>
          <cx:pt idx="27">1.0458333333333334</cx:pt>
          <cx:pt idx="28">0.99583333333333335</cx:pt>
          <cx:pt idx="29">1.0458333333333334</cx:pt>
          <cx:pt idx="30">0.90000000000000002</cx:pt>
          <cx:pt idx="31">0.80000000000000004</cx:pt>
          <cx:pt idx="32">0.94999999999999996</cx:pt>
          <cx:pt idx="33">0.90000000000000002</cx:pt>
          <cx:pt idx="34">0.88333333333333341</cx:pt>
          <cx:pt idx="35">0.90000000000000002</cx:pt>
          <cx:pt idx="36">0.69999999999999996</cx:pt>
          <cx:pt idx="37">0.59999999999999998</cx:pt>
          <cx:pt idx="38">0.90000000000000002</cx:pt>
          <cx:pt idx="39">0.90000000000000002</cx:pt>
          <cx:pt idx="40">0.90000000000000002</cx:pt>
          <cx:pt idx="41">0.69999999999999996</cx:pt>
          <cx:pt idx="42">1</cx:pt>
          <cx:pt idx="43">1</cx:pt>
          <cx:pt idx="44">1</cx:pt>
          <cx:pt idx="45">0.69999999999999996</cx:pt>
          <cx:pt idx="46">0.59999999999999998</cx:pt>
          <cx:pt idx="47">0.5</cx:pt>
          <cx:pt idx="48">0.29999999999999999</cx:pt>
          <cx:pt idx="49">0.80000000000000004</cx:pt>
          <cx:pt idx="50">1</cx:pt>
          <cx:pt idx="51">1</cx:pt>
          <cx:pt idx="52">0.90000000000000002</cx:pt>
          <cx:pt idx="53">0.90000000000000002</cx:pt>
          <cx:pt idx="54">0.80000000000000004</cx:pt>
          <cx:pt idx="55">0.94999999999999996</cx:pt>
          <cx:pt idx="56">0.97499999999999998</cx:pt>
          <cx:pt idx="57">0.34999999999999998</cx:pt>
          <cx:pt idx="58">0.20000000000000001</cx:pt>
          <cx:pt idx="59">0.90000000000000002</cx:pt>
          <cx:pt idx="60">0.69999999999999996</cx:pt>
          <cx:pt idx="61">1</cx:pt>
          <cx:pt idx="62">0.80000000000000004</cx:pt>
          <cx:pt idx="63">1.0458333333333334</cx:pt>
          <cx:pt idx="64">1</cx:pt>
          <cx:pt idx="65">0.80000000000000004</cx:pt>
          <cx:pt idx="66">1</cx:pt>
          <cx:pt idx="67">0.80000000000000004</cx:pt>
          <cx:pt idx="68">0.5</cx:pt>
          <cx:pt idx="69">1</cx:pt>
          <cx:pt idx="70">0.99583333333333335</cx:pt>
          <cx:pt idx="71">0.94999999999999996</cx:pt>
          <cx:pt idx="72">0.40000000000000002</cx:pt>
          <cx:pt idx="73">1</cx:pt>
          <cx:pt idx="74">1</cx:pt>
          <cx:pt idx="75">0.84999999999999998</cx:pt>
          <cx:pt idx="76">0.69999999999999996</cx:pt>
          <cx:pt idx="77">0.94999999999999996</cx:pt>
          <cx:pt idx="78">1</cx:pt>
          <cx:pt idx="79">0.94999999999999996</cx:pt>
          <cx:pt idx="80">0.90000000000000002</cx:pt>
          <cx:pt idx="81">0.75</cx:pt>
          <cx:pt idx="82">0.80000000000000004</cx:pt>
          <cx:pt idx="83">1</cx:pt>
          <cx:pt idx="84">0.90000000000000002</cx:pt>
          <cx:pt idx="85">0.80000000000000004</cx:pt>
          <cx:pt idx="86">0.90000000000000002</cx:pt>
          <cx:pt idx="87">0.9375</cx:pt>
          <cx:pt idx="88">1</cx:pt>
          <cx:pt idx="89">1</cx:pt>
          <cx:pt idx="90">0.90000000000000002</cx:pt>
          <cx:pt idx="91">0</cx:pt>
          <cx:pt idx="92">1</cx:pt>
          <cx:pt idx="93">0.40000000000000002</cx:pt>
          <cx:pt idx="94">0.94999999999999996</cx:pt>
          <cx:pt idx="95">0.94999999999999996</cx:pt>
          <cx:pt idx="96">0.90000000000000002</cx:pt>
          <cx:pt idx="97">0.5</cx:pt>
          <cx:pt idx="98">0.69999999999999996</cx:pt>
          <cx:pt idx="99">0.72499999999999998</cx:pt>
        </cx:lvl>
      </cx:numDim>
    </cx:data>
    <cx:data id="5">
      <cx:numDim type="val">
        <cx:f>Canada!$H$7:$H$106</cx:f>
        <cx:lvl ptCount="100" formatCode="0.00">
          <cx:pt idx="0">0.75</cx:pt>
          <cx:pt idx="1">1</cx:pt>
          <cx:pt idx="2">0.5</cx:pt>
          <cx:pt idx="3">0.5</cx:pt>
          <cx:pt idx="4">1</cx:pt>
          <cx:pt idx="5">1</cx:pt>
          <cx:pt idx="6">1</cx:pt>
          <cx:pt idx="7">1</cx:pt>
          <cx:pt idx="8">1</cx:pt>
          <cx:pt idx="9">1</cx:pt>
          <cx:pt idx="10">1</cx:pt>
          <cx:pt idx="11">0.59999999999999998</cx:pt>
          <cx:pt idx="12">0.84999999999999998</cx:pt>
          <cx:pt idx="13">0.69999999999999996</cx:pt>
          <cx:pt idx="14">1</cx:pt>
          <cx:pt idx="15">0.94999999999999996</cx:pt>
          <cx:pt idx="16">0.99583333333333335</cx:pt>
          <cx:pt idx="17">0.90000000000000002</cx:pt>
          <cx:pt idx="18">0.29999999999999999</cx:pt>
          <cx:pt idx="19">0</cx:pt>
          <cx:pt idx="20">1</cx:pt>
          <cx:pt idx="21">0.90000000000000002</cx:pt>
          <cx:pt idx="22">0.65000000000000002</cx:pt>
          <cx:pt idx="23">0.96666666666666656</cx:pt>
          <cx:pt idx="24">0.94999999999999996</cx:pt>
          <cx:pt idx="25">0.90000000000000002</cx:pt>
          <cx:pt idx="26">0.40000000000000002</cx:pt>
          <cx:pt idx="27">1</cx:pt>
          <cx:pt idx="28">0.69999999999999996</cx:pt>
          <cx:pt idx="29">1</cx:pt>
          <cx:pt idx="30">0.90000000000000002</cx:pt>
          <cx:pt idx="31">0.5</cx:pt>
          <cx:pt idx="32">0.90000000000000002</cx:pt>
          <cx:pt idx="33">0.90000000000000002</cx:pt>
          <cx:pt idx="34">0.83333333333333337</cx:pt>
          <cx:pt idx="35">0.90000000000000002</cx:pt>
          <cx:pt idx="36">0.69999999999999996</cx:pt>
          <cx:pt idx="37">0.5</cx:pt>
          <cx:pt idx="38">0.90000000000000002</cx:pt>
          <cx:pt idx="39">0.90000000000000002</cx:pt>
          <cx:pt idx="40">0.90000000000000002</cx:pt>
          <cx:pt idx="41">0.69999999999999996</cx:pt>
          <cx:pt idx="42">1</cx:pt>
          <cx:pt idx="43">1</cx:pt>
          <cx:pt idx="44">0.94999999999999996</cx:pt>
          <cx:pt idx="45">0.69999999999999996</cx:pt>
          <cx:pt idx="46">0.59999999999999998</cx:pt>
          <cx:pt idx="47">0.40000000000000002</cx:pt>
          <cx:pt idx="48">0.20000000000000001</cx:pt>
          <cx:pt idx="49">0.80000000000000004</cx:pt>
          <cx:pt idx="50">1</cx:pt>
          <cx:pt idx="51">1</cx:pt>
          <cx:pt idx="52">0.80000000000000004</cx:pt>
          <cx:pt idx="53">0.80000000000000004</cx:pt>
          <cx:pt idx="54">0.80000000000000004</cx:pt>
          <cx:pt idx="55">0.94999999999999996</cx:pt>
          <cx:pt idx="56">0.97499999999999998</cx:pt>
          <cx:pt idx="57">0.40000000000000002</cx:pt>
          <cx:pt idx="58">0.20000000000000001</cx:pt>
          <cx:pt idx="59">0.90000000000000002</cx:pt>
          <cx:pt idx="60">0.80000000000000004</cx:pt>
          <cx:pt idx="61">1</cx:pt>
          <cx:pt idx="62">0.80000000000000004</cx:pt>
          <cx:pt idx="63">1</cx:pt>
          <cx:pt idx="64">1</cx:pt>
          <cx:pt idx="65">0.80000000000000004</cx:pt>
          <cx:pt idx="66">1</cx:pt>
          <cx:pt idx="67">0.80000000000000004</cx:pt>
          <cx:pt idx="68">0.5</cx:pt>
          <cx:pt idx="69">1</cx:pt>
          <cx:pt idx="70">0.99583333333333335</cx:pt>
          <cx:pt idx="71">0.90000000000000002</cx:pt>
          <cx:pt idx="72">0.40000000000000002</cx:pt>
          <cx:pt idx="73">1</cx:pt>
          <cx:pt idx="74">1</cx:pt>
          <cx:pt idx="75">0.80000000000000004</cx:pt>
          <cx:pt idx="76">0.69999999999999996</cx:pt>
          <cx:pt idx="77">0.90000000000000002</cx:pt>
          <cx:pt idx="78">1</cx:pt>
          <cx:pt idx="79">0.94999999999999996</cx:pt>
          <cx:pt idx="80">0.90000000000000002</cx:pt>
          <cx:pt idx="81">0.69999999999999996</cx:pt>
          <cx:pt idx="82">0.80000000000000004</cx:pt>
          <cx:pt idx="83">1</cx:pt>
          <cx:pt idx="84">0.80000000000000004</cx:pt>
          <cx:pt idx="85">0.80000000000000004</cx:pt>
          <cx:pt idx="86">0.90000000000000002</cx:pt>
          <cx:pt idx="87">0.93333333333333335</cx:pt>
          <cx:pt idx="88">1</cx:pt>
          <cx:pt idx="89">1</cx:pt>
          <cx:pt idx="90">0.80000000000000004</cx:pt>
          <cx:pt idx="91">0</cx:pt>
          <cx:pt idx="92">0.97499999999999998</cx:pt>
          <cx:pt idx="93">0.40000000000000002</cx:pt>
          <cx:pt idx="94">0.94999999999999996</cx:pt>
          <cx:pt idx="95">0.90000000000000002</cx:pt>
          <cx:pt idx="96">0.90000000000000002</cx:pt>
          <cx:pt idx="97">0.5</cx:pt>
          <cx:pt idx="98">0.69999999999999996</cx:pt>
          <cx:pt idx="99">0.625</cx:pt>
        </cx:lvl>
      </cx:numDim>
    </cx:data>
    <cx:data id="6">
      <cx:numDim type="val">
        <cx:f>Canada!$I$7:$I$106</cx:f>
        <cx:lvl ptCount="100" formatCode="0.00">
          <cx:pt idx="0">0.90000000000000002</cx:pt>
          <cx:pt idx="1">1</cx:pt>
          <cx:pt idx="2">0.90000000000000002</cx:pt>
          <cx:pt idx="3">0.94999999999999996</cx:pt>
          <cx:pt idx="4">1</cx:pt>
          <cx:pt idx="5">1</cx:pt>
          <cx:pt idx="6">1</cx:pt>
          <cx:pt idx="7">1</cx:pt>
          <cx:pt idx="8">1</cx:pt>
          <cx:pt idx="9">1</cx:pt>
          <cx:pt idx="10">1</cx:pt>
          <cx:pt idx="11">0.69999999999999996</cx:pt>
          <cx:pt idx="12">0.90000000000000002</cx:pt>
          <cx:pt idx="13">0.69999999999999996</cx:pt>
          <cx:pt idx="14">1</cx:pt>
          <cx:pt idx="15">0.94999999999999996</cx:pt>
          <cx:pt idx="16">0.99583333333333335</cx:pt>
          <cx:pt idx="17">0.90000000000000002</cx:pt>
          <cx:pt idx="18">1</cx:pt>
          <cx:pt idx="19">0</cx:pt>
          <cx:pt idx="20">1</cx:pt>
          <cx:pt idx="21">1</cx:pt>
          <cx:pt idx="22">0.75</cx:pt>
          <cx:pt idx="23">0.94999999999999996</cx:pt>
          <cx:pt idx="24">0.94999999999999996</cx:pt>
          <cx:pt idx="25">0.80000000000000004</cx:pt>
          <cx:pt idx="26">0.40000000000000002</cx:pt>
          <cx:pt idx="27">1</cx:pt>
          <cx:pt idx="28">0.99583333333333335</cx:pt>
          <cx:pt idx="29">1</cx:pt>
          <cx:pt idx="30">0.90000000000000002</cx:pt>
          <cx:pt idx="31">0.5</cx:pt>
          <cx:pt idx="32">0.90000000000000002</cx:pt>
          <cx:pt idx="33">0.90000000000000002</cx:pt>
          <cx:pt idx="34">0.88333333333333341</cx:pt>
          <cx:pt idx="35">0.69999999999999996</cx:pt>
          <cx:pt idx="36">0.69999999999999996</cx:pt>
          <cx:pt idx="37">0.5</cx:pt>
          <cx:pt idx="38">0.90000000000000002</cx:pt>
          <cx:pt idx="39">0.80000000000000004</cx:pt>
          <cx:pt idx="40">0.90000000000000002</cx:pt>
          <cx:pt idx="41">0.59999999999999998</cx:pt>
          <cx:pt idx="42">1</cx:pt>
          <cx:pt idx="43">1</cx:pt>
          <cx:pt idx="44">0.94999999999999996</cx:pt>
          <cx:pt idx="45">0.69999999999999996</cx:pt>
          <cx:pt idx="46">0.59999999999999998</cx:pt>
          <cx:pt idx="47">0.40000000000000002</cx:pt>
          <cx:pt idx="48">0.20000000000000001</cx:pt>
          <cx:pt idx="49">0.80000000000000004</cx:pt>
          <cx:pt idx="50">1</cx:pt>
          <cx:pt idx="51">0.99583333333333335</cx:pt>
          <cx:pt idx="52">0.90000000000000002</cx:pt>
          <cx:pt idx="53">0.80000000000000004</cx:pt>
          <cx:pt idx="54">0.69999999999999996</cx:pt>
          <cx:pt idx="55">0.94999999999999996</cx:pt>
          <cx:pt idx="56">0.97499999999999998</cx:pt>
          <cx:pt idx="57">0.25</cx:pt>
          <cx:pt idx="58">0.20000000000000001</cx:pt>
          <cx:pt idx="59">0.90000000000000002</cx:pt>
          <cx:pt idx="60">0.84999999999999998</cx:pt>
          <cx:pt idx="61">1</cx:pt>
          <cx:pt idx="62">0.80000000000000004</cx:pt>
          <cx:pt idx="63">1</cx:pt>
          <cx:pt idx="64">1</cx:pt>
          <cx:pt idx="65">0.80000000000000004</cx:pt>
          <cx:pt idx="66">1</cx:pt>
          <cx:pt idx="67">0.80000000000000004</cx:pt>
          <cx:pt idx="68">0.5</cx:pt>
          <cx:pt idx="69">1</cx:pt>
          <cx:pt idx="70">0.99583333333333335</cx:pt>
          <cx:pt idx="71">0.90000000000000002</cx:pt>
          <cx:pt idx="72">0.40000000000000002</cx:pt>
          <cx:pt idx="73">1</cx:pt>
          <cx:pt idx="74">1</cx:pt>
          <cx:pt idx="75">0.84999999999999998</cx:pt>
          <cx:pt idx="76">0.80000000000000004</cx:pt>
          <cx:pt idx="77">0.80000000000000004</cx:pt>
          <cx:pt idx="78">1</cx:pt>
          <cx:pt idx="79">0.84999999999999998</cx:pt>
          <cx:pt idx="80">0.90000000000000002</cx:pt>
          <cx:pt idx="81">0.59999999999999998</cx:pt>
          <cx:pt idx="82">0.80000000000000004</cx:pt>
          <cx:pt idx="83">1</cx:pt>
          <cx:pt idx="84">0.90000000000000002</cx:pt>
          <cx:pt idx="85">0.80000000000000004</cx:pt>
          <cx:pt idx="86">0.89583333333333337</cx:pt>
          <cx:pt idx="87">0.94166666666666665</cx:pt>
          <cx:pt idx="88">1</cx:pt>
          <cx:pt idx="89">1</cx:pt>
          <cx:pt idx="90">0.69999999999999996</cx:pt>
          <cx:pt idx="91">0</cx:pt>
          <cx:pt idx="92">0.97499999999999998</cx:pt>
          <cx:pt idx="93">0.29999999999999999</cx:pt>
          <cx:pt idx="94">0.94999999999999996</cx:pt>
          <cx:pt idx="95">0.90000000000000002</cx:pt>
          <cx:pt idx="96">0.90000000000000002</cx:pt>
          <cx:pt idx="97">0.59999999999999998</cx:pt>
          <cx:pt idx="98">0.69999999999999996</cx:pt>
          <cx:pt idx="99">0.72499999999999998</cx:pt>
        </cx:lvl>
      </cx:numDim>
    </cx:data>
    <cx:data id="7">
      <cx:numDim type="val">
        <cx:f>Canada!$J$7:$J$106</cx:f>
        <cx:lvl ptCount="100" formatCode="0.00">
          <cx:pt idx="0">0.80000000000000004</cx:pt>
          <cx:pt idx="1">1</cx:pt>
          <cx:pt idx="2">0.5</cx:pt>
          <cx:pt idx="3">0.5</cx:pt>
          <cx:pt idx="4">1</cx:pt>
          <cx:pt idx="5">1</cx:pt>
          <cx:pt idx="6">1</cx:pt>
          <cx:pt idx="7">1</cx:pt>
          <cx:pt idx="8">1</cx:pt>
          <cx:pt idx="9">1</cx:pt>
          <cx:pt idx="10">1</cx:pt>
          <cx:pt idx="11">0.59999999999999998</cx:pt>
          <cx:pt idx="12">0.84999999999999998</cx:pt>
          <cx:pt idx="13">0.69999999999999996</cx:pt>
          <cx:pt idx="14">1</cx:pt>
          <cx:pt idx="15">0.92500000000000004</cx:pt>
          <cx:pt idx="16">0.99583333333333335</cx:pt>
          <cx:pt idx="17">0.90000000000000002</cx:pt>
          <cx:pt idx="18">0.25</cx:pt>
          <cx:pt idx="19">0</cx:pt>
          <cx:pt idx="20">1</cx:pt>
          <cx:pt idx="21">0.90000000000000002</cx:pt>
          <cx:pt idx="22">0.65000000000000002</cx:pt>
          <cx:pt idx="23">0.90000000000000002</cx:pt>
          <cx:pt idx="24">0.94999999999999996</cx:pt>
          <cx:pt idx="25">0.80000000000000004</cx:pt>
          <cx:pt idx="26">0</cx:pt>
          <cx:pt idx="27">1</cx:pt>
          <cx:pt idx="28">0.55000000000000004</cx:pt>
          <cx:pt idx="29">1</cx:pt>
          <cx:pt idx="30">0.90000000000000002</cx:pt>
          <cx:pt idx="31">0.40000000000000002</cx:pt>
          <cx:pt idx="32">0.90000000000000002</cx:pt>
          <cx:pt idx="33">0.90000000000000002</cx:pt>
          <cx:pt idx="34">0.88333333333333341</cx:pt>
          <cx:pt idx="35">0.69999999999999996</cx:pt>
          <cx:pt idx="36">0.69999999999999996</cx:pt>
          <cx:pt idx="37">0.29999999999999999</cx:pt>
          <cx:pt idx="38">0.90000000000000002</cx:pt>
          <cx:pt idx="39">0.80000000000000004</cx:pt>
          <cx:pt idx="40">0.90000000000000002</cx:pt>
          <cx:pt idx="41">0.59999999999999998</cx:pt>
          <cx:pt idx="42">1</cx:pt>
          <cx:pt idx="43">1</cx:pt>
          <cx:pt idx="44">0.69999999999999996</cx:pt>
          <cx:pt idx="45">0.69999999999999996</cx:pt>
          <cx:pt idx="46">0.59999999999999998</cx:pt>
          <cx:pt idx="47">0</cx:pt>
          <cx:pt idx="48">0.20000000000000001</cx:pt>
          <cx:pt idx="49">0.80000000000000004</cx:pt>
          <cx:pt idx="50">1</cx:pt>
          <cx:pt idx="51">0.99583333333333335</cx:pt>
          <cx:pt idx="52">0.80000000000000004</cx:pt>
          <cx:pt idx="53">0.69999999999999996</cx:pt>
          <cx:pt idx="54">0.69999999999999996</cx:pt>
          <cx:pt idx="55">0.94999999999999996</cx:pt>
          <cx:pt idx="56">0.97499999999999998</cx:pt>
          <cx:pt idx="57">0.20000000000000001</cx:pt>
          <cx:pt idx="58">0.20000000000000001</cx:pt>
          <cx:pt idx="59">0.90000000000000002</cx:pt>
          <cx:pt idx="60">0.5</cx:pt>
          <cx:pt idx="61">0.80000000000000004</cx:pt>
          <cx:pt idx="62">0.69999999999999996</cx:pt>
          <cx:pt idx="63">0.99583333333333335</cx:pt>
          <cx:pt idx="64">1</cx:pt>
          <cx:pt idx="65">0.80000000000000004</cx:pt>
          <cx:pt idx="66">1</cx:pt>
          <cx:pt idx="67">0.80000000000000004</cx:pt>
          <cx:pt idx="68">0.5</cx:pt>
          <cx:pt idx="69">1</cx:pt>
          <cx:pt idx="70">0.99583333333333335</cx:pt>
          <cx:pt idx="71">0.90000000000000002</cx:pt>
          <cx:pt idx="72">0.40000000000000002</cx:pt>
          <cx:pt idx="73">1</cx:pt>
          <cx:pt idx="74">1</cx:pt>
          <cx:pt idx="75">0.80000000000000004</cx:pt>
          <cx:pt idx="76">0.69999999999999996</cx:pt>
          <cx:pt idx="77">0.90000000000000002</cx:pt>
          <cx:pt idx="78">1</cx:pt>
          <cx:pt idx="79">0.84999999999999998</cx:pt>
          <cx:pt idx="80">0.90000000000000002</cx:pt>
          <cx:pt idx="81">0.59999999999999998</cx:pt>
          <cx:pt idx="82">0.69999999999999996</cx:pt>
          <cx:pt idx="83">1</cx:pt>
          <cx:pt idx="84">0.80000000000000004</cx:pt>
          <cx:pt idx="85">0.80000000000000004</cx:pt>
          <cx:pt idx="86">0.82499999999999996</cx:pt>
          <cx:pt idx="87">0.92500000000000004</cx:pt>
          <cx:pt idx="88">1</cx:pt>
          <cx:pt idx="89">0.80000000000000004</cx:pt>
          <cx:pt idx="90">0.59999999999999998</cx:pt>
          <cx:pt idx="91">0</cx:pt>
          <cx:pt idx="92">0.94999999999999996</cx:pt>
          <cx:pt idx="93">0.29999999999999999</cx:pt>
          <cx:pt idx="94">0.94999999999999996</cx:pt>
          <cx:pt idx="95">0.80000000000000004</cx:pt>
          <cx:pt idx="96">0.90000000000000002</cx:pt>
          <cx:pt idx="97">0.59999999999999998</cx:pt>
          <cx:pt idx="98">0.69999999999999996</cx:pt>
          <cx:pt idx="99">0.625</cx:pt>
        </cx:lvl>
      </cx:numDim>
    </cx:data>
    <cx:data id="8">
      <cx:numDim type="val">
        <cx:f>Canada!$K$7:$K$106</cx:f>
        <cx:lvl ptCount="100" formatCode="0.00">
          <cx:pt idx="0">0.69999999999999996</cx:pt>
          <cx:pt idx="1">1</cx:pt>
          <cx:pt idx="2">0.5</cx:pt>
          <cx:pt idx="3">0</cx:pt>
          <cx:pt idx="4">1</cx:pt>
          <cx:pt idx="5">1</cx:pt>
          <cx:pt idx="6">1</cx:pt>
          <cx:pt idx="7">1</cx:pt>
          <cx:pt idx="8">1</cx:pt>
          <cx:pt idx="9">1</cx:pt>
          <cx:pt idx="10">0.80000000000000004</cx:pt>
          <cx:pt idx="11">0.5</cx:pt>
          <cx:pt idx="12">0.59999999999999998</cx:pt>
          <cx:pt idx="13">0.5</cx:pt>
          <cx:pt idx="14">0.75</cx:pt>
          <cx:pt idx="15">0.80000000000000004</cx:pt>
          <cx:pt idx="16">0.90000000000000002</cx:pt>
          <cx:pt idx="17">0.84999999999999998</cx:pt>
          <cx:pt idx="18">0</cx:pt>
          <cx:pt idx="19">0</cx:pt>
          <cx:pt idx="20">1</cx:pt>
          <cx:pt idx="21">0.69999999999999996</cx:pt>
          <cx:pt idx="22">0.55000000000000004</cx:pt>
          <cx:pt idx="23">0.69999999999999996</cx:pt>
          <cx:pt idx="24">0.94999999999999996</cx:pt>
          <cx:pt idx="25">0.80000000000000004</cx:pt>
          <cx:pt idx="26">0</cx:pt>
          <cx:pt idx="27">0.99583333333333335</cx:pt>
          <cx:pt idx="28">0.47499999999999998</cx:pt>
          <cx:pt idx="29">0.99583333333333335</cx:pt>
          <cx:pt idx="30">0.90000000000000002</cx:pt>
          <cx:pt idx="31">0.29999999999999999</cx:pt>
          <cx:pt idx="32">0.84999999999999998</cx:pt>
          <cx:pt idx="33">0.75</cx:pt>
          <cx:pt idx="34">0.6958333333333333</cx:pt>
          <cx:pt idx="35">0.69999999999999996</cx:pt>
          <cx:pt idx="36">0.69999999999999996</cx:pt>
          <cx:pt idx="37">0.20000000000000001</cx:pt>
          <cx:pt idx="38">0.90000000000000002</cx:pt>
          <cx:pt idx="39">0.69999999999999996</cx:pt>
          <cx:pt idx="40">0.90000000000000002</cx:pt>
          <cx:pt idx="41">0.5</cx:pt>
          <cx:pt idx="42">1</cx:pt>
          <cx:pt idx="43">1</cx:pt>
          <cx:pt idx="44">0.69999999999999996</cx:pt>
          <cx:pt idx="45">0.59999999999999998</cx:pt>
          <cx:pt idx="46">0.5</cx:pt>
          <cx:pt idx="47">0</cx:pt>
          <cx:pt idx="48">0.10000000000000001</cx:pt>
          <cx:pt idx="49">0.80000000000000004</cx:pt>
          <cx:pt idx="50">1</cx:pt>
          <cx:pt idx="51">0.97499999999999998</cx:pt>
          <cx:pt idx="52">0.69999999999999996</cx:pt>
          <cx:pt idx="53">0.59999999999999998</cx:pt>
          <cx:pt idx="54">0.55000000000000004</cx:pt>
          <cx:pt idx="55">0.90000000000000002</cx:pt>
          <cx:pt idx="56">0.97499999999999998</cx:pt>
          <cx:pt idx="57">0.10000000000000001</cx:pt>
          <cx:pt idx="58">0.13333333333333333</cx:pt>
          <cx:pt idx="59">0.90000000000000002</cx:pt>
          <cx:pt idx="60">0.40000000000000002</cx:pt>
          <cx:pt idx="61">0.5</cx:pt>
          <cx:pt idx="62">0.69999999999999996</cx:pt>
          <cx:pt idx="63">0.99583333333333335</cx:pt>
          <cx:pt idx="64">0.5</cx:pt>
          <cx:pt idx="65">0.69999999999999996</cx:pt>
          <cx:pt idx="66">0.5</cx:pt>
          <cx:pt idx="67">0.80000000000000004</cx:pt>
          <cx:pt idx="68">0.5</cx:pt>
          <cx:pt idx="69">1</cx:pt>
          <cx:pt idx="70">0.99583333333333335</cx:pt>
          <cx:pt idx="71">0.69999999999999996</cx:pt>
          <cx:pt idx="72">0.29999999999999999</cx:pt>
          <cx:pt idx="73">1</cx:pt>
          <cx:pt idx="74">1</cx:pt>
          <cx:pt idx="75">0.5</cx:pt>
          <cx:pt idx="76">0.69999999999999996</cx:pt>
          <cx:pt idx="77">0.69999999999999996</cx:pt>
          <cx:pt idx="78">0.80000000000000004</cx:pt>
          <cx:pt idx="79">0.75</cx:pt>
          <cx:pt idx="80">0.90000000000000002</cx:pt>
          <cx:pt idx="81">0</cx:pt>
          <cx:pt idx="82">0.69999999999999996</cx:pt>
          <cx:pt idx="83">0.80000000000000004</cx:pt>
          <cx:pt idx="84">0.59999999999999998</cx:pt>
          <cx:pt idx="85">0.69999999999999996</cx:pt>
          <cx:pt idx="86">0.69999999999999996</cx:pt>
          <cx:pt idx="87">0.94999999999999996</cx:pt>
          <cx:pt idx="88">0.90000000000000002</cx:pt>
          <cx:pt idx="89">0.80000000000000004</cx:pt>
          <cx:pt idx="90">0.5</cx:pt>
          <cx:pt idx="91">0</cx:pt>
          <cx:pt idx="92">0.90000000000000002</cx:pt>
          <cx:pt idx="93">0.29999999999999999</cx:pt>
          <cx:pt idx="94">0.90000000000000002</cx:pt>
          <cx:pt idx="95">0.69999999999999996</cx:pt>
          <cx:pt idx="96">0.80000000000000004</cx:pt>
          <cx:pt idx="97">0</cx:pt>
          <cx:pt idx="98">0.5</cx:pt>
          <cx:pt idx="99">0.52500000000000002</cx:pt>
        </cx:lvl>
      </cx:numDim>
    </cx:data>
  </cx:chartData>
  <cx:chart>
    <cx:plotArea>
      <cx:plotAreaRegion>
        <cx:series layoutId="boxWhisker" uniqueId="{F05DE920-A885-4B85-AC04-D84A39F75B65}">
          <cx:spPr>
            <a:solidFill>
              <a:schemeClr val="accent2">
                <a:lumMod val="60000"/>
                <a:lumOff val="40000"/>
              </a:schemeClr>
            </a:solidFill>
            <a:ln>
              <a:solidFill>
                <a:sysClr val="windowText" lastClr="000000"/>
              </a:solidFill>
            </a:ln>
          </cx:spPr>
          <cx:dataId val="0"/>
          <cx:layoutPr>
            <cx:visibility meanLine="0" meanMarker="1" nonoutliers="0" outliers="1"/>
            <cx:statistics quartileMethod="exclusive"/>
          </cx:layoutPr>
        </cx:series>
        <cx:series layoutId="boxWhisker" uniqueId="{7380097B-CD2F-49EA-B6BD-847065B89671}">
          <cx:spPr>
            <a:solidFill>
              <a:schemeClr val="accent2">
                <a:lumMod val="20000"/>
                <a:lumOff val="80000"/>
              </a:schemeClr>
            </a:solidFill>
            <a:ln>
              <a:solidFill>
                <a:sysClr val="windowText" lastClr="000000"/>
              </a:solidFill>
            </a:ln>
          </cx:spPr>
          <cx:dataId val="1"/>
          <cx:layoutPr>
            <cx:visibility meanLine="0" meanMarker="1" nonoutliers="0" outliers="1"/>
            <cx:statistics quartileMethod="exclusive"/>
          </cx:layoutPr>
        </cx:series>
        <cx:series layoutId="boxWhisker" uniqueId="{BBE17191-FB74-4CBC-8BB9-337D20ECCEBF}">
          <cx:spPr>
            <a:solidFill>
              <a:schemeClr val="accent2">
                <a:lumMod val="20000"/>
                <a:lumOff val="80000"/>
              </a:schemeClr>
            </a:solidFill>
            <a:ln>
              <a:solidFill>
                <a:sysClr val="windowText" lastClr="000000"/>
              </a:solidFill>
            </a:ln>
          </cx:spPr>
          <cx:dataId val="2"/>
          <cx:layoutPr>
            <cx:visibility meanLine="0" meanMarker="1" nonoutliers="0" outliers="1"/>
            <cx:statistics quartileMethod="exclusive"/>
          </cx:layoutPr>
        </cx:series>
        <cx:series layoutId="boxWhisker" uniqueId="{A50AE6D4-1B17-4318-8FFC-5A71BC1A2674}">
          <cx:spPr>
            <a:solidFill>
              <a:schemeClr val="accent5"/>
            </a:solidFill>
            <a:ln>
              <a:solidFill>
                <a:sysClr val="windowText" lastClr="000000"/>
              </a:solidFill>
            </a:ln>
          </cx:spPr>
          <cx:dataId val="3"/>
          <cx:layoutPr>
            <cx:visibility meanLine="0" meanMarker="1" nonoutliers="0" outliers="1"/>
            <cx:statistics quartileMethod="exclusive"/>
          </cx:layoutPr>
        </cx:series>
        <cx:series layoutId="boxWhisker" uniqueId="{33C8A769-72FC-4096-8228-DDFD3B1D2A33}">
          <cx:spPr>
            <a:solidFill>
              <a:schemeClr val="accent1">
                <a:lumMod val="60000"/>
                <a:lumOff val="40000"/>
              </a:schemeClr>
            </a:solidFill>
            <a:ln>
              <a:solidFill>
                <a:sysClr val="windowText" lastClr="000000"/>
              </a:solidFill>
            </a:ln>
          </cx:spPr>
          <cx:dataId val="4"/>
          <cx:layoutPr>
            <cx:visibility meanLine="0" meanMarker="1" nonoutliers="0" outliers="1"/>
            <cx:statistics quartileMethod="exclusive"/>
          </cx:layoutPr>
        </cx:series>
        <cx:series layoutId="boxWhisker" uniqueId="{55E30BE4-FC5E-4AFF-8AF3-19619D068600}">
          <cx:spPr>
            <a:solidFill>
              <a:schemeClr val="accent1">
                <a:lumMod val="60000"/>
                <a:lumOff val="40000"/>
              </a:schemeClr>
            </a:solidFill>
            <a:ln>
              <a:solidFill>
                <a:sysClr val="windowText" lastClr="000000"/>
              </a:solidFill>
            </a:ln>
          </cx:spPr>
          <cx:dataId val="5"/>
          <cx:layoutPr>
            <cx:visibility meanLine="0" meanMarker="1" nonoutliers="0" outliers="1"/>
            <cx:statistics quartileMethod="exclusive"/>
          </cx:layoutPr>
        </cx:series>
        <cx:series layoutId="boxWhisker" uniqueId="{D75B2483-DD8E-4606-A591-6774855BE013}">
          <cx:spPr>
            <a:solidFill>
              <a:schemeClr val="accent1">
                <a:lumMod val="20000"/>
                <a:lumOff val="80000"/>
              </a:schemeClr>
            </a:solidFill>
            <a:ln>
              <a:solidFill>
                <a:sysClr val="windowText" lastClr="000000"/>
              </a:solidFill>
            </a:ln>
          </cx:spPr>
          <cx:dataId val="6"/>
          <cx:layoutPr>
            <cx:visibility meanLine="0" meanMarker="1" nonoutliers="0" outliers="1"/>
            <cx:statistics quartileMethod="exclusive"/>
          </cx:layoutPr>
        </cx:series>
        <cx:series layoutId="boxWhisker" uniqueId="{BFD8ED18-6653-4276-9FAC-81D1432A70DF}">
          <cx:spPr>
            <a:solidFill>
              <a:schemeClr val="accent1">
                <a:lumMod val="20000"/>
                <a:lumOff val="80000"/>
              </a:schemeClr>
            </a:solidFill>
            <a:ln>
              <a:solidFill>
                <a:sysClr val="windowText" lastClr="000000"/>
              </a:solidFill>
            </a:ln>
          </cx:spPr>
          <cx:dataId val="7"/>
          <cx:layoutPr>
            <cx:visibility meanLine="0" meanMarker="1" nonoutliers="0" outliers="1"/>
            <cx:statistics quartileMethod="exclusive"/>
          </cx:layoutPr>
        </cx:series>
        <cx:series layoutId="boxWhisker" uniqueId="{3C32B3BB-F87D-47B7-919B-E15DC2AE9C6C}">
          <cx:spPr>
            <a:solidFill>
              <a:schemeClr val="accent1">
                <a:lumMod val="20000"/>
                <a:lumOff val="80000"/>
              </a:schemeClr>
            </a:solidFill>
            <a:ln>
              <a:solidFill>
                <a:sysClr val="windowText" lastClr="000000"/>
              </a:solidFill>
            </a:ln>
          </cx:spPr>
          <cx:dataId val="8"/>
          <cx:layoutPr>
            <cx:visibility meanLine="0" meanMarker="1" nonoutliers="0" outliers="1"/>
            <cx:statistics quartileMethod="exclusive"/>
          </cx:layoutPr>
        </cx:series>
      </cx:plotAreaRegion>
      <cx:axis id="0" hidden="1">
        <cx:catScaling gapWidth="1"/>
        <cx:tickLabels/>
      </cx:axis>
      <cx:axis id="1">
        <cx:valScaling max="1" min="0"/>
        <cx:majorGridlines/>
        <cx:tickLabels/>
      </cx:axis>
    </cx:plotArea>
  </cx:chart>
  <cx:spPr>
    <a:ln>
      <a:solidFill>
        <a:srgbClr val="002060"/>
      </a:solidFill>
    </a:ln>
  </cx:spPr>
  <cx:clrMapOvr bg1="lt1" tx1="dk1" bg2="lt2" tx2="dk2" accent1="accent1" accent2="accent2" accent3="accent3" accent4="accent4" accent5="accent5" accent6="accent6" hlink="hlink" folHlink="folHlink"/>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China!$C$7:$C$106</cx:f>
        <cx:lvl ptCount="100" formatCode="0.00">
          <cx:pt idx="0">0.90000000000000002</cx:pt>
          <cx:pt idx="1">0.99583333333333335</cx:pt>
          <cx:pt idx="2">0.97083333333333344</cx:pt>
          <cx:pt idx="3">0.99583333333333335</cx:pt>
          <cx:pt idx="4">0.99583333333333335</cx:pt>
          <cx:pt idx="5">0.90000000000000002</cx:pt>
          <cx:pt idx="6">0.99583333333333335</cx:pt>
          <cx:pt idx="7">0.99583333333333335</cx:pt>
          <cx:pt idx="8">0.80000000000000004</cx:pt>
          <cx:pt idx="9">0.99583333333333335</cx:pt>
          <cx:pt idx="10">0.99583333333333335</cx:pt>
          <cx:pt idx="11">0.97499999999999998</cx:pt>
          <cx:pt idx="12">0.94999999999999996</cx:pt>
          <cx:pt idx="13">0.99583333333333335</cx:pt>
          <cx:pt idx="14">0.97499999999999998</cx:pt>
          <cx:pt idx="15">0.99583333333333335</cx:pt>
          <cx:pt idx="16">0.5</cx:pt>
          <cx:pt idx="17">0.69999999999999996</cx:pt>
          <cx:pt idx="18">0.90000000000000002</cx:pt>
          <cx:pt idx="19">0.94999999999999996</cx:pt>
          <cx:pt idx="20">0.94999999999999996</cx:pt>
          <cx:pt idx="21">0.99583333333333335</cx:pt>
          <cx:pt idx="22">0.99166666666666659</cx:pt>
          <cx:pt idx="23">0.80000000000000004</cx:pt>
          <cx:pt idx="24">0.99583333333333335</cx:pt>
          <cx:pt idx="25">0.99583333333333335</cx:pt>
          <cx:pt idx="26">0.80000000000000004</cx:pt>
          <cx:pt idx="27">0.99583333333333335</cx:pt>
          <cx:pt idx="28">0.94999999999999996</cx:pt>
          <cx:pt idx="29">0.80000000000000004</cx:pt>
          <cx:pt idx="30">0.90000000000000002</cx:pt>
          <cx:pt idx="31">0.99583333333333335</cx:pt>
          <cx:pt idx="32">0.94999999999999996</cx:pt>
          <cx:pt idx="33">0.90000000000000002</cx:pt>
          <cx:pt idx="34">0.90000000000000002</cx:pt>
          <cx:pt idx="35">0.97499999999999998</cx:pt>
          <cx:pt idx="36">0.90000000000000002</cx:pt>
          <cx:pt idx="37">0.90000000000000002</cx:pt>
          <cx:pt idx="38">0.97083333333333344</cx:pt>
          <cx:pt idx="39">0.99166666666666659</cx:pt>
          <cx:pt idx="40">0.94999999999999996</cx:pt>
          <cx:pt idx="41">0.98333333333333339</cx:pt>
          <cx:pt idx="42">0.99166666666666659</cx:pt>
          <cx:pt idx="43">0.99166666666666659</cx:pt>
          <cx:pt idx="44">0.94999999999999996</cx:pt>
          <cx:pt idx="45">0.94999999999999996</cx:pt>
          <cx:pt idx="46">0.90000000000000002</cx:pt>
          <cx:pt idx="47">0.94999999999999996</cx:pt>
          <cx:pt idx="48">0.99583333333333335</cx:pt>
          <cx:pt idx="49">0.69999999999999996</cx:pt>
          <cx:pt idx="50">0.90000000000000002</cx:pt>
          <cx:pt idx="51">0.94999999999999996</cx:pt>
          <cx:pt idx="52">0.99583333333333335</cx:pt>
          <cx:pt idx="53">0.69999999999999996</cx:pt>
          <cx:pt idx="54">0.99583333333333335</cx:pt>
          <cx:pt idx="55">0.94999999999999996</cx:pt>
          <cx:pt idx="56">0.94999999999999996</cx:pt>
          <cx:pt idx="57">0.90000000000000002</cx:pt>
          <cx:pt idx="58">0.94999999999999996</cx:pt>
          <cx:pt idx="59">0.99583333333333335</cx:pt>
          <cx:pt idx="60">0.94999999999999996</cx:pt>
          <cx:pt idx="61">0.90000000000000002</cx:pt>
          <cx:pt idx="62">0.94999999999999996</cx:pt>
          <cx:pt idx="63">0.97499999999999998</cx:pt>
          <cx:pt idx="64">0.90000000000000002</cx:pt>
          <cx:pt idx="65">0.90000000000000002</cx:pt>
          <cx:pt idx="66">0.99583333333333335</cx:pt>
          <cx:pt idx="67">0.99583333333333335</cx:pt>
          <cx:pt idx="68">0.97499999999999998</cx:pt>
          <cx:pt idx="69">0.99583333333333335</cx:pt>
          <cx:pt idx="70">0.90000000000000002</cx:pt>
          <cx:pt idx="71">0.90000000000000002</cx:pt>
          <cx:pt idx="72">0.97499999999999998</cx:pt>
          <cx:pt idx="73">0.95416666666666661</cx:pt>
          <cx:pt idx="74">0.99583333333333335</cx:pt>
          <cx:pt idx="75">0.90000000000000002</cx:pt>
          <cx:pt idx="76">0.96250000000000002</cx:pt>
          <cx:pt idx="77">0.99583333333333335</cx:pt>
          <cx:pt idx="78">0.90000000000000002</cx:pt>
          <cx:pt idx="79">0.5</cx:pt>
          <cx:pt idx="80">0.90000000000000002</cx:pt>
          <cx:pt idx="81">0.84999999999999998</cx:pt>
          <cx:pt idx="82">0.99583333333333335</cx:pt>
          <cx:pt idx="83">0.90000000000000002</cx:pt>
          <cx:pt idx="84">0.98333333333333339</cx:pt>
          <cx:pt idx="85">0.97499999999999998</cx:pt>
          <cx:pt idx="86">0.99583333333333335</cx:pt>
          <cx:pt idx="87">0.99583333333333335</cx:pt>
          <cx:pt idx="88">0.99583333333333335</cx:pt>
          <cx:pt idx="89">0.99583333333333335</cx:pt>
          <cx:pt idx="90">0.99583333333333335</cx:pt>
          <cx:pt idx="91">0.99583333333333335</cx:pt>
          <cx:pt idx="92">0.99583333333333335</cx:pt>
          <cx:pt idx="93">0.99583333333333335</cx:pt>
          <cx:pt idx="94">0.99583333333333335</cx:pt>
          <cx:pt idx="95">0.99583333333333335</cx:pt>
          <cx:pt idx="96">0.99583333333333335</cx:pt>
          <cx:pt idx="97">0.99583333333333335</cx:pt>
          <cx:pt idx="98">0.99583333333333335</cx:pt>
          <cx:pt idx="99">0.99583333333333335</cx:pt>
        </cx:lvl>
      </cx:numDim>
    </cx:data>
    <cx:data id="1">
      <cx:numDim type="val">
        <cx:f>China!$D$7:$D$106</cx:f>
        <cx:lvl ptCount="100" formatCode="0.00">
          <cx:pt idx="0">0.875</cx:pt>
          <cx:pt idx="1">0.99583333333333335</cx:pt>
          <cx:pt idx="2">0.90000000000000002</cx:pt>
          <cx:pt idx="3">0.94999999999999996</cx:pt>
          <cx:pt idx="4">0.90000000000000002</cx:pt>
          <cx:pt idx="5">0.84999999999999998</cx:pt>
          <cx:pt idx="6">0.99583333333333335</cx:pt>
          <cx:pt idx="7">0.99583333333333335</cx:pt>
          <cx:pt idx="8">0.69999999999999996</cx:pt>
          <cx:pt idx="9">0.80000000000000004</cx:pt>
          <cx:pt idx="10">0.99583333333333335</cx:pt>
          <cx:pt idx="11">0.94999999999999996</cx:pt>
          <cx:pt idx="12">0.80000000000000004</cx:pt>
          <cx:pt idx="13">0.99583333333333335</cx:pt>
          <cx:pt idx="14">0.94999999999999996</cx:pt>
          <cx:pt idx="15">0.99583333333333335</cx:pt>
          <cx:pt idx="16">0.25</cx:pt>
          <cx:pt idx="17">0.59999999999999998</cx:pt>
          <cx:pt idx="18">0.80000000000000004</cx:pt>
          <cx:pt idx="19">0.80000000000000004</cx:pt>
          <cx:pt idx="20">0.94166666666666665</cx:pt>
          <cx:pt idx="21">0.99583333333333335</cx:pt>
          <cx:pt idx="22">0.97499999999999998</cx:pt>
          <cx:pt idx="23">0.65000000000000002</cx:pt>
          <cx:pt idx="24">0.90000000000000002</cx:pt>
          <cx:pt idx="25">0.99583333333333335</cx:pt>
          <cx:pt idx="26">0.75</cx:pt>
          <cx:pt idx="27">0.59999999999999998</cx:pt>
          <cx:pt idx="28">0.90000000000000002</cx:pt>
          <cx:pt idx="29">0.5</cx:pt>
          <cx:pt idx="30">0.80000000000000004</cx:pt>
          <cx:pt idx="31">0.99583333333333335</cx:pt>
          <cx:pt idx="32">0.90000000000000002</cx:pt>
          <cx:pt idx="33">0.84999999999999998</cx:pt>
          <cx:pt idx="34">0.90000000000000002</cx:pt>
          <cx:pt idx="35">0.94999999999999996</cx:pt>
          <cx:pt idx="36">0.80000000000000004</cx:pt>
          <cx:pt idx="37">0.5</cx:pt>
          <cx:pt idx="38">0.90000000000000002</cx:pt>
          <cx:pt idx="39">0.96250000000000002</cx:pt>
          <cx:pt idx="40">0.90000000000000002</cx:pt>
          <cx:pt idx="41">0.96250000000000002</cx:pt>
          <cx:pt idx="42">0.97916666666666663</cx:pt>
          <cx:pt idx="43">0.94999999999999996</cx:pt>
          <cx:pt idx="44">0.84999999999999998</cx:pt>
          <cx:pt idx="45">0.90000000000000002</cx:pt>
          <cx:pt idx="46">0.89166666666666661</cx:pt>
          <cx:pt idx="47">0.84999999999999998</cx:pt>
          <cx:pt idx="48">0.94999999999999996</cx:pt>
          <cx:pt idx="49">0.69999999999999996</cx:pt>
          <cx:pt idx="50">0.90000000000000002</cx:pt>
          <cx:pt idx="51">0.90000000000000002</cx:pt>
          <cx:pt idx="52">0.98333333333333339</cx:pt>
          <cx:pt idx="53">0.80000000000000004</cx:pt>
          <cx:pt idx="54">0.94999999999999996</cx:pt>
          <cx:pt idx="55">0.90000000000000002</cx:pt>
          <cx:pt idx="56">0.90000000000000002</cx:pt>
          <cx:pt idx="57">0.84999999999999998</cx:pt>
          <cx:pt idx="58">0.90000000000000002</cx:pt>
          <cx:pt idx="59">0.90000000000000002</cx:pt>
          <cx:pt idx="60">0.92500000000000004</cx:pt>
          <cx:pt idx="61">0.69999999999999996</cx:pt>
          <cx:pt idx="62">0.91666666666666663</cx:pt>
          <cx:pt idx="63">0.94999999999999996</cx:pt>
          <cx:pt idx="64">0.84999999999999998</cx:pt>
          <cx:pt idx="65">0.84999999999999998</cx:pt>
          <cx:pt idx="66">0.75</cx:pt>
          <cx:pt idx="67">0.75</cx:pt>
          <cx:pt idx="68">0.94999999999999996</cx:pt>
          <cx:pt idx="69">0.94999999999999996</cx:pt>
          <cx:pt idx="70">0.875</cx:pt>
          <cx:pt idx="71">0.80000000000000004</cx:pt>
          <cx:pt idx="72">0.5</cx:pt>
          <cx:pt idx="73">0.90000000000000002</cx:pt>
          <cx:pt idx="74">0.99583333333333335</cx:pt>
          <cx:pt idx="75">0.80000000000000004</cx:pt>
          <cx:pt idx="76">0.94999999999999996</cx:pt>
          <cx:pt idx="77">0.94999999999999996</cx:pt>
          <cx:pt idx="78">0.69999999999999996</cx:pt>
          <cx:pt idx="79">0.25</cx:pt>
          <cx:pt idx="80">0.84999999999999998</cx:pt>
          <cx:pt idx="81">0.82499999999999996</cx:pt>
          <cx:pt idx="82">0.99583333333333335</cx:pt>
          <cx:pt idx="83">0.90000000000000002</cx:pt>
          <cx:pt idx="84">0.80000000000000004</cx:pt>
          <cx:pt idx="85">0.80000000000000004</cx:pt>
          <cx:pt idx="86">0.99583333333333335</cx:pt>
          <cx:pt idx="87">0.94999999999999996</cx:pt>
          <cx:pt idx="88">0.99583333333333335</cx:pt>
          <cx:pt idx="89">0.99583333333333335</cx:pt>
          <cx:pt idx="90">0.99583333333333335</cx:pt>
          <cx:pt idx="91">0.80000000000000004</cx:pt>
          <cx:pt idx="92">0.99583333333333335</cx:pt>
          <cx:pt idx="93">0.99583333333333335</cx:pt>
          <cx:pt idx="94">0.90000000000000002</cx:pt>
          <cx:pt idx="95">0.99583333333333335</cx:pt>
          <cx:pt idx="96">0.99166666666666659</cx:pt>
          <cx:pt idx="97">0.99583333333333335</cx:pt>
          <cx:pt idx="98">0.99583333333333335</cx:pt>
          <cx:pt idx="99">0.99583333333333335</cx:pt>
        </cx:lvl>
      </cx:numDim>
    </cx:data>
    <cx:data id="2">
      <cx:numDim type="val">
        <cx:f>China!$E$7:$E$106</cx:f>
        <cx:lvl ptCount="100" formatCode="0.00">
          <cx:pt idx="0">0.84999999999999998</cx:pt>
          <cx:pt idx="1">0.99583333333333335</cx:pt>
          <cx:pt idx="2">0.84999999999999998</cx:pt>
          <cx:pt idx="3">0.90000000000000002</cx:pt>
          <cx:pt idx="4">0.80000000000000004</cx:pt>
          <cx:pt idx="5">0.5</cx:pt>
          <cx:pt idx="6">0.99583333333333335</cx:pt>
          <cx:pt idx="7">0.80000000000000004</cx:pt>
          <cx:pt idx="8">0.5</cx:pt>
          <cx:pt idx="9">0.59999999999999998</cx:pt>
          <cx:pt idx="10">0.99583333333333335</cx:pt>
          <cx:pt idx="11">0.75</cx:pt>
          <cx:pt idx="12">0.75</cx:pt>
          <cx:pt idx="13">0.99583333333333335</cx:pt>
          <cx:pt idx="14">0.92500000000000004</cx:pt>
          <cx:pt idx="15">0.99166666666666659</cx:pt>
          <cx:pt idx="16">0.10000000000000001</cx:pt>
          <cx:pt idx="17">0.5</cx:pt>
          <cx:pt idx="18">0.69999999999999996</cx:pt>
          <cx:pt idx="19">0.69999999999999996</cx:pt>
          <cx:pt idx="20">0.90000000000000002</cx:pt>
          <cx:pt idx="21">0.99583333333333335</cx:pt>
          <cx:pt idx="22">0.94999999999999996</cx:pt>
          <cx:pt idx="23">0.5</cx:pt>
          <cx:pt idx="24">0.75</cx:pt>
          <cx:pt idx="25">0.99583333333333335</cx:pt>
          <cx:pt idx="26">0.69999999999999996</cx:pt>
          <cx:pt idx="27">0.5</cx:pt>
          <cx:pt idx="28">0.75</cx:pt>
          <cx:pt idx="29">0.40000000000000002</cx:pt>
          <cx:pt idx="30">0.5</cx:pt>
          <cx:pt idx="31">0.99583333333333335</cx:pt>
          <cx:pt idx="32">0.59999999999999998</cx:pt>
          <cx:pt idx="33">0.80000000000000004</cx:pt>
          <cx:pt idx="34">0.75</cx:pt>
          <cx:pt idx="35">0.90000000000000002</cx:pt>
          <cx:pt idx="36">0.69999999999999996</cx:pt>
          <cx:pt idx="37">0.40000000000000002</cx:pt>
          <cx:pt idx="38">0.80000000000000004</cx:pt>
          <cx:pt idx="39">0.93333333333333335</cx:pt>
          <cx:pt idx="40">0.80000000000000004</cx:pt>
          <cx:pt idx="41">0.94999999999999996</cx:pt>
          <cx:pt idx="42">0.97499999999999998</cx:pt>
          <cx:pt idx="43">0.90000000000000002</cx:pt>
          <cx:pt idx="44">0.80000000000000004</cx:pt>
          <cx:pt idx="45">0.80000000000000004</cx:pt>
          <cx:pt idx="46">0.84999999999999998</cx:pt>
          <cx:pt idx="47">0.75</cx:pt>
          <cx:pt idx="48">0.90000000000000002</cx:pt>
          <cx:pt idx="49">0.5</cx:pt>
          <cx:pt idx="50">0.80000000000000004</cx:pt>
          <cx:pt idx="51">0.90000000000000002</cx:pt>
          <cx:pt idx="52">0.94999999999999996</cx:pt>
          <cx:pt idx="53">0.69999999999999996</cx:pt>
          <cx:pt idx="54">0.90000000000000002</cx:pt>
          <cx:pt idx="55">0.84999999999999998</cx:pt>
          <cx:pt idx="56">0.80000000000000004</cx:pt>
          <cx:pt idx="57">0.80000000000000004</cx:pt>
          <cx:pt idx="58">0.80000000000000004</cx:pt>
          <cx:pt idx="59">0.29999999999999999</cx:pt>
          <cx:pt idx="60">0.90000000000000002</cx:pt>
          <cx:pt idx="61">0.5</cx:pt>
          <cx:pt idx="62">0.90000000000000002</cx:pt>
          <cx:pt idx="63">0.90000000000000002</cx:pt>
          <cx:pt idx="64">0.75</cx:pt>
          <cx:pt idx="65">0.5</cx:pt>
          <cx:pt idx="66">0.5</cx:pt>
          <cx:pt idx="67">0.5</cx:pt>
          <cx:pt idx="68">0.92500000000000004</cx:pt>
          <cx:pt idx="69">0.90000000000000002</cx:pt>
          <cx:pt idx="70">0.84999999999999998</cx:pt>
          <cx:pt idx="71">0.69999999999999996</cx:pt>
          <cx:pt idx="72">0.40000000000000002</cx:pt>
          <cx:pt idx="73">0.80000000000000004</cx:pt>
          <cx:pt idx="74">0.99583333333333335</cx:pt>
          <cx:pt idx="75">0.69999999999999996</cx:pt>
          <cx:pt idx="76">0.84999999999999998</cx:pt>
          <cx:pt idx="77">0.90000000000000002</cx:pt>
          <cx:pt idx="78">0.5</cx:pt>
          <cx:pt idx="79">0.10000000000000001</cx:pt>
          <cx:pt idx="80">0.80000000000000004</cx:pt>
          <cx:pt idx="81">0.80000000000000004</cx:pt>
          <cx:pt idx="82">0.75</cx:pt>
          <cx:pt idx="83">0.84999999999999998</cx:pt>
          <cx:pt idx="84">0.69999999999999996</cx:pt>
          <cx:pt idx="85">0.69999999999999996</cx:pt>
          <cx:pt idx="86">0.99583333333333335</cx:pt>
          <cx:pt idx="87">0.94999999999999996</cx:pt>
          <cx:pt idx="88">0.90000000000000002</cx:pt>
          <cx:pt idx="89">0.94999999999999996</cx:pt>
          <cx:pt idx="90">0.80000000000000004</cx:pt>
          <cx:pt idx="91">0.59999999999999998</cx:pt>
          <cx:pt idx="92">0.80000000000000004</cx:pt>
          <cx:pt idx="93">0.99583333333333335</cx:pt>
          <cx:pt idx="94">0.80000000000000004</cx:pt>
          <cx:pt idx="95">0.99583333333333335</cx:pt>
          <cx:pt idx="96">0.97499999999999998</cx:pt>
          <cx:pt idx="97">0.99583333333333335</cx:pt>
          <cx:pt idx="98">0.90000000000000002</cx:pt>
          <cx:pt idx="99">0.99583333333333335</cx:pt>
        </cx:lvl>
      </cx:numDim>
    </cx:data>
    <cx:data id="3">
      <cx:numDim type="val">
        <cx:f>China!$F$7:$F$106</cx:f>
        <cx:lvl ptCount="100" formatCode="0.00">
          <cx:pt idx="0">0.94999999999999996</cx:pt>
          <cx:pt idx="1">0.99583333333333335</cx:pt>
          <cx:pt idx="2">0.94999999999999996</cx:pt>
          <cx:pt idx="3">0.80000000000000004</cx:pt>
          <cx:pt idx="4">0.94999999999999996</cx:pt>
          <cx:pt idx="5">0.99583333333333335</cx:pt>
          <cx:pt idx="6">0.99583333333333335</cx:pt>
          <cx:pt idx="7">0.99583333333333335</cx:pt>
          <cx:pt idx="8">0.59999999999999998</cx:pt>
          <cx:pt idx="9">0.99583333333333335</cx:pt>
          <cx:pt idx="10">0.99583333333333335</cx:pt>
          <cx:pt idx="11">0.94999999999999996</cx:pt>
          <cx:pt idx="12">0.97499999999999998</cx:pt>
          <cx:pt idx="13">0.99583333333333335</cx:pt>
          <cx:pt idx="14">0.94999999999999996</cx:pt>
          <cx:pt idx="15">0.99583333333333335</cx:pt>
          <cx:pt idx="16">0.5</cx:pt>
          <cx:pt idx="17">0.90000000000000002</cx:pt>
          <cx:pt idx="18">0.75</cx:pt>
          <cx:pt idx="19">0.80000000000000004</cx:pt>
          <cx:pt idx="20">0.97499999999999998</cx:pt>
          <cx:pt idx="21">0.99583333333333335</cx:pt>
          <cx:pt idx="22">0.99166666666666659</cx:pt>
          <cx:pt idx="23">0.75</cx:pt>
          <cx:pt idx="24">0.80000000000000004</cx:pt>
          <cx:pt idx="25">0.99583333333333335</cx:pt>
          <cx:pt idx="26">0.90000000000000002</cx:pt>
          <cx:pt idx="27">0.94999999999999996</cx:pt>
          <cx:pt idx="28">0.94999999999999996</cx:pt>
          <cx:pt idx="29">0.80000000000000004</cx:pt>
          <cx:pt idx="30">0.94999999999999996</cx:pt>
          <cx:pt idx="31">0.99583333333333335</cx:pt>
          <cx:pt idx="32">0.99583333333333335</cx:pt>
          <cx:pt idx="33">0.90000000000000002</cx:pt>
          <cx:pt idx="34">0.94999999999999996</cx:pt>
          <cx:pt idx="35">0.94999999999999996</cx:pt>
          <cx:pt idx="36">0.84999999999999998</cx:pt>
          <cx:pt idx="37">0.94999999999999996</cx:pt>
          <cx:pt idx="38">0.90000000000000002</cx:pt>
          <cx:pt idx="39">0.94999999999999996</cx:pt>
          <cx:pt idx="40">0.90000000000000002</cx:pt>
          <cx:pt idx="41">0.97499999999999998</cx:pt>
          <cx:pt idx="42">0.97499999999999998</cx:pt>
          <cx:pt idx="43">0.94999999999999996</cx:pt>
          <cx:pt idx="44">0.90000000000000002</cx:pt>
          <cx:pt idx="45">0.94999999999999996</cx:pt>
          <cx:pt idx="46">0.94999999999999996</cx:pt>
          <cx:pt idx="47">0.94999999999999996</cx:pt>
          <cx:pt idx="48">0.99583333333333335</cx:pt>
          <cx:pt idx="49">0.80000000000000004</cx:pt>
          <cx:pt idx="50">0.90000000000000002</cx:pt>
          <cx:pt idx="51">0.92500000000000004</cx:pt>
          <cx:pt idx="52">0.94999999999999996</cx:pt>
          <cx:pt idx="53">0.90000000000000002</cx:pt>
          <cx:pt idx="54">0.99166666666666659</cx:pt>
          <cx:pt idx="55">0.94999999999999996</cx:pt>
          <cx:pt idx="56">0.94999999999999996</cx:pt>
          <cx:pt idx="57">0.80000000000000004</cx:pt>
          <cx:pt idx="58">0.90000000000000002</cx:pt>
          <cx:pt idx="59">0.5</cx:pt>
          <cx:pt idx="60">0.99583333333333335</cx:pt>
          <cx:pt idx="61">0.875</cx:pt>
          <cx:pt idx="62">0.92083333333333339</cx:pt>
          <cx:pt idx="63">0.98333333333333339</cx:pt>
          <cx:pt idx="64">0.59999999999999998</cx:pt>
          <cx:pt idx="65">0.94999999999999996</cx:pt>
          <cx:pt idx="66">0.99583333333333335</cx:pt>
          <cx:pt idx="67">0.69999999999999996</cx:pt>
          <cx:pt idx="68">0.90000000000000002</cx:pt>
          <cx:pt idx="69">0.97499999999999998</cx:pt>
          <cx:pt idx="70">0.90000000000000002</cx:pt>
          <cx:pt idx="71">0.90000000000000002</cx:pt>
          <cx:pt idx="72">0.80000000000000004</cx:pt>
          <cx:pt idx="73">0.94999999999999996</cx:pt>
          <cx:pt idx="74">0.99583333333333335</cx:pt>
          <cx:pt idx="75">0.94999999999999996</cx:pt>
          <cx:pt idx="76">0.95416666666666661</cx:pt>
          <cx:pt idx="77">0.94999999999999996</cx:pt>
          <cx:pt idx="78">0.90000000000000002</cx:pt>
          <cx:pt idx="79">0.75</cx:pt>
          <cx:pt idx="80">0.94999999999999996</cx:pt>
          <cx:pt idx="81">0.84999999999999998</cx:pt>
          <cx:pt idx="82">0.99583333333333335</cx:pt>
          <cx:pt idx="83">0.94999999999999996</cx:pt>
          <cx:pt idx="84">0.90000000000000002</cx:pt>
          <cx:pt idx="85">0.94999999999999996</cx:pt>
          <cx:pt idx="86">0.99583333333333335</cx:pt>
          <cx:pt idx="87">0.99583333333333335</cx:pt>
          <cx:pt idx="88">0.99583333333333335</cx:pt>
          <cx:pt idx="89">0.99583333333333335</cx:pt>
          <cx:pt idx="90">0.99583333333333335</cx:pt>
          <cx:pt idx="91">0.99583333333333335</cx:pt>
          <cx:pt idx="92">0.99583333333333335</cx:pt>
          <cx:pt idx="93">0.99583333333333335</cx:pt>
          <cx:pt idx="94">0.99583333333333335</cx:pt>
          <cx:pt idx="95">0.99583333333333335</cx:pt>
          <cx:pt idx="96">0.99583333333333335</cx:pt>
          <cx:pt idx="97">0.99583333333333335</cx:pt>
          <cx:pt idx="98">0.99583333333333335</cx:pt>
          <cx:pt idx="99">0.99583333333333335</cx:pt>
        </cx:lvl>
      </cx:numDim>
    </cx:data>
    <cx:data id="4">
      <cx:numDim type="val">
        <cx:f>China!$G$7:$G$106</cx:f>
        <cx:lvl ptCount="100" formatCode="0.00">
          <cx:pt idx="0">0.94999999999999996</cx:pt>
          <cx:pt idx="1">0.99583333333333335</cx:pt>
          <cx:pt idx="2">0.92083333333333339</cx:pt>
          <cx:pt idx="3">0.5</cx:pt>
          <cx:pt idx="4">0.90000000000000002</cx:pt>
          <cx:pt idx="5">0.99583333333333335</cx:pt>
          <cx:pt idx="6">0.99583333333333335</cx:pt>
          <cx:pt idx="7">0.99583333333333335</cx:pt>
          <cx:pt idx="8">0.55000000000000004</cx:pt>
          <cx:pt idx="9">0.80000000000000004</cx:pt>
          <cx:pt idx="10">0.99583333333333335</cx:pt>
          <cx:pt idx="11">0.90000000000000002</cx:pt>
          <cx:pt idx="12">0.94999999999999996</cx:pt>
          <cx:pt idx="13">0.99583333333333335</cx:pt>
          <cx:pt idx="14">0.94166666666666665</cx:pt>
          <cx:pt idx="15">0.99583333333333335</cx:pt>
          <cx:pt idx="16">0.29999999999999999</cx:pt>
          <cx:pt idx="17">0.80000000000000004</cx:pt>
          <cx:pt idx="18">0.5</cx:pt>
          <cx:pt idx="19">0.80000000000000004</cx:pt>
          <cx:pt idx="20">0.94999999999999996</cx:pt>
          <cx:pt idx="21">0.99583333333333335</cx:pt>
          <cx:pt idx="22">0.97499999999999998</cx:pt>
          <cx:pt idx="23">0.59999999999999998</cx:pt>
          <cx:pt idx="24">0.80000000000000004</cx:pt>
          <cx:pt idx="25">0.99583333333333335</cx:pt>
          <cx:pt idx="26">0.84999999999999998</cx:pt>
          <cx:pt idx="27">0.84999999999999998</cx:pt>
          <cx:pt idx="28">0.90000000000000002</cx:pt>
          <cx:pt idx="29">0.69999999999999996</cx:pt>
          <cx:pt idx="30">0.84999999999999998</cx:pt>
          <cx:pt idx="31">0.99583333333333335</cx:pt>
          <cx:pt idx="32">0.99583333333333335</cx:pt>
          <cx:pt idx="33">0.84999999999999998</cx:pt>
          <cx:pt idx="34">0.90000000000000002</cx:pt>
          <cx:pt idx="35">0.92500000000000004</cx:pt>
          <cx:pt idx="36">0.75</cx:pt>
          <cx:pt idx="37">0.84999999999999998</cx:pt>
          <cx:pt idx="38">0.69999999999999996</cx:pt>
          <cx:pt idx="39">0.90000000000000002</cx:pt>
          <cx:pt idx="40">0.90000000000000002</cx:pt>
          <cx:pt idx="41">0.94999999999999996</cx:pt>
          <cx:pt idx="42">0.96666666666666656</cx:pt>
          <cx:pt idx="43">0.92500000000000004</cx:pt>
          <cx:pt idx="44">0.875</cx:pt>
          <cx:pt idx="45">0.90000000000000002</cx:pt>
          <cx:pt idx="46">0.92500000000000004</cx:pt>
          <cx:pt idx="47">0.94999999999999996</cx:pt>
          <cx:pt idx="48">0.94999999999999996</cx:pt>
          <cx:pt idx="49">0.75</cx:pt>
          <cx:pt idx="50">0.90000000000000002</cx:pt>
          <cx:pt idx="51">0.90000000000000002</cx:pt>
          <cx:pt idx="52">0.90000000000000002</cx:pt>
          <cx:pt idx="53">0.90000000000000002</cx:pt>
          <cx:pt idx="54">0.94999999999999996</cx:pt>
          <cx:pt idx="55">0.90000000000000002</cx:pt>
          <cx:pt idx="56">0.80000000000000004</cx:pt>
          <cx:pt idx="57">0.59999999999999998</cx:pt>
          <cx:pt idx="58">0.90000000000000002</cx:pt>
          <cx:pt idx="59">0.40000000000000002</cx:pt>
          <cx:pt idx="60">0.99583333333333335</cx:pt>
          <cx:pt idx="61">0.59999999999999998</cx:pt>
          <cx:pt idx="62">0.90000000000000002</cx:pt>
          <cx:pt idx="63">0.94999999999999996</cx:pt>
          <cx:pt idx="64">0.59999999999999998</cx:pt>
          <cx:pt idx="65">0.90000000000000002</cx:pt>
          <cx:pt idx="66">0.84999999999999998</cx:pt>
          <cx:pt idx="67">0.5</cx:pt>
          <cx:pt idx="68">0.80000000000000004</cx:pt>
          <cx:pt idx="69">0.90000000000000002</cx:pt>
          <cx:pt idx="70">0.89166666666666661</cx:pt>
          <cx:pt idx="71">0.80000000000000004</cx:pt>
          <cx:pt idx="72">0.69999999999999996</cx:pt>
          <cx:pt idx="73">0.90000000000000002</cx:pt>
          <cx:pt idx="74">0.99583333333333335</cx:pt>
          <cx:pt idx="75">0.90000000000000002</cx:pt>
          <cx:pt idx="76">0.94166666666666665</cx:pt>
          <cx:pt idx="77">0.90000000000000002</cx:pt>
          <cx:pt idx="78">0.80000000000000004</cx:pt>
          <cx:pt idx="79">0.5</cx:pt>
          <cx:pt idx="80">0.92500000000000004</cx:pt>
          <cx:pt idx="81">0.84583333333333344</cx:pt>
          <cx:pt idx="82">0.90000000000000002</cx:pt>
          <cx:pt idx="83">0.94166666666666665</cx:pt>
          <cx:pt idx="84">0.84999999999999998</cx:pt>
          <cx:pt idx="85">0.80000000000000004</cx:pt>
          <cx:pt idx="86">0.90000000000000002</cx:pt>
          <cx:pt idx="87">0.94999999999999996</cx:pt>
          <cx:pt idx="88">0.99583333333333335</cx:pt>
          <cx:pt idx="89">0.94999999999999996</cx:pt>
          <cx:pt idx="90">0.99583333333333335</cx:pt>
          <cx:pt idx="91">0.84999999999999998</cx:pt>
          <cx:pt idx="92">0.99583333333333335</cx:pt>
          <cx:pt idx="93">0.99583333333333335</cx:pt>
          <cx:pt idx="94">0.80000000000000004</cx:pt>
          <cx:pt idx="95">0.99583333333333335</cx:pt>
          <cx:pt idx="96">0.94166666666666665</cx:pt>
          <cx:pt idx="97">0.99583333333333335</cx:pt>
          <cx:pt idx="98">0.99583333333333335</cx:pt>
          <cx:pt idx="99">0.99583333333333335</cx:pt>
        </cx:lvl>
      </cx:numDim>
    </cx:data>
    <cx:data id="5">
      <cx:numDim type="val">
        <cx:f>China!$H$7:$H$106</cx:f>
        <cx:lvl ptCount="100" formatCode="0.00">
          <cx:pt idx="0">0.94999999999999996</cx:pt>
          <cx:pt idx="1">0.99583333333333335</cx:pt>
          <cx:pt idx="2">0.87083333333333335</cx:pt>
          <cx:pt idx="3">0.25</cx:pt>
          <cx:pt idx="4">0.69999999999999996</cx:pt>
          <cx:pt idx="5">0.92500000000000004</cx:pt>
          <cx:pt idx="6">0.99583333333333335</cx:pt>
          <cx:pt idx="7">0.5</cx:pt>
          <cx:pt idx="8">0.5</cx:pt>
          <cx:pt idx="9">0.59999999999999998</cx:pt>
          <cx:pt idx="10">0.99583333333333335</cx:pt>
          <cx:pt idx="11">0.75</cx:pt>
          <cx:pt idx="12">0.92500000000000004</cx:pt>
          <cx:pt idx="13">0.99583333333333335</cx:pt>
          <cx:pt idx="14">0.93333333333333335</cx:pt>
          <cx:pt idx="15">0.99166666666666659</cx:pt>
          <cx:pt idx="16">0.20000000000000001</cx:pt>
          <cx:pt idx="17">0.69999999999999996</cx:pt>
          <cx:pt idx="18">0.25</cx:pt>
          <cx:pt idx="19">0.69999999999999996</cx:pt>
          <cx:pt idx="20">0.90000000000000002</cx:pt>
          <cx:pt idx="21">0.99583333333333335</cx:pt>
          <cx:pt idx="22">0.94999999999999996</cx:pt>
          <cx:pt idx="23">0.5</cx:pt>
          <cx:pt idx="24">0.59999999999999998</cx:pt>
          <cx:pt idx="25">0.99583333333333335</cx:pt>
          <cx:pt idx="26">0.80000000000000004</cx:pt>
          <cx:pt idx="27">0.75</cx:pt>
          <cx:pt idx="28">0.80000000000000004</cx:pt>
          <cx:pt idx="29">0.59999999999999998</cx:pt>
          <cx:pt idx="30">0.69999999999999996</cx:pt>
          <cx:pt idx="31">0.99583333333333335</cx:pt>
          <cx:pt idx="32">0.99583333333333335</cx:pt>
          <cx:pt idx="33">0.80000000000000004</cx:pt>
          <cx:pt idx="34">0.80000000000000004</cx:pt>
          <cx:pt idx="35">0.875</cx:pt>
          <cx:pt idx="36">0.69999999999999996</cx:pt>
          <cx:pt idx="37">0.80000000000000004</cx:pt>
          <cx:pt idx="38">0.5</cx:pt>
          <cx:pt idx="39">0.80000000000000004</cx:pt>
          <cx:pt idx="40">0.80000000000000004</cx:pt>
          <cx:pt idx="41">0.90000000000000002</cx:pt>
          <cx:pt idx="42">0.95833333333333337</cx:pt>
          <cx:pt idx="43">0.91249999999999998</cx:pt>
          <cx:pt idx="44">0.82499999999999996</cx:pt>
          <cx:pt idx="45">0.80000000000000004</cx:pt>
          <cx:pt idx="46">0.90000000000000002</cx:pt>
          <cx:pt idx="47">0.92500000000000004</cx:pt>
          <cx:pt idx="48">0.90000000000000002</cx:pt>
          <cx:pt idx="49">0.59999999999999998</cx:pt>
          <cx:pt idx="50">0.80000000000000004</cx:pt>
          <cx:pt idx="51">0.84999999999999998</cx:pt>
          <cx:pt idx="52">0.80000000000000004</cx:pt>
          <cx:pt idx="53">0.80000000000000004</cx:pt>
          <cx:pt idx="54">0.90000000000000002</cx:pt>
          <cx:pt idx="55">0.82499999999999996</cx:pt>
          <cx:pt idx="56">0.69999999999999996</cx:pt>
          <cx:pt idx="57">0.5</cx:pt>
          <cx:pt idx="58">0.84999999999999998</cx:pt>
          <cx:pt idx="59">0.25</cx:pt>
          <cx:pt idx="60">0.94999999999999996</cx:pt>
          <cx:pt idx="61">0.40000000000000002</cx:pt>
          <cx:pt idx="62">0.80000000000000004</cx:pt>
          <cx:pt idx="63">0.92083333333333339</cx:pt>
          <cx:pt idx="64">0.5</cx:pt>
          <cx:pt idx="65">0.65000000000000002</cx:pt>
          <cx:pt idx="66">0.75</cx:pt>
          <cx:pt idx="67">0.40000000000000002</cx:pt>
          <cx:pt idx="68">0.75</cx:pt>
          <cx:pt idx="69">0.59999999999999998</cx:pt>
          <cx:pt idx="70">0.86666666666666659</cx:pt>
          <cx:pt idx="71">0.75</cx:pt>
          <cx:pt idx="72">0.29999999999999999</cx:pt>
          <cx:pt idx="73">0.80000000000000004</cx:pt>
          <cx:pt idx="74">0.99583333333333335</cx:pt>
          <cx:pt idx="75">0.84999999999999998</cx:pt>
          <cx:pt idx="76">0.91666666666666663</cx:pt>
          <cx:pt idx="77">0.75</cx:pt>
          <cx:pt idx="78">0.59999999999999998</cx:pt>
          <cx:pt idx="79">0.25</cx:pt>
          <cx:pt idx="80">0.875</cx:pt>
          <cx:pt idx="81">0.83333333333333337</cx:pt>
          <cx:pt idx="82">0.75</cx:pt>
          <cx:pt idx="83">0.875</cx:pt>
          <cx:pt idx="84">0.80000000000000004</cx:pt>
          <cx:pt idx="85">0.59999999999999998</cx:pt>
          <cx:pt idx="86">0.90000000000000002</cx:pt>
          <cx:pt idx="87">0.94999999999999996</cx:pt>
          <cx:pt idx="88">1</cx:pt>
          <cx:pt idx="89">0.90000000000000002</cx:pt>
          <cx:pt idx="90">0.69999999999999996</cx:pt>
          <cx:pt idx="91">0.69999999999999996</cx:pt>
          <cx:pt idx="92">0.69999999999999996</cx:pt>
          <cx:pt idx="93">0.99583333333333335</cx:pt>
          <cx:pt idx="94">0.69999999999999996</cx:pt>
          <cx:pt idx="95">0.99583333333333335</cx:pt>
          <cx:pt idx="96">0.94999999999999996</cx:pt>
          <cx:pt idx="97">0.99583333333333335</cx:pt>
          <cx:pt idx="98">0.90000000000000002</cx:pt>
          <cx:pt idx="99">0.99583333333333335</cx:pt>
        </cx:lvl>
      </cx:numDim>
    </cx:data>
    <cx:data id="6">
      <cx:numDim type="val">
        <cx:f>China!$I$7:$I$106</cx:f>
        <cx:lvl ptCount="100" formatCode="0.00">
          <cx:pt idx="0">0.94999999999999996</cx:pt>
          <cx:pt idx="1">0.99583333333333335</cx:pt>
          <cx:pt idx="2">0.90000000000000002</cx:pt>
          <cx:pt idx="3">0.5</cx:pt>
          <cx:pt idx="4">0.90000000000000002</cx:pt>
          <cx:pt idx="5">0.99583333333333335</cx:pt>
          <cx:pt idx="6">0.99583333333333335</cx:pt>
          <cx:pt idx="7">0.99583333333333335</cx:pt>
          <cx:pt idx="8">0.55000000000000004</cx:pt>
          <cx:pt idx="9">0.80000000000000004</cx:pt>
          <cx:pt idx="10">0.99583333333333335</cx:pt>
          <cx:pt idx="11">0.90000000000000002</cx:pt>
          <cx:pt idx="12">0.93333333333333335</cx:pt>
          <cx:pt idx="13">0.99583333333333335</cx:pt>
          <cx:pt idx="14">0.94166666666666665</cx:pt>
          <cx:pt idx="15">0.99583333333333335</cx:pt>
          <cx:pt idx="16">0.25</cx:pt>
          <cx:pt idx="17">0.80000000000000004</cx:pt>
          <cx:pt idx="18">0.5</cx:pt>
          <cx:pt idx="19">0.80000000000000004</cx:pt>
          <cx:pt idx="20">0.94999999999999996</cx:pt>
          <cx:pt idx="21">0.99583333333333335</cx:pt>
          <cx:pt idx="22">0.97499999999999998</cx:pt>
          <cx:pt idx="23">0.59999999999999998</cx:pt>
          <cx:pt idx="24">0.80000000000000004</cx:pt>
          <cx:pt idx="25">0.99583333333333335</cx:pt>
          <cx:pt idx="26">0.84999999999999998</cx:pt>
          <cx:pt idx="27">0.84999999999999998</cx:pt>
          <cx:pt idx="28">0.90000000000000002</cx:pt>
          <cx:pt idx="29">0.69999999999999996</cx:pt>
          <cx:pt idx="30">0.84999999999999998</cx:pt>
          <cx:pt idx="31">0.99583333333333335</cx:pt>
          <cx:pt idx="32">0.99583333333333335</cx:pt>
          <cx:pt idx="33">0.84999999999999998</cx:pt>
          <cx:pt idx="34">0.90000000000000002</cx:pt>
          <cx:pt idx="35">0.90000000000000002</cx:pt>
          <cx:pt idx="36">0.75</cx:pt>
          <cx:pt idx="37">0.80000000000000004</cx:pt>
          <cx:pt idx="38">0.69999999999999996</cx:pt>
          <cx:pt idx="39">0.875</cx:pt>
          <cx:pt idx="40">0.90000000000000002</cx:pt>
          <cx:pt idx="41">0.94999999999999996</cx:pt>
          <cx:pt idx="42">0.97083333333333344</cx:pt>
          <cx:pt idx="43">0.92500000000000004</cx:pt>
          <cx:pt idx="44">0.84999999999999998</cx:pt>
          <cx:pt idx="45">0.90000000000000002</cx:pt>
          <cx:pt idx="46">0.92500000000000004</cx:pt>
          <cx:pt idx="47">0.94999999999999996</cx:pt>
          <cx:pt idx="48">0.94999999999999996</cx:pt>
          <cx:pt idx="49">0.75</cx:pt>
          <cx:pt idx="50">0.90000000000000002</cx:pt>
          <cx:pt idx="51">0.90000000000000002</cx:pt>
          <cx:pt idx="52">0.84999999999999998</cx:pt>
          <cx:pt idx="53">0.90000000000000002</cx:pt>
          <cx:pt idx="54">0.94999999999999996</cx:pt>
          <cx:pt idx="55">0.84999999999999998</cx:pt>
          <cx:pt idx="56">0.80000000000000004</cx:pt>
          <cx:pt idx="57">0.59999999999999998</cx:pt>
          <cx:pt idx="58">0.90000000000000002</cx:pt>
          <cx:pt idx="59">0.40000000000000002</cx:pt>
          <cx:pt idx="60">0.99583333333333335</cx:pt>
          <cx:pt idx="61">0.5</cx:pt>
          <cx:pt idx="62">0.90000000000000002</cx:pt>
          <cx:pt idx="63">0.92916666666666659</cx:pt>
          <cx:pt idx="64">0.59999999999999998</cx:pt>
          <cx:pt idx="65">0.84999999999999998</cx:pt>
          <cx:pt idx="66">0.84999999999999998</cx:pt>
          <cx:pt idx="67">0.5</cx:pt>
          <cx:pt idx="68">0.77500000000000002</cx:pt>
          <cx:pt idx="69">0.90000000000000002</cx:pt>
          <cx:pt idx="70">0.875</cx:pt>
          <cx:pt idx="71">0.80000000000000004</cx:pt>
          <cx:pt idx="72">0.69999999999999996</cx:pt>
          <cx:pt idx="73">0.90000000000000002</cx:pt>
          <cx:pt idx="74">0.99583333333333335</cx:pt>
          <cx:pt idx="75">0.90000000000000002</cx:pt>
          <cx:pt idx="76">0.9375</cx:pt>
          <cx:pt idx="77">0.84999999999999998</cx:pt>
          <cx:pt idx="78">0.80000000000000004</cx:pt>
          <cx:pt idx="79">0.40000000000000002</cx:pt>
          <cx:pt idx="80">0.90000000000000002</cx:pt>
          <cx:pt idx="81">0.84166666666666656</cx:pt>
          <cx:pt idx="82">0.90000000000000002</cx:pt>
          <cx:pt idx="83">0.90000000000000002</cx:pt>
          <cx:pt idx="84">0.84999999999999998</cx:pt>
          <cx:pt idx="85">0.80000000000000004</cx:pt>
          <cx:pt idx="86">0.90000000000000002</cx:pt>
          <cx:pt idx="87">0.94999999999999996</cx:pt>
          <cx:pt idx="88">0.99583333333333335</cx:pt>
          <cx:pt idx="89">0.94999999999999996</cx:pt>
          <cx:pt idx="90">0.99583333333333335</cx:pt>
          <cx:pt idx="91">0.80000000000000004</cx:pt>
          <cx:pt idx="92">0.99583333333333335</cx:pt>
          <cx:pt idx="93">0.99583333333333335</cx:pt>
          <cx:pt idx="94">0.80000000000000004</cx:pt>
          <cx:pt idx="95">0.99583333333333335</cx:pt>
          <cx:pt idx="96">0.94166666666666665</cx:pt>
          <cx:pt idx="97">0.99583333333333335</cx:pt>
          <cx:pt idx="98">0.99583333333333335</cx:pt>
          <cx:pt idx="99">0.99583333333333335</cx:pt>
        </cx:lvl>
      </cx:numDim>
    </cx:data>
    <cx:data id="7">
      <cx:numDim type="val">
        <cx:f>China!$J$7:$J$106</cx:f>
        <cx:lvl ptCount="100" formatCode="0.00">
          <cx:pt idx="0">0.94999999999999996</cx:pt>
          <cx:pt idx="1">0.99583333333333335</cx:pt>
          <cx:pt idx="2">0.84999999999999998</cx:pt>
          <cx:pt idx="3">0.25</cx:pt>
          <cx:pt idx="4">0.69999999999999996</cx:pt>
          <cx:pt idx="5">0.90000000000000002</cx:pt>
          <cx:pt idx="6">0.99583333333333335</cx:pt>
          <cx:pt idx="7">0.5</cx:pt>
          <cx:pt idx="8">0.5</cx:pt>
          <cx:pt idx="9">0.59999999999999998</cx:pt>
          <cx:pt idx="10">0.99583333333333335</cx:pt>
          <cx:pt idx="11">0.75</cx:pt>
          <cx:pt idx="12">0.91249999999999998</cx:pt>
          <cx:pt idx="13">0.99583333333333335</cx:pt>
          <cx:pt idx="14">0.92500000000000004</cx:pt>
          <cx:pt idx="15">0.99166666666666659</cx:pt>
          <cx:pt idx="16">0.14999999999999999</cx:pt>
          <cx:pt idx="17">0.69999999999999996</cx:pt>
          <cx:pt idx="18">0.25</cx:pt>
          <cx:pt idx="19">0.69999999999999996</cx:pt>
          <cx:pt idx="20">0.90000000000000002</cx:pt>
          <cx:pt idx="21">0.99583333333333335</cx:pt>
          <cx:pt idx="22">0.94999999999999996</cx:pt>
          <cx:pt idx="23">0.5</cx:pt>
          <cx:pt idx="24">0.59999999999999998</cx:pt>
          <cx:pt idx="25">0.99583333333333335</cx:pt>
          <cx:pt idx="26">0.80000000000000004</cx:pt>
          <cx:pt idx="27">0.75</cx:pt>
          <cx:pt idx="28">0.80000000000000004</cx:pt>
          <cx:pt idx="29">0.59999999999999998</cx:pt>
          <cx:pt idx="30">0.69999999999999996</cx:pt>
          <cx:pt idx="31">0.99583333333333335</cx:pt>
          <cx:pt idx="32">0.94999999999999996</cx:pt>
          <cx:pt idx="33">0.75</cx:pt>
          <cx:pt idx="34">0.80000000000000004</cx:pt>
          <cx:pt idx="35">0.84999999999999998</cx:pt>
          <cx:pt idx="36">0.69999999999999996</cx:pt>
          <cx:pt idx="37">0.69999999999999996</cx:pt>
          <cx:pt idx="38">0.5</cx:pt>
          <cx:pt idx="39">0.77500000000000002</cx:pt>
          <cx:pt idx="40">0.80000000000000004</cx:pt>
          <cx:pt idx="41">0.90000000000000002</cx:pt>
          <cx:pt idx="42">0.96250000000000002</cx:pt>
          <cx:pt idx="43">0.90000000000000002</cx:pt>
          <cx:pt idx="44">0.80000000000000004</cx:pt>
          <cx:pt idx="45">0.80000000000000004</cx:pt>
          <cx:pt idx="46">0.90000000000000002</cx:pt>
          <cx:pt idx="47">0.90000000000000002</cx:pt>
          <cx:pt idx="48">0.90000000000000002</cx:pt>
          <cx:pt idx="49">0.55000000000000004</cx:pt>
          <cx:pt idx="50">0.69999999999999996</cx:pt>
          <cx:pt idx="51">0.84999999999999998</cx:pt>
          <cx:pt idx="52">0.69999999999999996</cx:pt>
          <cx:pt idx="53">0.80000000000000004</cx:pt>
          <cx:pt idx="54">0.90000000000000002</cx:pt>
          <cx:pt idx="55">0.80000000000000004</cx:pt>
          <cx:pt idx="56">0.69999999999999996</cx:pt>
          <cx:pt idx="57">0.5</cx:pt>
          <cx:pt idx="58">0.84999999999999998</cx:pt>
          <cx:pt idx="59">0.25</cx:pt>
          <cx:pt idx="60">0.94999999999999996</cx:pt>
          <cx:pt idx="61">0.40000000000000002</cx:pt>
          <cx:pt idx="62">0.80000000000000004</cx:pt>
          <cx:pt idx="63">0.90000000000000002</cx:pt>
          <cx:pt idx="64">0.5</cx:pt>
          <cx:pt idx="65">0.59999999999999998</cx:pt>
          <cx:pt idx="66">0.75</cx:pt>
          <cx:pt idx="67">0.40000000000000002</cx:pt>
          <cx:pt idx="68">0.72499999999999998</cx:pt>
          <cx:pt idx="69">0.59999999999999998</cx:pt>
          <cx:pt idx="70">0.84999999999999998</cx:pt>
          <cx:pt idx="71">0.69999999999999996</cx:pt>
          <cx:pt idx="72">0.29999999999999999</cx:pt>
          <cx:pt idx="73">0.80000000000000004</cx:pt>
          <cx:pt idx="74">0.99583333333333335</cx:pt>
          <cx:pt idx="75">0.80000000000000004</cx:pt>
          <cx:pt idx="76">0.90416666666666656</cx:pt>
          <cx:pt idx="77">0.67500000000000004</cx:pt>
          <cx:pt idx="78">0.59999999999999998</cx:pt>
          <cx:pt idx="79">0.14999999999999999</cx:pt>
          <cx:pt idx="80">0.84999999999999998</cx:pt>
          <cx:pt idx="81">0.82499999999999996</cx:pt>
          <cx:pt idx="82">0.75</cx:pt>
          <cx:pt idx="83">0.84999999999999998</cx:pt>
          <cx:pt idx="84">0.80000000000000004</cx:pt>
          <cx:pt idx="85">0.59999999999999998</cx:pt>
          <cx:pt idx="86">0.90000000000000002</cx:pt>
          <cx:pt idx="87">0.94999999999999996</cx:pt>
          <cx:pt idx="88">0.99583333333333335</cx:pt>
          <cx:pt idx="89">0.90000000000000002</cx:pt>
          <cx:pt idx="90">0.69999999999999996</cx:pt>
          <cx:pt idx="91">0.59999999999999998</cx:pt>
          <cx:pt idx="92">0.69999999999999996</cx:pt>
          <cx:pt idx="93">0.99583333333333335</cx:pt>
          <cx:pt idx="94">0.69999999999999996</cx:pt>
          <cx:pt idx="95">0.99583333333333335</cx:pt>
          <cx:pt idx="96">0.94999999999999996</cx:pt>
          <cx:pt idx="97">0.99583333333333335</cx:pt>
          <cx:pt idx="98">0.90000000000000002</cx:pt>
          <cx:pt idx="99">0.99583333333333335</cx:pt>
        </cx:lvl>
      </cx:numDim>
    </cx:data>
    <cx:data id="8">
      <cx:numDim type="val">
        <cx:f>China!$K$7:$K$106</cx:f>
        <cx:lvl ptCount="100" formatCode="0.00">
          <cx:pt idx="0">0.84999999999999998</cx:pt>
          <cx:pt idx="1">0.99583333333333335</cx:pt>
          <cx:pt idx="2">0.80000000000000004</cx:pt>
          <cx:pt idx="3">0.20000000000000001</cx:pt>
          <cx:pt idx="4">0.5</cx:pt>
          <cx:pt idx="5">0.80000000000000004</cx:pt>
          <cx:pt idx="6">0.97083333333333344</cx:pt>
          <cx:pt idx="7">0.25</cx:pt>
          <cx:pt idx="8">0.40000000000000002</cx:pt>
          <cx:pt idx="9">0.5</cx:pt>
          <cx:pt idx="10">0.99583333333333335</cx:pt>
          <cx:pt idx="11">0.5</cx:pt>
          <cx:pt idx="12">0.75</cx:pt>
          <cx:pt idx="13">0.99583333333333335</cx:pt>
          <cx:pt idx="14">0.90000000000000002</cx:pt>
          <cx:pt idx="15">0.94999999999999996</cx:pt>
          <cx:pt idx="16">0</cx:pt>
          <cx:pt idx="17">0.40000000000000002</cx:pt>
          <cx:pt idx="18">0.20000000000000001</cx:pt>
          <cx:pt idx="19">0.5</cx:pt>
          <cx:pt idx="20">0.875</cx:pt>
          <cx:pt idx="21">0.99583333333333335</cx:pt>
          <cx:pt idx="22">0.92500000000000004</cx:pt>
          <cx:pt idx="23">0.40000000000000002</cx:pt>
          <cx:pt idx="24">0.40000000000000002</cx:pt>
          <cx:pt idx="25">0.99583333333333335</cx:pt>
          <cx:pt idx="26">0.69999999999999996</cx:pt>
          <cx:pt idx="27">0.5</cx:pt>
          <cx:pt idx="28">0.69999999999999996</cx:pt>
          <cx:pt idx="29">0.29999999999999999</cx:pt>
          <cx:pt idx="30">0.5</cx:pt>
          <cx:pt idx="31">0.99583333333333335</cx:pt>
          <cx:pt idx="32">0.69999999999999996</cx:pt>
          <cx:pt idx="33">0.65000000000000002</cx:pt>
          <cx:pt idx="34">0.65000000000000002</cx:pt>
          <cx:pt idx="35">0.80000000000000004</cx:pt>
          <cx:pt idx="36">0.59999999999999998</cx:pt>
          <cx:pt idx="37">0.69999999999999996</cx:pt>
          <cx:pt idx="38">0.40000000000000002</cx:pt>
          <cx:pt idx="39">0.59999999999999998</cx:pt>
          <cx:pt idx="40">0.5</cx:pt>
          <cx:pt idx="41">0.875</cx:pt>
          <cx:pt idx="42">0.94999999999999996</cx:pt>
          <cx:pt idx="43">0.84999999999999998</cx:pt>
          <cx:pt idx="44">0.69999999999999996</cx:pt>
          <cx:pt idx="45">0.59999999999999998</cx:pt>
          <cx:pt idx="46">0.80000000000000004</cx:pt>
          <cx:pt idx="47">0.84999999999999998</cx:pt>
          <cx:pt idx="48">0.90000000000000002</cx:pt>
          <cx:pt idx="49">0.40000000000000002</cx:pt>
          <cx:pt idx="50">0.5</cx:pt>
          <cx:pt idx="51">0.75</cx:pt>
          <cx:pt idx="52">0.5</cx:pt>
          <cx:pt idx="53">0.69999999999999996</cx:pt>
          <cx:pt idx="54">0.80000000000000004</cx:pt>
          <cx:pt idx="55">0.75</cx:pt>
          <cx:pt idx="56">0.59999999999999998</cx:pt>
          <cx:pt idx="57">0.40000000000000002</cx:pt>
          <cx:pt idx="58">0.75</cx:pt>
          <cx:pt idx="59">0</cx:pt>
          <cx:pt idx="60">0.75</cx:pt>
          <cx:pt idx="61">0.25</cx:pt>
          <cx:pt idx="62">0.5</cx:pt>
          <cx:pt idx="63">0.75</cx:pt>
          <cx:pt idx="64">0.5</cx:pt>
          <cx:pt idx="65">0.40000000000000002</cx:pt>
          <cx:pt idx="66">0.5</cx:pt>
          <cx:pt idx="67">0.25</cx:pt>
          <cx:pt idx="68">0.69999999999999996</cx:pt>
          <cx:pt idx="69">0.5</cx:pt>
          <cx:pt idx="70">0.80000000000000004</cx:pt>
          <cx:pt idx="71">0.59999999999999998</cx:pt>
          <cx:pt idx="72">0.29999999999999999</cx:pt>
          <cx:pt idx="73">0.5</cx:pt>
          <cx:pt idx="74">0.99583333333333335</cx:pt>
          <cx:pt idx="75">0.59999999999999998</cx:pt>
          <cx:pt idx="76">0.87916666666666665</cx:pt>
          <cx:pt idx="77">0.5</cx:pt>
          <cx:pt idx="78">0.40000000000000002</cx:pt>
          <cx:pt idx="79">0.10000000000000001</cx:pt>
          <cx:pt idx="80">0.80000000000000004</cx:pt>
          <cx:pt idx="81">0.80000000000000004</cx:pt>
          <cx:pt idx="82">0.69999999999999996</cx:pt>
          <cx:pt idx="83">0.80000000000000004</cx:pt>
          <cx:pt idx="84">0.69999999999999996</cx:pt>
          <cx:pt idx="85">0.40000000000000002</cx:pt>
          <cx:pt idx="86">0.80000000000000004</cx:pt>
          <cx:pt idx="87">0.94999999999999996</cx:pt>
          <cx:pt idx="88">0.90000000000000002</cx:pt>
          <cx:pt idx="89">0.90000000000000002</cx:pt>
          <cx:pt idx="90">0.59999999999999998</cx:pt>
          <cx:pt idx="91">0.5</cx:pt>
          <cx:pt idx="92">0.5</cx:pt>
          <cx:pt idx="93">0.99583333333333335</cx:pt>
          <cx:pt idx="94">0.5</cx:pt>
          <cx:pt idx="95">0.5</cx:pt>
          <cx:pt idx="96">0.90000000000000002</cx:pt>
          <cx:pt idx="97">0</cx:pt>
          <cx:pt idx="98">0.80000000000000004</cx:pt>
          <cx:pt idx="99">0.90000000000000002</cx:pt>
        </cx:lvl>
      </cx:numDim>
    </cx:data>
  </cx:chartData>
  <cx:chart>
    <cx:plotArea>
      <cx:plotAreaRegion>
        <cx:series layoutId="boxWhisker" uniqueId="{1F1BCB55-D260-4E1A-999C-281850C86457}">
          <cx:spPr>
            <a:solidFill>
              <a:schemeClr val="accent2">
                <a:lumMod val="60000"/>
                <a:lumOff val="40000"/>
              </a:schemeClr>
            </a:solidFill>
            <a:ln>
              <a:solidFill>
                <a:sysClr val="windowText" lastClr="000000"/>
              </a:solidFill>
            </a:ln>
          </cx:spPr>
          <cx:dataId val="0"/>
          <cx:layoutPr>
            <cx:visibility meanLine="0" meanMarker="1" nonoutliers="0" outliers="1"/>
            <cx:statistics quartileMethod="exclusive"/>
          </cx:layoutPr>
        </cx:series>
        <cx:series layoutId="boxWhisker" uniqueId="{60B1069B-FFFC-4E3B-BE08-BDA5B33A849B}">
          <cx:spPr>
            <a:solidFill>
              <a:schemeClr val="accent2">
                <a:lumMod val="20000"/>
                <a:lumOff val="80000"/>
              </a:schemeClr>
            </a:solidFill>
            <a:ln>
              <a:solidFill>
                <a:sysClr val="windowText" lastClr="000000"/>
              </a:solidFill>
            </a:ln>
          </cx:spPr>
          <cx:dataId val="1"/>
          <cx:layoutPr>
            <cx:visibility meanLine="0" meanMarker="1" nonoutliers="0" outliers="1"/>
            <cx:statistics quartileMethod="exclusive"/>
          </cx:layoutPr>
        </cx:series>
        <cx:series layoutId="boxWhisker" uniqueId="{6E5EF69D-6CD9-4840-BFF9-50DDB79A5A5B}">
          <cx:spPr>
            <a:solidFill>
              <a:schemeClr val="accent2">
                <a:lumMod val="20000"/>
                <a:lumOff val="80000"/>
              </a:schemeClr>
            </a:solidFill>
            <a:ln>
              <a:solidFill>
                <a:sysClr val="windowText" lastClr="000000"/>
              </a:solidFill>
            </a:ln>
          </cx:spPr>
          <cx:dataId val="2"/>
          <cx:layoutPr>
            <cx:visibility meanLine="0" meanMarker="1" nonoutliers="0" outliers="1"/>
            <cx:statistics quartileMethod="exclusive"/>
          </cx:layoutPr>
        </cx:series>
        <cx:series layoutId="boxWhisker" uniqueId="{1450FDD4-2F98-41FA-9D3A-9F603AF994A7}">
          <cx:spPr>
            <a:solidFill>
              <a:schemeClr val="accent5"/>
            </a:solidFill>
            <a:ln>
              <a:solidFill>
                <a:sysClr val="windowText" lastClr="000000"/>
              </a:solidFill>
            </a:ln>
          </cx:spPr>
          <cx:dataId val="3"/>
          <cx:layoutPr>
            <cx:visibility meanLine="0" meanMarker="1" nonoutliers="0" outliers="1"/>
            <cx:statistics quartileMethod="exclusive"/>
          </cx:layoutPr>
        </cx:series>
        <cx:series layoutId="boxWhisker" uniqueId="{1B2794EA-A71F-4BE2-8155-A59015045AEA}">
          <cx:spPr>
            <a:solidFill>
              <a:schemeClr val="accent1">
                <a:lumMod val="60000"/>
                <a:lumOff val="40000"/>
              </a:schemeClr>
            </a:solidFill>
            <a:ln>
              <a:solidFill>
                <a:sysClr val="windowText" lastClr="000000"/>
              </a:solidFill>
            </a:ln>
          </cx:spPr>
          <cx:dataId val="4"/>
          <cx:layoutPr>
            <cx:visibility meanLine="0" meanMarker="1" nonoutliers="0" outliers="1"/>
            <cx:statistics quartileMethod="exclusive"/>
          </cx:layoutPr>
        </cx:series>
        <cx:series layoutId="boxWhisker" uniqueId="{54BB65F6-6427-4344-AAC6-7507391C24DE}">
          <cx:spPr>
            <a:solidFill>
              <a:schemeClr val="accent1">
                <a:lumMod val="60000"/>
                <a:lumOff val="40000"/>
              </a:schemeClr>
            </a:solidFill>
            <a:ln>
              <a:solidFill>
                <a:sysClr val="windowText" lastClr="000000"/>
              </a:solidFill>
            </a:ln>
          </cx:spPr>
          <cx:dataId val="5"/>
          <cx:layoutPr>
            <cx:visibility meanLine="0" meanMarker="1" nonoutliers="0" outliers="1"/>
            <cx:statistics quartileMethod="exclusive"/>
          </cx:layoutPr>
        </cx:series>
        <cx:series layoutId="boxWhisker" uniqueId="{4AEE8F21-5A02-486C-B7D5-46532A5C3C32}">
          <cx:spPr>
            <a:solidFill>
              <a:schemeClr val="accent1">
                <a:lumMod val="20000"/>
                <a:lumOff val="80000"/>
              </a:schemeClr>
            </a:solidFill>
            <a:ln>
              <a:solidFill>
                <a:sysClr val="windowText" lastClr="000000"/>
              </a:solidFill>
            </a:ln>
          </cx:spPr>
          <cx:dataId val="6"/>
          <cx:layoutPr>
            <cx:visibility meanLine="0" meanMarker="1" nonoutliers="0" outliers="1"/>
            <cx:statistics quartileMethod="exclusive"/>
          </cx:layoutPr>
        </cx:series>
        <cx:series layoutId="boxWhisker" uniqueId="{4C2270BF-ABDB-4362-B92E-C064AF05F087}">
          <cx:spPr>
            <a:solidFill>
              <a:schemeClr val="accent1">
                <a:lumMod val="20000"/>
                <a:lumOff val="80000"/>
              </a:schemeClr>
            </a:solidFill>
            <a:ln>
              <a:solidFill>
                <a:sysClr val="windowText" lastClr="000000"/>
              </a:solidFill>
            </a:ln>
          </cx:spPr>
          <cx:dataId val="7"/>
          <cx:layoutPr>
            <cx:visibility meanLine="0" meanMarker="1" nonoutliers="0" outliers="1"/>
            <cx:statistics quartileMethod="exclusive"/>
          </cx:layoutPr>
        </cx:series>
        <cx:series layoutId="boxWhisker" uniqueId="{5FAF96B5-01E6-4924-85FB-3D7352BE727F}">
          <cx:spPr>
            <a:solidFill>
              <a:schemeClr val="accent1">
                <a:lumMod val="20000"/>
                <a:lumOff val="80000"/>
              </a:schemeClr>
            </a:solidFill>
            <a:ln>
              <a:solidFill>
                <a:sysClr val="windowText" lastClr="000000"/>
              </a:solidFill>
            </a:ln>
          </cx:spPr>
          <cx:dataId val="8"/>
          <cx:layoutPr>
            <cx:visibility meanLine="0" meanMarker="1" nonoutliers="0" outliers="1"/>
            <cx:statistics quartileMethod="exclusive"/>
          </cx:layoutPr>
        </cx:series>
      </cx:plotAreaRegion>
      <cx:axis id="0" hidden="1">
        <cx:catScaling gapWidth="1"/>
        <cx:tickLabels/>
      </cx:axis>
      <cx:axis id="1">
        <cx:valScaling max="1" min="0"/>
        <cx:majorGridlines/>
        <cx:tickLabels/>
      </cx:axis>
    </cx:plotArea>
  </cx:chart>
  <cx:spPr>
    <a:ln>
      <a:solidFill>
        <a:srgbClr val="002060"/>
      </a:solid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Adelphi Values">
      <a:dk1>
        <a:srgbClr val="4E5053"/>
      </a:dk1>
      <a:lt1>
        <a:srgbClr val="FFFFFF"/>
      </a:lt1>
      <a:dk2>
        <a:srgbClr val="4E5053"/>
      </a:dk2>
      <a:lt2>
        <a:srgbClr val="FFFFFF"/>
      </a:lt2>
      <a:accent1>
        <a:srgbClr val="4E5053"/>
      </a:accent1>
      <a:accent2>
        <a:srgbClr val="00A6CB"/>
      </a:accent2>
      <a:accent3>
        <a:srgbClr val="68B937"/>
      </a:accent3>
      <a:accent4>
        <a:srgbClr val="EF7F04"/>
      </a:accent4>
      <a:accent5>
        <a:srgbClr val="FFBB2D"/>
      </a:accent5>
      <a:accent6>
        <a:srgbClr val="00356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shade val="50000"/>
          </a:schemeClr>
        </a:lnRef>
        <a:fillRef idx="1">
          <a:schemeClr val="accent6"/>
        </a:fillRef>
        <a:effectRef idx="0">
          <a:schemeClr val="accent6"/>
        </a:effectRef>
        <a:fontRef idx="minor">
          <a:schemeClr val="lt1"/>
        </a:fontRef>
      </a:style>
    </a:sp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6B870BCC058E4FB47631D6F7D456D0" ma:contentTypeVersion="16" ma:contentTypeDescription="Create a new document." ma:contentTypeScope="" ma:versionID="88f27836fda99171d9ce282ad9ab9ff9">
  <xsd:schema xmlns:xsd="http://www.w3.org/2001/XMLSchema" xmlns:xs="http://www.w3.org/2001/XMLSchema" xmlns:p="http://schemas.microsoft.com/office/2006/metadata/properties" xmlns:ns1="http://schemas.microsoft.com/sharepoint/v3" xmlns:ns3="eace0a2a-0e67-4667-bc44-be9dcae1e0b5" xmlns:ns4="0ea6d512-f853-4845-9eaf-91a9cededa87" targetNamespace="http://schemas.microsoft.com/office/2006/metadata/properties" ma:root="true" ma:fieldsID="690f5374945b00429d4c14c61d2a1982" ns1:_="" ns3:_="" ns4:_="">
    <xsd:import namespace="http://schemas.microsoft.com/sharepoint/v3"/>
    <xsd:import namespace="eace0a2a-0e67-4667-bc44-be9dcae1e0b5"/>
    <xsd:import namespace="0ea6d512-f853-4845-9eaf-91a9cededa8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ce0a2a-0e67-4667-bc44-be9dcae1e0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a6d512-f853-4845-9eaf-91a9cededa8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A180B-9603-442C-8DCC-B527B977EEAC}">
  <ds:schemaRefs>
    <ds:schemaRef ds:uri="http://schemas.microsoft.com/sharepoint/v3/contenttype/forms"/>
  </ds:schemaRefs>
</ds:datastoreItem>
</file>

<file path=customXml/itemProps2.xml><?xml version="1.0" encoding="utf-8"?>
<ds:datastoreItem xmlns:ds="http://schemas.openxmlformats.org/officeDocument/2006/customXml" ds:itemID="{386D35AF-561D-4D96-838A-6D10F1A4C9F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878A7CE-90B4-4C41-82CB-DB1F90F2E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ce0a2a-0e67-4667-bc44-be9dcae1e0b5"/>
    <ds:schemaRef ds:uri="0ea6d512-f853-4845-9eaf-91a9ceded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F9A8BA-2653-442F-A5A3-FAA7FA2C9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5204</Words>
  <Characters>29667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adelphi</Company>
  <LinksUpToDate>false</LinksUpToDate>
  <CharactersWithSpaces>34802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Adelphi Values</dc:creator>
  <cp:lastModifiedBy>Lakshmi R.</cp:lastModifiedBy>
  <cp:revision>4</cp:revision>
  <dcterms:created xsi:type="dcterms:W3CDTF">2022-03-23T10:31:00Z</dcterms:created>
  <dcterms:modified xsi:type="dcterms:W3CDTF">2022-04-29T01:10:00Z</dcterms:modified>
  <cp:category>Confidential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0x010100EE6B870BCC058E4FB47631D6F7D456D0</vt:lpwstr>
  </property>
</Properties>
</file>