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78B07" w14:textId="3F087900" w:rsidR="00147F7A" w:rsidRPr="00573080" w:rsidRDefault="00172403">
      <w:pPr>
        <w:pStyle w:val="Heading1"/>
        <w:rPr>
          <w:rFonts w:ascii="Times New Roman" w:hAnsi="Times New Roman" w:cs="Times New Roman"/>
          <w:b/>
          <w:bCs/>
          <w:color w:val="auto"/>
          <w:lang w:val="en-GB"/>
        </w:rPr>
      </w:pPr>
      <w:r>
        <w:rPr>
          <w:rFonts w:ascii="Times New Roman" w:hAnsi="Times New Roman" w:cs="Times New Roman"/>
          <w:b/>
          <w:bCs/>
          <w:color w:val="auto"/>
          <w:lang w:val="en-GB"/>
        </w:rPr>
        <w:t>Appendix 1</w:t>
      </w:r>
    </w:p>
    <w:p w14:paraId="0AF96D41" w14:textId="77777777" w:rsidR="00906CD5" w:rsidRDefault="00906CD5">
      <w:pPr>
        <w:keepNext/>
        <w:pBdr>
          <w:top w:val="nil"/>
          <w:left w:val="nil"/>
          <w:bottom w:val="nil"/>
          <w:right w:val="nil"/>
          <w:between w:val="nil"/>
        </w:pBdr>
        <w:spacing w:after="0" w:line="240" w:lineRule="auto"/>
        <w:rPr>
          <w:rFonts w:ascii="Times New Roman" w:hAnsi="Times New Roman" w:cs="Times New Roman"/>
          <w:b/>
        </w:rPr>
      </w:pPr>
    </w:p>
    <w:p w14:paraId="544A41EC" w14:textId="67C0DEB8" w:rsidR="00147F7A" w:rsidRPr="00573080" w:rsidRDefault="00DD486F">
      <w:pPr>
        <w:keepNext/>
        <w:pBdr>
          <w:top w:val="nil"/>
          <w:left w:val="nil"/>
          <w:bottom w:val="nil"/>
          <w:right w:val="nil"/>
          <w:between w:val="nil"/>
        </w:pBdr>
        <w:spacing w:after="0" w:line="240" w:lineRule="auto"/>
        <w:rPr>
          <w:rFonts w:ascii="Times New Roman" w:hAnsi="Times New Roman" w:cs="Times New Roman"/>
          <w:b/>
          <w:sz w:val="18"/>
          <w:szCs w:val="18"/>
        </w:rPr>
      </w:pPr>
      <w:r w:rsidRPr="00573080">
        <w:rPr>
          <w:rFonts w:ascii="Times New Roman" w:hAnsi="Times New Roman" w:cs="Times New Roman"/>
          <w:b/>
          <w:sz w:val="18"/>
          <w:szCs w:val="18"/>
        </w:rPr>
        <w:t>Table S1. Overview of the model assumptions made for the base case analysis</w:t>
      </w:r>
      <w:r w:rsidR="00564153">
        <w:rPr>
          <w:rFonts w:ascii="Times New Roman" w:hAnsi="Times New Roman" w:cs="Times New Roman"/>
          <w:b/>
          <w:sz w:val="18"/>
          <w:szCs w:val="18"/>
        </w:rPr>
        <w:t xml:space="preserve"> [1</w:t>
      </w:r>
      <w:r w:rsidR="00DE3612">
        <w:rPr>
          <w:rFonts w:ascii="Times New Roman" w:hAnsi="Times New Roman" w:cs="Times New Roman"/>
          <w:b/>
          <w:sz w:val="18"/>
          <w:szCs w:val="18"/>
        </w:rPr>
        <w:t>-7]</w:t>
      </w:r>
    </w:p>
    <w:tbl>
      <w:tblPr>
        <w:tblStyle w:val="a"/>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47"/>
        <w:gridCol w:w="3581"/>
        <w:gridCol w:w="4988"/>
      </w:tblGrid>
      <w:tr w:rsidR="00147F7A" w:rsidRPr="00573080" w14:paraId="34AC34D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dxa"/>
          </w:tcPr>
          <w:p w14:paraId="3FCFD865" w14:textId="77777777" w:rsidR="00147F7A" w:rsidRPr="00573080" w:rsidRDefault="00147F7A">
            <w:pPr>
              <w:rPr>
                <w:rFonts w:ascii="Times New Roman" w:eastAsia="Times New Roman" w:hAnsi="Times New Roman" w:cs="Times New Roman"/>
              </w:rPr>
            </w:pPr>
          </w:p>
        </w:tc>
        <w:tc>
          <w:tcPr>
            <w:tcW w:w="3581" w:type="dxa"/>
          </w:tcPr>
          <w:p w14:paraId="23AD767B" w14:textId="77777777" w:rsidR="00147F7A" w:rsidRPr="00573080" w:rsidRDefault="00DD486F">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Assumption</w:t>
            </w:r>
          </w:p>
        </w:tc>
        <w:tc>
          <w:tcPr>
            <w:tcW w:w="4988" w:type="dxa"/>
          </w:tcPr>
          <w:p w14:paraId="50A713B7" w14:textId="77777777" w:rsidR="00147F7A" w:rsidRPr="00573080" w:rsidRDefault="00DD486F">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Source</w:t>
            </w:r>
          </w:p>
        </w:tc>
      </w:tr>
      <w:tr w:rsidR="00147F7A" w:rsidRPr="00573080" w14:paraId="2D2B24B4" w14:textId="77777777" w:rsidTr="00147F7A">
        <w:trPr>
          <w:cnfStyle w:val="000000100000" w:firstRow="0" w:lastRow="0" w:firstColumn="0" w:lastColumn="0" w:oddVBand="0" w:evenVBand="0" w:oddHBand="1" w:evenHBand="0" w:firstRowFirstColumn="0" w:firstRowLastColumn="0" w:lastRowFirstColumn="0" w:lastRowLastColumn="0"/>
          <w:trHeight w:val="2961"/>
        </w:trPr>
        <w:tc>
          <w:tcPr>
            <w:cnfStyle w:val="001000000000" w:firstRow="0" w:lastRow="0" w:firstColumn="1" w:lastColumn="0" w:oddVBand="0" w:evenVBand="0" w:oddHBand="0" w:evenHBand="0" w:firstRowFirstColumn="0" w:firstRowLastColumn="0" w:lastRowFirstColumn="0" w:lastRowLastColumn="0"/>
            <w:tcW w:w="447" w:type="dxa"/>
          </w:tcPr>
          <w:p w14:paraId="4D72E787"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1.</w:t>
            </w:r>
          </w:p>
        </w:tc>
        <w:tc>
          <w:tcPr>
            <w:tcW w:w="3581" w:type="dxa"/>
          </w:tcPr>
          <w:p w14:paraId="4C290953"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In the base case analysis, no patients started at baseline in cohort 3 (eculizumab experienced and up-dosed).</w:t>
            </w:r>
          </w:p>
        </w:tc>
        <w:tc>
          <w:tcPr>
            <w:tcW w:w="4988" w:type="dxa"/>
          </w:tcPr>
          <w:p w14:paraId="5D57827A" w14:textId="6AC418A4"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This assumption was made given that comparatively less evidence was available on switching eculizumab up-dosed patients to ravulizumab to inform cohort 3 outcomes. However, data from patients who experienced IncC5Inhib BTH while receiving eculizumab in the first 26 weeks of clinical studies 301 and 302 then switched to ravulizumab between week 26 and 52 reflect that no IncC5Inhib BTH was experienced while receiving ravulizumab </w:t>
            </w:r>
            <w:r w:rsidR="00564153">
              <w:rPr>
                <w:rFonts w:ascii="Times New Roman" w:hAnsi="Times New Roman" w:cs="Times New Roman"/>
                <w:color w:val="000000"/>
                <w:sz w:val="18"/>
                <w:szCs w:val="18"/>
              </w:rPr>
              <w:t xml:space="preserve"> </w:t>
            </w:r>
            <w:r w:rsidR="00564153">
              <w:rPr>
                <w:rFonts w:ascii="Times New Roman" w:hAnsi="Times New Roman" w:cs="Times New Roman"/>
                <w:color w:val="000000"/>
                <w:sz w:val="18"/>
                <w:szCs w:val="18"/>
              </w:rPr>
              <w:fldChar w:fldCharType="begin" w:fldLock="1"/>
            </w:r>
            <w:r w:rsidR="00DE361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564153">
              <w:rPr>
                <w:rFonts w:ascii="Times New Roman" w:hAnsi="Times New Roman" w:cs="Times New Roman"/>
                <w:color w:val="000000"/>
                <w:sz w:val="18"/>
                <w:szCs w:val="18"/>
              </w:rPr>
              <w:fldChar w:fldCharType="separate"/>
            </w:r>
            <w:r w:rsidR="00564153" w:rsidRPr="00564153">
              <w:rPr>
                <w:rFonts w:ascii="Times New Roman" w:hAnsi="Times New Roman" w:cs="Times New Roman"/>
                <w:noProof/>
                <w:color w:val="000000"/>
                <w:sz w:val="18"/>
                <w:szCs w:val="18"/>
              </w:rPr>
              <w:t>[1, 2]</w:t>
            </w:r>
            <w:r w:rsidR="00564153">
              <w:rPr>
                <w:rFonts w:ascii="Times New Roman" w:hAnsi="Times New Roman" w:cs="Times New Roman"/>
                <w:color w:val="000000"/>
                <w:sz w:val="18"/>
                <w:szCs w:val="18"/>
              </w:rPr>
              <w:fldChar w:fldCharType="end"/>
            </w:r>
            <w:r w:rsidRPr="00573080">
              <w:rPr>
                <w:rFonts w:ascii="Times New Roman" w:hAnsi="Times New Roman" w:cs="Times New Roman"/>
                <w:sz w:val="18"/>
                <w:szCs w:val="18"/>
              </w:rPr>
              <w:t xml:space="preserve">. </w:t>
            </w:r>
          </w:p>
          <w:p w14:paraId="01356D8C" w14:textId="77777777" w:rsidR="00147F7A" w:rsidRPr="00573080" w:rsidRDefault="00147F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79B8448F" w14:textId="13B58503"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Consequently, given their shared history of eculizumab therapy, patients in cohort 3 were assumed to experience the same outcomes as cohort 2 patients, with the exception of IncC5Inhib BTH events. Model results for cohort 3 were tested as a scenario analysis</w:t>
            </w:r>
            <w:r w:rsidR="00DE3612">
              <w:rPr>
                <w:rFonts w:ascii="Times New Roman" w:hAnsi="Times New Roman" w:cs="Times New Roman"/>
                <w:sz w:val="18"/>
                <w:szCs w:val="18"/>
              </w:rPr>
              <w:t xml:space="preserve">. </w:t>
            </w:r>
          </w:p>
        </w:tc>
        <w:bookmarkStart w:id="0" w:name="_GoBack"/>
        <w:bookmarkEnd w:id="0"/>
      </w:tr>
      <w:tr w:rsidR="00147F7A" w:rsidRPr="00573080" w14:paraId="3C3FCB41" w14:textId="77777777" w:rsidTr="00147F7A">
        <w:trPr>
          <w:trHeight w:val="892"/>
        </w:trPr>
        <w:tc>
          <w:tcPr>
            <w:cnfStyle w:val="001000000000" w:firstRow="0" w:lastRow="0" w:firstColumn="1" w:lastColumn="0" w:oddVBand="0" w:evenVBand="0" w:oddHBand="0" w:evenHBand="0" w:firstRowFirstColumn="0" w:firstRowLastColumn="0" w:lastRowFirstColumn="0" w:lastRowLastColumn="0"/>
            <w:tcW w:w="447" w:type="dxa"/>
          </w:tcPr>
          <w:p w14:paraId="6B2BCB0E"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2.</w:t>
            </w:r>
          </w:p>
        </w:tc>
        <w:tc>
          <w:tcPr>
            <w:tcW w:w="3581" w:type="dxa"/>
          </w:tcPr>
          <w:p w14:paraId="0A19C4BC"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After 26 weeks from baseline, patients in cohort 1 who had not yet experienced IncC5Inhib BTH faced the IncC5Inhib BTH risk of patients in study 302.</w:t>
            </w:r>
          </w:p>
        </w:tc>
        <w:tc>
          <w:tcPr>
            <w:tcW w:w="4988" w:type="dxa"/>
          </w:tcPr>
          <w:p w14:paraId="199D2276" w14:textId="2347A90C"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This was consistent with the change in profile of patients in cohort 1 by 26 weeks from baseline, as patients recruited for study Patients in study 302 had been stable on treatment with eculizumab for at least 6 months prior to the start of the study </w:t>
            </w:r>
            <w:r w:rsidR="00DE3612">
              <w:rPr>
                <w:rFonts w:ascii="Times New Roman" w:hAnsi="Times New Roman" w:cs="Times New Roman"/>
                <w:sz w:val="18"/>
                <w:szCs w:val="18"/>
              </w:rPr>
              <w:fldChar w:fldCharType="begin" w:fldLock="1"/>
            </w:r>
            <w:r w:rsidR="00DE3612">
              <w:rPr>
                <w:rFonts w:ascii="Times New Roman" w:hAnsi="Times New Roman" w:cs="Times New Roman"/>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DE3612">
              <w:rPr>
                <w:rFonts w:ascii="Times New Roman" w:hAnsi="Times New Roman" w:cs="Times New Roman"/>
                <w:sz w:val="18"/>
                <w:szCs w:val="18"/>
              </w:rPr>
              <w:fldChar w:fldCharType="separate"/>
            </w:r>
            <w:r w:rsidR="00DE3612" w:rsidRPr="00DE3612">
              <w:rPr>
                <w:rFonts w:ascii="Times New Roman" w:hAnsi="Times New Roman" w:cs="Times New Roman"/>
                <w:noProof/>
                <w:sz w:val="18"/>
                <w:szCs w:val="18"/>
              </w:rPr>
              <w:t>[2]</w:t>
            </w:r>
            <w:r w:rsidR="00DE3612">
              <w:rPr>
                <w:rFonts w:ascii="Times New Roman" w:hAnsi="Times New Roman" w:cs="Times New Roman"/>
                <w:sz w:val="18"/>
                <w:szCs w:val="18"/>
              </w:rPr>
              <w:fldChar w:fldCharType="end"/>
            </w:r>
            <w:r w:rsidRPr="00573080">
              <w:rPr>
                <w:rFonts w:ascii="Times New Roman" w:hAnsi="Times New Roman" w:cs="Times New Roman"/>
                <w:sz w:val="18"/>
                <w:szCs w:val="18"/>
              </w:rPr>
              <w:t>.</w:t>
            </w:r>
          </w:p>
        </w:tc>
      </w:tr>
      <w:tr w:rsidR="00147F7A" w:rsidRPr="00573080" w14:paraId="132BE4FA" w14:textId="77777777" w:rsidTr="00147F7A">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447" w:type="dxa"/>
          </w:tcPr>
          <w:p w14:paraId="766553E7"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3.</w:t>
            </w:r>
          </w:p>
        </w:tc>
        <w:tc>
          <w:tcPr>
            <w:tcW w:w="3581" w:type="dxa"/>
          </w:tcPr>
          <w:p w14:paraId="2850B636"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For the duration of IncC5Inhib BTH events it was assumed that symptoms were experienced for two days out of a fourteen-day cycle.</w:t>
            </w:r>
          </w:p>
        </w:tc>
        <w:tc>
          <w:tcPr>
            <w:tcW w:w="4988" w:type="dxa"/>
          </w:tcPr>
          <w:p w14:paraId="3B6B01AC" w14:textId="1B934A7B"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This was based on the findings from Kelly (2008) and Brodsky (2014) </w:t>
            </w:r>
            <w:r w:rsidR="00DE3612">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{"citationItems":[{"id":"ITEM-1","itemData":{"DOI":"10.1182/blood.v112.11.3441.3441","ISSN":"0006-4971","abstract":"Paroxysmal nocturnal hemoglobinuria (PNH) is characterized by a lack of the terminal complement inhibitor CD59 on erythrocytes that renders these cells susceptible to chronic hemolysis. Eculizumab blocks terminal complement resulting in reductions in hemolysis, thrombotic events, renal impairment and transfusion requirement, as well as improvement in quality of life. The standard dosing regimen for eculizumab is 600 mg/week for 4 weeks (induction); 900 mg one week later; and then 900 mg every 14 ± 2 days (maintenance). This regimen maintains eculizumab levels &gt;35 μg/mL, which is sufficient to completely and consistently block complement-mediated hemolysis in patients with PNH. In PNH clinical trials, 900 mg of eculizumab every 14 ± 2 days effectively and consistently blocked complement-mediated hemolysis in 98% of patients (n=195). During the studies, 10–15% of patients experienced an increase in hemolysis (elevation of LDH) near the end of the 14-day dosing interval with a return of pre-eculizumab symptoms such as hemoglobinuria, dysphagia, abdominal pain, or fatigue. The dosing interval was reduced to 12 days, as specified by label, resulting in sustained complement blockade, control of hemolysis and resolution of symptoms in nearly all patients. Three of the original 195 patients (2%) were not consistently blocked with the approved dosing regimen. Alternative eculizumab dosing regimens were investigated in these patients to assess their effectiveness and safety. Two different dosing regimens were employed; both included a maintenance phase with 1200 mg every 14 days. One regimen also included an induction period of 900 mg weekly for 5 doses. LDH, pharmacokinetics (PK), and clinical signs of complement breakthrough were monitored. The time from first eculizumab treatment to initial breakthrough on the 900 mg every 14 days ranged from 2 to 19 mo., and the reduction in the dosing interval to 900 mg every 12 days, as specified in the label, did not adequately control hemolysis in each of these 4 patients. Patient 1 was managed for 6 mo. with 900 mg every 12 days before experiencing additional complement breakthrough episodes (Figure, panel A). LDH levels (closed diamonds) reached 9234 U/L (ULN, 430-450 U/L) and breakthrough symptoms occurred 2 days prior to the next dose. The patient was re-induced with 900 mg eculizumab every 7 days for 5 weeks followed by 1200 mg every 14 days. Trough levels of eculizumab increased (open circles) each week during the i…","author":[{"dropping-particle":"","family":"Kelly","given":"Richard","non-dropping-particle":"","parse-names":false,"suffix":""},{"dropping-particle":"","family":"Arnold","given":"Louise","non-dropping-particle":"","parse-names":false,"suffix":""},{"dropping-particle":"","family":"Richards","given":"Stephen","non-dropping-particle":"","parse-names":false,"suffix":""},{"dropping-particle":"","family":"Hill","given":"Anita","non-dropping-particle":"","parse-names":false,"suffix":""},{"dropping-particle":"","family":"vanBijnen","given":"Sandra","non-dropping-particle":"","parse-names":false,"suffix":""},{"dropping-particle":"","family":"Muus","given":"Petra","non-dropping-particle":"","parse-names":false,"suffix":""},{"dropping-particle":"","family":"Dorr","given":"Donna","non-dropping-particle":"","parse-names":false,"suffix":""},{"dropping-particle":"","family":"Brodsky","given":"Robert","non-dropping-particle":"","parse-names":false,"suffix":""},{"dropping-particle":"","family":"Khursigara","given":"Gus","non-dropping-particle":"","parse-names":false,"suffix":""},{"dropping-particle":"","family":"Rother","given":"Russell P.","non-dropping-particle":"","parse-names":false,"suffix":""},{"dropping-particle":"","family":"Hillmen","given":"Peter","non-dropping-particle":"","parse-names":false,"suffix":""}],"container-title":"Blood","id":"ITEM-1","issue":"11","issued":{"date-parts":[["2008","11"]]},"page":"3441-3441","publisher":"American Society of Hematology","title":"Modification of the Eculizumab Dose to Successfully Manage Intravascular Breakthrough Hemolysis in Patients with Paroxysmal Nocturnal Hemoglobinuria.","type":"article-journal","volume":"112"},"uris":["http://www.mendeley.com/documents/?uuid=d16a14e7-9615-4e15-9439-e11c6efe9d8f"]},{"id":"ITEM-2","itemData":{"DOI":"10.1182/blood-2014-02-522128","ISSN":"15280020","PMID":"25237200","abstract":"Paroxysmal nocturnal hemoglobinuria (PNH) is a rare bone marrow failure disorder that manifests with hemolytic anemia, thrombosis, and peripheral blood cytope-nias. The absence of two glycosylphos-phatidylinositol (GPI)-anchored proteins, CD55 and CD59, leads to uncontrolled complement activation that accounts for hemolysis and other PNH manifestations. GPI anchor protein deficiency is almost always due to somatic mutations in phos-phatidylinositol glycan class A (PIGA), a gene involved in the first step of GPI anchor biosynthesis; however, alternative mutations that cause PNH have recently beendiscovered. Inaddition, hypomorphic germ-line PIGA mutations that do not cause PNH have been shown to be responsible for a condition known as multiple congenital anomalies-hypotonia-seizures syndrome 2. Eculizumab, a first-in-class monoclonal antibody that inhibits terminal complement, is the treatment of choice for patients with severe manifestations of PNH. Bone marrow transplantation remains the only cure for PNH but should be reserved for patients with suboptimal response to eculizumab.","author":[{"dropping-particle":"","family":"Brodsky","given":"Robert A.","non-dropping-particle":"","parse-names":false,"suffix":""}],"container-title":"Blood","id":"ITEM-2","issue":"18","issued":{"date-parts":[["2014","10"]]},"page":"2804-2811","publisher":"American Society of Hematology","title":"Paroxysmal nocturnal hemoglobinuria","type":"article-journal","volume":"124"},"uris":["http://www.mendeley.com/documents/?uuid=9d9729b9-82b1-4375-b156-ac7a910c113a"]}],"mendeley":{"formattedCitation":"[3, 4]","plainTextFormattedCitation":"[3, 4]","previouslyFormattedCitation":"[3, 4]"},"properties":{"noteIndex":0},"schema":"https://github.com/citation-style-language/schema/raw/master/csl-citation.json"}</w:instrText>
            </w:r>
            <w:r w:rsidR="00DE3612">
              <w:rPr>
                <w:rFonts w:ascii="Times New Roman" w:hAnsi="Times New Roman" w:cs="Times New Roman"/>
                <w:sz w:val="18"/>
                <w:szCs w:val="18"/>
              </w:rPr>
              <w:fldChar w:fldCharType="separate"/>
            </w:r>
            <w:r w:rsidR="004F0891" w:rsidRPr="004F0891">
              <w:rPr>
                <w:rFonts w:ascii="Times New Roman" w:hAnsi="Times New Roman" w:cs="Times New Roman"/>
                <w:noProof/>
                <w:sz w:val="18"/>
                <w:szCs w:val="18"/>
              </w:rPr>
              <w:t>[3, 4]</w:t>
            </w:r>
            <w:r w:rsidR="00DE3612">
              <w:rPr>
                <w:rFonts w:ascii="Times New Roman" w:hAnsi="Times New Roman" w:cs="Times New Roman"/>
                <w:sz w:val="18"/>
                <w:szCs w:val="18"/>
              </w:rPr>
              <w:fldChar w:fldCharType="end"/>
            </w:r>
            <w:r w:rsidRPr="00573080">
              <w:rPr>
                <w:rFonts w:ascii="Times New Roman" w:hAnsi="Times New Roman" w:cs="Times New Roman"/>
                <w:sz w:val="18"/>
                <w:szCs w:val="18"/>
              </w:rPr>
              <w:t xml:space="preserve">. </w:t>
            </w:r>
          </w:p>
        </w:tc>
      </w:tr>
      <w:tr w:rsidR="00147F7A" w:rsidRPr="00573080" w14:paraId="2BD9199D" w14:textId="77777777" w:rsidTr="00147F7A">
        <w:trPr>
          <w:trHeight w:val="1171"/>
        </w:trPr>
        <w:tc>
          <w:tcPr>
            <w:cnfStyle w:val="001000000000" w:firstRow="0" w:lastRow="0" w:firstColumn="1" w:lastColumn="0" w:oddVBand="0" w:evenVBand="0" w:oddHBand="0" w:evenHBand="0" w:firstRowFirstColumn="0" w:firstRowLastColumn="0" w:lastRowFirstColumn="0" w:lastRowLastColumn="0"/>
            <w:tcW w:w="447" w:type="dxa"/>
          </w:tcPr>
          <w:p w14:paraId="15FBF4DC"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4.</w:t>
            </w:r>
          </w:p>
        </w:tc>
        <w:tc>
          <w:tcPr>
            <w:tcW w:w="3581" w:type="dxa"/>
          </w:tcPr>
          <w:p w14:paraId="7DED4B93"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BTH events reported as having ’undetermined’ cause in clinical studies 301 and 302 were assumed to represent CAC BTH events and treated as such in the CUA.</w:t>
            </w:r>
          </w:p>
        </w:tc>
        <w:tc>
          <w:tcPr>
            <w:tcW w:w="4988" w:type="dxa"/>
          </w:tcPr>
          <w:p w14:paraId="13793453" w14:textId="0CE4AF69"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In data collected as part of the 301 and 302 studies, ’undetermined’ BTH events could be confirmed to not have elevated free-C5 levels but did not report a concomitant CAC </w:t>
            </w:r>
            <w:r w:rsidR="00DE3612">
              <w:rPr>
                <w:rFonts w:ascii="Times New Roman" w:hAnsi="Times New Roman" w:cs="Times New Roman"/>
                <w:color w:val="000000"/>
                <w:sz w:val="18"/>
                <w:szCs w:val="18"/>
              </w:rPr>
              <w:fldChar w:fldCharType="begin" w:fldLock="1"/>
            </w:r>
            <w:r w:rsidR="00DE361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DE3612">
              <w:rPr>
                <w:rFonts w:ascii="Times New Roman" w:hAnsi="Times New Roman" w:cs="Times New Roman"/>
                <w:color w:val="000000"/>
                <w:sz w:val="18"/>
                <w:szCs w:val="18"/>
              </w:rPr>
              <w:fldChar w:fldCharType="separate"/>
            </w:r>
            <w:r w:rsidR="00DE3612" w:rsidRPr="00564153">
              <w:rPr>
                <w:rFonts w:ascii="Times New Roman" w:hAnsi="Times New Roman" w:cs="Times New Roman"/>
                <w:noProof/>
                <w:color w:val="000000"/>
                <w:sz w:val="18"/>
                <w:szCs w:val="18"/>
              </w:rPr>
              <w:t>[1, 2]</w:t>
            </w:r>
            <w:r w:rsidR="00DE3612">
              <w:rPr>
                <w:rFonts w:ascii="Times New Roman" w:hAnsi="Times New Roman" w:cs="Times New Roman"/>
                <w:color w:val="000000"/>
                <w:sz w:val="18"/>
                <w:szCs w:val="18"/>
              </w:rPr>
              <w:fldChar w:fldCharType="end"/>
            </w:r>
            <w:r w:rsidRPr="00573080">
              <w:rPr>
                <w:rFonts w:ascii="Times New Roman" w:hAnsi="Times New Roman" w:cs="Times New Roman"/>
                <w:sz w:val="18"/>
                <w:szCs w:val="18"/>
              </w:rPr>
              <w:t>. Therefore, clinical experts were confident that these events were not IncC5Inhib BTH events; however, experts indicated that it was possible that the etiology of the BTH event was not adequately captured, so a CAC-related cause could not be precluded.</w:t>
            </w:r>
          </w:p>
        </w:tc>
      </w:tr>
      <w:tr w:rsidR="00147F7A" w:rsidRPr="00573080" w14:paraId="51FF38B3" w14:textId="77777777" w:rsidTr="00147F7A">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447" w:type="dxa"/>
          </w:tcPr>
          <w:p w14:paraId="42B85E1F"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5.</w:t>
            </w:r>
          </w:p>
        </w:tc>
        <w:tc>
          <w:tcPr>
            <w:tcW w:w="3581" w:type="dxa"/>
          </w:tcPr>
          <w:p w14:paraId="35FFAD0B"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bookmarkStart w:id="1" w:name="_heading=h.gjdgxs" w:colFirst="0" w:colLast="0"/>
            <w:bookmarkEnd w:id="1"/>
            <w:r w:rsidRPr="00573080">
              <w:rPr>
                <w:rFonts w:ascii="Times New Roman" w:hAnsi="Times New Roman" w:cs="Times New Roman"/>
                <w:sz w:val="18"/>
                <w:szCs w:val="18"/>
              </w:rPr>
              <w:t>In the base-case analysis of the CUA it was assumed that IncC5Inhib BTH events were treated with continuous up-dosing after the second event, while CAC BTH events were not treated with up-dosing.</w:t>
            </w:r>
          </w:p>
        </w:tc>
        <w:tc>
          <w:tcPr>
            <w:tcW w:w="4988" w:type="dxa"/>
          </w:tcPr>
          <w:p w14:paraId="2C9E5A69" w14:textId="3681A66D"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Based on the treatment recommendations from the Dutch PNH </w:t>
            </w:r>
            <w:r w:rsidRPr="00CE3BB8">
              <w:rPr>
                <w:rFonts w:ascii="Times New Roman" w:hAnsi="Times New Roman" w:cs="Times New Roman"/>
                <w:sz w:val="18"/>
                <w:szCs w:val="18"/>
              </w:rPr>
              <w:t>guideline</w:t>
            </w:r>
            <w:r w:rsidR="00CE3BB8" w:rsidRPr="00CE3BB8">
              <w:rPr>
                <w:rFonts w:ascii="Times New Roman" w:hAnsi="Times New Roman" w:cs="Times New Roman"/>
                <w:sz w:val="18"/>
                <w:szCs w:val="18"/>
              </w:rPr>
              <w:t xml:space="preserve"> </w:t>
            </w:r>
            <w:r w:rsidR="00CE3BB8" w:rsidRPr="00CE3BB8">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author":[{"dropping-particle":"","family":"Muus","given":"Petra","non-dropping-particle":"","parse-names":false,"suffix":""},{"dropping-particle":"","family":"Langemeijer","given":"Saskia","non-dropping-particle":"","parse-names":false,"suffix":""},{"dropping-particle":"","family":"Halkes","given":"Stijn","non-dropping-particle":"","parse-names":false,"suffix":""},{"dropping-particle":"","family":"Zeerleder","given":"Sacha","non-dropping-particle":"","parse-names":false,"suffix":""},{"dropping-particle":"","family":"Schouten","given":"Harry","non-dropping-particle":"","parse-names":false,"suffix":""},{"dropping-particle":"","family":"Boekhorst te","given":"Peter","non-dropping-particle":"","parse-names":false,"suffix":""},{"dropping-particle":"","family":"Span","given":"Bart","non-dropping-particle":"","parse-names":false,"suffix":""},{"dropping-particle":"","family":"Witte de","given":"Moniek","non-dropping-particle":"","parse-names":false,"suffix":""},{"dropping-particle":"","family":"Bartels","given":"Marije","non-dropping-particle":"","parse-names":false,"suffix":""},{"dropping-particle":"","family":"Jansen","given":"Angeline","non-dropping-particle":"","parse-names":false,"suffix":""},{"dropping-particle":"","family":"Stiene","given":"Andrea","non-dropping-particle":"","parse-names":false,"suffix":""},{"dropping-particle":"","family":"Preijers","given":"Frank","non-dropping-particle":"","parse-names":false,"suffix":""},{"dropping-particle":"","family":"Pampus van","given":"Lizzy","non-dropping-particle":"","parse-names":false,"suffix":""},{"dropping-particle":"","family":"Evers","given":"Dorothea","non-dropping-particle":"","parse-names":false,"suffix":""},{"dropping-particle":"","family":"Nijziel","given":"Marten","non-dropping-particle":"","parse-names":false,"suffix":""},{"dropping-particle":"","family":"Laros","given":"Britta","non-dropping-particle":"","parse-names":false,"suffix":""},{"dropping-particle":"","family":"Heijden van der","given":"Olivier","non-dropping-particle":"","parse-names":false,"suffix":""}],"container-title":"Nederlandse Vereniging voor Hematologie (NVVH)","id":"ITEM-1","issue":"november","issued":{"date-parts":[["2016"]]},"page":"1-107","publisher-place":"Nijmegen","title":"Guideline for Paroxysmal Nocturnal Hemoglobinuria (Dutch: Richtlijn Paroxysmale Nachtelijke Hemoglobinurie)","type":"bill"},"uris":["http://www.mendeley.com/documents/?uuid=2a34665f-0055-4655-97ea-76d196f3d6d4"]}],"mendeley":{"formattedCitation":"[5]","plainTextFormattedCitation":"[5]","previouslyFormattedCitation":"[5]"},"properties":{"noteIndex":0},"schema":"https://github.com/citation-style-language/schema/raw/master/csl-citation.json"}</w:instrText>
            </w:r>
            <w:r w:rsidR="00CE3BB8" w:rsidRPr="00CE3BB8">
              <w:rPr>
                <w:rFonts w:ascii="Times New Roman" w:hAnsi="Times New Roman" w:cs="Times New Roman"/>
                <w:sz w:val="18"/>
                <w:szCs w:val="18"/>
              </w:rPr>
              <w:fldChar w:fldCharType="separate"/>
            </w:r>
            <w:r w:rsidR="004F0891" w:rsidRPr="004F0891">
              <w:rPr>
                <w:rFonts w:ascii="Times New Roman" w:hAnsi="Times New Roman" w:cs="Times New Roman"/>
                <w:noProof/>
                <w:sz w:val="18"/>
                <w:szCs w:val="18"/>
              </w:rPr>
              <w:t>[5]</w:t>
            </w:r>
            <w:r w:rsidR="00CE3BB8" w:rsidRPr="00CE3BB8">
              <w:rPr>
                <w:rFonts w:ascii="Times New Roman" w:hAnsi="Times New Roman" w:cs="Times New Roman"/>
                <w:sz w:val="18"/>
                <w:szCs w:val="18"/>
              </w:rPr>
              <w:fldChar w:fldCharType="end"/>
            </w:r>
            <w:r w:rsidRPr="00CE3BB8">
              <w:rPr>
                <w:rFonts w:ascii="Times New Roman" w:hAnsi="Times New Roman" w:cs="Times New Roman"/>
                <w:sz w:val="18"/>
                <w:szCs w:val="18"/>
              </w:rPr>
              <w:t>.</w:t>
            </w:r>
            <w:r w:rsidRPr="00573080">
              <w:rPr>
                <w:rFonts w:ascii="Times New Roman" w:hAnsi="Times New Roman" w:cs="Times New Roman"/>
                <w:sz w:val="18"/>
                <w:szCs w:val="18"/>
              </w:rPr>
              <w:t xml:space="preserve"> </w:t>
            </w:r>
          </w:p>
        </w:tc>
      </w:tr>
      <w:tr w:rsidR="00147F7A" w:rsidRPr="00573080" w14:paraId="1D08D829" w14:textId="77777777" w:rsidTr="00147F7A">
        <w:trPr>
          <w:trHeight w:val="1769"/>
        </w:trPr>
        <w:tc>
          <w:tcPr>
            <w:cnfStyle w:val="001000000000" w:firstRow="0" w:lastRow="0" w:firstColumn="1" w:lastColumn="0" w:oddVBand="0" w:evenVBand="0" w:oddHBand="0" w:evenHBand="0" w:firstRowFirstColumn="0" w:firstRowLastColumn="0" w:lastRowFirstColumn="0" w:lastRowLastColumn="0"/>
            <w:tcW w:w="447" w:type="dxa"/>
          </w:tcPr>
          <w:p w14:paraId="472EFA9A"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6.</w:t>
            </w:r>
          </w:p>
        </w:tc>
        <w:tc>
          <w:tcPr>
            <w:tcW w:w="3581" w:type="dxa"/>
          </w:tcPr>
          <w:p w14:paraId="7050BC09"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The health utility for patients experiencing spontaneous remission was assumed to be the highest utility estimate based on clinical studies 301 and 302 (i.e., omitting any decrements related to BTH and transfusions), plus the increment associated with reduced treatment burden (as no treatment burden is experienced).</w:t>
            </w:r>
          </w:p>
        </w:tc>
        <w:tc>
          <w:tcPr>
            <w:tcW w:w="4988" w:type="dxa"/>
          </w:tcPr>
          <w:p w14:paraId="644A9A28"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This was based on the assumption that patients that experienced a spontaneous remission could discontinue treatment with eculizumab/ravulizumab and remained free from any complications from PNH. See assumption 10.</w:t>
            </w:r>
          </w:p>
        </w:tc>
      </w:tr>
      <w:tr w:rsidR="00147F7A" w:rsidRPr="00573080" w14:paraId="04EB6B07" w14:textId="77777777" w:rsidTr="00147F7A">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447" w:type="dxa"/>
          </w:tcPr>
          <w:p w14:paraId="77595862"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8.</w:t>
            </w:r>
          </w:p>
        </w:tc>
        <w:tc>
          <w:tcPr>
            <w:tcW w:w="3581" w:type="dxa"/>
          </w:tcPr>
          <w:p w14:paraId="39A0B059"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Continuous up-dosing would not occur for ravulizumab patients.</w:t>
            </w:r>
          </w:p>
        </w:tc>
        <w:tc>
          <w:tcPr>
            <w:tcW w:w="4988" w:type="dxa"/>
          </w:tcPr>
          <w:p w14:paraId="649A0CD6" w14:textId="2965333C"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There were no cases of IncC5Inhib BTH events recorded in clinical trials studies 301 and 302 </w:t>
            </w:r>
            <w:r w:rsidR="00DE3612">
              <w:rPr>
                <w:rFonts w:ascii="Times New Roman" w:hAnsi="Times New Roman" w:cs="Times New Roman"/>
                <w:color w:val="000000"/>
                <w:sz w:val="18"/>
                <w:szCs w:val="18"/>
              </w:rPr>
              <w:fldChar w:fldCharType="begin" w:fldLock="1"/>
            </w:r>
            <w:r w:rsidR="00DE361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DE3612">
              <w:rPr>
                <w:rFonts w:ascii="Times New Roman" w:hAnsi="Times New Roman" w:cs="Times New Roman"/>
                <w:color w:val="000000"/>
                <w:sz w:val="18"/>
                <w:szCs w:val="18"/>
              </w:rPr>
              <w:fldChar w:fldCharType="separate"/>
            </w:r>
            <w:r w:rsidR="00DE3612" w:rsidRPr="00564153">
              <w:rPr>
                <w:rFonts w:ascii="Times New Roman" w:hAnsi="Times New Roman" w:cs="Times New Roman"/>
                <w:noProof/>
                <w:color w:val="000000"/>
                <w:sz w:val="18"/>
                <w:szCs w:val="18"/>
              </w:rPr>
              <w:t>[1, 2]</w:t>
            </w:r>
            <w:r w:rsidR="00DE3612">
              <w:rPr>
                <w:rFonts w:ascii="Times New Roman" w:hAnsi="Times New Roman" w:cs="Times New Roman"/>
                <w:color w:val="000000"/>
                <w:sz w:val="18"/>
                <w:szCs w:val="18"/>
              </w:rPr>
              <w:fldChar w:fldCharType="end"/>
            </w:r>
            <w:r w:rsidRPr="00573080">
              <w:rPr>
                <w:rFonts w:ascii="Times New Roman" w:hAnsi="Times New Roman" w:cs="Times New Roman"/>
                <w:color w:val="000000"/>
                <w:sz w:val="18"/>
                <w:szCs w:val="18"/>
              </w:rPr>
              <w:t>.</w:t>
            </w:r>
          </w:p>
        </w:tc>
      </w:tr>
      <w:tr w:rsidR="00147F7A" w:rsidRPr="00573080" w14:paraId="42849FF4" w14:textId="77777777" w:rsidTr="00147F7A">
        <w:trPr>
          <w:trHeight w:val="1315"/>
        </w:trPr>
        <w:tc>
          <w:tcPr>
            <w:cnfStyle w:val="001000000000" w:firstRow="0" w:lastRow="0" w:firstColumn="1" w:lastColumn="0" w:oddVBand="0" w:evenVBand="0" w:oddHBand="0" w:evenHBand="0" w:firstRowFirstColumn="0" w:firstRowLastColumn="0" w:lastRowFirstColumn="0" w:lastRowLastColumn="0"/>
            <w:tcW w:w="447" w:type="dxa"/>
          </w:tcPr>
          <w:p w14:paraId="567593A1"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9.</w:t>
            </w:r>
          </w:p>
        </w:tc>
        <w:tc>
          <w:tcPr>
            <w:tcW w:w="3581" w:type="dxa"/>
          </w:tcPr>
          <w:p w14:paraId="77AD6825"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Long-term treatment with ravulizumab would have the same effect on the mortality rate and, therefore, no permanent excess mortality risk is modelled for patients who were stable on treatment with either ravulizumab or eculizumab.</w:t>
            </w:r>
          </w:p>
        </w:tc>
        <w:tc>
          <w:tcPr>
            <w:tcW w:w="4988" w:type="dxa"/>
          </w:tcPr>
          <w:p w14:paraId="5281396B" w14:textId="78438452"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There was no long-term data yet on patients that were treated with ravulizumab at this time. However, given the non-inferior results, compared to eculizumab, in the primary evaluation and extension period in studies 301 and 302, it  was expected that long-term results of ravulizumab will also be comparable to eculizumab </w:t>
            </w:r>
            <w:r w:rsidR="00DE3612">
              <w:rPr>
                <w:rFonts w:ascii="Times New Roman" w:hAnsi="Times New Roman" w:cs="Times New Roman"/>
                <w:color w:val="000000"/>
                <w:sz w:val="18"/>
                <w:szCs w:val="18"/>
              </w:rPr>
              <w:fldChar w:fldCharType="begin" w:fldLock="1"/>
            </w:r>
            <w:r w:rsidR="00DE361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DE3612">
              <w:rPr>
                <w:rFonts w:ascii="Times New Roman" w:hAnsi="Times New Roman" w:cs="Times New Roman"/>
                <w:color w:val="000000"/>
                <w:sz w:val="18"/>
                <w:szCs w:val="18"/>
              </w:rPr>
              <w:fldChar w:fldCharType="separate"/>
            </w:r>
            <w:r w:rsidR="00DE3612" w:rsidRPr="00564153">
              <w:rPr>
                <w:rFonts w:ascii="Times New Roman" w:hAnsi="Times New Roman" w:cs="Times New Roman"/>
                <w:noProof/>
                <w:color w:val="000000"/>
                <w:sz w:val="18"/>
                <w:szCs w:val="18"/>
              </w:rPr>
              <w:t>[1, 2]</w:t>
            </w:r>
            <w:r w:rsidR="00DE3612">
              <w:rPr>
                <w:rFonts w:ascii="Times New Roman" w:hAnsi="Times New Roman" w:cs="Times New Roman"/>
                <w:color w:val="000000"/>
                <w:sz w:val="18"/>
                <w:szCs w:val="18"/>
              </w:rPr>
              <w:fldChar w:fldCharType="end"/>
            </w:r>
            <w:r w:rsidRPr="00573080">
              <w:rPr>
                <w:rFonts w:ascii="Times New Roman" w:hAnsi="Times New Roman" w:cs="Times New Roman"/>
                <w:sz w:val="18"/>
                <w:szCs w:val="18"/>
              </w:rPr>
              <w:t>.</w:t>
            </w:r>
          </w:p>
        </w:tc>
      </w:tr>
      <w:tr w:rsidR="00147F7A" w:rsidRPr="00573080" w14:paraId="25CE9A37" w14:textId="77777777" w:rsidTr="00147F7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47" w:type="dxa"/>
          </w:tcPr>
          <w:p w14:paraId="74F9248F"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10.</w:t>
            </w:r>
          </w:p>
        </w:tc>
        <w:tc>
          <w:tcPr>
            <w:tcW w:w="3581" w:type="dxa"/>
          </w:tcPr>
          <w:p w14:paraId="14FC88C0"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Those who achieve spontaneous remission will stop PNH-related treatment (including complement inhibitor therapy) and the rate of spontaneous submission was assumed to be the same for patients treated with ravulizumab and eculizumab.</w:t>
            </w:r>
          </w:p>
          <w:p w14:paraId="3716D889" w14:textId="77777777" w:rsidR="00147F7A" w:rsidRPr="00573080" w:rsidRDefault="00147F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4988" w:type="dxa"/>
          </w:tcPr>
          <w:p w14:paraId="027DCEBF" w14:textId="6319E5E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Hillmen et al. (1995) state that eculizumab treatment can be discontinued in case of a spontaneous remission. This is assumed to also be the case for ravulizumab </w:t>
            </w:r>
            <w:r w:rsidR="00DE3612">
              <w:rPr>
                <w:rFonts w:ascii="Times New Roman" w:hAnsi="Times New Roman" w:cs="Times New Roman"/>
                <w:sz w:val="18"/>
                <w:szCs w:val="18"/>
              </w:rPr>
              <w:fldChar w:fldCharType="begin" w:fldLock="1"/>
            </w:r>
            <w:r w:rsidR="00DE3612">
              <w:rPr>
                <w:rFonts w:ascii="Times New Roman" w:hAnsi="Times New Roman" w:cs="Times New Roman"/>
                <w:sz w:val="18"/>
                <w:szCs w:val="18"/>
              </w:rPr>
              <w:instrText>ADDIN CSL_CITATION {"citationItems":[{"id":"ITEM-1","itemData":{"DOI":"10.1056/NEJM199511093331904","ISSN":"00348376","PMID":"9291739","author":[{"dropping-particle":"","family":"Rosse","given":"Wendell F.","non-dropping-particle":"","parse-names":false,"suffix":""}],"container-title":"THE NEW ENGLAND JOURNAL OF MEDICINE","id":"ITEM-1","issued":{"date-parts":[["1995"]]},"title":"The natural history of paroxysmal nocturnal hemoglobinuria","type":"article-journal","volume":"333(19):12"},"uris":["http://www.mendeley.com/documents/?uuid=8f362a94-1f19-4470-9cca-e748a3b1113c"]}],"mendeley":{"formattedCitation":"[6]","plainTextFormattedCitation":"[6]","previouslyFormattedCitation":"[6]"},"properties":{"noteIndex":0},"schema":"https://github.com/citation-style-language/schema/raw/master/csl-citation.json"}</w:instrText>
            </w:r>
            <w:r w:rsidR="00DE3612">
              <w:rPr>
                <w:rFonts w:ascii="Times New Roman" w:hAnsi="Times New Roman" w:cs="Times New Roman"/>
                <w:sz w:val="18"/>
                <w:szCs w:val="18"/>
              </w:rPr>
              <w:fldChar w:fldCharType="separate"/>
            </w:r>
            <w:r w:rsidR="00DE3612" w:rsidRPr="00DE3612">
              <w:rPr>
                <w:rFonts w:ascii="Times New Roman" w:hAnsi="Times New Roman" w:cs="Times New Roman"/>
                <w:noProof/>
                <w:sz w:val="18"/>
                <w:szCs w:val="18"/>
              </w:rPr>
              <w:t>[6]</w:t>
            </w:r>
            <w:r w:rsidR="00DE3612">
              <w:rPr>
                <w:rFonts w:ascii="Times New Roman" w:hAnsi="Times New Roman" w:cs="Times New Roman"/>
                <w:sz w:val="18"/>
                <w:szCs w:val="18"/>
              </w:rPr>
              <w:fldChar w:fldCharType="end"/>
            </w:r>
            <w:r w:rsidRPr="00573080">
              <w:rPr>
                <w:rFonts w:ascii="Times New Roman" w:hAnsi="Times New Roman" w:cs="Times New Roman"/>
                <w:sz w:val="18"/>
                <w:szCs w:val="18"/>
              </w:rPr>
              <w:t>.</w:t>
            </w:r>
          </w:p>
          <w:p w14:paraId="2F713A19"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The rate of spontaneous remission was assumed to be equal for patients treated with either complement-inhibitor as spontaneous remission was found irrespective of treatment with ravulizumab and eculizumab and both treatments were not curative.</w:t>
            </w:r>
          </w:p>
        </w:tc>
      </w:tr>
      <w:tr w:rsidR="00147F7A" w:rsidRPr="00573080" w14:paraId="46BB7756" w14:textId="77777777" w:rsidTr="00147F7A">
        <w:trPr>
          <w:trHeight w:val="314"/>
        </w:trPr>
        <w:tc>
          <w:tcPr>
            <w:cnfStyle w:val="001000000000" w:firstRow="0" w:lastRow="0" w:firstColumn="1" w:lastColumn="0" w:oddVBand="0" w:evenVBand="0" w:oddHBand="0" w:evenHBand="0" w:firstRowFirstColumn="0" w:firstRowLastColumn="0" w:lastRowFirstColumn="0" w:lastRowLastColumn="0"/>
            <w:tcW w:w="447" w:type="dxa"/>
          </w:tcPr>
          <w:p w14:paraId="01FF0541"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11.</w:t>
            </w:r>
          </w:p>
        </w:tc>
        <w:tc>
          <w:tcPr>
            <w:tcW w:w="3581" w:type="dxa"/>
          </w:tcPr>
          <w:p w14:paraId="2F7936DA"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For the patients in the health state ‘Continuous up-dose of eculizumab’ it was assumed that they cannot experience any further IncC5Inhib BTH events, only CAC BTH events after being up-dosed to a 1200 mg vial.</w:t>
            </w:r>
          </w:p>
        </w:tc>
        <w:tc>
          <w:tcPr>
            <w:tcW w:w="4988" w:type="dxa"/>
          </w:tcPr>
          <w:p w14:paraId="583A116D" w14:textId="7A8F79B8"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The Dutch guideline for PNH state an increase of one vial per injection of eculizum</w:t>
            </w:r>
            <w:r w:rsidRPr="00CE3BB8">
              <w:rPr>
                <w:rFonts w:ascii="Times New Roman" w:hAnsi="Times New Roman" w:cs="Times New Roman"/>
                <w:sz w:val="18"/>
                <w:szCs w:val="18"/>
              </w:rPr>
              <w:t>ab as an option for treating BTH when up-dosing is considered</w:t>
            </w:r>
            <w:r w:rsidR="00CE3BB8" w:rsidRPr="00CE3BB8">
              <w:rPr>
                <w:rFonts w:ascii="Times New Roman" w:hAnsi="Times New Roman" w:cs="Times New Roman"/>
                <w:sz w:val="18"/>
                <w:szCs w:val="18"/>
              </w:rPr>
              <w:t xml:space="preserve"> </w:t>
            </w:r>
            <w:r w:rsidR="00CE3BB8" w:rsidRPr="00CE3BB8">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author":[{"dropping-particle":"","family":"Muus","given":"Petra","non-dropping-particle":"","parse-names":false,"suffix":""},{"dropping-particle":"","family":"Langemeijer","given":"Saskia","non-dropping-particle":"","parse-names":false,"suffix":""},{"dropping-particle":"","family":"Halkes","given":"Stijn","non-dropping-particle":"","parse-names":false,"suffix":""},{"dropping-particle":"","family":"Zeerleder","given":"Sacha","non-dropping-particle":"","parse-names":false,"suffix":""},{"dropping-particle":"","family":"Schouten","given":"Harry","non-dropping-particle":"","parse-names":false,"suffix":""},{"dropping-particle":"","family":"Boekhorst te","given":"Peter","non-dropping-particle":"","parse-names":false,"suffix":""},{"dropping-particle":"","family":"Span","given":"Bart","non-dropping-particle":"","parse-names":false,"suffix":""},{"dropping-particle":"","family":"Witte de","given":"Moniek","non-dropping-particle":"","parse-names":false,"suffix":""},{"dropping-particle":"","family":"Bartels","given":"Marije","non-dropping-particle":"","parse-names":false,"suffix":""},{"dropping-particle":"","family":"Jansen","given":"Angeline","non-dropping-particle":"","parse-names":false,"suffix":""},{"dropping-particle":"","family":"Stiene","given":"Andrea","non-dropping-particle":"","parse-names":false,"suffix":""},{"dropping-particle":"","family":"Preijers","given":"Frank","non-dropping-particle":"","parse-names":false,"suffix":""},{"dropping-particle":"","family":"Pampus van","given":"Lizzy","non-dropping-particle":"","parse-names":false,"suffix":""},{"dropping-particle":"","family":"Evers","given":"Dorothea","non-dropping-particle":"","parse-names":false,"suffix":""},{"dropping-particle":"","family":"Nijziel","given":"Marten","non-dropping-particle":"","parse-names":false,"suffix":""},{"dropping-particle":"","family":"Laros","given":"Britta","non-dropping-particle":"","parse-names":false,"suffix":""},{"dropping-particle":"","family":"Heijden van der","given":"Olivier","non-dropping-particle":"","parse-names":false,"suffix":""}],"container-title":"Nederlandse Vereniging voor Hematologie (NVVH)","id":"ITEM-1","issue":"november","issued":{"date-parts":[["2016"]]},"page":"1-107","publisher-place":"Nijmegen","title":"Guideline for Paroxysmal Nocturnal Hemoglobinuria (Dutch: Richtlijn Paroxysmale Nachtelijke Hemoglobinurie)","type":"bill"},"uris":["http://www.mendeley.com/documents/?uuid=2a34665f-0055-4655-97ea-76d196f3d6d4"]}],"mendeley":{"formattedCitation":"[5]","plainTextFormattedCitation":"[5]","previouslyFormattedCitation":"[5]"},"properties":{"noteIndex":0},"schema":"https://github.com/citation-style-language/schema/raw/master/csl-citation.json"}</w:instrText>
            </w:r>
            <w:r w:rsidR="00CE3BB8" w:rsidRPr="00CE3BB8">
              <w:rPr>
                <w:rFonts w:ascii="Times New Roman" w:hAnsi="Times New Roman" w:cs="Times New Roman"/>
                <w:sz w:val="18"/>
                <w:szCs w:val="18"/>
              </w:rPr>
              <w:fldChar w:fldCharType="separate"/>
            </w:r>
            <w:r w:rsidR="004F0891" w:rsidRPr="004F0891">
              <w:rPr>
                <w:rFonts w:ascii="Times New Roman" w:hAnsi="Times New Roman" w:cs="Times New Roman"/>
                <w:noProof/>
                <w:sz w:val="18"/>
                <w:szCs w:val="18"/>
              </w:rPr>
              <w:t>[5]</w:t>
            </w:r>
            <w:r w:rsidR="00CE3BB8" w:rsidRPr="00CE3BB8">
              <w:rPr>
                <w:rFonts w:ascii="Times New Roman" w:hAnsi="Times New Roman" w:cs="Times New Roman"/>
                <w:sz w:val="18"/>
                <w:szCs w:val="18"/>
              </w:rPr>
              <w:fldChar w:fldCharType="end"/>
            </w:r>
            <w:r w:rsidRPr="00CE3BB8">
              <w:rPr>
                <w:rFonts w:ascii="Times New Roman" w:hAnsi="Times New Roman" w:cs="Times New Roman"/>
                <w:sz w:val="18"/>
                <w:szCs w:val="18"/>
              </w:rPr>
              <w:t>. Since no further increase of dosage is mentioned, it was assumed</w:t>
            </w:r>
            <w:r w:rsidRPr="00573080">
              <w:rPr>
                <w:rFonts w:ascii="Times New Roman" w:hAnsi="Times New Roman" w:cs="Times New Roman"/>
                <w:sz w:val="18"/>
                <w:szCs w:val="18"/>
              </w:rPr>
              <w:t xml:space="preserve"> that this does not occur in practice because the additional vial leads to sufficient C5-inhibition.</w:t>
            </w:r>
          </w:p>
        </w:tc>
      </w:tr>
      <w:tr w:rsidR="00147F7A" w:rsidRPr="00573080" w14:paraId="5309DBAE" w14:textId="77777777" w:rsidTr="00147F7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47" w:type="dxa"/>
          </w:tcPr>
          <w:p w14:paraId="20DDF7EF"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12.</w:t>
            </w:r>
          </w:p>
        </w:tc>
        <w:tc>
          <w:tcPr>
            <w:tcW w:w="3581" w:type="dxa"/>
          </w:tcPr>
          <w:p w14:paraId="7E7D4F8E" w14:textId="77777777" w:rsidR="00147F7A" w:rsidRPr="00CE3BB8"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CE3BB8">
              <w:rPr>
                <w:rFonts w:ascii="Times New Roman" w:hAnsi="Times New Roman" w:cs="Times New Roman"/>
                <w:sz w:val="18"/>
                <w:szCs w:val="18"/>
              </w:rPr>
              <w:t xml:space="preserve">While multiple units of </w:t>
            </w:r>
            <w:proofErr w:type="spellStart"/>
            <w:r w:rsidRPr="00CE3BB8">
              <w:rPr>
                <w:rFonts w:ascii="Times New Roman" w:hAnsi="Times New Roman" w:cs="Times New Roman"/>
                <w:sz w:val="18"/>
                <w:szCs w:val="18"/>
              </w:rPr>
              <w:t>pRBC</w:t>
            </w:r>
            <w:proofErr w:type="spellEnd"/>
            <w:r w:rsidRPr="00CE3BB8">
              <w:rPr>
                <w:rFonts w:ascii="Times New Roman" w:hAnsi="Times New Roman" w:cs="Times New Roman"/>
                <w:sz w:val="18"/>
                <w:szCs w:val="18"/>
              </w:rPr>
              <w:t xml:space="preserve"> may be required per transfusion, only one transfusion procedure would occur in a cycle of the CUA.</w:t>
            </w:r>
          </w:p>
        </w:tc>
        <w:tc>
          <w:tcPr>
            <w:tcW w:w="4988" w:type="dxa"/>
          </w:tcPr>
          <w:p w14:paraId="28620295" w14:textId="04419E90" w:rsidR="00147F7A" w:rsidRPr="00CE3BB8"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CE3BB8">
              <w:rPr>
                <w:rFonts w:ascii="Times New Roman" w:hAnsi="Times New Roman" w:cs="Times New Roman"/>
                <w:sz w:val="18"/>
                <w:szCs w:val="18"/>
              </w:rPr>
              <w:t>Kelly (2008) noted that hemolysis elevation predominantly occurs around one to two days before the end of each fourteen-day dosing interval</w:t>
            </w:r>
            <w:r w:rsidR="00CE3BB8" w:rsidRPr="00CE3BB8">
              <w:rPr>
                <w:rFonts w:ascii="Times New Roman" w:hAnsi="Times New Roman" w:cs="Times New Roman"/>
                <w:sz w:val="18"/>
                <w:szCs w:val="18"/>
              </w:rPr>
              <w:t xml:space="preserve"> </w:t>
            </w:r>
            <w:r w:rsidR="00CE3BB8" w:rsidRPr="00CE3BB8">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author":[{"dropping-particle":"","family":"Muus","given":"Petra","non-dropping-particle":"","parse-names":false,"suffix":""},{"dropping-particle":"","family":"Langemeijer","given":"Saskia","non-dropping-particle":"","parse-names":false,"suffix":""},{"dropping-particle":"","family":"Halkes","given":"Stijn","non-dropping-particle":"","parse-names":false,"suffix":""},{"dropping-particle":"","family":"Zeerleder","given":"Sacha","non-dropping-particle":"","parse-names":false,"suffix":""},{"dropping-particle":"","family":"Schouten","given":"Harry","non-dropping-particle":"","parse-names":false,"suffix":""},{"dropping-particle":"","family":"Boekhorst te","given":"Peter","non-dropping-particle":"","parse-names":false,"suffix":""},{"dropping-particle":"","family":"Span","given":"Bart","non-dropping-particle":"","parse-names":false,"suffix":""},{"dropping-particle":"","family":"Witte de","given":"Moniek","non-dropping-particle":"","parse-names":false,"suffix":""},{"dropping-particle":"","family":"Bartels","given":"Marije","non-dropping-particle":"","parse-names":false,"suffix":""},{"dropping-particle":"","family":"Jansen","given":"Angeline","non-dropping-particle":"","parse-names":false,"suffix":""},{"dropping-particle":"","family":"Stiene","given":"Andrea","non-dropping-particle":"","parse-names":false,"suffix":""},{"dropping-particle":"","family":"Preijers","given":"Frank","non-dropping-particle":"","parse-names":false,"suffix":""},{"dropping-particle":"","family":"Pampus van","given":"Lizzy","non-dropping-particle":"","parse-names":false,"suffix":""},{"dropping-particle":"","family":"Evers","given":"Dorothea","non-dropping-particle":"","parse-names":false,"suffix":""},{"dropping-particle":"","family":"Nijziel","given":"Marten","non-dropping-particle":"","parse-names":false,"suffix":""},{"dropping-particle":"","family":"Laros","given":"Britta","non-dropping-particle":"","parse-names":false,"suffix":""},{"dropping-particle":"","family":"Heijden van der","given":"Olivier","non-dropping-particle":"","parse-names":false,"suffix":""}],"container-title":"Nederlandse Vereniging voor Hematologie (NVVH)","id":"ITEM-1","issue":"november","issued":{"date-parts":[["2016"]]},"page":"1-107","publisher-place":"Nijmegen","title":"Guideline for Paroxysmal Nocturnal Hemoglobinuria (Dutch: Richtlijn Paroxysmale Nachtelijke Hemoglobinurie)","type":"bill"},"uris":["http://www.mendeley.com/documents/?uuid=2a34665f-0055-4655-97ea-76d196f3d6d4"]}],"mendeley":{"formattedCitation":"[5]","plainTextFormattedCitation":"[5]","previouslyFormattedCitation":"[5]"},"properties":{"noteIndex":0},"schema":"https://github.com/citation-style-language/schema/raw/master/csl-citation.json"}</w:instrText>
            </w:r>
            <w:r w:rsidR="00CE3BB8" w:rsidRPr="00CE3BB8">
              <w:rPr>
                <w:rFonts w:ascii="Times New Roman" w:hAnsi="Times New Roman" w:cs="Times New Roman"/>
                <w:sz w:val="18"/>
                <w:szCs w:val="18"/>
              </w:rPr>
              <w:fldChar w:fldCharType="separate"/>
            </w:r>
            <w:r w:rsidR="004F0891" w:rsidRPr="004F0891">
              <w:rPr>
                <w:rFonts w:ascii="Times New Roman" w:hAnsi="Times New Roman" w:cs="Times New Roman"/>
                <w:noProof/>
                <w:sz w:val="18"/>
                <w:szCs w:val="18"/>
              </w:rPr>
              <w:t>[5]</w:t>
            </w:r>
            <w:r w:rsidR="00CE3BB8" w:rsidRPr="00CE3BB8">
              <w:rPr>
                <w:rFonts w:ascii="Times New Roman" w:hAnsi="Times New Roman" w:cs="Times New Roman"/>
                <w:sz w:val="18"/>
                <w:szCs w:val="18"/>
              </w:rPr>
              <w:fldChar w:fldCharType="end"/>
            </w:r>
            <w:r w:rsidRPr="00CE3BB8">
              <w:rPr>
                <w:rFonts w:ascii="Times New Roman" w:hAnsi="Times New Roman" w:cs="Times New Roman"/>
                <w:sz w:val="18"/>
                <w:szCs w:val="18"/>
              </w:rPr>
              <w:t>.</w:t>
            </w:r>
          </w:p>
        </w:tc>
      </w:tr>
      <w:tr w:rsidR="00147F7A" w:rsidRPr="00573080" w14:paraId="63B57FA6" w14:textId="77777777" w:rsidTr="00147F7A">
        <w:trPr>
          <w:trHeight w:val="314"/>
        </w:trPr>
        <w:tc>
          <w:tcPr>
            <w:cnfStyle w:val="001000000000" w:firstRow="0" w:lastRow="0" w:firstColumn="1" w:lastColumn="0" w:oddVBand="0" w:evenVBand="0" w:oddHBand="0" w:evenHBand="0" w:firstRowFirstColumn="0" w:firstRowLastColumn="0" w:lastRowFirstColumn="0" w:lastRowLastColumn="0"/>
            <w:tcW w:w="447" w:type="dxa"/>
          </w:tcPr>
          <w:p w14:paraId="3C3D7BFA"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13.</w:t>
            </w:r>
          </w:p>
        </w:tc>
        <w:tc>
          <w:tcPr>
            <w:tcW w:w="3581" w:type="dxa"/>
          </w:tcPr>
          <w:p w14:paraId="1DC9F087"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Administration costs were assumed to be a one-time cost per treatment regardless of the number of vials required during the treatment episode.</w:t>
            </w:r>
          </w:p>
        </w:tc>
        <w:tc>
          <w:tcPr>
            <w:tcW w:w="4988" w:type="dxa"/>
          </w:tcPr>
          <w:p w14:paraId="671D2230"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Technical assumption to avoid making the model overly complicated.</w:t>
            </w:r>
          </w:p>
        </w:tc>
      </w:tr>
      <w:tr w:rsidR="00147F7A" w:rsidRPr="00573080" w14:paraId="14B3B08D" w14:textId="77777777" w:rsidTr="00147F7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47" w:type="dxa"/>
          </w:tcPr>
          <w:p w14:paraId="44EEF8F1"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14.</w:t>
            </w:r>
          </w:p>
        </w:tc>
        <w:tc>
          <w:tcPr>
            <w:tcW w:w="3581" w:type="dxa"/>
          </w:tcPr>
          <w:p w14:paraId="1ED11623"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bookmarkStart w:id="2" w:name="_heading=h.30j0zll" w:colFirst="0" w:colLast="0"/>
            <w:bookmarkEnd w:id="2"/>
            <w:r w:rsidRPr="00573080">
              <w:rPr>
                <w:rFonts w:ascii="Times New Roman" w:hAnsi="Times New Roman" w:cs="Times New Roman"/>
                <w:sz w:val="18"/>
                <w:szCs w:val="18"/>
              </w:rPr>
              <w:t xml:space="preserve">The price of ravulizumab administration was equal to the administration costs of </w:t>
            </w:r>
            <w:proofErr w:type="spellStart"/>
            <w:r w:rsidRPr="00573080">
              <w:rPr>
                <w:rFonts w:ascii="Times New Roman" w:hAnsi="Times New Roman" w:cs="Times New Roman"/>
                <w:sz w:val="18"/>
                <w:szCs w:val="18"/>
              </w:rPr>
              <w:t>galsulfase</w:t>
            </w:r>
            <w:proofErr w:type="spellEnd"/>
            <w:r w:rsidRPr="00573080">
              <w:rPr>
                <w:rFonts w:ascii="Times New Roman" w:hAnsi="Times New Roman" w:cs="Times New Roman"/>
                <w:sz w:val="18"/>
                <w:szCs w:val="18"/>
              </w:rPr>
              <w:t xml:space="preserve">. </w:t>
            </w:r>
          </w:p>
        </w:tc>
        <w:tc>
          <w:tcPr>
            <w:tcW w:w="4988" w:type="dxa"/>
          </w:tcPr>
          <w:p w14:paraId="564AF55C"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To reflect the anticipated longer administration time of ravulizumab versus eculizumab and as ravulizumab administration does not have its own declaration code yet, the administration costs for ravulizumab were based on </w:t>
            </w:r>
            <w:proofErr w:type="spellStart"/>
            <w:r w:rsidRPr="00573080">
              <w:rPr>
                <w:rFonts w:ascii="Times New Roman" w:hAnsi="Times New Roman" w:cs="Times New Roman"/>
                <w:sz w:val="18"/>
                <w:szCs w:val="18"/>
              </w:rPr>
              <w:t>galsulfase</w:t>
            </w:r>
            <w:proofErr w:type="spellEnd"/>
            <w:r w:rsidRPr="00573080">
              <w:rPr>
                <w:rFonts w:ascii="Times New Roman" w:hAnsi="Times New Roman" w:cs="Times New Roman"/>
                <w:sz w:val="18"/>
                <w:szCs w:val="18"/>
              </w:rPr>
              <w:t xml:space="preserve"> This is an intravenous injection over four hours time. </w:t>
            </w:r>
          </w:p>
        </w:tc>
      </w:tr>
      <w:tr w:rsidR="00147F7A" w:rsidRPr="00573080" w14:paraId="7EFE56E9" w14:textId="77777777" w:rsidTr="00147F7A">
        <w:trPr>
          <w:trHeight w:val="314"/>
        </w:trPr>
        <w:tc>
          <w:tcPr>
            <w:cnfStyle w:val="001000000000" w:firstRow="0" w:lastRow="0" w:firstColumn="1" w:lastColumn="0" w:oddVBand="0" w:evenVBand="0" w:oddHBand="0" w:evenHBand="0" w:firstRowFirstColumn="0" w:firstRowLastColumn="0" w:lastRowFirstColumn="0" w:lastRowLastColumn="0"/>
            <w:tcW w:w="447" w:type="dxa"/>
          </w:tcPr>
          <w:p w14:paraId="4C88DACD"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15.</w:t>
            </w:r>
          </w:p>
        </w:tc>
        <w:tc>
          <w:tcPr>
            <w:tcW w:w="3581" w:type="dxa"/>
          </w:tcPr>
          <w:p w14:paraId="393ED28C"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50% of the patients we assumed to travel by public transport and 50% use their own car.</w:t>
            </w:r>
          </w:p>
        </w:tc>
        <w:tc>
          <w:tcPr>
            <w:tcW w:w="4988" w:type="dxa"/>
          </w:tcPr>
          <w:p w14:paraId="3A202A2A" w14:textId="4FA65FBF"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The official percentage of people traveling by their own car is 70% in the Netherlands. However, given the context of the travel (i.e. disease treatment or an infusion of 2 to 3 hours) we assumed this to be 20% lower </w:t>
            </w:r>
            <w:r w:rsidR="00DE3612">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{"citationItems":[{"id":"ITEM-1","itemData":{"URL":"https://www.cbs.nl/nl-nl/visualisaties/verkeer-en-vervoer/personen/openbaar-vervoer#:~:text=In 2019 legden alle inwoners,bus%2C tram of metro gereisd.","accessed":{"date-parts":[["2021","3","17"]]},"author":[{"dropping-particle":"","family":"Dutch Statistics","given":"","non-dropping-particle":"","parse-names":false,"suffix":""}],"id":"ITEM-1","issued":{"date-parts":[["2021"]]},"title":"How much do we use public transport? (Dutch: Hoeveel wordt er met het openbaar vervoer gereisd?)","type":"webpage"},"uris":["http://www.mendeley.com/documents/?uuid=f7cb7883-398f-4821-b57c-33dabd2fd7b7"]}],"mendeley":{"formattedCitation":"[7]","plainTextFormattedCitation":"[7]","previouslyFormattedCitation":"[7]"},"properties":{"noteIndex":0},"schema":"https://github.com/citation-style-language/schema/raw/master/csl-citation.json"}</w:instrText>
            </w:r>
            <w:r w:rsidR="00DE3612">
              <w:rPr>
                <w:rFonts w:ascii="Times New Roman" w:hAnsi="Times New Roman" w:cs="Times New Roman"/>
                <w:sz w:val="18"/>
                <w:szCs w:val="18"/>
              </w:rPr>
              <w:fldChar w:fldCharType="separate"/>
            </w:r>
            <w:r w:rsidR="00DE3612" w:rsidRPr="00DE3612">
              <w:rPr>
                <w:rFonts w:ascii="Times New Roman" w:hAnsi="Times New Roman" w:cs="Times New Roman"/>
                <w:noProof/>
                <w:sz w:val="18"/>
                <w:szCs w:val="18"/>
              </w:rPr>
              <w:t>[7]</w:t>
            </w:r>
            <w:r w:rsidR="00DE3612">
              <w:rPr>
                <w:rFonts w:ascii="Times New Roman" w:hAnsi="Times New Roman" w:cs="Times New Roman"/>
                <w:sz w:val="18"/>
                <w:szCs w:val="18"/>
              </w:rPr>
              <w:fldChar w:fldCharType="end"/>
            </w:r>
            <w:r w:rsidRPr="00573080">
              <w:rPr>
                <w:rFonts w:ascii="Times New Roman" w:hAnsi="Times New Roman" w:cs="Times New Roman"/>
                <w:sz w:val="18"/>
                <w:szCs w:val="18"/>
              </w:rPr>
              <w:t>.</w:t>
            </w:r>
          </w:p>
        </w:tc>
      </w:tr>
    </w:tbl>
    <w:p w14:paraId="7E5917AF" w14:textId="77777777" w:rsidR="00147F7A" w:rsidRPr="00573080" w:rsidRDefault="00DD486F">
      <w:pPr>
        <w:spacing w:after="0"/>
        <w:rPr>
          <w:rFonts w:ascii="Times New Roman" w:hAnsi="Times New Roman" w:cs="Times New Roman"/>
          <w:sz w:val="16"/>
          <w:szCs w:val="16"/>
        </w:rPr>
      </w:pPr>
      <w:r w:rsidRPr="00573080">
        <w:rPr>
          <w:rFonts w:ascii="Times New Roman" w:hAnsi="Times New Roman" w:cs="Times New Roman"/>
          <w:b/>
          <w:sz w:val="16"/>
          <w:szCs w:val="16"/>
        </w:rPr>
        <w:t xml:space="preserve">Abbreviations: </w:t>
      </w:r>
      <w:r w:rsidRPr="00573080">
        <w:rPr>
          <w:rFonts w:ascii="Times New Roman" w:hAnsi="Times New Roman" w:cs="Times New Roman"/>
          <w:sz w:val="16"/>
          <w:szCs w:val="16"/>
        </w:rPr>
        <w:t xml:space="preserve">BTH: breakthrough hemolysis; CAC: complement amplifying condition; CUA: cost-utility analysis; IncC5Inhib: incomplete C5 inhibition; PNH: paroxysmal nocturnal hemoglobinuria; </w:t>
      </w:r>
      <w:proofErr w:type="spellStart"/>
      <w:r w:rsidRPr="00573080">
        <w:rPr>
          <w:rFonts w:ascii="Times New Roman" w:hAnsi="Times New Roman" w:cs="Times New Roman"/>
          <w:sz w:val="16"/>
          <w:szCs w:val="16"/>
        </w:rPr>
        <w:t>pRBC</w:t>
      </w:r>
      <w:proofErr w:type="spellEnd"/>
      <w:r w:rsidRPr="00573080">
        <w:rPr>
          <w:rFonts w:ascii="Times New Roman" w:hAnsi="Times New Roman" w:cs="Times New Roman"/>
          <w:sz w:val="16"/>
          <w:szCs w:val="16"/>
        </w:rPr>
        <w:t xml:space="preserve">: packed red blood cells. </w:t>
      </w:r>
    </w:p>
    <w:p w14:paraId="3AEE9C45" w14:textId="77777777" w:rsidR="00147F7A" w:rsidRPr="00241C53" w:rsidRDefault="00147F7A">
      <w:pPr>
        <w:spacing w:after="0"/>
        <w:rPr>
          <w:rFonts w:ascii="Times New Roman" w:hAnsi="Times New Roman" w:cs="Times New Roman"/>
          <w:color w:val="44546A"/>
          <w:sz w:val="24"/>
          <w:szCs w:val="24"/>
        </w:rPr>
      </w:pPr>
    </w:p>
    <w:p w14:paraId="6EEDDB1B" w14:textId="77777777" w:rsidR="00147F7A" w:rsidRPr="00241C53" w:rsidRDefault="00147F7A">
      <w:pPr>
        <w:pBdr>
          <w:top w:val="nil"/>
          <w:left w:val="nil"/>
          <w:bottom w:val="nil"/>
          <w:right w:val="nil"/>
          <w:between w:val="nil"/>
        </w:pBdr>
        <w:spacing w:after="0" w:line="276" w:lineRule="auto"/>
        <w:jc w:val="both"/>
        <w:rPr>
          <w:rFonts w:ascii="Times New Roman" w:hAnsi="Times New Roman" w:cs="Times New Roman"/>
          <w:color w:val="000000"/>
          <w:sz w:val="24"/>
          <w:szCs w:val="24"/>
        </w:rPr>
      </w:pPr>
    </w:p>
    <w:p w14:paraId="35FB850F" w14:textId="6849D6D8" w:rsidR="00147F7A" w:rsidRPr="00573080" w:rsidRDefault="00DD486F">
      <w:pPr>
        <w:keepNext/>
        <w:pBdr>
          <w:top w:val="nil"/>
          <w:left w:val="nil"/>
          <w:bottom w:val="nil"/>
          <w:right w:val="nil"/>
          <w:between w:val="nil"/>
        </w:pBdr>
        <w:spacing w:after="0" w:line="240" w:lineRule="auto"/>
        <w:rPr>
          <w:rFonts w:ascii="Times New Roman" w:hAnsi="Times New Roman" w:cs="Times New Roman"/>
          <w:b/>
          <w:color w:val="000000"/>
          <w:sz w:val="18"/>
          <w:szCs w:val="18"/>
        </w:rPr>
      </w:pPr>
      <w:r w:rsidRPr="00573080">
        <w:rPr>
          <w:rFonts w:ascii="Times New Roman" w:hAnsi="Times New Roman" w:cs="Times New Roman"/>
          <w:b/>
          <w:color w:val="000000"/>
          <w:sz w:val="18"/>
          <w:szCs w:val="18"/>
        </w:rPr>
        <w:t>Table S2. Overview of calculations made for the patient distribution amongst cohorts in base-case</w:t>
      </w:r>
      <w:r w:rsidR="00DE3612">
        <w:rPr>
          <w:rFonts w:ascii="Times New Roman" w:hAnsi="Times New Roman" w:cs="Times New Roman"/>
          <w:b/>
          <w:color w:val="000000"/>
          <w:sz w:val="18"/>
          <w:szCs w:val="18"/>
        </w:rPr>
        <w:t xml:space="preserve"> [8-10]</w:t>
      </w:r>
    </w:p>
    <w:tbl>
      <w:tblPr>
        <w:tblStyle w:val="a0"/>
        <w:tblW w:w="94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39"/>
        <w:gridCol w:w="1748"/>
        <w:gridCol w:w="3361"/>
        <w:gridCol w:w="762"/>
      </w:tblGrid>
      <w:tr w:rsidR="00147F7A" w:rsidRPr="00573080" w14:paraId="6C64A5E0" w14:textId="77777777" w:rsidTr="00147F7A">
        <w:trPr>
          <w:cnfStyle w:val="100000000000" w:firstRow="1" w:lastRow="0" w:firstColumn="0" w:lastColumn="0" w:oddVBand="0" w:evenVBand="0" w:oddHBand="0"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539" w:type="dxa"/>
          </w:tcPr>
          <w:p w14:paraId="0D2C59CF" w14:textId="77777777" w:rsidR="00147F7A" w:rsidRPr="00573080" w:rsidRDefault="00147F7A">
            <w:pPr>
              <w:rPr>
                <w:rFonts w:ascii="Times New Roman" w:hAnsi="Times New Roman" w:cs="Times New Roman"/>
                <w:color w:val="000000"/>
                <w:sz w:val="18"/>
                <w:szCs w:val="18"/>
              </w:rPr>
            </w:pPr>
          </w:p>
        </w:tc>
        <w:tc>
          <w:tcPr>
            <w:tcW w:w="1748" w:type="dxa"/>
          </w:tcPr>
          <w:p w14:paraId="797E0701" w14:textId="77777777" w:rsidR="00147F7A" w:rsidRPr="00573080" w:rsidRDefault="00DD48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Number/percentage of patients in 2020</w:t>
            </w:r>
          </w:p>
        </w:tc>
        <w:tc>
          <w:tcPr>
            <w:tcW w:w="3361" w:type="dxa"/>
          </w:tcPr>
          <w:p w14:paraId="72DFA307" w14:textId="77777777" w:rsidR="00147F7A" w:rsidRPr="00573080" w:rsidRDefault="00DD48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Calculation</w:t>
            </w:r>
          </w:p>
        </w:tc>
        <w:tc>
          <w:tcPr>
            <w:tcW w:w="762" w:type="dxa"/>
          </w:tcPr>
          <w:p w14:paraId="087E3284" w14:textId="77777777" w:rsidR="00147F7A" w:rsidRPr="00573080" w:rsidRDefault="00DD48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Source</w:t>
            </w:r>
          </w:p>
        </w:tc>
      </w:tr>
      <w:tr w:rsidR="00147F7A" w:rsidRPr="00573080" w14:paraId="1F75DF2C" w14:textId="77777777" w:rsidTr="00147F7A">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539" w:type="dxa"/>
          </w:tcPr>
          <w:p w14:paraId="6C3C7DDB" w14:textId="77777777" w:rsidR="00147F7A" w:rsidRPr="00573080" w:rsidRDefault="00147F7A">
            <w:pPr>
              <w:jc w:val="center"/>
              <w:rPr>
                <w:rFonts w:ascii="Times New Roman" w:hAnsi="Times New Roman" w:cs="Times New Roman"/>
                <w:color w:val="000000"/>
                <w:sz w:val="18"/>
                <w:szCs w:val="18"/>
              </w:rPr>
            </w:pPr>
          </w:p>
        </w:tc>
        <w:tc>
          <w:tcPr>
            <w:tcW w:w="1748" w:type="dxa"/>
          </w:tcPr>
          <w:p w14:paraId="67B52195" w14:textId="77777777" w:rsidR="00147F7A" w:rsidRPr="00573080" w:rsidRDefault="00147F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361" w:type="dxa"/>
          </w:tcPr>
          <w:p w14:paraId="2AD6480B" w14:textId="77777777" w:rsidR="00147F7A" w:rsidRPr="00573080" w:rsidRDefault="00147F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762" w:type="dxa"/>
          </w:tcPr>
          <w:p w14:paraId="79968B95" w14:textId="77777777" w:rsidR="00147F7A" w:rsidRPr="00573080" w:rsidRDefault="00147F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p>
        </w:tc>
      </w:tr>
      <w:tr w:rsidR="00147F7A" w:rsidRPr="00573080" w14:paraId="732A0927" w14:textId="77777777" w:rsidTr="00147F7A">
        <w:trPr>
          <w:trHeight w:val="191"/>
        </w:trPr>
        <w:tc>
          <w:tcPr>
            <w:cnfStyle w:val="001000000000" w:firstRow="0" w:lastRow="0" w:firstColumn="1" w:lastColumn="0" w:oddVBand="0" w:evenVBand="0" w:oddHBand="0" w:evenHBand="0" w:firstRowFirstColumn="0" w:firstRowLastColumn="0" w:lastRowFirstColumn="0" w:lastRowLastColumn="0"/>
            <w:tcW w:w="3539" w:type="dxa"/>
          </w:tcPr>
          <w:p w14:paraId="07FF6132"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Population the Netherlands </w:t>
            </w:r>
          </w:p>
        </w:tc>
        <w:tc>
          <w:tcPr>
            <w:tcW w:w="1748" w:type="dxa"/>
          </w:tcPr>
          <w:p w14:paraId="6B407635" w14:textId="77777777" w:rsidR="00147F7A" w:rsidRPr="00573080" w:rsidRDefault="00DD486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          17,426,507 </w:t>
            </w:r>
          </w:p>
        </w:tc>
        <w:tc>
          <w:tcPr>
            <w:tcW w:w="3361" w:type="dxa"/>
          </w:tcPr>
          <w:p w14:paraId="2303AE31" w14:textId="77777777" w:rsidR="00147F7A" w:rsidRPr="00573080" w:rsidRDefault="00147F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762" w:type="dxa"/>
          </w:tcPr>
          <w:p w14:paraId="5F3E46AB" w14:textId="7E889216" w:rsidR="00147F7A" w:rsidRPr="00573080" w:rsidRDefault="00DE361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18"/>
                <w:szCs w:val="18"/>
              </w:rPr>
            </w:pPr>
            <w:r>
              <w:rPr>
                <w:rFonts w:ascii="Times New Roman" w:hAnsi="Times New Roman" w:cs="Times New Roman"/>
                <w:i/>
                <w:color w:val="000000"/>
                <w:sz w:val="18"/>
                <w:szCs w:val="18"/>
              </w:rPr>
              <w:fldChar w:fldCharType="begin" w:fldLock="1"/>
            </w:r>
            <w:r>
              <w:rPr>
                <w:rFonts w:ascii="Times New Roman" w:hAnsi="Times New Roman" w:cs="Times New Roman"/>
                <w:i/>
                <w:color w:val="000000"/>
                <w:sz w:val="18"/>
                <w:szCs w:val="18"/>
              </w:rPr>
              <w:instrText>ADDIN CSL_CITATION {"citationItems":[{"id":"ITEM-1","itemData":{"author":[{"dropping-particle":"","family":"Dutch Statistics","given":"","non-dropping-particle":"","parse-names":false,"suffix":""}],"id":"ITEM-1","issued":{"date-parts":[["0"]]},"title":"Bevolking; kerncijfers","type":"webpage"},"uris":["http://www.mendeley.com/documents/?uuid=a53a4591-8668-422f-b673-3a9524a5ff2a"]}],"mendeley":{"formattedCitation":"[8]","plainTextFormattedCitation":"[8]","previouslyFormattedCitation":"[8]"},"properties":{"noteIndex":0},"schema":"https://github.com/citation-style-language/schema/raw/master/csl-citation.json"}</w:instrText>
            </w:r>
            <w:r>
              <w:rPr>
                <w:rFonts w:ascii="Times New Roman" w:hAnsi="Times New Roman" w:cs="Times New Roman"/>
                <w:i/>
                <w:color w:val="000000"/>
                <w:sz w:val="18"/>
                <w:szCs w:val="18"/>
              </w:rPr>
              <w:fldChar w:fldCharType="separate"/>
            </w:r>
            <w:r w:rsidRPr="00DE3612">
              <w:rPr>
                <w:rFonts w:ascii="Times New Roman" w:hAnsi="Times New Roman" w:cs="Times New Roman"/>
                <w:noProof/>
                <w:color w:val="000000"/>
                <w:sz w:val="18"/>
                <w:szCs w:val="18"/>
              </w:rPr>
              <w:t>[8]</w:t>
            </w:r>
            <w:r>
              <w:rPr>
                <w:rFonts w:ascii="Times New Roman" w:hAnsi="Times New Roman" w:cs="Times New Roman"/>
                <w:i/>
                <w:color w:val="000000"/>
                <w:sz w:val="18"/>
                <w:szCs w:val="18"/>
              </w:rPr>
              <w:fldChar w:fldCharType="end"/>
            </w:r>
          </w:p>
        </w:tc>
      </w:tr>
      <w:tr w:rsidR="00147F7A" w:rsidRPr="00573080" w14:paraId="2CF67381" w14:textId="77777777" w:rsidTr="00147F7A">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539" w:type="dxa"/>
          </w:tcPr>
          <w:p w14:paraId="2EAE00C0"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15 year prevalence PNH</w:t>
            </w:r>
          </w:p>
        </w:tc>
        <w:tc>
          <w:tcPr>
            <w:tcW w:w="1748" w:type="dxa"/>
          </w:tcPr>
          <w:p w14:paraId="645F88A9" w14:textId="77777777" w:rsidR="00147F7A" w:rsidRPr="00573080" w:rsidRDefault="00DD486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0.00159% </w:t>
            </w:r>
          </w:p>
        </w:tc>
        <w:tc>
          <w:tcPr>
            <w:tcW w:w="3361" w:type="dxa"/>
          </w:tcPr>
          <w:p w14:paraId="400A9D1A" w14:textId="77777777" w:rsidR="00147F7A" w:rsidRPr="00573080" w:rsidRDefault="00147F7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62" w:type="dxa"/>
          </w:tcPr>
          <w:p w14:paraId="7239C2E3" w14:textId="52EE0D85" w:rsidR="00147F7A" w:rsidRPr="00573080" w:rsidRDefault="00DE36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18"/>
                <w:szCs w:val="18"/>
              </w:rPr>
            </w:pPr>
            <w:r>
              <w:rPr>
                <w:rFonts w:ascii="Times New Roman" w:hAnsi="Times New Roman" w:cs="Times New Roman"/>
                <w:i/>
                <w:color w:val="000000"/>
                <w:sz w:val="18"/>
                <w:szCs w:val="18"/>
              </w:rPr>
              <w:fldChar w:fldCharType="begin" w:fldLock="1"/>
            </w:r>
            <w:r>
              <w:rPr>
                <w:rFonts w:ascii="Times New Roman" w:hAnsi="Times New Roman" w:cs="Times New Roman"/>
                <w:i/>
                <w:color w:val="000000"/>
                <w:sz w:val="18"/>
                <w:szCs w:val="18"/>
              </w:rPr>
              <w:instrText>ADDIN CSL_CITATION {"citationItems":[{"id":"ITEM-1","itemData":{"DOI":"10.1182/blood.v108.11.985.985","ISSN":"0006-4971","abstract":"Paroxysmal nocturnal hemoglobinuria (PNH) is an acquired clonal stem cell disorder characterized by the expansion of a population of blood cells deficient in glycosylphosphatidylinositol (GPI) linked proteins. This results in the classical clinical features of intravascular hemolysis and thrombosis. PNH is known to be a rare disorder, but its incidence and prevalence have so far been poorly defined with very few studies. In order to better define the incidence and prevalence of PNH, survival data was collected on all patients diagnosed with PNH in the strategic health authorities of North and East Yorkshire, Northern Lincolnshire and West Yorkshire between January 1991 and July 2006. All patients were diagnosed by flow cytometry for GPI-linked antigens on red cells and neutrophils at a single reference laboratory (HMDS). The population of the study region is 3,742,835 (based on the 2001 census of Britain). 76 PNH patients were diagnosed during this time period giving an incidence of 0.13/100,000/year. Based on incidence and survival rates, the estimated 15 year prevalence of PNH is 1.59 per 100,000 resulting in a predicted prevalence of 59 patients in the study region. We have previously demonstrated that a neutrophil clone size &amp;gt;50% is a predictor of increased thrombotic risk; the current study predicts that 25% of patients will have &amp;gt;50% PNH neutrophil clone size, 43% with &amp;gt;10%, and 82% with &amp;gt;1%. Platelet count &amp;gt;100 x 109/L has been used as a criteria to consider primary prophylactic anticoagulation in PNH patients with substantial hemolysis if the neutrophil clone size is &amp;gt;50%. In the current study, the platelet count is &amp;gt;100 x 109/L in 32% of patients and &amp;lt;30 x 109/L in 27%. The primary clinical manifestation of PNH is intravascular hemolysis and although levels of hemolysis vary considerably between patients even those with relatively small PNH clones will have some degree of hemolysis. Levels of LDH (a sensitive marker of hemolysis) were elevated above the upper limit of the normal range in 82.5% of patients. Of the 59 patients in the study region, 33% reported hemoglobinuria. Overall survival was 78% with a median follow-up of 6.25 years (range 0 to 15 years). Survival was compared between patients with a) hemoglobinuria (89%) vs. those without (76%); b) neutrophil clone size ≥50% (81%) vs. &amp;lt;50% (80%) and c) Platelet counts &amp;lt;30 x 109/L (61%) vs. ≥30 x 109/L (86%) by univariate analysis. Hazard ratios and 95% confiden…","author":[{"dropping-particle":"","family":"Hill","given":"Anita","non-dropping-particle":"","parse-names":false,"suffix":""},{"dropping-particle":"","family":"Platts","given":"Philip J.","non-dropping-particle":"","parse-names":false,"suffix":""},{"dropping-particle":"","family":"Smith","given":"Alex","non-dropping-particle":"","parse-names":false,"suffix":""},{"dropping-particle":"","family":"Richards","given":"Stephen J.","non-dropping-particle":"","parse-names":false,"suffix":""},{"dropping-particle":"","family":"Cullen","given":"Matthew J.","non-dropping-particle":"","parse-names":false,"suffix":""},{"dropping-particle":"","family":"Hill","given":"Quentin A.","non-dropping-particle":"","parse-names":false,"suffix":""},{"dropping-particle":"","family":"Roman","given":"Eve","non-dropping-particle":"","parse-names":false,"suffix":""},{"dropping-particle":"","family":"Hillmen","given":"Peter","non-dropping-particle":"","parse-names":false,"suffix":""}],"container-title":"Blood","id":"ITEM-1","issue":"11","issued":{"date-parts":[["2006","11"]]},"page":"985-985","publisher":"American Society of Hematology","title":"The Incidence and Prevalence of Paroxysmal Nocturnal Hemoglobinuria (PNH) and Survival of Patients in Yorkshire.","type":"article-journal","volume":"108"},"uris":["http://www.mendeley.com/documents/?uuid=259d20d0-9ba4-46cb-929a-c85fdd1bd9a3"]}],"mendeley":{"formattedCitation":"[9]","plainTextFormattedCitation":"[9]","previouslyFormattedCitation":"[9]"},"properties":{"noteIndex":0},"schema":"https://github.com/citation-style-language/schema/raw/master/csl-citation.json"}</w:instrText>
            </w:r>
            <w:r>
              <w:rPr>
                <w:rFonts w:ascii="Times New Roman" w:hAnsi="Times New Roman" w:cs="Times New Roman"/>
                <w:i/>
                <w:color w:val="000000"/>
                <w:sz w:val="18"/>
                <w:szCs w:val="18"/>
              </w:rPr>
              <w:fldChar w:fldCharType="separate"/>
            </w:r>
            <w:r w:rsidRPr="00DE3612">
              <w:rPr>
                <w:rFonts w:ascii="Times New Roman" w:hAnsi="Times New Roman" w:cs="Times New Roman"/>
                <w:noProof/>
                <w:color w:val="000000"/>
                <w:sz w:val="18"/>
                <w:szCs w:val="18"/>
              </w:rPr>
              <w:t>[9]</w:t>
            </w:r>
            <w:r>
              <w:rPr>
                <w:rFonts w:ascii="Times New Roman" w:hAnsi="Times New Roman" w:cs="Times New Roman"/>
                <w:i/>
                <w:color w:val="000000"/>
                <w:sz w:val="18"/>
                <w:szCs w:val="18"/>
              </w:rPr>
              <w:fldChar w:fldCharType="end"/>
            </w:r>
          </w:p>
        </w:tc>
      </w:tr>
      <w:tr w:rsidR="00147F7A" w:rsidRPr="00573080" w14:paraId="6F8B8AFD" w14:textId="77777777" w:rsidTr="00147F7A">
        <w:trPr>
          <w:trHeight w:val="191"/>
        </w:trPr>
        <w:tc>
          <w:tcPr>
            <w:cnfStyle w:val="001000000000" w:firstRow="0" w:lastRow="0" w:firstColumn="1" w:lastColumn="0" w:oddVBand="0" w:evenVBand="0" w:oddHBand="0" w:evenHBand="0" w:firstRowFirstColumn="0" w:firstRowLastColumn="0" w:lastRowFirstColumn="0" w:lastRowLastColumn="0"/>
            <w:tcW w:w="3539" w:type="dxa"/>
          </w:tcPr>
          <w:p w14:paraId="05B9EB37"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Number of PNH patients in the Netherlands </w:t>
            </w:r>
          </w:p>
        </w:tc>
        <w:tc>
          <w:tcPr>
            <w:tcW w:w="1748" w:type="dxa"/>
          </w:tcPr>
          <w:p w14:paraId="48815E2B" w14:textId="77777777" w:rsidR="00147F7A" w:rsidRPr="00573080" w:rsidRDefault="00DD486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277 </w:t>
            </w:r>
          </w:p>
        </w:tc>
        <w:tc>
          <w:tcPr>
            <w:tcW w:w="3361" w:type="dxa"/>
          </w:tcPr>
          <w:p w14:paraId="26067283" w14:textId="77777777" w:rsidR="00147F7A" w:rsidRPr="00573080" w:rsidRDefault="00DD48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573080">
              <w:rPr>
                <w:rFonts w:ascii="Times New Roman" w:hAnsi="Times New Roman" w:cs="Times New Roman"/>
                <w:color w:val="000000"/>
                <w:sz w:val="18"/>
                <w:szCs w:val="18"/>
              </w:rPr>
              <w:t>Prevalence * Population size</w:t>
            </w:r>
          </w:p>
        </w:tc>
        <w:tc>
          <w:tcPr>
            <w:tcW w:w="762" w:type="dxa"/>
          </w:tcPr>
          <w:p w14:paraId="6063CBBA" w14:textId="77777777" w:rsidR="00147F7A" w:rsidRPr="00573080" w:rsidRDefault="00147F7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sz w:val="18"/>
                <w:szCs w:val="18"/>
              </w:rPr>
            </w:pPr>
          </w:p>
        </w:tc>
      </w:tr>
      <w:tr w:rsidR="00147F7A" w:rsidRPr="00573080" w14:paraId="37EEFB6A" w14:textId="77777777" w:rsidTr="00147F7A">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539" w:type="dxa"/>
          </w:tcPr>
          <w:p w14:paraId="576005BE"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Percentage of patients diagnosed in the Netherlands </w:t>
            </w:r>
          </w:p>
        </w:tc>
        <w:tc>
          <w:tcPr>
            <w:tcW w:w="1748" w:type="dxa"/>
          </w:tcPr>
          <w:p w14:paraId="19C9315A" w14:textId="77777777" w:rsidR="00147F7A" w:rsidRPr="00573080" w:rsidRDefault="00DD486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50%</w:t>
            </w:r>
          </w:p>
        </w:tc>
        <w:tc>
          <w:tcPr>
            <w:tcW w:w="3361" w:type="dxa"/>
          </w:tcPr>
          <w:p w14:paraId="56770FAD" w14:textId="77777777" w:rsidR="00147F7A" w:rsidRPr="00573080" w:rsidRDefault="00147F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62" w:type="dxa"/>
          </w:tcPr>
          <w:p w14:paraId="30A152B7" w14:textId="792C313E" w:rsidR="00147F7A" w:rsidRPr="00573080" w:rsidRDefault="00DE36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18"/>
                <w:szCs w:val="18"/>
              </w:rPr>
            </w:pPr>
            <w:r>
              <w:rPr>
                <w:rFonts w:ascii="Times New Roman" w:hAnsi="Times New Roman" w:cs="Times New Roman"/>
                <w:i/>
                <w:color w:val="000000"/>
                <w:sz w:val="18"/>
                <w:szCs w:val="18"/>
              </w:rPr>
              <w:fldChar w:fldCharType="begin" w:fldLock="1"/>
            </w:r>
            <w:r>
              <w:rPr>
                <w:rFonts w:ascii="Times New Roman" w:hAnsi="Times New Roman" w:cs="Times New Roman"/>
                <w:i/>
                <w:color w:val="000000"/>
                <w:sz w:val="18"/>
                <w:szCs w:val="18"/>
              </w:rPr>
              <w:instrText>ADDIN CSL_CITATION {"citationItems":[{"id":"ITEM-1","itemData":{"author":[{"dropping-particle":"","family":"Alexion internal data PNH register.","given":"","non-dropping-particle":"","parse-names":false,"suffix":""}],"id":"ITEM-1","issued":{"date-parts":[["0"]]},"title":"No Title","type":"article-journal"},"uris":["http://www.mendeley.com/documents/?uuid=a301f46b-bf83-4015-a69b-caa130b320ca"]}],"mendeley":{"formattedCitation":"[10]","plainTextFormattedCitation":"[10]","previouslyFormattedCitation":"[10]"},"properties":{"noteIndex":0},"schema":"https://github.com/citation-style-language/schema/raw/master/csl-citation.json"}</w:instrText>
            </w:r>
            <w:r>
              <w:rPr>
                <w:rFonts w:ascii="Times New Roman" w:hAnsi="Times New Roman" w:cs="Times New Roman"/>
                <w:i/>
                <w:color w:val="000000"/>
                <w:sz w:val="18"/>
                <w:szCs w:val="18"/>
              </w:rPr>
              <w:fldChar w:fldCharType="separate"/>
            </w:r>
            <w:r w:rsidRPr="00DE3612">
              <w:rPr>
                <w:rFonts w:ascii="Times New Roman" w:hAnsi="Times New Roman" w:cs="Times New Roman"/>
                <w:noProof/>
                <w:color w:val="000000"/>
                <w:sz w:val="18"/>
                <w:szCs w:val="18"/>
              </w:rPr>
              <w:t>[10]</w:t>
            </w:r>
            <w:r>
              <w:rPr>
                <w:rFonts w:ascii="Times New Roman" w:hAnsi="Times New Roman" w:cs="Times New Roman"/>
                <w:i/>
                <w:color w:val="000000"/>
                <w:sz w:val="18"/>
                <w:szCs w:val="18"/>
              </w:rPr>
              <w:fldChar w:fldCharType="end"/>
            </w:r>
          </w:p>
        </w:tc>
      </w:tr>
      <w:tr w:rsidR="00147F7A" w:rsidRPr="00573080" w14:paraId="37F35E06" w14:textId="77777777" w:rsidTr="00147F7A">
        <w:trPr>
          <w:trHeight w:val="191"/>
        </w:trPr>
        <w:tc>
          <w:tcPr>
            <w:cnfStyle w:val="001000000000" w:firstRow="0" w:lastRow="0" w:firstColumn="1" w:lastColumn="0" w:oddVBand="0" w:evenVBand="0" w:oddHBand="0" w:evenHBand="0" w:firstRowFirstColumn="0" w:firstRowLastColumn="0" w:lastRowFirstColumn="0" w:lastRowLastColumn="0"/>
            <w:tcW w:w="3539" w:type="dxa"/>
          </w:tcPr>
          <w:p w14:paraId="662FEF8A"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Number of diagnosed patients</w:t>
            </w:r>
          </w:p>
        </w:tc>
        <w:tc>
          <w:tcPr>
            <w:tcW w:w="1748" w:type="dxa"/>
          </w:tcPr>
          <w:p w14:paraId="58057FC3" w14:textId="77777777" w:rsidR="00147F7A" w:rsidRPr="00573080" w:rsidRDefault="00DD486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139 </w:t>
            </w:r>
          </w:p>
        </w:tc>
        <w:tc>
          <w:tcPr>
            <w:tcW w:w="3361" w:type="dxa"/>
          </w:tcPr>
          <w:p w14:paraId="660334A1" w14:textId="77777777" w:rsidR="00147F7A" w:rsidRPr="00573080" w:rsidRDefault="00DD48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573080">
              <w:rPr>
                <w:rFonts w:ascii="Times New Roman" w:hAnsi="Times New Roman" w:cs="Times New Roman"/>
                <w:color w:val="000000"/>
                <w:sz w:val="18"/>
                <w:szCs w:val="18"/>
              </w:rPr>
              <w:t>Percentage of patients diagnosed * Number of PNH patients in the Netherlands</w:t>
            </w:r>
          </w:p>
        </w:tc>
        <w:tc>
          <w:tcPr>
            <w:tcW w:w="762" w:type="dxa"/>
          </w:tcPr>
          <w:p w14:paraId="2406E7B2" w14:textId="77777777" w:rsidR="00147F7A" w:rsidRPr="00573080" w:rsidRDefault="00147F7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sz w:val="18"/>
                <w:szCs w:val="18"/>
              </w:rPr>
            </w:pPr>
          </w:p>
        </w:tc>
      </w:tr>
      <w:tr w:rsidR="00147F7A" w:rsidRPr="00573080" w14:paraId="4FE8D1C1" w14:textId="77777777" w:rsidTr="00147F7A">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539" w:type="dxa"/>
          </w:tcPr>
          <w:p w14:paraId="0E6AD52A"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Percentage of patients treated</w:t>
            </w:r>
          </w:p>
        </w:tc>
        <w:tc>
          <w:tcPr>
            <w:tcW w:w="1748" w:type="dxa"/>
          </w:tcPr>
          <w:p w14:paraId="33805C96" w14:textId="77777777" w:rsidR="00147F7A" w:rsidRPr="00573080" w:rsidRDefault="00DD486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60%</w:t>
            </w:r>
          </w:p>
        </w:tc>
        <w:tc>
          <w:tcPr>
            <w:tcW w:w="3361" w:type="dxa"/>
          </w:tcPr>
          <w:p w14:paraId="5E6CC666" w14:textId="77777777" w:rsidR="00147F7A" w:rsidRPr="00573080" w:rsidRDefault="00147F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62" w:type="dxa"/>
          </w:tcPr>
          <w:p w14:paraId="0E042414" w14:textId="64E294A3" w:rsidR="00147F7A" w:rsidRPr="00573080" w:rsidRDefault="00DE36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18"/>
                <w:szCs w:val="18"/>
              </w:rPr>
            </w:pPr>
            <w:r>
              <w:rPr>
                <w:rFonts w:ascii="Times New Roman" w:hAnsi="Times New Roman" w:cs="Times New Roman"/>
                <w:i/>
                <w:color w:val="000000"/>
                <w:sz w:val="18"/>
                <w:szCs w:val="18"/>
              </w:rPr>
              <w:fldChar w:fldCharType="begin" w:fldLock="1"/>
            </w:r>
            <w:r>
              <w:rPr>
                <w:rFonts w:ascii="Times New Roman" w:hAnsi="Times New Roman" w:cs="Times New Roman"/>
                <w:i/>
                <w:color w:val="000000"/>
                <w:sz w:val="18"/>
                <w:szCs w:val="18"/>
              </w:rPr>
              <w:instrText>ADDIN CSL_CITATION {"citationItems":[{"id":"ITEM-1","itemData":{"author":[{"dropping-particle":"","family":"Alexion internal data PNH register.","given":"","non-dropping-particle":"","parse-names":false,"suffix":""}],"id":"ITEM-1","issued":{"date-parts":[["0"]]},"title":"No Title","type":"article-journal"},"uris":["http://www.mendeley.com/documents/?uuid=a301f46b-bf83-4015-a69b-caa130b320ca"]}],"mendeley":{"formattedCitation":"[10]","plainTextFormattedCitation":"[10]","previouslyFormattedCitation":"[10]"},"properties":{"noteIndex":0},"schema":"https://github.com/citation-style-language/schema/raw/master/csl-citation.json"}</w:instrText>
            </w:r>
            <w:r>
              <w:rPr>
                <w:rFonts w:ascii="Times New Roman" w:hAnsi="Times New Roman" w:cs="Times New Roman"/>
                <w:i/>
                <w:color w:val="000000"/>
                <w:sz w:val="18"/>
                <w:szCs w:val="18"/>
              </w:rPr>
              <w:fldChar w:fldCharType="separate"/>
            </w:r>
            <w:r w:rsidRPr="00DE3612">
              <w:rPr>
                <w:rFonts w:ascii="Times New Roman" w:hAnsi="Times New Roman" w:cs="Times New Roman"/>
                <w:noProof/>
                <w:color w:val="000000"/>
                <w:sz w:val="18"/>
                <w:szCs w:val="18"/>
              </w:rPr>
              <w:t>[10]</w:t>
            </w:r>
            <w:r>
              <w:rPr>
                <w:rFonts w:ascii="Times New Roman" w:hAnsi="Times New Roman" w:cs="Times New Roman"/>
                <w:i/>
                <w:color w:val="000000"/>
                <w:sz w:val="18"/>
                <w:szCs w:val="18"/>
              </w:rPr>
              <w:fldChar w:fldCharType="end"/>
            </w:r>
          </w:p>
        </w:tc>
      </w:tr>
      <w:tr w:rsidR="00147F7A" w:rsidRPr="00573080" w14:paraId="2FABE627" w14:textId="77777777" w:rsidTr="00147F7A">
        <w:trPr>
          <w:trHeight w:val="191"/>
        </w:trPr>
        <w:tc>
          <w:tcPr>
            <w:cnfStyle w:val="001000000000" w:firstRow="0" w:lastRow="0" w:firstColumn="1" w:lastColumn="0" w:oddVBand="0" w:evenVBand="0" w:oddHBand="0" w:evenHBand="0" w:firstRowFirstColumn="0" w:firstRowLastColumn="0" w:lastRowFirstColumn="0" w:lastRowLastColumn="0"/>
            <w:tcW w:w="3539" w:type="dxa"/>
          </w:tcPr>
          <w:p w14:paraId="31C3C5B0"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Number of patients treated</w:t>
            </w:r>
          </w:p>
        </w:tc>
        <w:tc>
          <w:tcPr>
            <w:tcW w:w="1748" w:type="dxa"/>
          </w:tcPr>
          <w:p w14:paraId="3E83ABFB" w14:textId="77777777" w:rsidR="00147F7A" w:rsidRPr="00573080" w:rsidRDefault="00DD486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84 </w:t>
            </w:r>
          </w:p>
        </w:tc>
        <w:tc>
          <w:tcPr>
            <w:tcW w:w="3361" w:type="dxa"/>
          </w:tcPr>
          <w:p w14:paraId="5C699B1E" w14:textId="77777777" w:rsidR="00147F7A" w:rsidRPr="00573080" w:rsidRDefault="00DD48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573080">
              <w:rPr>
                <w:rFonts w:ascii="Times New Roman" w:hAnsi="Times New Roman" w:cs="Times New Roman"/>
                <w:color w:val="000000"/>
                <w:sz w:val="18"/>
                <w:szCs w:val="18"/>
              </w:rPr>
              <w:t>Number of patients diagnosed * Percentage of patients treated</w:t>
            </w:r>
          </w:p>
        </w:tc>
        <w:tc>
          <w:tcPr>
            <w:tcW w:w="762" w:type="dxa"/>
          </w:tcPr>
          <w:p w14:paraId="5A70AD0E" w14:textId="77777777" w:rsidR="00147F7A" w:rsidRPr="00573080" w:rsidRDefault="00147F7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sz w:val="18"/>
                <w:szCs w:val="18"/>
              </w:rPr>
            </w:pPr>
          </w:p>
        </w:tc>
      </w:tr>
      <w:tr w:rsidR="00147F7A" w:rsidRPr="00573080" w14:paraId="5B55AE8F" w14:textId="77777777" w:rsidTr="00147F7A">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000000"/>
            </w:tcBorders>
          </w:tcPr>
          <w:p w14:paraId="70A92781"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Incidence PNH </w:t>
            </w:r>
          </w:p>
        </w:tc>
        <w:tc>
          <w:tcPr>
            <w:tcW w:w="1748" w:type="dxa"/>
            <w:tcBorders>
              <w:bottom w:val="single" w:sz="4" w:space="0" w:color="000000"/>
            </w:tcBorders>
          </w:tcPr>
          <w:p w14:paraId="245D68B1" w14:textId="77777777" w:rsidR="00147F7A" w:rsidRPr="00573080" w:rsidRDefault="00DD486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0.00013%</w:t>
            </w:r>
          </w:p>
        </w:tc>
        <w:tc>
          <w:tcPr>
            <w:tcW w:w="3361" w:type="dxa"/>
            <w:tcBorders>
              <w:bottom w:val="single" w:sz="4" w:space="0" w:color="000000"/>
            </w:tcBorders>
          </w:tcPr>
          <w:p w14:paraId="2E860646" w14:textId="77777777" w:rsidR="00147F7A" w:rsidRPr="00573080" w:rsidRDefault="00147F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62" w:type="dxa"/>
            <w:tcBorders>
              <w:bottom w:val="single" w:sz="4" w:space="0" w:color="000000"/>
            </w:tcBorders>
          </w:tcPr>
          <w:p w14:paraId="66AB7934" w14:textId="2B7FBE57" w:rsidR="00147F7A" w:rsidRPr="00573080" w:rsidRDefault="00DE361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18"/>
                <w:szCs w:val="18"/>
              </w:rPr>
            </w:pPr>
            <w:r>
              <w:rPr>
                <w:rFonts w:ascii="Times New Roman" w:hAnsi="Times New Roman" w:cs="Times New Roman"/>
                <w:i/>
                <w:color w:val="000000"/>
                <w:sz w:val="18"/>
                <w:szCs w:val="18"/>
              </w:rPr>
              <w:fldChar w:fldCharType="begin" w:fldLock="1"/>
            </w:r>
            <w:r w:rsidR="006B2670">
              <w:rPr>
                <w:rFonts w:ascii="Times New Roman" w:hAnsi="Times New Roman" w:cs="Times New Roman"/>
                <w:i/>
                <w:color w:val="000000"/>
                <w:sz w:val="18"/>
                <w:szCs w:val="18"/>
              </w:rPr>
              <w:instrText>ADDIN CSL_CITATION {"citationItems":[{"id":"ITEM-1","itemData":{"DOI":"10.1182/blood.v108.11.985.985","ISSN":"0006-4971","abstract":"Paroxysmal nocturnal hemoglobinuria (PNH) is an acquired clonal stem cell disorder characterized by the expansion of a population of blood cells deficient in glycosylphosphatidylinositol (GPI) linked proteins. This results in the classical clinical features of intravascular hemolysis and thrombosis. PNH is known to be a rare disorder, but its incidence and prevalence have so far been poorly defined with very few studies. In order to better define the incidence and prevalence of PNH, survival data was collected on all patients diagnosed with PNH in the strategic health authorities of North and East Yorkshire, Northern Lincolnshire and West Yorkshire between January 1991 and July 2006. All patients were diagnosed by flow cytometry for GPI-linked antigens on red cells and neutrophils at a single reference laboratory (HMDS). The population of the study region is 3,742,835 (based on the 2001 census of Britain). 76 PNH patients were diagnosed during this time period giving an incidence of 0.13/100,000/year. Based on incidence and survival rates, the estimated 15 year prevalence of PNH is 1.59 per 100,000 resulting in a predicted prevalence of 59 patients in the study region. We have previously demonstrated that a neutrophil clone size &amp;gt;50% is a predictor of increased thrombotic risk; the current study predicts that 25% of patients will have &amp;gt;50% PNH neutrophil clone size, 43% with &amp;gt;10%, and 82% with &amp;gt;1%. Platelet count &amp;gt;100 x 109/L has been used as a criteria to consider primary prophylactic anticoagulation in PNH patients with substantial hemolysis if the neutrophil clone size is &amp;gt;50%. In the current study, the platelet count is &amp;gt;100 x 109/L in 32% of patients and &amp;lt;30 x 109/L in 27%. The primary clinical manifestation of PNH is intravascular hemolysis and although levels of hemolysis vary considerably between patients even those with relatively small PNH clones will have some degree of hemolysis. Levels of LDH (a sensitive marker of hemolysis) were elevated above the upper limit of the normal range in 82.5% of patients. Of the 59 patients in the study region, 33% reported hemoglobinuria. Overall survival was 78% with a median follow-up of 6.25 years (range 0 to 15 years). Survival was compared between patients with a) hemoglobinuria (89%) vs. those without (76%); b) neutrophil clone size ≥50% (81%) vs. &amp;lt;50% (80%) and c) Platelet counts &amp;lt;30 x 109/L (61%) vs. ≥30 x 109/L (86%) by univariate analysis. Hazard ratios and 95% confiden…","author":[{"dropping-particle":"","family":"Hill","given":"Anita","non-dropping-particle":"","parse-names":false,"suffix":""},{"dropping-particle":"","family":"Platts","given":"Philip J.","non-dropping-particle":"","parse-names":false,"suffix":""},{"dropping-particle":"","family":"Smith","given":"Alex","non-dropping-particle":"","parse-names":false,"suffix":""},{"dropping-particle":"","family":"Richards","given":"Stephen J.","non-dropping-particle":"","parse-names":false,"suffix":""},{"dropping-particle":"","family":"Cullen","given":"Matthew J.","non-dropping-particle":"","parse-names":false,"suffix":""},{"dropping-particle":"","family":"Hill","given":"Quentin A.","non-dropping-particle":"","parse-names":false,"suffix":""},{"dropping-particle":"","family":"Roman","given":"Eve","non-dropping-particle":"","parse-names":false,"suffix":""},{"dropping-particle":"","family":"Hillmen","given":"Peter","non-dropping-particle":"","parse-names":false,"suffix":""}],"container-title":"Blood","id":"ITEM-1","issue":"11","issued":{"date-parts":[["2006","11"]]},"page":"985-985","publisher":"American Society of Hematology","title":"The Incidence and Prevalence of Paroxysmal Nocturnal Hemoglobinuria (PNH) and Survival of Patients in Yorkshire.","type":"article-journal","volume":"108"},"uris":["http://www.mendeley.com/documents/?uuid=259d20d0-9ba4-46cb-929a-c85fdd1bd9a3"]}],"mendeley":{"formattedCitation":"[9]","plainTextFormattedCitation":"[9]","previouslyFormattedCitation":"[9]"},"properties":{"noteIndex":0},"schema":"https://github.com/citation-style-language/schema/raw/master/csl-citation.json"}</w:instrText>
            </w:r>
            <w:r>
              <w:rPr>
                <w:rFonts w:ascii="Times New Roman" w:hAnsi="Times New Roman" w:cs="Times New Roman"/>
                <w:i/>
                <w:color w:val="000000"/>
                <w:sz w:val="18"/>
                <w:szCs w:val="18"/>
              </w:rPr>
              <w:fldChar w:fldCharType="separate"/>
            </w:r>
            <w:r w:rsidRPr="00DE3612">
              <w:rPr>
                <w:rFonts w:ascii="Times New Roman" w:hAnsi="Times New Roman" w:cs="Times New Roman"/>
                <w:noProof/>
                <w:color w:val="000000"/>
                <w:sz w:val="18"/>
                <w:szCs w:val="18"/>
              </w:rPr>
              <w:t>[9]</w:t>
            </w:r>
            <w:r>
              <w:rPr>
                <w:rFonts w:ascii="Times New Roman" w:hAnsi="Times New Roman" w:cs="Times New Roman"/>
                <w:i/>
                <w:color w:val="000000"/>
                <w:sz w:val="18"/>
                <w:szCs w:val="18"/>
              </w:rPr>
              <w:fldChar w:fldCharType="end"/>
            </w:r>
          </w:p>
        </w:tc>
      </w:tr>
      <w:tr w:rsidR="00147F7A" w:rsidRPr="00573080" w14:paraId="615F0F54" w14:textId="77777777" w:rsidTr="00147F7A">
        <w:trPr>
          <w:trHeight w:val="165"/>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000000"/>
            </w:tcBorders>
            <w:shd w:val="clear" w:color="auto" w:fill="E7E6E6"/>
          </w:tcPr>
          <w:p w14:paraId="011688A8"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New patients (cohort 1) (n</w:t>
            </w:r>
            <w:proofErr w:type="gramStart"/>
            <w:r w:rsidRPr="00573080">
              <w:rPr>
                <w:rFonts w:ascii="Times New Roman" w:hAnsi="Times New Roman" w:cs="Times New Roman"/>
                <w:color w:val="000000"/>
                <w:sz w:val="18"/>
                <w:szCs w:val="18"/>
              </w:rPr>
              <w:t>,%</w:t>
            </w:r>
            <w:proofErr w:type="gramEnd"/>
            <w:r w:rsidRPr="00573080">
              <w:rPr>
                <w:rFonts w:ascii="Times New Roman" w:hAnsi="Times New Roman" w:cs="Times New Roman"/>
                <w:color w:val="000000"/>
                <w:sz w:val="18"/>
                <w:szCs w:val="18"/>
              </w:rPr>
              <w:t>)</w:t>
            </w:r>
          </w:p>
        </w:tc>
        <w:tc>
          <w:tcPr>
            <w:tcW w:w="1748" w:type="dxa"/>
            <w:tcBorders>
              <w:top w:val="single" w:sz="4" w:space="0" w:color="000000"/>
            </w:tcBorders>
            <w:shd w:val="clear" w:color="auto" w:fill="E7E6E6"/>
          </w:tcPr>
          <w:p w14:paraId="58854D4D" w14:textId="77777777" w:rsidR="00147F7A" w:rsidRPr="00573080" w:rsidRDefault="00DD486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sz w:val="18"/>
                <w:szCs w:val="18"/>
              </w:rPr>
            </w:pPr>
            <w:r w:rsidRPr="00573080">
              <w:rPr>
                <w:rFonts w:ascii="Times New Roman" w:hAnsi="Times New Roman" w:cs="Times New Roman"/>
                <w:b/>
                <w:i/>
                <w:color w:val="000000"/>
                <w:sz w:val="18"/>
                <w:szCs w:val="18"/>
              </w:rPr>
              <w:t>7, 8.3%</w:t>
            </w:r>
          </w:p>
        </w:tc>
        <w:tc>
          <w:tcPr>
            <w:tcW w:w="3361" w:type="dxa"/>
            <w:tcBorders>
              <w:top w:val="single" w:sz="4" w:space="0" w:color="000000"/>
            </w:tcBorders>
            <w:shd w:val="clear" w:color="auto" w:fill="E7E6E6"/>
          </w:tcPr>
          <w:p w14:paraId="0CF36CA0" w14:textId="77777777" w:rsidR="00147F7A" w:rsidRPr="00573080" w:rsidRDefault="00DD48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Incidence *Percentage of patients treated * Percentage of patients diagnosed * Population in the Netherlands</w:t>
            </w:r>
          </w:p>
        </w:tc>
        <w:tc>
          <w:tcPr>
            <w:tcW w:w="762" w:type="dxa"/>
            <w:tcBorders>
              <w:top w:val="single" w:sz="4" w:space="0" w:color="000000"/>
            </w:tcBorders>
            <w:shd w:val="clear" w:color="auto" w:fill="E7E6E6"/>
          </w:tcPr>
          <w:p w14:paraId="719AF968" w14:textId="77777777" w:rsidR="00147F7A" w:rsidRPr="00573080" w:rsidRDefault="00147F7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18"/>
                <w:szCs w:val="18"/>
              </w:rPr>
            </w:pPr>
          </w:p>
        </w:tc>
      </w:tr>
      <w:tr w:rsidR="00147F7A" w:rsidRPr="00573080" w14:paraId="2F7E303F" w14:textId="77777777" w:rsidTr="00147F7A">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539" w:type="dxa"/>
            <w:shd w:val="clear" w:color="auto" w:fill="E7E6E6"/>
          </w:tcPr>
          <w:p w14:paraId="16DBEFCC" w14:textId="77777777" w:rsidR="00147F7A" w:rsidRPr="00573080" w:rsidRDefault="00DD486F">
            <w:pPr>
              <w:rPr>
                <w:rFonts w:ascii="Times New Roman" w:hAnsi="Times New Roman" w:cs="Times New Roman"/>
                <w:color w:val="000000"/>
                <w:sz w:val="18"/>
                <w:szCs w:val="18"/>
              </w:rPr>
            </w:pPr>
            <w:r w:rsidRPr="00573080">
              <w:rPr>
                <w:rFonts w:ascii="Times New Roman" w:hAnsi="Times New Roman" w:cs="Times New Roman"/>
                <w:color w:val="000000"/>
                <w:sz w:val="18"/>
                <w:szCs w:val="18"/>
              </w:rPr>
              <w:t>Currently treated patients (cohort 2) (n</w:t>
            </w:r>
            <w:proofErr w:type="gramStart"/>
            <w:r w:rsidRPr="00573080">
              <w:rPr>
                <w:rFonts w:ascii="Times New Roman" w:hAnsi="Times New Roman" w:cs="Times New Roman"/>
                <w:color w:val="000000"/>
                <w:sz w:val="18"/>
                <w:szCs w:val="18"/>
              </w:rPr>
              <w:t>,%</w:t>
            </w:r>
            <w:proofErr w:type="gramEnd"/>
            <w:r w:rsidRPr="00573080">
              <w:rPr>
                <w:rFonts w:ascii="Times New Roman" w:hAnsi="Times New Roman" w:cs="Times New Roman"/>
                <w:color w:val="000000"/>
                <w:sz w:val="18"/>
                <w:szCs w:val="18"/>
              </w:rPr>
              <w:t>)</w:t>
            </w:r>
          </w:p>
        </w:tc>
        <w:tc>
          <w:tcPr>
            <w:tcW w:w="1748" w:type="dxa"/>
            <w:shd w:val="clear" w:color="auto" w:fill="E7E6E6"/>
          </w:tcPr>
          <w:p w14:paraId="0E8B1644" w14:textId="77777777" w:rsidR="00147F7A" w:rsidRPr="00573080" w:rsidRDefault="00DD486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color w:val="000000"/>
                <w:sz w:val="18"/>
                <w:szCs w:val="18"/>
              </w:rPr>
            </w:pPr>
            <w:r w:rsidRPr="00573080">
              <w:rPr>
                <w:rFonts w:ascii="Times New Roman" w:hAnsi="Times New Roman" w:cs="Times New Roman"/>
                <w:b/>
                <w:i/>
                <w:color w:val="000000"/>
                <w:sz w:val="18"/>
                <w:szCs w:val="18"/>
              </w:rPr>
              <w:t xml:space="preserve">77, 91.6% </w:t>
            </w:r>
          </w:p>
        </w:tc>
        <w:tc>
          <w:tcPr>
            <w:tcW w:w="3361" w:type="dxa"/>
            <w:shd w:val="clear" w:color="auto" w:fill="E7E6E6"/>
          </w:tcPr>
          <w:p w14:paraId="08E1E82D" w14:textId="77777777" w:rsidR="00147F7A" w:rsidRPr="00573080" w:rsidRDefault="00DD48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73080">
              <w:rPr>
                <w:rFonts w:ascii="Times New Roman" w:hAnsi="Times New Roman" w:cs="Times New Roman"/>
                <w:color w:val="000000"/>
                <w:sz w:val="18"/>
                <w:szCs w:val="18"/>
              </w:rPr>
              <w:t>Number of patients treated – Number of new patients</w:t>
            </w:r>
          </w:p>
        </w:tc>
        <w:tc>
          <w:tcPr>
            <w:tcW w:w="762" w:type="dxa"/>
            <w:shd w:val="clear" w:color="auto" w:fill="E7E6E6"/>
          </w:tcPr>
          <w:p w14:paraId="5D94C609" w14:textId="77777777" w:rsidR="00147F7A" w:rsidRPr="00573080" w:rsidRDefault="00147F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18"/>
                <w:szCs w:val="18"/>
              </w:rPr>
            </w:pPr>
          </w:p>
        </w:tc>
      </w:tr>
    </w:tbl>
    <w:p w14:paraId="170DA6B9" w14:textId="77777777" w:rsidR="00147F7A" w:rsidRPr="00573080" w:rsidRDefault="00DD486F">
      <w:pPr>
        <w:spacing w:after="0"/>
        <w:rPr>
          <w:rFonts w:ascii="Times New Roman" w:hAnsi="Times New Roman" w:cs="Times New Roman"/>
          <w:sz w:val="16"/>
          <w:szCs w:val="16"/>
        </w:rPr>
      </w:pPr>
      <w:r w:rsidRPr="00573080">
        <w:rPr>
          <w:rFonts w:ascii="Times New Roman" w:hAnsi="Times New Roman" w:cs="Times New Roman"/>
          <w:b/>
          <w:sz w:val="16"/>
          <w:szCs w:val="16"/>
        </w:rPr>
        <w:t>Abbreviation</w:t>
      </w:r>
      <w:r w:rsidRPr="00573080">
        <w:rPr>
          <w:rFonts w:ascii="Times New Roman" w:hAnsi="Times New Roman" w:cs="Times New Roman"/>
          <w:sz w:val="16"/>
          <w:szCs w:val="16"/>
        </w:rPr>
        <w:t>: PNH: paroxysmal nocturnal hemoglobinuria.</w:t>
      </w:r>
    </w:p>
    <w:p w14:paraId="01C1C5C7" w14:textId="77777777" w:rsidR="00147F7A" w:rsidRPr="00241C53" w:rsidRDefault="00147F7A">
      <w:pPr>
        <w:spacing w:after="0"/>
        <w:rPr>
          <w:rFonts w:ascii="Times New Roman" w:hAnsi="Times New Roman" w:cs="Times New Roman"/>
          <w:color w:val="44546A"/>
          <w:sz w:val="24"/>
          <w:szCs w:val="24"/>
        </w:rPr>
      </w:pPr>
    </w:p>
    <w:p w14:paraId="01CD0A1C" w14:textId="77777777" w:rsidR="00147F7A" w:rsidRPr="00241C53" w:rsidRDefault="00147F7A">
      <w:pPr>
        <w:spacing w:after="0"/>
        <w:rPr>
          <w:rFonts w:ascii="Times New Roman" w:hAnsi="Times New Roman" w:cs="Times New Roman"/>
          <w:color w:val="44546A"/>
          <w:sz w:val="24"/>
          <w:szCs w:val="24"/>
        </w:rPr>
      </w:pPr>
    </w:p>
    <w:p w14:paraId="32098B19" w14:textId="7E115A4B" w:rsidR="00147F7A" w:rsidRPr="00573080" w:rsidRDefault="00DD486F">
      <w:pPr>
        <w:keepNext/>
        <w:pBdr>
          <w:top w:val="nil"/>
          <w:left w:val="nil"/>
          <w:bottom w:val="nil"/>
          <w:right w:val="nil"/>
          <w:between w:val="nil"/>
        </w:pBdr>
        <w:spacing w:after="0" w:line="240" w:lineRule="auto"/>
        <w:rPr>
          <w:rFonts w:ascii="Times New Roman" w:hAnsi="Times New Roman" w:cs="Times New Roman"/>
          <w:b/>
          <w:color w:val="000000"/>
          <w:sz w:val="18"/>
          <w:szCs w:val="18"/>
        </w:rPr>
      </w:pPr>
      <w:r w:rsidRPr="00573080">
        <w:rPr>
          <w:rFonts w:ascii="Times New Roman" w:hAnsi="Times New Roman" w:cs="Times New Roman"/>
          <w:b/>
          <w:color w:val="000000"/>
          <w:sz w:val="18"/>
          <w:szCs w:val="18"/>
        </w:rPr>
        <w:t xml:space="preserve">Table S3. Description of the transition probability </w:t>
      </w:r>
      <w:r w:rsidRPr="00DE3612">
        <w:rPr>
          <w:rFonts w:ascii="Times New Roman" w:hAnsi="Times New Roman" w:cs="Times New Roman"/>
          <w:b/>
          <w:color w:val="000000"/>
          <w:sz w:val="18"/>
          <w:szCs w:val="18"/>
        </w:rPr>
        <w:t>calculations</w:t>
      </w:r>
      <w:r w:rsidR="00DE3612" w:rsidRPr="00DE3612">
        <w:rPr>
          <w:rFonts w:ascii="Times New Roman" w:hAnsi="Times New Roman" w:cs="Times New Roman"/>
          <w:b/>
          <w:color w:val="000000"/>
          <w:sz w:val="18"/>
          <w:szCs w:val="18"/>
        </w:rPr>
        <w:t xml:space="preserve"> </w:t>
      </w:r>
      <w:r w:rsidR="00DE3612" w:rsidRPr="00DE3612">
        <w:rPr>
          <w:rFonts w:ascii="Times New Roman" w:hAnsi="Times New Roman" w:cs="Times New Roman"/>
          <w:b/>
          <w:color w:val="000000"/>
          <w:sz w:val="18"/>
          <w:szCs w:val="18"/>
        </w:rPr>
        <w:fldChar w:fldCharType="begin" w:fldLock="1"/>
      </w:r>
      <w:r w:rsidR="00DE3612" w:rsidRPr="00DE3612">
        <w:rPr>
          <w:rFonts w:ascii="Times New Roman" w:hAnsi="Times New Roman" w:cs="Times New Roman"/>
          <w:b/>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DE3612" w:rsidRPr="00DE3612">
        <w:rPr>
          <w:rFonts w:ascii="Times New Roman" w:hAnsi="Times New Roman" w:cs="Times New Roman"/>
          <w:b/>
          <w:color w:val="000000"/>
          <w:sz w:val="18"/>
          <w:szCs w:val="18"/>
        </w:rPr>
        <w:fldChar w:fldCharType="separate"/>
      </w:r>
      <w:r w:rsidR="00DE3612" w:rsidRPr="00DE3612">
        <w:rPr>
          <w:rFonts w:ascii="Times New Roman" w:hAnsi="Times New Roman" w:cs="Times New Roman"/>
          <w:b/>
          <w:noProof/>
          <w:color w:val="000000"/>
          <w:sz w:val="18"/>
          <w:szCs w:val="18"/>
        </w:rPr>
        <w:t>[1, 2]</w:t>
      </w:r>
      <w:r w:rsidR="00DE3612" w:rsidRPr="00DE3612">
        <w:rPr>
          <w:rFonts w:ascii="Times New Roman" w:hAnsi="Times New Roman" w:cs="Times New Roman"/>
          <w:b/>
          <w:color w:val="000000"/>
          <w:sz w:val="18"/>
          <w:szCs w:val="18"/>
        </w:rPr>
        <w:fldChar w:fldCharType="end"/>
      </w:r>
      <w:r w:rsidRPr="00DE3612">
        <w:rPr>
          <w:rFonts w:ascii="Times New Roman" w:hAnsi="Times New Roman" w:cs="Times New Roman"/>
          <w:b/>
          <w:color w:val="000000"/>
          <w:sz w:val="18"/>
          <w:szCs w:val="18"/>
        </w:rPr>
        <w:t>.</w:t>
      </w:r>
      <w:r w:rsidRPr="00573080">
        <w:rPr>
          <w:rFonts w:ascii="Times New Roman" w:hAnsi="Times New Roman" w:cs="Times New Roman"/>
          <w:b/>
          <w:color w:val="000000"/>
          <w:sz w:val="18"/>
          <w:szCs w:val="18"/>
        </w:rPr>
        <w:t xml:space="preserve">  </w:t>
      </w:r>
    </w:p>
    <w:tbl>
      <w:tblPr>
        <w:tblStyle w:val="a1"/>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016"/>
      </w:tblGrid>
      <w:tr w:rsidR="00147F7A" w:rsidRPr="00573080" w14:paraId="1CE2F727" w14:textId="77777777">
        <w:tc>
          <w:tcPr>
            <w:tcW w:w="9016" w:type="dxa"/>
          </w:tcPr>
          <w:p w14:paraId="332A0E07" w14:textId="77777777" w:rsidR="00147F7A" w:rsidRPr="00573080" w:rsidRDefault="00DD486F">
            <w:p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Transition matrices were constructed in three steps:</w:t>
            </w:r>
          </w:p>
          <w:p w14:paraId="6F68ED78" w14:textId="01DBA79A" w:rsidR="00147F7A" w:rsidRPr="00573080" w:rsidRDefault="00DD486F">
            <w:pPr>
              <w:numPr>
                <w:ilvl w:val="0"/>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First, patient-visit-level data for both clinical studies 301 and the 302 were organized to determine the probability of an initial IncC5Inhib BTH event or a CAC BTH event (including ’undetermined’ adjudications) for patients without a history of IncC5Inhib BTH events </w:t>
            </w:r>
            <w:r w:rsidR="00DE3612">
              <w:rPr>
                <w:rFonts w:ascii="Times New Roman" w:hAnsi="Times New Roman" w:cs="Times New Roman"/>
                <w:color w:val="000000"/>
                <w:sz w:val="18"/>
                <w:szCs w:val="18"/>
              </w:rPr>
              <w:fldChar w:fldCharType="begin" w:fldLock="1"/>
            </w:r>
            <w:r w:rsidR="00DE361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DE3612">
              <w:rPr>
                <w:rFonts w:ascii="Times New Roman" w:hAnsi="Times New Roman" w:cs="Times New Roman"/>
                <w:color w:val="000000"/>
                <w:sz w:val="18"/>
                <w:szCs w:val="18"/>
              </w:rPr>
              <w:fldChar w:fldCharType="separate"/>
            </w:r>
            <w:r w:rsidR="00DE3612" w:rsidRPr="00564153">
              <w:rPr>
                <w:rFonts w:ascii="Times New Roman" w:hAnsi="Times New Roman" w:cs="Times New Roman"/>
                <w:noProof/>
                <w:color w:val="000000"/>
                <w:sz w:val="18"/>
                <w:szCs w:val="18"/>
              </w:rPr>
              <w:t>[1, 2]</w:t>
            </w:r>
            <w:r w:rsidR="00DE3612">
              <w:rPr>
                <w:rFonts w:ascii="Times New Roman" w:hAnsi="Times New Roman" w:cs="Times New Roman"/>
                <w:color w:val="000000"/>
                <w:sz w:val="18"/>
                <w:szCs w:val="18"/>
              </w:rPr>
              <w:fldChar w:fldCharType="end"/>
            </w:r>
            <w:r w:rsidRPr="00573080">
              <w:rPr>
                <w:rFonts w:ascii="Times New Roman" w:hAnsi="Times New Roman" w:cs="Times New Roman"/>
                <w:color w:val="000000"/>
                <w:sz w:val="18"/>
                <w:szCs w:val="18"/>
              </w:rPr>
              <w:t>.</w:t>
            </w:r>
          </w:p>
          <w:p w14:paraId="276B0703" w14:textId="77777777" w:rsidR="00147F7A" w:rsidRPr="00573080" w:rsidRDefault="00DD486F">
            <w:pPr>
              <w:numPr>
                <w:ilvl w:val="1"/>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The sample was first restricted to patients without a history of IncC5Inhib BTH events. </w:t>
            </w:r>
          </w:p>
          <w:p w14:paraId="4FF8BFA7" w14:textId="77777777" w:rsidR="00147F7A" w:rsidRPr="00573080" w:rsidRDefault="00DD486F">
            <w:pPr>
              <w:numPr>
                <w:ilvl w:val="1"/>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Once a patient had an IncC5Inhib BTH event, subsequent observations for that patient were not included in the analysis.</w:t>
            </w:r>
          </w:p>
          <w:p w14:paraId="14DD410A" w14:textId="77777777" w:rsidR="00147F7A" w:rsidRPr="00573080" w:rsidRDefault="00DD486F">
            <w:pPr>
              <w:numPr>
                <w:ilvl w:val="0"/>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Based on the subset of data identified in the previous step, a full information maximum likelihood multinomial logit model was estimated to predict the outcome state conditional on the initial state (’No BTH’).</w:t>
            </w:r>
          </w:p>
          <w:p w14:paraId="0714C82C" w14:textId="77777777" w:rsidR="00147F7A" w:rsidRPr="00573080" w:rsidRDefault="00DD486F">
            <w:pPr>
              <w:numPr>
                <w:ilvl w:val="1"/>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This approach was used to account for censoring from lack of follow-up as well as simultaneous competing risks of transitions to other states.  </w:t>
            </w:r>
          </w:p>
          <w:p w14:paraId="434FE18D" w14:textId="77777777" w:rsidR="00147F7A" w:rsidRPr="00573080" w:rsidRDefault="00DD486F">
            <w:pPr>
              <w:numPr>
                <w:ilvl w:val="1"/>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Adjusted models controlled for treatment arm and time between initial and follow-up visits.  </w:t>
            </w:r>
          </w:p>
          <w:p w14:paraId="6A8CC672" w14:textId="77777777" w:rsidR="00147F7A" w:rsidRPr="00573080" w:rsidRDefault="00DD486F">
            <w:pPr>
              <w:numPr>
                <w:ilvl w:val="1"/>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Model estimation produced a transition equation for each (initial state–follow-up state) pair that relates the predictors to the probability of transitioning via the estimated coefficients. </w:t>
            </w:r>
          </w:p>
          <w:p w14:paraId="35A5F6A8" w14:textId="77777777" w:rsidR="00147F7A" w:rsidRPr="00573080" w:rsidRDefault="00DD486F">
            <w:pPr>
              <w:numPr>
                <w:ilvl w:val="0"/>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In the final step, the transition equations developed in the last step were used to calculate the mean transition probabilities for each (initial state-follow-up state) pair.  </w:t>
            </w:r>
          </w:p>
          <w:p w14:paraId="3AF44C72" w14:textId="77777777" w:rsidR="00147F7A" w:rsidRPr="00573080" w:rsidRDefault="00DD486F">
            <w:pPr>
              <w:numPr>
                <w:ilvl w:val="1"/>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This involved multiplying a vector of covariate values by the corresponding vector of estimated coefficients at the observation level for all possible outcomes from the initial state (’No BTH’), applying the formula for calculating predicted probabilities from a multinomial logit to the products, then calculating the mean predicted probabilities across observations. </w:t>
            </w:r>
          </w:p>
          <w:p w14:paraId="49257AD8" w14:textId="77777777" w:rsidR="00147F7A" w:rsidRPr="00573080" w:rsidRDefault="00DD486F">
            <w:pPr>
              <w:numPr>
                <w:ilvl w:val="1"/>
                <w:numId w:val="1"/>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In this calculation, the time-between-visits covariate was held constant at a value of 14 days in order to generate two-weekly transition probabilities aligning with the cycle length of the CUA. </w:t>
            </w:r>
          </w:p>
          <w:p w14:paraId="3DE68A9C" w14:textId="77777777" w:rsidR="00147F7A" w:rsidRPr="00573080" w:rsidRDefault="00147F7A">
            <w:pPr>
              <w:pBdr>
                <w:top w:val="nil"/>
                <w:left w:val="nil"/>
                <w:bottom w:val="nil"/>
                <w:right w:val="nil"/>
                <w:between w:val="nil"/>
              </w:pBdr>
              <w:spacing w:line="276" w:lineRule="auto"/>
              <w:jc w:val="both"/>
              <w:rPr>
                <w:rFonts w:ascii="Times New Roman" w:hAnsi="Times New Roman" w:cs="Times New Roman"/>
                <w:color w:val="000000"/>
                <w:sz w:val="18"/>
                <w:szCs w:val="18"/>
              </w:rPr>
            </w:pPr>
          </w:p>
          <w:p w14:paraId="506049DA" w14:textId="77777777" w:rsidR="00147F7A" w:rsidRPr="00573080" w:rsidRDefault="00DD486F">
            <w:p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Transition probabilities were calculated for both values of the second covariate, which was a binary indicator for whether the patient received ravulizumab or eculizumab in the randomized treatment period (i.e., the first 26 weeks) of the clinical study.</w:t>
            </w:r>
          </w:p>
          <w:p w14:paraId="18FE1F77" w14:textId="77777777" w:rsidR="00147F7A" w:rsidRPr="00573080" w:rsidRDefault="00DD486F">
            <w:p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Transition matrices for subsequent IncC5Inhib BTH events were determined in the same manner as for the initial IncC5Inhib and CAC BTH event transitions, with the following exceptions:</w:t>
            </w:r>
          </w:p>
          <w:p w14:paraId="6809E7F4" w14:textId="77777777" w:rsidR="00147F7A" w:rsidRPr="00573080" w:rsidRDefault="00147F7A">
            <w:pPr>
              <w:pBdr>
                <w:top w:val="nil"/>
                <w:left w:val="nil"/>
                <w:bottom w:val="nil"/>
                <w:right w:val="nil"/>
                <w:between w:val="nil"/>
              </w:pBdr>
              <w:spacing w:line="276" w:lineRule="auto"/>
              <w:jc w:val="both"/>
              <w:rPr>
                <w:rFonts w:ascii="Times New Roman" w:hAnsi="Times New Roman" w:cs="Times New Roman"/>
                <w:color w:val="000000"/>
                <w:sz w:val="18"/>
                <w:szCs w:val="18"/>
              </w:rPr>
            </w:pPr>
          </w:p>
          <w:p w14:paraId="5F145FAB" w14:textId="77777777" w:rsidR="00147F7A" w:rsidRPr="00573080" w:rsidRDefault="00DD486F">
            <w:pPr>
              <w:numPr>
                <w:ilvl w:val="0"/>
                <w:numId w:val="2"/>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To determine the likelihood of subsequent IncC5Inhib BTH events, the sample was restricted to only patients with a history of IncC5Inhib BTH events. </w:t>
            </w:r>
          </w:p>
          <w:p w14:paraId="2BA70FC5" w14:textId="77777777" w:rsidR="00147F7A" w:rsidRPr="00573080" w:rsidRDefault="00DD486F">
            <w:pPr>
              <w:numPr>
                <w:ilvl w:val="0"/>
                <w:numId w:val="2"/>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Only observations that occurred after the first IncC5Inhib BTH event were included in the estimation. </w:t>
            </w:r>
          </w:p>
          <w:p w14:paraId="4314BA94" w14:textId="77777777" w:rsidR="00147F7A" w:rsidRPr="00573080" w:rsidRDefault="00DD486F">
            <w:pPr>
              <w:numPr>
                <w:ilvl w:val="1"/>
                <w:numId w:val="2"/>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Note that this selection criteria substantially limited the sample for the 302 clinical study, and thus could only be estimated for the 301 clinical study data. </w:t>
            </w:r>
          </w:p>
          <w:p w14:paraId="0D469A95" w14:textId="77777777" w:rsidR="00147F7A" w:rsidRPr="00573080" w:rsidRDefault="00DD486F">
            <w:pPr>
              <w:numPr>
                <w:ilvl w:val="0"/>
                <w:numId w:val="2"/>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Since no patient in the ravulizumab arm of either clinical study experienced an IncC5Inhib BTH event, the estimation was only performed for patients in the eculizumab arm. </w:t>
            </w:r>
          </w:p>
          <w:p w14:paraId="68A4FF4C" w14:textId="77777777" w:rsidR="00147F7A" w:rsidRPr="00573080" w:rsidRDefault="00DD486F">
            <w:pPr>
              <w:numPr>
                <w:ilvl w:val="0"/>
                <w:numId w:val="2"/>
              </w:numPr>
              <w:pBdr>
                <w:top w:val="nil"/>
                <w:left w:val="nil"/>
                <w:bottom w:val="nil"/>
                <w:right w:val="nil"/>
                <w:between w:val="nil"/>
              </w:pBd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Finally, this estimation allowed for two initial states, either ’No BTH’ or ’IncC5Inhib BTH’, and observed the subsequent health states from either of these starting states.</w:t>
            </w:r>
          </w:p>
        </w:tc>
      </w:tr>
    </w:tbl>
    <w:p w14:paraId="4A306643" w14:textId="77777777" w:rsidR="00147F7A" w:rsidRPr="00573080" w:rsidRDefault="00DD486F">
      <w:pPr>
        <w:spacing w:after="0"/>
        <w:jc w:val="both"/>
        <w:rPr>
          <w:rFonts w:ascii="Times New Roman" w:hAnsi="Times New Roman" w:cs="Times New Roman"/>
          <w:sz w:val="16"/>
          <w:szCs w:val="16"/>
        </w:rPr>
      </w:pPr>
      <w:r w:rsidRPr="00573080">
        <w:rPr>
          <w:rFonts w:ascii="Times New Roman" w:hAnsi="Times New Roman" w:cs="Times New Roman"/>
          <w:b/>
          <w:sz w:val="16"/>
          <w:szCs w:val="16"/>
        </w:rPr>
        <w:t xml:space="preserve">Abbreviations: </w:t>
      </w:r>
      <w:r w:rsidRPr="00573080">
        <w:rPr>
          <w:rFonts w:ascii="Times New Roman" w:hAnsi="Times New Roman" w:cs="Times New Roman"/>
          <w:sz w:val="16"/>
          <w:szCs w:val="16"/>
        </w:rPr>
        <w:t>BTH: breakthrough hemolysis; CAC: complement-amplifying conditions; CUA: cost-utility analysis; IncC5Inhib: incomplete C5 inhibition.</w:t>
      </w:r>
    </w:p>
    <w:p w14:paraId="3DD0030A" w14:textId="77777777" w:rsidR="00147F7A" w:rsidRPr="00241C53" w:rsidRDefault="00147F7A">
      <w:pPr>
        <w:spacing w:after="0"/>
        <w:rPr>
          <w:rFonts w:ascii="Times New Roman" w:hAnsi="Times New Roman" w:cs="Times New Roman"/>
          <w:sz w:val="24"/>
          <w:szCs w:val="24"/>
        </w:rPr>
      </w:pPr>
    </w:p>
    <w:p w14:paraId="70116348" w14:textId="77777777" w:rsidR="00147F7A" w:rsidRPr="00241C53" w:rsidRDefault="00147F7A">
      <w:pPr>
        <w:spacing w:after="0"/>
        <w:rPr>
          <w:rFonts w:ascii="Times New Roman" w:hAnsi="Times New Roman" w:cs="Times New Roman"/>
          <w:sz w:val="24"/>
          <w:szCs w:val="24"/>
        </w:rPr>
      </w:pPr>
    </w:p>
    <w:p w14:paraId="661ABA63" w14:textId="77777777" w:rsidR="00147F7A" w:rsidRPr="00573080" w:rsidRDefault="00DD486F">
      <w:pPr>
        <w:keepNext/>
        <w:pBdr>
          <w:top w:val="nil"/>
          <w:left w:val="nil"/>
          <w:bottom w:val="nil"/>
          <w:right w:val="nil"/>
          <w:between w:val="nil"/>
        </w:pBdr>
        <w:spacing w:after="0" w:line="240" w:lineRule="auto"/>
        <w:jc w:val="both"/>
        <w:rPr>
          <w:rFonts w:ascii="Times New Roman" w:hAnsi="Times New Roman" w:cs="Times New Roman"/>
          <w:b/>
          <w:color w:val="000000"/>
          <w:sz w:val="18"/>
          <w:szCs w:val="18"/>
        </w:rPr>
      </w:pPr>
      <w:r w:rsidRPr="00573080">
        <w:rPr>
          <w:rFonts w:ascii="Times New Roman" w:hAnsi="Times New Roman" w:cs="Times New Roman"/>
          <w:b/>
          <w:color w:val="000000"/>
          <w:sz w:val="18"/>
          <w:szCs w:val="18"/>
        </w:rPr>
        <w:t>Table S4. Description of the calculation of the probability of transfusion and units of packed RBC per transfusion.</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016"/>
      </w:tblGrid>
      <w:tr w:rsidR="00147F7A" w:rsidRPr="00573080" w14:paraId="009961AF" w14:textId="77777777" w:rsidTr="000018F0">
        <w:trPr>
          <w:trHeight w:val="132"/>
        </w:trPr>
        <w:tc>
          <w:tcPr>
            <w:tcW w:w="9016" w:type="dxa"/>
          </w:tcPr>
          <w:p w14:paraId="2A6D6446" w14:textId="77777777" w:rsidR="00147F7A" w:rsidRPr="00573080" w:rsidRDefault="00DD486F">
            <w:pPr>
              <w:spacing w:line="276" w:lineRule="auto"/>
              <w:jc w:val="both"/>
              <w:rPr>
                <w:rFonts w:ascii="Times New Roman" w:hAnsi="Times New Roman" w:cs="Times New Roman"/>
                <w:sz w:val="18"/>
                <w:szCs w:val="18"/>
                <w:u w:val="single"/>
              </w:rPr>
            </w:pPr>
            <w:r w:rsidRPr="00573080">
              <w:rPr>
                <w:rFonts w:ascii="Times New Roman" w:hAnsi="Times New Roman" w:cs="Times New Roman"/>
                <w:sz w:val="18"/>
                <w:szCs w:val="18"/>
                <w:u w:val="single"/>
              </w:rPr>
              <w:t>Estimation of probability of transfusion</w:t>
            </w:r>
          </w:p>
          <w:p w14:paraId="41AC920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The probability that a patient would require a transfusion in a particular cycle of the CUA was estimated separately for periods where a BTH event had occurred and periods where a BTH event had not occurred since the last visit. First, counts of visits at which a BTH event had been experienced since the previous visit and visits where a BTH event had not been experienced since the previous visit were calculated by treatment arm and clinical study. Second, the number of these visits at which a patient had met protocol-specified guidelines for transfusion since the previous visit</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and/or had received a transfusion of </w:t>
            </w:r>
            <w:proofErr w:type="spellStart"/>
            <w:r w:rsidRPr="00573080">
              <w:rPr>
                <w:rFonts w:ascii="Times New Roman" w:hAnsi="Times New Roman" w:cs="Times New Roman"/>
                <w:sz w:val="18"/>
                <w:szCs w:val="18"/>
              </w:rPr>
              <w:t>pRBC</w:t>
            </w:r>
            <w:proofErr w:type="spellEnd"/>
            <w:r w:rsidRPr="00573080">
              <w:rPr>
                <w:rFonts w:ascii="Times New Roman" w:hAnsi="Times New Roman" w:cs="Times New Roman"/>
                <w:sz w:val="18"/>
                <w:szCs w:val="18"/>
              </w:rPr>
              <w:t xml:space="preserve"> or WB since the previous visit was determined. The second count was then divided by the first to estimate probabilities.</w:t>
            </w:r>
          </w:p>
          <w:p w14:paraId="146A9353" w14:textId="77777777" w:rsidR="00147F7A" w:rsidRPr="00573080" w:rsidRDefault="00147F7A">
            <w:pPr>
              <w:spacing w:line="276" w:lineRule="auto"/>
              <w:jc w:val="both"/>
              <w:rPr>
                <w:rFonts w:ascii="Times New Roman" w:hAnsi="Times New Roman" w:cs="Times New Roman"/>
                <w:sz w:val="18"/>
                <w:szCs w:val="18"/>
              </w:rPr>
            </w:pPr>
          </w:p>
          <w:p w14:paraId="57A291E5" w14:textId="77777777" w:rsidR="00147F7A" w:rsidRPr="00573080" w:rsidRDefault="00DD486F">
            <w:pPr>
              <w:spacing w:line="276" w:lineRule="auto"/>
              <w:jc w:val="both"/>
              <w:rPr>
                <w:rFonts w:ascii="Times New Roman" w:hAnsi="Times New Roman" w:cs="Times New Roman"/>
                <w:sz w:val="18"/>
                <w:szCs w:val="18"/>
                <w:u w:val="single"/>
              </w:rPr>
            </w:pPr>
            <w:r w:rsidRPr="00573080">
              <w:rPr>
                <w:rFonts w:ascii="Times New Roman" w:hAnsi="Times New Roman" w:cs="Times New Roman"/>
                <w:sz w:val="18"/>
                <w:szCs w:val="18"/>
                <w:u w:val="single"/>
              </w:rPr>
              <w:t>Estimation of units of packed RBC per transfusion</w:t>
            </w:r>
          </w:p>
          <w:p w14:paraId="12C3E79E" w14:textId="7043C6F3" w:rsidR="000018F0"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To estimate the mean number of units of </w:t>
            </w:r>
            <w:proofErr w:type="spellStart"/>
            <w:r w:rsidRPr="00573080">
              <w:rPr>
                <w:rFonts w:ascii="Times New Roman" w:hAnsi="Times New Roman" w:cs="Times New Roman"/>
                <w:sz w:val="18"/>
                <w:szCs w:val="18"/>
              </w:rPr>
              <w:t>pRBC</w:t>
            </w:r>
            <w:proofErr w:type="spellEnd"/>
            <w:r w:rsidRPr="00573080">
              <w:rPr>
                <w:rFonts w:ascii="Times New Roman" w:hAnsi="Times New Roman" w:cs="Times New Roman"/>
                <w:sz w:val="18"/>
                <w:szCs w:val="18"/>
              </w:rPr>
              <w:t xml:space="preserve"> required per transfusion, data from patient visits at which a transfusion had been received since the previous visit were recorded. For visits at which a patient had met protocol specified guidelines for transfusion since the last visit but no units of </w:t>
            </w:r>
            <w:proofErr w:type="spellStart"/>
            <w:r w:rsidRPr="00573080">
              <w:rPr>
                <w:rFonts w:ascii="Times New Roman" w:hAnsi="Times New Roman" w:cs="Times New Roman"/>
                <w:sz w:val="18"/>
                <w:szCs w:val="18"/>
              </w:rPr>
              <w:t>pRBC</w:t>
            </w:r>
            <w:proofErr w:type="spellEnd"/>
            <w:r w:rsidRPr="00573080">
              <w:rPr>
                <w:rFonts w:ascii="Times New Roman" w:hAnsi="Times New Roman" w:cs="Times New Roman"/>
                <w:sz w:val="18"/>
                <w:szCs w:val="18"/>
              </w:rPr>
              <w:t xml:space="preserve"> or WBC were recorded, one unit was assumed. The mean and standard deviation across visits at which transfusion guidelines had been met or units had been recorded were then calculated. Standard errors were calculated based on the standard deviation and the number of relevant events.</w:t>
            </w:r>
            <w:r w:rsidR="000018F0" w:rsidRPr="000018F0">
              <w:rPr>
                <w:rFonts w:ascii="Times New Roman" w:hAnsi="Times New Roman" w:cs="Times New Roman"/>
                <w:sz w:val="18"/>
                <w:szCs w:val="18"/>
              </w:rPr>
              <w:t xml:space="preserve"> </w:t>
            </w:r>
          </w:p>
        </w:tc>
      </w:tr>
    </w:tbl>
    <w:p w14:paraId="17451C6A" w14:textId="77777777" w:rsidR="00147F7A" w:rsidRPr="00573080" w:rsidRDefault="00DD486F">
      <w:pPr>
        <w:spacing w:after="0"/>
        <w:rPr>
          <w:rFonts w:ascii="Times New Roman" w:hAnsi="Times New Roman" w:cs="Times New Roman"/>
          <w:sz w:val="16"/>
          <w:szCs w:val="16"/>
        </w:rPr>
      </w:pPr>
      <w:r w:rsidRPr="00573080">
        <w:rPr>
          <w:rFonts w:ascii="Times New Roman" w:hAnsi="Times New Roman" w:cs="Times New Roman"/>
          <w:b/>
          <w:sz w:val="16"/>
          <w:szCs w:val="16"/>
        </w:rPr>
        <w:t xml:space="preserve">Abbreviations: </w:t>
      </w:r>
      <w:r w:rsidRPr="00573080">
        <w:rPr>
          <w:rFonts w:ascii="Times New Roman" w:hAnsi="Times New Roman" w:cs="Times New Roman"/>
          <w:sz w:val="16"/>
          <w:szCs w:val="16"/>
        </w:rPr>
        <w:t xml:space="preserve">BTH: breakthrough hemolysis; CUA: cost-utility analysis; </w:t>
      </w:r>
      <w:proofErr w:type="spellStart"/>
      <w:r w:rsidRPr="00573080">
        <w:rPr>
          <w:rFonts w:ascii="Times New Roman" w:hAnsi="Times New Roman" w:cs="Times New Roman"/>
          <w:sz w:val="16"/>
          <w:szCs w:val="16"/>
        </w:rPr>
        <w:t>pRBC</w:t>
      </w:r>
      <w:proofErr w:type="spellEnd"/>
      <w:r w:rsidRPr="00573080">
        <w:rPr>
          <w:rFonts w:ascii="Times New Roman" w:hAnsi="Times New Roman" w:cs="Times New Roman"/>
          <w:sz w:val="16"/>
          <w:szCs w:val="16"/>
        </w:rPr>
        <w:t xml:space="preserve">: packed red blood cells; WBC: white blood cells. </w:t>
      </w:r>
    </w:p>
    <w:p w14:paraId="515FDDEF" w14:textId="77777777" w:rsidR="00147F7A" w:rsidRPr="00241C53" w:rsidRDefault="00147F7A">
      <w:pPr>
        <w:spacing w:after="0"/>
        <w:rPr>
          <w:rFonts w:ascii="Times New Roman" w:hAnsi="Times New Roman" w:cs="Times New Roman"/>
          <w:sz w:val="24"/>
          <w:szCs w:val="24"/>
        </w:rPr>
      </w:pPr>
    </w:p>
    <w:p w14:paraId="65D1ED7B" w14:textId="77777777" w:rsidR="00147F7A" w:rsidRPr="00241C53" w:rsidRDefault="00147F7A">
      <w:pPr>
        <w:spacing w:after="0"/>
        <w:rPr>
          <w:rFonts w:ascii="Times New Roman" w:hAnsi="Times New Roman" w:cs="Times New Roman"/>
          <w:sz w:val="24"/>
          <w:szCs w:val="24"/>
        </w:rPr>
      </w:pPr>
    </w:p>
    <w:p w14:paraId="41906D23" w14:textId="650AEC96" w:rsidR="00147F7A" w:rsidRPr="00573080" w:rsidRDefault="00DD486F">
      <w:pPr>
        <w:keepNext/>
        <w:pBdr>
          <w:top w:val="nil"/>
          <w:left w:val="nil"/>
          <w:bottom w:val="nil"/>
          <w:right w:val="nil"/>
          <w:between w:val="nil"/>
        </w:pBdr>
        <w:spacing w:after="0" w:line="240" w:lineRule="auto"/>
        <w:jc w:val="both"/>
        <w:rPr>
          <w:rFonts w:ascii="Times New Roman" w:hAnsi="Times New Roman" w:cs="Times New Roman"/>
          <w:b/>
          <w:color w:val="000000"/>
          <w:sz w:val="18"/>
          <w:szCs w:val="18"/>
        </w:rPr>
      </w:pPr>
      <w:r w:rsidRPr="00573080">
        <w:rPr>
          <w:rFonts w:ascii="Times New Roman" w:hAnsi="Times New Roman" w:cs="Times New Roman"/>
          <w:b/>
          <w:color w:val="000000"/>
          <w:sz w:val="18"/>
          <w:szCs w:val="18"/>
        </w:rPr>
        <w:t xml:space="preserve">Table S5. </w:t>
      </w:r>
      <w:r w:rsidRPr="006B2670">
        <w:rPr>
          <w:rFonts w:ascii="Times New Roman" w:hAnsi="Times New Roman" w:cs="Times New Roman"/>
          <w:b/>
          <w:color w:val="000000"/>
          <w:sz w:val="18"/>
          <w:szCs w:val="18"/>
        </w:rPr>
        <w:t>Description of the performance of the regression models used to correct the mapped EQ-5D</w:t>
      </w:r>
      <w:r w:rsidRPr="006B2670">
        <w:rPr>
          <w:rFonts w:ascii="Times New Roman" w:hAnsi="Times New Roman" w:cs="Times New Roman"/>
          <w:b/>
          <w:sz w:val="18"/>
          <w:szCs w:val="18"/>
        </w:rPr>
        <w:t xml:space="preserve"> </w:t>
      </w:r>
      <w:r w:rsidRPr="006B2670">
        <w:rPr>
          <w:rFonts w:ascii="Times New Roman" w:hAnsi="Times New Roman" w:cs="Times New Roman"/>
          <w:b/>
          <w:color w:val="000000"/>
          <w:sz w:val="18"/>
          <w:szCs w:val="18"/>
        </w:rPr>
        <w:t>utilities for covariates</w:t>
      </w:r>
      <w:r w:rsidR="006B2670" w:rsidRPr="006B2670">
        <w:rPr>
          <w:rFonts w:ascii="Times New Roman" w:hAnsi="Times New Roman" w:cs="Times New Roman"/>
          <w:b/>
          <w:color w:val="000000"/>
          <w:sz w:val="18"/>
          <w:szCs w:val="18"/>
        </w:rPr>
        <w:t xml:space="preserve"> </w:t>
      </w:r>
      <w:r w:rsidR="006B2670" w:rsidRPr="006B2670">
        <w:rPr>
          <w:rFonts w:ascii="Times New Roman" w:hAnsi="Times New Roman" w:cs="Times New Roman"/>
          <w:b/>
          <w:color w:val="000000"/>
          <w:sz w:val="18"/>
          <w:szCs w:val="18"/>
        </w:rPr>
        <w:fldChar w:fldCharType="begin" w:fldLock="1"/>
      </w:r>
      <w:r w:rsidR="006B2670" w:rsidRPr="006B2670">
        <w:rPr>
          <w:rFonts w:ascii="Times New Roman" w:hAnsi="Times New Roman" w:cs="Times New Roman"/>
          <w:b/>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sidRPr="006B2670">
        <w:rPr>
          <w:rFonts w:ascii="Times New Roman" w:hAnsi="Times New Roman" w:cs="Times New Roman"/>
          <w:b/>
          <w:color w:val="000000"/>
          <w:sz w:val="18"/>
          <w:szCs w:val="18"/>
        </w:rPr>
        <w:fldChar w:fldCharType="separate"/>
      </w:r>
      <w:r w:rsidR="006B2670" w:rsidRPr="006B2670">
        <w:rPr>
          <w:rFonts w:ascii="Times New Roman" w:hAnsi="Times New Roman" w:cs="Times New Roman"/>
          <w:b/>
          <w:noProof/>
          <w:color w:val="000000"/>
          <w:sz w:val="18"/>
          <w:szCs w:val="18"/>
        </w:rPr>
        <w:t>[1, 2]</w:t>
      </w:r>
      <w:r w:rsidR="006B2670" w:rsidRPr="006B2670">
        <w:rPr>
          <w:rFonts w:ascii="Times New Roman" w:hAnsi="Times New Roman" w:cs="Times New Roman"/>
          <w:b/>
          <w:color w:val="000000"/>
          <w:sz w:val="18"/>
          <w:szCs w:val="18"/>
        </w:rPr>
        <w:fldChar w:fldCharType="end"/>
      </w:r>
      <w:r w:rsidRPr="006B2670">
        <w:rPr>
          <w:rFonts w:ascii="Times New Roman" w:hAnsi="Times New Roman" w:cs="Times New Roman"/>
          <w:b/>
          <w:color w:val="000000"/>
          <w:sz w:val="18"/>
          <w:szCs w:val="18"/>
        </w:rPr>
        <w:t>.</w:t>
      </w:r>
      <w:r w:rsidRPr="00573080">
        <w:rPr>
          <w:rFonts w:ascii="Times New Roman" w:hAnsi="Times New Roman" w:cs="Times New Roman"/>
          <w:b/>
          <w:color w:val="000000"/>
          <w:sz w:val="18"/>
          <w:szCs w:val="18"/>
        </w:rPr>
        <w:t xml:space="preserve"> </w:t>
      </w:r>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016"/>
      </w:tblGrid>
      <w:tr w:rsidR="00147F7A" w:rsidRPr="00573080" w14:paraId="3A79BFC3" w14:textId="77777777">
        <w:tc>
          <w:tcPr>
            <w:tcW w:w="9016" w:type="dxa"/>
          </w:tcPr>
          <w:p w14:paraId="5CB7AF4E" w14:textId="4AB08C32" w:rsidR="00147F7A" w:rsidRPr="00573080" w:rsidRDefault="00DD486F">
            <w:pPr>
              <w:pBdr>
                <w:top w:val="nil"/>
                <w:left w:val="nil"/>
                <w:bottom w:val="nil"/>
                <w:right w:val="nil"/>
                <w:between w:val="nil"/>
              </w:pBdr>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The mapped EQ-5</w:t>
            </w:r>
            <w:r w:rsidRPr="00573080">
              <w:rPr>
                <w:rFonts w:ascii="Times New Roman" w:hAnsi="Times New Roman" w:cs="Times New Roman"/>
                <w:sz w:val="18"/>
                <w:szCs w:val="18"/>
              </w:rPr>
              <w:t>D</w:t>
            </w:r>
            <w:r w:rsidRPr="00573080">
              <w:rPr>
                <w:rFonts w:ascii="Times New Roman" w:hAnsi="Times New Roman" w:cs="Times New Roman"/>
                <w:color w:val="000000"/>
                <w:sz w:val="18"/>
                <w:szCs w:val="18"/>
              </w:rPr>
              <w:t xml:space="preserve"> data were used to fit separate mixed-effects regression models describing the associations between a number of independent variables and the mapped EQ-5D utilities. Mixed-effects models were employed to better account for the heterogeneity in the panel data used from the 301 and 302 clinical trials – namely due to heterogeneity between individuals in the data and within individuals (e.g., time-varying variables such as time since the last transfusion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r w:rsidRPr="00573080">
              <w:rPr>
                <w:rFonts w:ascii="Times New Roman" w:hAnsi="Times New Roman" w:cs="Times New Roman"/>
                <w:color w:val="000000"/>
                <w:sz w:val="18"/>
                <w:szCs w:val="18"/>
              </w:rPr>
              <w:t>.</w:t>
            </w:r>
          </w:p>
          <w:p w14:paraId="0DCD2A24" w14:textId="77777777" w:rsidR="00147F7A" w:rsidRPr="00573080" w:rsidRDefault="00147F7A">
            <w:pPr>
              <w:pBdr>
                <w:top w:val="nil"/>
                <w:left w:val="nil"/>
                <w:bottom w:val="nil"/>
                <w:right w:val="nil"/>
                <w:between w:val="nil"/>
              </w:pBdr>
              <w:jc w:val="both"/>
              <w:rPr>
                <w:rFonts w:ascii="Times New Roman" w:hAnsi="Times New Roman" w:cs="Times New Roman"/>
                <w:color w:val="000000"/>
                <w:sz w:val="18"/>
                <w:szCs w:val="18"/>
              </w:rPr>
            </w:pPr>
          </w:p>
          <w:p w14:paraId="12D662A6" w14:textId="77777777" w:rsidR="00147F7A" w:rsidRPr="00573080" w:rsidRDefault="00DD486F">
            <w:pPr>
              <w:pBdr>
                <w:top w:val="nil"/>
                <w:left w:val="nil"/>
                <w:bottom w:val="nil"/>
                <w:right w:val="nil"/>
                <w:between w:val="nil"/>
              </w:pBdr>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Initially, all outcomes of interest were considered as potentially relevant covariates for the regression specification. However, simplifying steps were taken: BTH events were not separated by type, owing to the fact that the limited number of events that occurred in the trials was further reduced by the restriction of observations to the visits when the EORTC was collected (Screening, Day 1, Day 8, Day 29, Day 71, Day 127, and Day 183). As BTH events could not have been observed at Screening or Day 1, given that the BTH event had to have occurred since last visit, only 5 visits remained for observation of BTH event since last visit and EORTC.</w:t>
            </w:r>
          </w:p>
          <w:p w14:paraId="45933D4A" w14:textId="77777777" w:rsidR="00147F7A" w:rsidRPr="00573080" w:rsidRDefault="00147F7A">
            <w:pPr>
              <w:pBdr>
                <w:top w:val="nil"/>
                <w:left w:val="nil"/>
                <w:bottom w:val="nil"/>
                <w:right w:val="nil"/>
                <w:between w:val="nil"/>
              </w:pBdr>
              <w:jc w:val="both"/>
              <w:rPr>
                <w:rFonts w:ascii="Times New Roman" w:hAnsi="Times New Roman" w:cs="Times New Roman"/>
                <w:color w:val="000000"/>
                <w:sz w:val="18"/>
                <w:szCs w:val="18"/>
              </w:rPr>
            </w:pPr>
          </w:p>
          <w:p w14:paraId="3CA3288F" w14:textId="77777777" w:rsidR="00147F7A" w:rsidRPr="00573080" w:rsidRDefault="00DD486F">
            <w:pPr>
              <w:pBdr>
                <w:top w:val="nil"/>
                <w:left w:val="nil"/>
                <w:bottom w:val="nil"/>
                <w:right w:val="nil"/>
                <w:between w:val="nil"/>
              </w:pBdr>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This reduced counts of observations with BTH event since last visit and EORTC to:</w:t>
            </w:r>
          </w:p>
          <w:p w14:paraId="5A57C645" w14:textId="77777777" w:rsidR="00147F7A" w:rsidRPr="00573080" w:rsidRDefault="00DD486F">
            <w:pPr>
              <w:pBdr>
                <w:top w:val="nil"/>
                <w:left w:val="nil"/>
                <w:bottom w:val="nil"/>
                <w:right w:val="nil"/>
                <w:between w:val="nil"/>
              </w:pBdr>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ab/>
              <w:t>Study 301: one IncC5Inhib (eculizumab) and three CAC (one eculizumab, two ravulizumab)</w:t>
            </w:r>
          </w:p>
          <w:p w14:paraId="745E3A7A" w14:textId="77777777" w:rsidR="00147F7A" w:rsidRPr="00573080" w:rsidRDefault="00DD486F">
            <w:pPr>
              <w:pBdr>
                <w:top w:val="nil"/>
                <w:left w:val="nil"/>
                <w:bottom w:val="nil"/>
                <w:right w:val="nil"/>
                <w:between w:val="nil"/>
              </w:pBdr>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ab/>
              <w:t>Study 302: two IncC5Inhib (eculizumab) and one CAC (eculizumab)</w:t>
            </w:r>
          </w:p>
          <w:p w14:paraId="5DF64C5C" w14:textId="77777777" w:rsidR="00147F7A" w:rsidRPr="00573080" w:rsidRDefault="00147F7A">
            <w:pPr>
              <w:pBdr>
                <w:top w:val="nil"/>
                <w:left w:val="nil"/>
                <w:bottom w:val="nil"/>
                <w:right w:val="nil"/>
                <w:between w:val="nil"/>
              </w:pBdr>
              <w:jc w:val="both"/>
              <w:rPr>
                <w:rFonts w:ascii="Times New Roman" w:hAnsi="Times New Roman" w:cs="Times New Roman"/>
                <w:color w:val="000000"/>
                <w:sz w:val="18"/>
                <w:szCs w:val="18"/>
              </w:rPr>
            </w:pPr>
          </w:p>
          <w:p w14:paraId="4CDC50F2" w14:textId="77777777" w:rsidR="00147F7A" w:rsidRPr="00573080" w:rsidRDefault="00DD486F">
            <w:pPr>
              <w:pBdr>
                <w:top w:val="nil"/>
                <w:left w:val="nil"/>
                <w:bottom w:val="nil"/>
                <w:right w:val="nil"/>
                <w:between w:val="nil"/>
              </w:pBdr>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A treatment indicator was omitted because the utility increment of ravulizumab versus eculizumab was based on the DCE survey. In addition to covariates for BTH events and transfusions, a linear count of visits for each patient at each time point was analyzed in the regression model. The count of visits was analyzed to explore a time trend since the start of the trial. </w:t>
            </w:r>
          </w:p>
          <w:p w14:paraId="3B1A207E" w14:textId="77777777" w:rsidR="00147F7A" w:rsidRPr="00573080" w:rsidRDefault="00147F7A">
            <w:pPr>
              <w:pBdr>
                <w:top w:val="nil"/>
                <w:left w:val="nil"/>
                <w:bottom w:val="nil"/>
                <w:right w:val="nil"/>
                <w:between w:val="nil"/>
              </w:pBdr>
              <w:jc w:val="both"/>
              <w:rPr>
                <w:rFonts w:ascii="Times New Roman" w:hAnsi="Times New Roman" w:cs="Times New Roman"/>
                <w:color w:val="000000"/>
                <w:sz w:val="18"/>
                <w:szCs w:val="18"/>
              </w:rPr>
            </w:pPr>
          </w:p>
          <w:p w14:paraId="3AF98F6F" w14:textId="77777777" w:rsidR="00147F7A" w:rsidRDefault="00DD486F">
            <w:pPr>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 xml:space="preserve">Four additional models were estimated: one each for study 301 and 302, including the treatment indicator, and two models pooling data from study 301 and 302: one including the treatment indicator, and one omitting the treatment indicator. Non-pooled outcomes of study 301 and 302 omitting the treatment indicator were included in the base-case. Non-pooled outcomes of study 301 and 302 with treatment indicator were included in the scenario analysis.   The results of the regression analyses can be found in Table S5. </w:t>
            </w:r>
          </w:p>
          <w:p w14:paraId="10488BDE" w14:textId="77777777" w:rsidR="000018F0" w:rsidRDefault="000018F0">
            <w:pPr>
              <w:jc w:val="both"/>
              <w:rPr>
                <w:rFonts w:ascii="Times New Roman" w:hAnsi="Times New Roman" w:cs="Times New Roman"/>
                <w:color w:val="000000"/>
                <w:sz w:val="18"/>
                <w:szCs w:val="18"/>
              </w:rPr>
            </w:pPr>
          </w:p>
          <w:p w14:paraId="745D4DAC" w14:textId="5B428B9F" w:rsidR="000018F0" w:rsidRPr="00573080" w:rsidRDefault="000018F0" w:rsidP="000018F0">
            <w:pPr>
              <w:jc w:val="both"/>
              <w:rPr>
                <w:rFonts w:ascii="Times New Roman" w:hAnsi="Times New Roman" w:cs="Times New Roman"/>
                <w:b/>
                <w:sz w:val="18"/>
                <w:szCs w:val="18"/>
              </w:rPr>
            </w:pPr>
            <w:r w:rsidRPr="000018F0">
              <w:rPr>
                <w:rFonts w:ascii="Times New Roman" w:hAnsi="Times New Roman" w:cs="Times New Roman"/>
                <w:sz w:val="18"/>
                <w:szCs w:val="18"/>
              </w:rPr>
              <w:t>For the BTH health states, it was specified that up-dosing offsets the utility decrement. As the model is specified such that continuous up-dosing occurs on the second IncC5Inhib BTH event, the utility of the initial IncC5Inhib BTH state reflected the scaled disutility, but the utility of the subsequent IncC5Inhib BTH state did not, as the subsequent event was directly treated with up-dosing. The transfusion decrement was applied related to the average number of transfusions the patient in a health state receives.</w:t>
            </w:r>
          </w:p>
        </w:tc>
      </w:tr>
    </w:tbl>
    <w:p w14:paraId="6BBE747A" w14:textId="77777777" w:rsidR="00147F7A" w:rsidRPr="00573080" w:rsidRDefault="00DD486F">
      <w:pPr>
        <w:keepNext/>
        <w:pBdr>
          <w:top w:val="nil"/>
          <w:left w:val="nil"/>
          <w:bottom w:val="nil"/>
          <w:right w:val="nil"/>
          <w:between w:val="nil"/>
        </w:pBdr>
        <w:spacing w:after="0" w:line="276" w:lineRule="auto"/>
        <w:jc w:val="both"/>
        <w:rPr>
          <w:rFonts w:ascii="Times New Roman" w:hAnsi="Times New Roman" w:cs="Times New Roman"/>
          <w:b/>
          <w:color w:val="000000"/>
          <w:sz w:val="16"/>
          <w:szCs w:val="16"/>
        </w:rPr>
      </w:pPr>
      <w:r w:rsidRPr="00573080">
        <w:rPr>
          <w:rFonts w:ascii="Times New Roman" w:hAnsi="Times New Roman" w:cs="Times New Roman"/>
          <w:b/>
          <w:color w:val="000000"/>
          <w:sz w:val="16"/>
          <w:szCs w:val="16"/>
        </w:rPr>
        <w:t xml:space="preserve">Abbreviations: </w:t>
      </w:r>
      <w:r w:rsidRPr="00573080">
        <w:rPr>
          <w:rFonts w:ascii="Times New Roman" w:hAnsi="Times New Roman" w:cs="Times New Roman"/>
          <w:sz w:val="16"/>
          <w:szCs w:val="16"/>
        </w:rPr>
        <w:t xml:space="preserve">BTH: breakthrough hemolysis; CAC: complement-amplifying conditions; CUA: cost-utility analysis; EORTC: European Organization for Research and Treatment of Cancer; EQ-5D: EuroQol-5 dimensions- 5 level; IncC5Inhib: incomplete C5 inhibition. </w:t>
      </w:r>
    </w:p>
    <w:p w14:paraId="048767F5" w14:textId="77777777" w:rsidR="00147F7A" w:rsidRPr="00241C53" w:rsidRDefault="00147F7A">
      <w:pPr>
        <w:spacing w:after="0"/>
        <w:rPr>
          <w:rFonts w:ascii="Times New Roman" w:hAnsi="Times New Roman" w:cs="Times New Roman"/>
          <w:b/>
          <w:color w:val="000000"/>
          <w:sz w:val="24"/>
          <w:szCs w:val="24"/>
        </w:rPr>
      </w:pPr>
    </w:p>
    <w:p w14:paraId="59ABCA64" w14:textId="77777777" w:rsidR="00147F7A" w:rsidRPr="00241C53" w:rsidRDefault="00147F7A">
      <w:pPr>
        <w:spacing w:after="0"/>
        <w:rPr>
          <w:rFonts w:ascii="Times New Roman" w:hAnsi="Times New Roman" w:cs="Times New Roman"/>
          <w:b/>
          <w:color w:val="000000"/>
          <w:sz w:val="24"/>
          <w:szCs w:val="24"/>
        </w:rPr>
      </w:pPr>
    </w:p>
    <w:p w14:paraId="2E80347F" w14:textId="10C18CEC" w:rsidR="00147F7A" w:rsidRPr="00573080" w:rsidRDefault="00DD486F">
      <w:pPr>
        <w:keepNext/>
        <w:pBdr>
          <w:top w:val="nil"/>
          <w:left w:val="nil"/>
          <w:bottom w:val="nil"/>
          <w:right w:val="nil"/>
          <w:between w:val="nil"/>
        </w:pBdr>
        <w:spacing w:after="0" w:line="240" w:lineRule="auto"/>
        <w:jc w:val="both"/>
        <w:rPr>
          <w:rFonts w:ascii="Times New Roman" w:hAnsi="Times New Roman" w:cs="Times New Roman"/>
          <w:b/>
          <w:color w:val="000000"/>
          <w:sz w:val="18"/>
          <w:szCs w:val="18"/>
        </w:rPr>
      </w:pPr>
      <w:r w:rsidRPr="00573080">
        <w:rPr>
          <w:rFonts w:ascii="Times New Roman" w:hAnsi="Times New Roman" w:cs="Times New Roman"/>
          <w:b/>
          <w:color w:val="000000"/>
          <w:sz w:val="18"/>
          <w:szCs w:val="18"/>
        </w:rPr>
        <w:t xml:space="preserve">Table S6. Coefficients from the regression models predicting mapped EQ-5D utilities from BTH, treatment arm (ravulizumab vs eculizumab), transfusion, and visit </w:t>
      </w:r>
      <w:r w:rsidRPr="006B2670">
        <w:rPr>
          <w:rFonts w:ascii="Times New Roman" w:hAnsi="Times New Roman" w:cs="Times New Roman"/>
          <w:b/>
          <w:color w:val="000000"/>
          <w:sz w:val="18"/>
          <w:szCs w:val="18"/>
        </w:rPr>
        <w:t>count</w:t>
      </w:r>
      <w:r w:rsidR="006B2670" w:rsidRPr="006B2670">
        <w:rPr>
          <w:rFonts w:ascii="Times New Roman" w:hAnsi="Times New Roman" w:cs="Times New Roman"/>
          <w:b/>
          <w:color w:val="000000"/>
          <w:sz w:val="18"/>
          <w:szCs w:val="18"/>
        </w:rPr>
        <w:t xml:space="preserve"> </w:t>
      </w:r>
      <w:r w:rsidR="006B2670" w:rsidRPr="006B2670">
        <w:rPr>
          <w:rFonts w:ascii="Times New Roman" w:hAnsi="Times New Roman" w:cs="Times New Roman"/>
          <w:b/>
          <w:color w:val="000000"/>
          <w:sz w:val="18"/>
          <w:szCs w:val="18"/>
        </w:rPr>
        <w:fldChar w:fldCharType="begin" w:fldLock="1"/>
      </w:r>
      <w:r w:rsidR="006B2670" w:rsidRPr="006B2670">
        <w:rPr>
          <w:rFonts w:ascii="Times New Roman" w:hAnsi="Times New Roman" w:cs="Times New Roman"/>
          <w:b/>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sidRPr="006B2670">
        <w:rPr>
          <w:rFonts w:ascii="Times New Roman" w:hAnsi="Times New Roman" w:cs="Times New Roman"/>
          <w:b/>
          <w:color w:val="000000"/>
          <w:sz w:val="18"/>
          <w:szCs w:val="18"/>
        </w:rPr>
        <w:fldChar w:fldCharType="separate"/>
      </w:r>
      <w:r w:rsidR="006B2670" w:rsidRPr="006B2670">
        <w:rPr>
          <w:rFonts w:ascii="Times New Roman" w:hAnsi="Times New Roman" w:cs="Times New Roman"/>
          <w:b/>
          <w:noProof/>
          <w:color w:val="000000"/>
          <w:sz w:val="18"/>
          <w:szCs w:val="18"/>
        </w:rPr>
        <w:t>[1, 2]</w:t>
      </w:r>
      <w:r w:rsidR="006B2670" w:rsidRPr="006B2670">
        <w:rPr>
          <w:rFonts w:ascii="Times New Roman" w:hAnsi="Times New Roman" w:cs="Times New Roman"/>
          <w:b/>
          <w:color w:val="000000"/>
          <w:sz w:val="18"/>
          <w:szCs w:val="18"/>
        </w:rPr>
        <w:fldChar w:fldCharType="end"/>
      </w:r>
      <w:r w:rsidRPr="006B2670">
        <w:rPr>
          <w:rFonts w:ascii="Times New Roman" w:hAnsi="Times New Roman" w:cs="Times New Roman"/>
          <w:b/>
          <w:color w:val="000000"/>
          <w:sz w:val="18"/>
          <w:szCs w:val="18"/>
        </w:rPr>
        <w:t>.</w:t>
      </w:r>
    </w:p>
    <w:tbl>
      <w:tblPr>
        <w:tblStyle w:val="a4"/>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977"/>
        <w:gridCol w:w="1134"/>
        <w:gridCol w:w="1276"/>
        <w:gridCol w:w="992"/>
        <w:gridCol w:w="2410"/>
      </w:tblGrid>
      <w:tr w:rsidR="00147F7A" w:rsidRPr="00573080" w14:paraId="4FF6BA66" w14:textId="77777777" w:rsidTr="00147F7A">
        <w:trPr>
          <w:cnfStyle w:val="000000100000" w:firstRow="0" w:lastRow="0" w:firstColumn="0" w:lastColumn="0" w:oddVBand="0" w:evenVBand="0" w:oddHBand="1" w:evenHBand="0" w:firstRowFirstColumn="0" w:firstRowLastColumn="0" w:lastRowFirstColumn="0" w:lastRowLastColumn="0"/>
          <w:trHeight w:val="149"/>
        </w:trPr>
        <w:tc>
          <w:tcPr>
            <w:cnfStyle w:val="000010000000" w:firstRow="0" w:lastRow="0" w:firstColumn="0" w:lastColumn="0" w:oddVBand="1" w:evenVBand="0" w:oddHBand="0" w:evenHBand="0" w:firstRowFirstColumn="0" w:firstRowLastColumn="0" w:lastRowFirstColumn="0" w:lastRowLastColumn="0"/>
            <w:tcW w:w="2977" w:type="dxa"/>
            <w:tcBorders>
              <w:bottom w:val="single" w:sz="4" w:space="0" w:color="000000"/>
            </w:tcBorders>
          </w:tcPr>
          <w:p w14:paraId="076AC1A2" w14:textId="77777777" w:rsidR="00147F7A" w:rsidRPr="00573080" w:rsidRDefault="00147F7A">
            <w:pPr>
              <w:spacing w:line="276" w:lineRule="auto"/>
              <w:jc w:val="both"/>
              <w:rPr>
                <w:rFonts w:ascii="Times New Roman" w:hAnsi="Times New Roman" w:cs="Times New Roman"/>
                <w:b/>
                <w:sz w:val="18"/>
                <w:szCs w:val="18"/>
              </w:rPr>
            </w:pPr>
          </w:p>
        </w:tc>
        <w:tc>
          <w:tcPr>
            <w:tcW w:w="1134" w:type="dxa"/>
            <w:tcBorders>
              <w:bottom w:val="single" w:sz="4" w:space="0" w:color="000000"/>
            </w:tcBorders>
          </w:tcPr>
          <w:p w14:paraId="259320FF" w14:textId="77777777"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73080">
              <w:rPr>
                <w:rFonts w:ascii="Times New Roman" w:hAnsi="Times New Roman" w:cs="Times New Roman"/>
                <w:b/>
                <w:sz w:val="18"/>
                <w:szCs w:val="18"/>
              </w:rPr>
              <w:t>Utility</w:t>
            </w:r>
          </w:p>
        </w:tc>
        <w:tc>
          <w:tcPr>
            <w:cnfStyle w:val="000010000000" w:firstRow="0" w:lastRow="0" w:firstColumn="0" w:lastColumn="0" w:oddVBand="1" w:evenVBand="0" w:oddHBand="0" w:evenHBand="0" w:firstRowFirstColumn="0" w:firstRowLastColumn="0" w:lastRowFirstColumn="0" w:lastRowLastColumn="0"/>
            <w:tcW w:w="2268" w:type="dxa"/>
            <w:gridSpan w:val="2"/>
            <w:tcBorders>
              <w:bottom w:val="single" w:sz="4" w:space="0" w:color="000000"/>
            </w:tcBorders>
          </w:tcPr>
          <w:p w14:paraId="18659282"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95% CI</w:t>
            </w:r>
          </w:p>
        </w:tc>
        <w:tc>
          <w:tcPr>
            <w:tcW w:w="2410" w:type="dxa"/>
          </w:tcPr>
          <w:p w14:paraId="0BB23DBA" w14:textId="77777777"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73080">
              <w:rPr>
                <w:rFonts w:ascii="Times New Roman" w:hAnsi="Times New Roman" w:cs="Times New Roman"/>
                <w:b/>
                <w:sz w:val="18"/>
                <w:szCs w:val="18"/>
              </w:rPr>
              <w:t>Source</w:t>
            </w:r>
          </w:p>
        </w:tc>
      </w:tr>
      <w:tr w:rsidR="00147F7A" w:rsidRPr="00573080" w14:paraId="6E3D635F" w14:textId="77777777" w:rsidTr="00147F7A">
        <w:trPr>
          <w:trHeight w:val="235"/>
        </w:trPr>
        <w:tc>
          <w:tcPr>
            <w:cnfStyle w:val="000010000000" w:firstRow="0" w:lastRow="0" w:firstColumn="0" w:lastColumn="0" w:oddVBand="1" w:evenVBand="0" w:oddHBand="0" w:evenHBand="0" w:firstRowFirstColumn="0" w:firstRowLastColumn="0" w:lastRowFirstColumn="0" w:lastRowLastColumn="0"/>
            <w:tcW w:w="6379" w:type="dxa"/>
            <w:gridSpan w:val="4"/>
            <w:tcBorders>
              <w:top w:val="single" w:sz="4" w:space="0" w:color="000000"/>
              <w:bottom w:val="single" w:sz="4" w:space="0" w:color="000000"/>
            </w:tcBorders>
            <w:shd w:val="clear" w:color="auto" w:fill="auto"/>
          </w:tcPr>
          <w:p w14:paraId="4759ACE0" w14:textId="7777777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b/>
                <w:sz w:val="18"/>
                <w:szCs w:val="18"/>
              </w:rPr>
              <w:t xml:space="preserve">Study 301 (without </w:t>
            </w:r>
            <w:proofErr w:type="spellStart"/>
            <w:r w:rsidRPr="00573080">
              <w:rPr>
                <w:rFonts w:ascii="Times New Roman" w:hAnsi="Times New Roman" w:cs="Times New Roman"/>
                <w:b/>
                <w:sz w:val="18"/>
                <w:szCs w:val="18"/>
              </w:rPr>
              <w:t>tx</w:t>
            </w:r>
            <w:proofErr w:type="spellEnd"/>
            <w:r w:rsidRPr="00573080">
              <w:rPr>
                <w:rFonts w:ascii="Times New Roman" w:hAnsi="Times New Roman" w:cs="Times New Roman"/>
                <w:b/>
                <w:sz w:val="18"/>
                <w:szCs w:val="18"/>
              </w:rPr>
              <w:t xml:space="preserve"> indicator)</w:t>
            </w:r>
          </w:p>
        </w:tc>
        <w:tc>
          <w:tcPr>
            <w:tcW w:w="2410" w:type="dxa"/>
            <w:vMerge w:val="restart"/>
            <w:shd w:val="clear" w:color="auto" w:fill="auto"/>
          </w:tcPr>
          <w:p w14:paraId="5649F4B3" w14:textId="3AB806D1"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74808B98"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Borders>
              <w:top w:val="single" w:sz="4" w:space="0" w:color="000000"/>
            </w:tcBorders>
          </w:tcPr>
          <w:p w14:paraId="441A266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Constant</w:t>
            </w:r>
          </w:p>
        </w:tc>
        <w:tc>
          <w:tcPr>
            <w:tcW w:w="1134" w:type="dxa"/>
            <w:tcBorders>
              <w:top w:val="single" w:sz="4" w:space="0" w:color="000000"/>
            </w:tcBorders>
          </w:tcPr>
          <w:p w14:paraId="3A3F1C3F" w14:textId="0FBA4B8A"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w:t>
            </w:r>
            <w:r w:rsidR="008D0A74" w:rsidRPr="00573080">
              <w:rPr>
                <w:rFonts w:ascii="Times New Roman" w:hAnsi="Times New Roman" w:cs="Times New Roman"/>
                <w:sz w:val="18"/>
                <w:szCs w:val="18"/>
              </w:rPr>
              <w:t>8084</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0000"/>
            </w:tcBorders>
          </w:tcPr>
          <w:p w14:paraId="222B81E4" w14:textId="7F0976E1"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0.7</w:t>
            </w:r>
            <w:r w:rsidR="008D0A74" w:rsidRPr="00573080">
              <w:rPr>
                <w:rFonts w:ascii="Times New Roman" w:hAnsi="Times New Roman" w:cs="Times New Roman"/>
                <w:sz w:val="18"/>
                <w:szCs w:val="18"/>
              </w:rPr>
              <w:t>918</w:t>
            </w:r>
          </w:p>
        </w:tc>
        <w:tc>
          <w:tcPr>
            <w:tcW w:w="992" w:type="dxa"/>
            <w:tcBorders>
              <w:top w:val="single" w:sz="4" w:space="0" w:color="000000"/>
            </w:tcBorders>
          </w:tcPr>
          <w:p w14:paraId="7A22DBF8" w14:textId="4FA92B73" w:rsidR="00147F7A" w:rsidRPr="00573080" w:rsidRDefault="008D0A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0.8250</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265DB8A0"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C1DEBD0" w14:textId="77777777" w:rsidTr="00147F7A">
        <w:trPr>
          <w:trHeight w:val="235"/>
        </w:trPr>
        <w:tc>
          <w:tcPr>
            <w:cnfStyle w:val="000010000000" w:firstRow="0" w:lastRow="0" w:firstColumn="0" w:lastColumn="0" w:oddVBand="1" w:evenVBand="0" w:oddHBand="0" w:evenHBand="0" w:firstRowFirstColumn="0" w:firstRowLastColumn="0" w:lastRowFirstColumn="0" w:lastRowLastColumn="0"/>
            <w:tcW w:w="2977" w:type="dxa"/>
            <w:shd w:val="clear" w:color="auto" w:fill="auto"/>
          </w:tcPr>
          <w:p w14:paraId="02782C46"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BTH-decrement</w:t>
            </w:r>
          </w:p>
        </w:tc>
        <w:tc>
          <w:tcPr>
            <w:tcW w:w="1134" w:type="dxa"/>
            <w:shd w:val="clear" w:color="auto" w:fill="auto"/>
          </w:tcPr>
          <w:p w14:paraId="57473C31" w14:textId="4FD77D29"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D0A74" w:rsidRPr="00573080">
              <w:rPr>
                <w:rFonts w:ascii="Times New Roman" w:hAnsi="Times New Roman" w:cs="Times New Roman"/>
                <w:sz w:val="18"/>
                <w:szCs w:val="18"/>
              </w:rPr>
              <w:t>576</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62DCF792" w14:textId="17866D14"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w:t>
            </w:r>
            <w:r w:rsidR="008D0A74" w:rsidRPr="00573080">
              <w:rPr>
                <w:rFonts w:ascii="Times New Roman" w:hAnsi="Times New Roman" w:cs="Times New Roman"/>
                <w:sz w:val="18"/>
                <w:szCs w:val="18"/>
              </w:rPr>
              <w:t>303</w:t>
            </w:r>
          </w:p>
        </w:tc>
        <w:tc>
          <w:tcPr>
            <w:tcW w:w="992" w:type="dxa"/>
            <w:shd w:val="clear" w:color="auto" w:fill="auto"/>
          </w:tcPr>
          <w:p w14:paraId="52128FBA" w14:textId="687E78BD" w:rsidR="00147F7A" w:rsidRPr="00573080" w:rsidRDefault="008D0A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0.0152</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2D20BDCB"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6CF86B9C" w14:textId="77777777" w:rsidTr="00147F7A">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2977" w:type="dxa"/>
          </w:tcPr>
          <w:p w14:paraId="02EC66F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Transfusion decrement</w:t>
            </w:r>
          </w:p>
        </w:tc>
        <w:tc>
          <w:tcPr>
            <w:tcW w:w="1134" w:type="dxa"/>
          </w:tcPr>
          <w:p w14:paraId="423650B1" w14:textId="37D43FA3"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D0A74" w:rsidRPr="00573080">
              <w:rPr>
                <w:rFonts w:ascii="Times New Roman" w:hAnsi="Times New Roman" w:cs="Times New Roman"/>
                <w:sz w:val="18"/>
                <w:szCs w:val="18"/>
              </w:rPr>
              <w:t>676</w:t>
            </w:r>
          </w:p>
        </w:tc>
        <w:tc>
          <w:tcPr>
            <w:cnfStyle w:val="000010000000" w:firstRow="0" w:lastRow="0" w:firstColumn="0" w:lastColumn="0" w:oddVBand="1" w:evenVBand="0" w:oddHBand="0" w:evenHBand="0" w:firstRowFirstColumn="0" w:firstRowLastColumn="0" w:lastRowFirstColumn="0" w:lastRowLastColumn="0"/>
            <w:tcW w:w="1276" w:type="dxa"/>
          </w:tcPr>
          <w:p w14:paraId="38C27D08" w14:textId="42556AC8"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w:t>
            </w:r>
            <w:r w:rsidR="008D0A74" w:rsidRPr="00573080">
              <w:rPr>
                <w:rFonts w:ascii="Times New Roman" w:hAnsi="Times New Roman" w:cs="Times New Roman"/>
                <w:sz w:val="18"/>
                <w:szCs w:val="18"/>
              </w:rPr>
              <w:t>947</w:t>
            </w:r>
          </w:p>
        </w:tc>
        <w:tc>
          <w:tcPr>
            <w:tcW w:w="992" w:type="dxa"/>
          </w:tcPr>
          <w:p w14:paraId="18436783" w14:textId="4671ACBE"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D0A74" w:rsidRPr="00573080">
              <w:rPr>
                <w:rFonts w:ascii="Times New Roman" w:hAnsi="Times New Roman" w:cs="Times New Roman"/>
                <w:sz w:val="18"/>
                <w:szCs w:val="18"/>
              </w:rPr>
              <w:t>405</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6CE6CAA1"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664C863B" w14:textId="77777777" w:rsidTr="00147F7A">
        <w:trPr>
          <w:trHeight w:val="64"/>
        </w:trPr>
        <w:tc>
          <w:tcPr>
            <w:cnfStyle w:val="000010000000" w:firstRow="0" w:lastRow="0" w:firstColumn="0" w:lastColumn="0" w:oddVBand="1" w:evenVBand="0" w:oddHBand="0" w:evenHBand="0" w:firstRowFirstColumn="0" w:firstRowLastColumn="0" w:lastRowFirstColumn="0" w:lastRowLastColumn="0"/>
            <w:tcW w:w="2977" w:type="dxa"/>
            <w:tcBorders>
              <w:bottom w:val="single" w:sz="4" w:space="0" w:color="000000"/>
            </w:tcBorders>
            <w:shd w:val="clear" w:color="auto" w:fill="auto"/>
          </w:tcPr>
          <w:p w14:paraId="114539E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Visit count</w:t>
            </w:r>
          </w:p>
        </w:tc>
        <w:tc>
          <w:tcPr>
            <w:tcW w:w="1134" w:type="dxa"/>
            <w:tcBorders>
              <w:bottom w:val="single" w:sz="4" w:space="0" w:color="000000"/>
            </w:tcBorders>
            <w:shd w:val="clear" w:color="auto" w:fill="auto"/>
          </w:tcPr>
          <w:p w14:paraId="27CA5078" w14:textId="2EAF782E"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0.01</w:t>
            </w:r>
            <w:r w:rsidR="008D0A74" w:rsidRPr="00573080">
              <w:rPr>
                <w:rFonts w:ascii="Times New Roman" w:hAnsi="Times New Roman" w:cs="Times New Roman"/>
                <w:sz w:val="18"/>
                <w:szCs w:val="18"/>
              </w:rPr>
              <w:t>99</w:t>
            </w:r>
          </w:p>
        </w:tc>
        <w:tc>
          <w:tcPr>
            <w:cnfStyle w:val="000010000000" w:firstRow="0" w:lastRow="0" w:firstColumn="0" w:lastColumn="0" w:oddVBand="1" w:evenVBand="0" w:oddHBand="0" w:evenHBand="0" w:firstRowFirstColumn="0" w:firstRowLastColumn="0" w:lastRowFirstColumn="0" w:lastRowLastColumn="0"/>
            <w:tcW w:w="1276" w:type="dxa"/>
            <w:tcBorders>
              <w:bottom w:val="single" w:sz="4" w:space="0" w:color="000000"/>
            </w:tcBorders>
            <w:shd w:val="clear" w:color="auto" w:fill="auto"/>
          </w:tcPr>
          <w:p w14:paraId="177DDC5F" w14:textId="3EE4A1B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0.01</w:t>
            </w:r>
            <w:r w:rsidR="008D0A74" w:rsidRPr="00573080">
              <w:rPr>
                <w:rFonts w:ascii="Times New Roman" w:hAnsi="Times New Roman" w:cs="Times New Roman"/>
                <w:sz w:val="18"/>
                <w:szCs w:val="18"/>
              </w:rPr>
              <w:t>69</w:t>
            </w:r>
          </w:p>
        </w:tc>
        <w:tc>
          <w:tcPr>
            <w:tcW w:w="992" w:type="dxa"/>
            <w:tcBorders>
              <w:bottom w:val="single" w:sz="4" w:space="0" w:color="000000"/>
            </w:tcBorders>
            <w:shd w:val="clear" w:color="auto" w:fill="auto"/>
          </w:tcPr>
          <w:p w14:paraId="527BD4A5" w14:textId="222E1F25" w:rsidR="00147F7A" w:rsidRPr="00573080" w:rsidRDefault="008D0A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0.0230</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73999741"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09F4B26" w14:textId="77777777" w:rsidTr="00147F7A">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2977" w:type="dxa"/>
            <w:tcBorders>
              <w:top w:val="single" w:sz="4" w:space="0" w:color="000000"/>
              <w:bottom w:val="single" w:sz="4" w:space="0" w:color="000000"/>
            </w:tcBorders>
          </w:tcPr>
          <w:p w14:paraId="20C67BBF"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 xml:space="preserve">Study 302 (without </w:t>
            </w:r>
            <w:proofErr w:type="spellStart"/>
            <w:r w:rsidRPr="00573080">
              <w:rPr>
                <w:rFonts w:ascii="Times New Roman" w:hAnsi="Times New Roman" w:cs="Times New Roman"/>
                <w:b/>
                <w:sz w:val="18"/>
                <w:szCs w:val="18"/>
              </w:rPr>
              <w:t>tx</w:t>
            </w:r>
            <w:proofErr w:type="spellEnd"/>
            <w:r w:rsidRPr="00573080">
              <w:rPr>
                <w:rFonts w:ascii="Times New Roman" w:hAnsi="Times New Roman" w:cs="Times New Roman"/>
                <w:b/>
                <w:sz w:val="18"/>
                <w:szCs w:val="18"/>
              </w:rPr>
              <w:t xml:space="preserve"> indicator)</w:t>
            </w:r>
          </w:p>
        </w:tc>
        <w:tc>
          <w:tcPr>
            <w:tcW w:w="1134" w:type="dxa"/>
            <w:tcBorders>
              <w:top w:val="single" w:sz="4" w:space="0" w:color="000000"/>
              <w:bottom w:val="single" w:sz="4" w:space="0" w:color="000000"/>
            </w:tcBorders>
          </w:tcPr>
          <w:p w14:paraId="798620F4" w14:textId="77777777" w:rsidR="00147F7A" w:rsidRPr="00573080" w:rsidRDefault="00147F7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0000"/>
              <w:bottom w:val="single" w:sz="4" w:space="0" w:color="000000"/>
            </w:tcBorders>
          </w:tcPr>
          <w:p w14:paraId="29AB374A" w14:textId="77777777" w:rsidR="00147F7A" w:rsidRPr="00573080" w:rsidRDefault="00147F7A">
            <w:pPr>
              <w:spacing w:line="276" w:lineRule="auto"/>
              <w:jc w:val="both"/>
              <w:rPr>
                <w:rFonts w:ascii="Times New Roman" w:hAnsi="Times New Roman" w:cs="Times New Roman"/>
                <w:i/>
                <w:sz w:val="18"/>
                <w:szCs w:val="18"/>
              </w:rPr>
            </w:pPr>
          </w:p>
        </w:tc>
        <w:tc>
          <w:tcPr>
            <w:tcW w:w="992" w:type="dxa"/>
            <w:tcBorders>
              <w:top w:val="single" w:sz="4" w:space="0" w:color="000000"/>
              <w:bottom w:val="single" w:sz="4" w:space="0" w:color="000000"/>
            </w:tcBorders>
          </w:tcPr>
          <w:p w14:paraId="2874D518" w14:textId="77777777" w:rsidR="00147F7A" w:rsidRPr="00573080" w:rsidRDefault="00147F7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p>
        </w:tc>
        <w:tc>
          <w:tcPr>
            <w:cnfStyle w:val="000010000000" w:firstRow="0" w:lastRow="0" w:firstColumn="0" w:lastColumn="0" w:oddVBand="1" w:evenVBand="0" w:oddHBand="0" w:evenHBand="0" w:firstRowFirstColumn="0" w:firstRowLastColumn="0" w:lastRowFirstColumn="0" w:lastRowLastColumn="0"/>
            <w:tcW w:w="2410" w:type="dxa"/>
            <w:vMerge w:val="restart"/>
            <w:shd w:val="clear" w:color="auto" w:fill="FFFFFF"/>
          </w:tcPr>
          <w:p w14:paraId="251FD0F0" w14:textId="79FF761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2333E4B3"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tcBorders>
              <w:top w:val="single" w:sz="4" w:space="0" w:color="000000"/>
            </w:tcBorders>
            <w:shd w:val="clear" w:color="auto" w:fill="auto"/>
          </w:tcPr>
          <w:p w14:paraId="0A12C0F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Constant</w:t>
            </w:r>
          </w:p>
        </w:tc>
        <w:tc>
          <w:tcPr>
            <w:tcW w:w="1134" w:type="dxa"/>
            <w:tcBorders>
              <w:top w:val="single" w:sz="4" w:space="0" w:color="000000"/>
            </w:tcBorders>
            <w:shd w:val="clear" w:color="auto" w:fill="auto"/>
          </w:tcPr>
          <w:p w14:paraId="0C821E4D" w14:textId="15F6DDB9"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0.8</w:t>
            </w:r>
            <w:r w:rsidR="008D0A74" w:rsidRPr="00573080">
              <w:rPr>
                <w:rFonts w:ascii="Times New Roman" w:hAnsi="Times New Roman" w:cs="Times New Roman"/>
                <w:sz w:val="18"/>
                <w:szCs w:val="18"/>
              </w:rPr>
              <w:t>875</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0000"/>
            </w:tcBorders>
            <w:shd w:val="clear" w:color="auto" w:fill="auto"/>
          </w:tcPr>
          <w:p w14:paraId="76D11D87" w14:textId="7F16170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w:t>
            </w:r>
            <w:r w:rsidR="008D0A74" w:rsidRPr="00573080">
              <w:rPr>
                <w:rFonts w:ascii="Times New Roman" w:hAnsi="Times New Roman" w:cs="Times New Roman"/>
                <w:sz w:val="18"/>
                <w:szCs w:val="18"/>
              </w:rPr>
              <w:t>670</w:t>
            </w:r>
          </w:p>
        </w:tc>
        <w:tc>
          <w:tcPr>
            <w:tcW w:w="992" w:type="dxa"/>
            <w:tcBorders>
              <w:top w:val="single" w:sz="4" w:space="0" w:color="000000"/>
            </w:tcBorders>
            <w:shd w:val="clear" w:color="auto" w:fill="auto"/>
          </w:tcPr>
          <w:p w14:paraId="4F66AEAA" w14:textId="3D5559AF"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w:t>
            </w:r>
            <w:r w:rsidR="008D0A74" w:rsidRPr="00573080">
              <w:rPr>
                <w:rFonts w:ascii="Times New Roman" w:hAnsi="Times New Roman" w:cs="Times New Roman"/>
                <w:sz w:val="18"/>
                <w:szCs w:val="18"/>
              </w:rPr>
              <w:t>9079</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31479BE1"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0B57F31" w14:textId="77777777" w:rsidTr="00147F7A">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2977" w:type="dxa"/>
          </w:tcPr>
          <w:p w14:paraId="18D9785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BTH-decrement</w:t>
            </w:r>
          </w:p>
        </w:tc>
        <w:tc>
          <w:tcPr>
            <w:tcW w:w="1134" w:type="dxa"/>
          </w:tcPr>
          <w:p w14:paraId="69E9E510" w14:textId="51DA7495"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w:t>
            </w:r>
            <w:r w:rsidR="008D0A74" w:rsidRPr="00573080">
              <w:rPr>
                <w:rFonts w:ascii="Times New Roman" w:hAnsi="Times New Roman" w:cs="Times New Roman"/>
                <w:sz w:val="18"/>
                <w:szCs w:val="18"/>
              </w:rPr>
              <w:t>2850</w:t>
            </w:r>
          </w:p>
        </w:tc>
        <w:tc>
          <w:tcPr>
            <w:cnfStyle w:val="000010000000" w:firstRow="0" w:lastRow="0" w:firstColumn="0" w:lastColumn="0" w:oddVBand="1" w:evenVBand="0" w:oddHBand="0" w:evenHBand="0" w:firstRowFirstColumn="0" w:firstRowLastColumn="0" w:lastRowFirstColumn="0" w:lastRowLastColumn="0"/>
            <w:tcW w:w="1276" w:type="dxa"/>
          </w:tcPr>
          <w:p w14:paraId="4D0579A4" w14:textId="19CE545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w:t>
            </w:r>
            <w:r w:rsidR="008D0A74" w:rsidRPr="00573080">
              <w:rPr>
                <w:rFonts w:ascii="Times New Roman" w:hAnsi="Times New Roman" w:cs="Times New Roman"/>
                <w:sz w:val="18"/>
                <w:szCs w:val="18"/>
              </w:rPr>
              <w:t>3878</w:t>
            </w:r>
          </w:p>
        </w:tc>
        <w:tc>
          <w:tcPr>
            <w:tcW w:w="992" w:type="dxa"/>
          </w:tcPr>
          <w:p w14:paraId="661878D2" w14:textId="2E03A694"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-0.1</w:t>
            </w:r>
            <w:r w:rsidR="008D0A74" w:rsidRPr="00573080">
              <w:rPr>
                <w:rFonts w:ascii="Times New Roman" w:hAnsi="Times New Roman" w:cs="Times New Roman"/>
                <w:sz w:val="18"/>
                <w:szCs w:val="18"/>
              </w:rPr>
              <w:t>822</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53DFEDE0"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71E5744"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auto"/>
          </w:tcPr>
          <w:p w14:paraId="5DDD6C5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Transfusion decrement</w:t>
            </w:r>
          </w:p>
        </w:tc>
        <w:tc>
          <w:tcPr>
            <w:tcW w:w="1134" w:type="dxa"/>
            <w:shd w:val="clear" w:color="auto" w:fill="auto"/>
          </w:tcPr>
          <w:p w14:paraId="12914063" w14:textId="00EDED55"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D0A74" w:rsidRPr="00573080">
              <w:rPr>
                <w:rFonts w:ascii="Times New Roman" w:hAnsi="Times New Roman" w:cs="Times New Roman"/>
                <w:sz w:val="18"/>
                <w:szCs w:val="18"/>
              </w:rPr>
              <w:t>795</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695FCB16" w14:textId="508C7EF2"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w:t>
            </w:r>
            <w:r w:rsidR="008D0A74" w:rsidRPr="00573080">
              <w:rPr>
                <w:rFonts w:ascii="Times New Roman" w:hAnsi="Times New Roman" w:cs="Times New Roman"/>
                <w:sz w:val="18"/>
                <w:szCs w:val="18"/>
              </w:rPr>
              <w:t>1192</w:t>
            </w:r>
          </w:p>
        </w:tc>
        <w:tc>
          <w:tcPr>
            <w:tcW w:w="992" w:type="dxa"/>
            <w:shd w:val="clear" w:color="auto" w:fill="auto"/>
          </w:tcPr>
          <w:p w14:paraId="1AFF02E1" w14:textId="1712EA03"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D0A74" w:rsidRPr="00573080">
              <w:rPr>
                <w:rFonts w:ascii="Times New Roman" w:hAnsi="Times New Roman" w:cs="Times New Roman"/>
                <w:sz w:val="18"/>
                <w:szCs w:val="18"/>
              </w:rPr>
              <w:t>397</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441E3D31"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7BFD5B4F" w14:textId="77777777" w:rsidTr="00147F7A">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2977" w:type="dxa"/>
            <w:tcBorders>
              <w:bottom w:val="single" w:sz="4" w:space="0" w:color="000000"/>
            </w:tcBorders>
          </w:tcPr>
          <w:p w14:paraId="4206BD1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Visit count</w:t>
            </w:r>
          </w:p>
        </w:tc>
        <w:tc>
          <w:tcPr>
            <w:tcW w:w="1134" w:type="dxa"/>
            <w:tcBorders>
              <w:bottom w:val="single" w:sz="4" w:space="0" w:color="000000"/>
            </w:tcBorders>
          </w:tcPr>
          <w:p w14:paraId="17902E90" w14:textId="623A5D11"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0.00</w:t>
            </w:r>
            <w:r w:rsidR="008D0A74" w:rsidRPr="00573080">
              <w:rPr>
                <w:rFonts w:ascii="Times New Roman" w:hAnsi="Times New Roman" w:cs="Times New Roman"/>
                <w:sz w:val="18"/>
                <w:szCs w:val="18"/>
              </w:rPr>
              <w:t>21</w:t>
            </w:r>
          </w:p>
        </w:tc>
        <w:tc>
          <w:tcPr>
            <w:cnfStyle w:val="000010000000" w:firstRow="0" w:lastRow="0" w:firstColumn="0" w:lastColumn="0" w:oddVBand="1" w:evenVBand="0" w:oddHBand="0" w:evenHBand="0" w:firstRowFirstColumn="0" w:firstRowLastColumn="0" w:lastRowFirstColumn="0" w:lastRowLastColumn="0"/>
            <w:tcW w:w="1276" w:type="dxa"/>
            <w:tcBorders>
              <w:bottom w:val="single" w:sz="4" w:space="0" w:color="000000"/>
            </w:tcBorders>
          </w:tcPr>
          <w:p w14:paraId="115707AF" w14:textId="642E71EE" w:rsidR="00147F7A" w:rsidRPr="00573080" w:rsidRDefault="008D0A74">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w:t>
            </w:r>
            <w:r w:rsidR="00DD486F" w:rsidRPr="00573080">
              <w:rPr>
                <w:rFonts w:ascii="Times New Roman" w:hAnsi="Times New Roman" w:cs="Times New Roman"/>
                <w:sz w:val="18"/>
                <w:szCs w:val="18"/>
              </w:rPr>
              <w:t>0.000</w:t>
            </w:r>
            <w:r w:rsidRPr="00573080">
              <w:rPr>
                <w:rFonts w:ascii="Times New Roman" w:hAnsi="Times New Roman" w:cs="Times New Roman"/>
                <w:sz w:val="18"/>
                <w:szCs w:val="18"/>
              </w:rPr>
              <w:t>5</w:t>
            </w:r>
          </w:p>
        </w:tc>
        <w:tc>
          <w:tcPr>
            <w:tcW w:w="992" w:type="dxa"/>
            <w:tcBorders>
              <w:bottom w:val="single" w:sz="4" w:space="0" w:color="000000"/>
            </w:tcBorders>
          </w:tcPr>
          <w:p w14:paraId="52CE6EFC" w14:textId="785788B8"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0.00</w:t>
            </w:r>
            <w:r w:rsidR="008D0A74" w:rsidRPr="00573080">
              <w:rPr>
                <w:rFonts w:ascii="Times New Roman" w:hAnsi="Times New Roman" w:cs="Times New Roman"/>
                <w:sz w:val="18"/>
                <w:szCs w:val="18"/>
              </w:rPr>
              <w:t>47</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54848C0B"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42DE53B" w14:textId="77777777" w:rsidTr="00147F7A">
        <w:trPr>
          <w:trHeight w:val="235"/>
        </w:trPr>
        <w:tc>
          <w:tcPr>
            <w:cnfStyle w:val="000010000000" w:firstRow="0" w:lastRow="0" w:firstColumn="0" w:lastColumn="0" w:oddVBand="1" w:evenVBand="0" w:oddHBand="0" w:evenHBand="0" w:firstRowFirstColumn="0" w:firstRowLastColumn="0" w:lastRowFirstColumn="0" w:lastRowLastColumn="0"/>
            <w:tcW w:w="6379" w:type="dxa"/>
            <w:gridSpan w:val="4"/>
            <w:tcBorders>
              <w:top w:val="single" w:sz="4" w:space="0" w:color="000000"/>
              <w:bottom w:val="single" w:sz="4" w:space="0" w:color="000000"/>
            </w:tcBorders>
            <w:shd w:val="clear" w:color="auto" w:fill="FFFFFF"/>
          </w:tcPr>
          <w:p w14:paraId="41A4D352" w14:textId="7777777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b/>
                <w:sz w:val="18"/>
                <w:szCs w:val="18"/>
              </w:rPr>
              <w:t xml:space="preserve">Study 301 (with </w:t>
            </w:r>
            <w:proofErr w:type="spellStart"/>
            <w:r w:rsidRPr="00573080">
              <w:rPr>
                <w:rFonts w:ascii="Times New Roman" w:hAnsi="Times New Roman" w:cs="Times New Roman"/>
                <w:b/>
                <w:sz w:val="18"/>
                <w:szCs w:val="18"/>
              </w:rPr>
              <w:t>tx</w:t>
            </w:r>
            <w:proofErr w:type="spellEnd"/>
            <w:r w:rsidRPr="00573080">
              <w:rPr>
                <w:rFonts w:ascii="Times New Roman" w:hAnsi="Times New Roman" w:cs="Times New Roman"/>
                <w:b/>
                <w:sz w:val="18"/>
                <w:szCs w:val="18"/>
              </w:rPr>
              <w:t xml:space="preserve"> indicator)</w:t>
            </w:r>
          </w:p>
        </w:tc>
        <w:tc>
          <w:tcPr>
            <w:tcW w:w="2410" w:type="dxa"/>
            <w:vMerge w:val="restart"/>
          </w:tcPr>
          <w:p w14:paraId="6B4BC0BC" w14:textId="57A85756"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09A75F28"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Borders>
              <w:top w:val="single" w:sz="4" w:space="0" w:color="000000"/>
            </w:tcBorders>
          </w:tcPr>
          <w:p w14:paraId="7FBFE8D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Constant</w:t>
            </w:r>
          </w:p>
        </w:tc>
        <w:tc>
          <w:tcPr>
            <w:tcW w:w="1134" w:type="dxa"/>
          </w:tcPr>
          <w:p w14:paraId="00555DBA" w14:textId="08BD41E7"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w:t>
            </w:r>
            <w:r w:rsidR="008D0A74" w:rsidRPr="00573080">
              <w:rPr>
                <w:rFonts w:ascii="Times New Roman" w:hAnsi="Times New Roman" w:cs="Times New Roman"/>
                <w:sz w:val="18"/>
                <w:szCs w:val="18"/>
              </w:rPr>
              <w:t>8117</w:t>
            </w:r>
          </w:p>
        </w:tc>
        <w:tc>
          <w:tcPr>
            <w:cnfStyle w:val="000010000000" w:firstRow="0" w:lastRow="0" w:firstColumn="0" w:lastColumn="0" w:oddVBand="1" w:evenVBand="0" w:oddHBand="0" w:evenHBand="0" w:firstRowFirstColumn="0" w:firstRowLastColumn="0" w:lastRowFirstColumn="0" w:lastRowLastColumn="0"/>
            <w:tcW w:w="1276" w:type="dxa"/>
          </w:tcPr>
          <w:p w14:paraId="65F94A5C" w14:textId="475CE737" w:rsidR="00147F7A" w:rsidRPr="00573080" w:rsidRDefault="008D0A74">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0.7907</w:t>
            </w:r>
          </w:p>
        </w:tc>
        <w:tc>
          <w:tcPr>
            <w:tcW w:w="992" w:type="dxa"/>
          </w:tcPr>
          <w:p w14:paraId="27A6A88E" w14:textId="2CCA1AD4" w:rsidR="00147F7A" w:rsidRPr="00573080" w:rsidRDefault="008D0A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0.8326</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3F9D1E7C"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74C537FA"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74FA286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BTH-decrement</w:t>
            </w:r>
          </w:p>
        </w:tc>
        <w:tc>
          <w:tcPr>
            <w:tcW w:w="1134" w:type="dxa"/>
          </w:tcPr>
          <w:p w14:paraId="3BED7520" w14:textId="236BCC62"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D0A74" w:rsidRPr="00573080">
              <w:rPr>
                <w:rFonts w:ascii="Times New Roman" w:hAnsi="Times New Roman" w:cs="Times New Roman"/>
                <w:sz w:val="18"/>
                <w:szCs w:val="18"/>
              </w:rPr>
              <w:t>576</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1FB327F7" w14:textId="2FDF3E9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w:t>
            </w:r>
            <w:r w:rsidR="008D0A74" w:rsidRPr="00573080">
              <w:rPr>
                <w:rFonts w:ascii="Times New Roman" w:hAnsi="Times New Roman" w:cs="Times New Roman"/>
                <w:sz w:val="18"/>
                <w:szCs w:val="18"/>
              </w:rPr>
              <w:t>303</w:t>
            </w:r>
          </w:p>
        </w:tc>
        <w:tc>
          <w:tcPr>
            <w:tcW w:w="992" w:type="dxa"/>
          </w:tcPr>
          <w:p w14:paraId="3710F251" w14:textId="775D6BC5" w:rsidR="00147F7A" w:rsidRPr="00573080" w:rsidRDefault="008D0A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0.0152</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202CE11F"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A9895A8" w14:textId="77777777" w:rsidTr="00147F7A">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2977" w:type="dxa"/>
          </w:tcPr>
          <w:p w14:paraId="4D016A3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Ravulizumab arm (vs. eculizumab)</w:t>
            </w:r>
          </w:p>
        </w:tc>
        <w:tc>
          <w:tcPr>
            <w:tcW w:w="1134" w:type="dxa"/>
          </w:tcPr>
          <w:p w14:paraId="4A552F60" w14:textId="7E086175"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-0.00</w:t>
            </w:r>
            <w:r w:rsidR="008D0A74" w:rsidRPr="00573080">
              <w:rPr>
                <w:rFonts w:ascii="Times New Roman" w:hAnsi="Times New Roman" w:cs="Times New Roman"/>
                <w:sz w:val="18"/>
                <w:szCs w:val="18"/>
              </w:rPr>
              <w:t>66</w:t>
            </w:r>
          </w:p>
        </w:tc>
        <w:tc>
          <w:tcPr>
            <w:cnfStyle w:val="000010000000" w:firstRow="0" w:lastRow="0" w:firstColumn="0" w:lastColumn="0" w:oddVBand="1" w:evenVBand="0" w:oddHBand="0" w:evenHBand="0" w:firstRowFirstColumn="0" w:firstRowLastColumn="0" w:lastRowFirstColumn="0" w:lastRowLastColumn="0"/>
            <w:tcW w:w="1276" w:type="dxa"/>
          </w:tcPr>
          <w:p w14:paraId="41075CD4" w14:textId="688E0712"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w:t>
            </w:r>
            <w:r w:rsidR="00535599" w:rsidRPr="00573080">
              <w:rPr>
                <w:rFonts w:ascii="Times New Roman" w:hAnsi="Times New Roman" w:cs="Times New Roman"/>
                <w:sz w:val="18"/>
                <w:szCs w:val="18"/>
              </w:rPr>
              <w:t>325</w:t>
            </w:r>
          </w:p>
        </w:tc>
        <w:tc>
          <w:tcPr>
            <w:tcW w:w="992" w:type="dxa"/>
          </w:tcPr>
          <w:p w14:paraId="5280FA85" w14:textId="74466D40"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0.01</w:t>
            </w:r>
            <w:r w:rsidR="00535599" w:rsidRPr="00573080">
              <w:rPr>
                <w:rFonts w:ascii="Times New Roman" w:hAnsi="Times New Roman" w:cs="Times New Roman"/>
                <w:sz w:val="18"/>
                <w:szCs w:val="18"/>
              </w:rPr>
              <w:t>93</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3917A16D"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3E62B061"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2AB23DA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Transfusion decrement</w:t>
            </w:r>
          </w:p>
        </w:tc>
        <w:tc>
          <w:tcPr>
            <w:tcW w:w="1134" w:type="dxa"/>
          </w:tcPr>
          <w:p w14:paraId="12F4E20E" w14:textId="716F5FF9"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674</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5790DC25" w14:textId="08C2CA83"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944</w:t>
            </w:r>
          </w:p>
        </w:tc>
        <w:tc>
          <w:tcPr>
            <w:tcW w:w="992" w:type="dxa"/>
          </w:tcPr>
          <w:p w14:paraId="6B5A65F5" w14:textId="7AC60AA5"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403</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06066523"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E12336B" w14:textId="77777777" w:rsidTr="00147F7A">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2977" w:type="dxa"/>
            <w:tcBorders>
              <w:bottom w:val="single" w:sz="4" w:space="0" w:color="000000"/>
            </w:tcBorders>
          </w:tcPr>
          <w:p w14:paraId="6B1549B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Visit count</w:t>
            </w:r>
          </w:p>
        </w:tc>
        <w:tc>
          <w:tcPr>
            <w:tcW w:w="1134" w:type="dxa"/>
            <w:tcBorders>
              <w:bottom w:val="single" w:sz="4" w:space="0" w:color="000000"/>
            </w:tcBorders>
          </w:tcPr>
          <w:p w14:paraId="2AB9A81B" w14:textId="0FCC1155"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0.01</w:t>
            </w:r>
            <w:r w:rsidR="008036C9" w:rsidRPr="00573080">
              <w:rPr>
                <w:rFonts w:ascii="Times New Roman" w:hAnsi="Times New Roman" w:cs="Times New Roman"/>
                <w:sz w:val="18"/>
                <w:szCs w:val="18"/>
              </w:rPr>
              <w:t>99</w:t>
            </w:r>
          </w:p>
        </w:tc>
        <w:tc>
          <w:tcPr>
            <w:cnfStyle w:val="000010000000" w:firstRow="0" w:lastRow="0" w:firstColumn="0" w:lastColumn="0" w:oddVBand="1" w:evenVBand="0" w:oddHBand="0" w:evenHBand="0" w:firstRowFirstColumn="0" w:firstRowLastColumn="0" w:lastRowFirstColumn="0" w:lastRowLastColumn="0"/>
            <w:tcW w:w="1276" w:type="dxa"/>
            <w:tcBorders>
              <w:bottom w:val="single" w:sz="4" w:space="0" w:color="000000"/>
            </w:tcBorders>
          </w:tcPr>
          <w:p w14:paraId="2F72D752" w14:textId="6905E8D4"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0.01</w:t>
            </w:r>
            <w:r w:rsidR="008036C9" w:rsidRPr="00573080">
              <w:rPr>
                <w:rFonts w:ascii="Times New Roman" w:hAnsi="Times New Roman" w:cs="Times New Roman"/>
                <w:sz w:val="18"/>
                <w:szCs w:val="18"/>
              </w:rPr>
              <w:t>69</w:t>
            </w:r>
          </w:p>
        </w:tc>
        <w:tc>
          <w:tcPr>
            <w:tcW w:w="992" w:type="dxa"/>
            <w:tcBorders>
              <w:bottom w:val="single" w:sz="4" w:space="0" w:color="000000"/>
            </w:tcBorders>
          </w:tcPr>
          <w:p w14:paraId="63BB3184" w14:textId="4366F74C"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230</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FFFFFF"/>
          </w:tcPr>
          <w:p w14:paraId="1F676ECB"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28396F6E" w14:textId="77777777" w:rsidTr="00147F7A">
        <w:trPr>
          <w:trHeight w:val="87"/>
        </w:trPr>
        <w:tc>
          <w:tcPr>
            <w:cnfStyle w:val="000010000000" w:firstRow="0" w:lastRow="0" w:firstColumn="0" w:lastColumn="0" w:oddVBand="1" w:evenVBand="0" w:oddHBand="0" w:evenHBand="0" w:firstRowFirstColumn="0" w:firstRowLastColumn="0" w:lastRowFirstColumn="0" w:lastRowLastColumn="0"/>
            <w:tcW w:w="6379" w:type="dxa"/>
            <w:gridSpan w:val="4"/>
            <w:tcBorders>
              <w:top w:val="single" w:sz="4" w:space="0" w:color="000000"/>
            </w:tcBorders>
            <w:shd w:val="clear" w:color="auto" w:fill="FFFFFF"/>
          </w:tcPr>
          <w:p w14:paraId="7B4B6942" w14:textId="7777777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b/>
                <w:sz w:val="18"/>
                <w:szCs w:val="18"/>
              </w:rPr>
              <w:t xml:space="preserve">Study 302 (with </w:t>
            </w:r>
            <w:proofErr w:type="spellStart"/>
            <w:r w:rsidRPr="00573080">
              <w:rPr>
                <w:rFonts w:ascii="Times New Roman" w:hAnsi="Times New Roman" w:cs="Times New Roman"/>
                <w:b/>
                <w:sz w:val="18"/>
                <w:szCs w:val="18"/>
              </w:rPr>
              <w:t>tx</w:t>
            </w:r>
            <w:proofErr w:type="spellEnd"/>
            <w:r w:rsidRPr="00573080">
              <w:rPr>
                <w:rFonts w:ascii="Times New Roman" w:hAnsi="Times New Roman" w:cs="Times New Roman"/>
                <w:b/>
                <w:sz w:val="18"/>
                <w:szCs w:val="18"/>
              </w:rPr>
              <w:t xml:space="preserve"> indicator)</w:t>
            </w:r>
          </w:p>
        </w:tc>
        <w:tc>
          <w:tcPr>
            <w:tcW w:w="2410" w:type="dxa"/>
            <w:vMerge w:val="restart"/>
          </w:tcPr>
          <w:p w14:paraId="1711FD91" w14:textId="47815633"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51C26D19"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Borders>
              <w:top w:val="single" w:sz="4" w:space="0" w:color="000000"/>
            </w:tcBorders>
          </w:tcPr>
          <w:p w14:paraId="3E749AF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Constant</w:t>
            </w:r>
          </w:p>
        </w:tc>
        <w:tc>
          <w:tcPr>
            <w:tcW w:w="1134" w:type="dxa"/>
            <w:tcBorders>
              <w:top w:val="single" w:sz="4" w:space="0" w:color="000000"/>
            </w:tcBorders>
          </w:tcPr>
          <w:p w14:paraId="1A68CA13" w14:textId="22F07D13"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0.8</w:t>
            </w:r>
            <w:r w:rsidR="008036C9" w:rsidRPr="00573080">
              <w:rPr>
                <w:rFonts w:ascii="Times New Roman" w:hAnsi="Times New Roman" w:cs="Times New Roman"/>
                <w:sz w:val="18"/>
                <w:szCs w:val="18"/>
              </w:rPr>
              <w:t>734</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0000"/>
            </w:tcBorders>
          </w:tcPr>
          <w:p w14:paraId="411CE90F" w14:textId="08BCAB2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w:t>
            </w:r>
            <w:r w:rsidR="008036C9" w:rsidRPr="00573080">
              <w:rPr>
                <w:rFonts w:ascii="Times New Roman" w:hAnsi="Times New Roman" w:cs="Times New Roman"/>
                <w:sz w:val="18"/>
                <w:szCs w:val="18"/>
              </w:rPr>
              <w:t>460</w:t>
            </w:r>
          </w:p>
        </w:tc>
        <w:tc>
          <w:tcPr>
            <w:tcW w:w="992" w:type="dxa"/>
            <w:tcBorders>
              <w:top w:val="single" w:sz="4" w:space="0" w:color="000000"/>
            </w:tcBorders>
          </w:tcPr>
          <w:p w14:paraId="0D25BA18" w14:textId="52367617"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w:t>
            </w:r>
            <w:r w:rsidR="008036C9" w:rsidRPr="00573080">
              <w:rPr>
                <w:rFonts w:ascii="Times New Roman" w:hAnsi="Times New Roman" w:cs="Times New Roman"/>
                <w:sz w:val="18"/>
                <w:szCs w:val="18"/>
              </w:rPr>
              <w:t>9007</w:t>
            </w:r>
          </w:p>
        </w:tc>
        <w:tc>
          <w:tcPr>
            <w:cnfStyle w:val="000010000000" w:firstRow="0" w:lastRow="0" w:firstColumn="0" w:lastColumn="0" w:oddVBand="1" w:evenVBand="0" w:oddHBand="0" w:evenHBand="0" w:firstRowFirstColumn="0" w:firstRowLastColumn="0" w:lastRowFirstColumn="0" w:lastRowLastColumn="0"/>
            <w:tcW w:w="2410" w:type="dxa"/>
            <w:vMerge/>
          </w:tcPr>
          <w:p w14:paraId="7B60F5CB"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0B6D28F5" w14:textId="77777777" w:rsidTr="00147F7A">
        <w:trPr>
          <w:trHeight w:val="123"/>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2AE037C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BTH-decrement</w:t>
            </w:r>
          </w:p>
        </w:tc>
        <w:tc>
          <w:tcPr>
            <w:tcW w:w="1134" w:type="dxa"/>
          </w:tcPr>
          <w:p w14:paraId="76C83251" w14:textId="0E051BCA"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w:t>
            </w:r>
            <w:r w:rsidR="008036C9" w:rsidRPr="00573080">
              <w:rPr>
                <w:rFonts w:ascii="Times New Roman" w:hAnsi="Times New Roman" w:cs="Times New Roman"/>
                <w:sz w:val="18"/>
                <w:szCs w:val="18"/>
              </w:rPr>
              <w:t>2832</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793F3EA4" w14:textId="2F7EDC42"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w:t>
            </w:r>
            <w:r w:rsidR="008036C9" w:rsidRPr="00573080">
              <w:rPr>
                <w:rFonts w:ascii="Times New Roman" w:hAnsi="Times New Roman" w:cs="Times New Roman"/>
                <w:sz w:val="18"/>
                <w:szCs w:val="18"/>
              </w:rPr>
              <w:t>3860</w:t>
            </w:r>
          </w:p>
        </w:tc>
        <w:tc>
          <w:tcPr>
            <w:tcW w:w="992" w:type="dxa"/>
          </w:tcPr>
          <w:p w14:paraId="0A53051B" w14:textId="28D41BFC"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-0.1</w:t>
            </w:r>
            <w:r w:rsidR="008036C9" w:rsidRPr="00573080">
              <w:rPr>
                <w:rFonts w:ascii="Times New Roman" w:hAnsi="Times New Roman" w:cs="Times New Roman"/>
                <w:sz w:val="18"/>
                <w:szCs w:val="18"/>
              </w:rPr>
              <w:t>804</w:t>
            </w:r>
          </w:p>
        </w:tc>
        <w:tc>
          <w:tcPr>
            <w:cnfStyle w:val="000010000000" w:firstRow="0" w:lastRow="0" w:firstColumn="0" w:lastColumn="0" w:oddVBand="1" w:evenVBand="0" w:oddHBand="0" w:evenHBand="0" w:firstRowFirstColumn="0" w:firstRowLastColumn="0" w:lastRowFirstColumn="0" w:lastRowLastColumn="0"/>
            <w:tcW w:w="2410" w:type="dxa"/>
            <w:vMerge/>
          </w:tcPr>
          <w:p w14:paraId="2DF78319"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3F7EA7EE"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Pr>
          <w:p w14:paraId="75C8EE6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Ravulizumab arm (vs. eculizumab)</w:t>
            </w:r>
          </w:p>
        </w:tc>
        <w:tc>
          <w:tcPr>
            <w:tcW w:w="1134" w:type="dxa"/>
          </w:tcPr>
          <w:p w14:paraId="386FF157" w14:textId="7BFB9253"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284</w:t>
            </w:r>
          </w:p>
        </w:tc>
        <w:tc>
          <w:tcPr>
            <w:cnfStyle w:val="000010000000" w:firstRow="0" w:lastRow="0" w:firstColumn="0" w:lastColumn="0" w:oddVBand="1" w:evenVBand="0" w:oddHBand="0" w:evenHBand="0" w:firstRowFirstColumn="0" w:firstRowLastColumn="0" w:lastRowFirstColumn="0" w:lastRowLastColumn="0"/>
            <w:tcW w:w="1276" w:type="dxa"/>
          </w:tcPr>
          <w:p w14:paraId="398A685A" w14:textId="6A4AD3CB"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w:t>
            </w:r>
            <w:r w:rsidR="008036C9" w:rsidRPr="00573080">
              <w:rPr>
                <w:rFonts w:ascii="Times New Roman" w:hAnsi="Times New Roman" w:cs="Times New Roman"/>
                <w:sz w:val="18"/>
                <w:szCs w:val="18"/>
              </w:rPr>
              <w:t>83</w:t>
            </w:r>
          </w:p>
        </w:tc>
        <w:tc>
          <w:tcPr>
            <w:tcW w:w="992" w:type="dxa"/>
          </w:tcPr>
          <w:p w14:paraId="0DD2250E" w14:textId="0C64AF76"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651</w:t>
            </w:r>
          </w:p>
        </w:tc>
        <w:tc>
          <w:tcPr>
            <w:cnfStyle w:val="000010000000" w:firstRow="0" w:lastRow="0" w:firstColumn="0" w:lastColumn="0" w:oddVBand="1" w:evenVBand="0" w:oddHBand="0" w:evenHBand="0" w:firstRowFirstColumn="0" w:firstRowLastColumn="0" w:lastRowFirstColumn="0" w:lastRowLastColumn="0"/>
            <w:tcW w:w="2410" w:type="dxa"/>
            <w:vMerge/>
          </w:tcPr>
          <w:p w14:paraId="51E45430"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6BBF4966"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78FD1DEA"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Transfusion decrement</w:t>
            </w:r>
          </w:p>
        </w:tc>
        <w:tc>
          <w:tcPr>
            <w:tcW w:w="1134" w:type="dxa"/>
          </w:tcPr>
          <w:p w14:paraId="21718CA6" w14:textId="4405C66A"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795</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1C2D92D9" w14:textId="13BEBE32"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w:t>
            </w:r>
            <w:r w:rsidR="008036C9" w:rsidRPr="00573080">
              <w:rPr>
                <w:rFonts w:ascii="Times New Roman" w:hAnsi="Times New Roman" w:cs="Times New Roman"/>
                <w:sz w:val="18"/>
                <w:szCs w:val="18"/>
              </w:rPr>
              <w:t>1193</w:t>
            </w:r>
          </w:p>
        </w:tc>
        <w:tc>
          <w:tcPr>
            <w:tcW w:w="992" w:type="dxa"/>
          </w:tcPr>
          <w:p w14:paraId="1B6760CE" w14:textId="53C76DA5"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398</w:t>
            </w:r>
          </w:p>
        </w:tc>
        <w:tc>
          <w:tcPr>
            <w:cnfStyle w:val="000010000000" w:firstRow="0" w:lastRow="0" w:firstColumn="0" w:lastColumn="0" w:oddVBand="1" w:evenVBand="0" w:oddHBand="0" w:evenHBand="0" w:firstRowFirstColumn="0" w:firstRowLastColumn="0" w:lastRowFirstColumn="0" w:lastRowLastColumn="0"/>
            <w:tcW w:w="2410" w:type="dxa"/>
            <w:vMerge/>
          </w:tcPr>
          <w:p w14:paraId="67F98DBC"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074422FA" w14:textId="77777777" w:rsidTr="00147F7A">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2977" w:type="dxa"/>
            <w:tcBorders>
              <w:bottom w:val="single" w:sz="4" w:space="0" w:color="000000"/>
            </w:tcBorders>
          </w:tcPr>
          <w:p w14:paraId="246FC1A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Visit count</w:t>
            </w:r>
          </w:p>
        </w:tc>
        <w:tc>
          <w:tcPr>
            <w:tcW w:w="1134" w:type="dxa"/>
            <w:tcBorders>
              <w:bottom w:val="single" w:sz="4" w:space="0" w:color="000000"/>
            </w:tcBorders>
          </w:tcPr>
          <w:p w14:paraId="6E65A173" w14:textId="04CD78B5"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0.00</w:t>
            </w:r>
            <w:r w:rsidR="008036C9" w:rsidRPr="00573080">
              <w:rPr>
                <w:rFonts w:ascii="Times New Roman" w:hAnsi="Times New Roman" w:cs="Times New Roman"/>
                <w:sz w:val="18"/>
                <w:szCs w:val="18"/>
              </w:rPr>
              <w:t>21</w:t>
            </w:r>
          </w:p>
        </w:tc>
        <w:tc>
          <w:tcPr>
            <w:cnfStyle w:val="000010000000" w:firstRow="0" w:lastRow="0" w:firstColumn="0" w:lastColumn="0" w:oddVBand="1" w:evenVBand="0" w:oddHBand="0" w:evenHBand="0" w:firstRowFirstColumn="0" w:firstRowLastColumn="0" w:lastRowFirstColumn="0" w:lastRowLastColumn="0"/>
            <w:tcW w:w="1276" w:type="dxa"/>
            <w:tcBorders>
              <w:bottom w:val="single" w:sz="4" w:space="0" w:color="000000"/>
            </w:tcBorders>
          </w:tcPr>
          <w:p w14:paraId="4BEF9AEF" w14:textId="2723FE05" w:rsidR="00147F7A" w:rsidRPr="00573080" w:rsidRDefault="008036C9">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w:t>
            </w:r>
            <w:r w:rsidR="00DD486F" w:rsidRPr="00573080">
              <w:rPr>
                <w:rFonts w:ascii="Times New Roman" w:hAnsi="Times New Roman" w:cs="Times New Roman"/>
                <w:sz w:val="18"/>
                <w:szCs w:val="18"/>
              </w:rPr>
              <w:t>0.000</w:t>
            </w:r>
            <w:r w:rsidRPr="00573080">
              <w:rPr>
                <w:rFonts w:ascii="Times New Roman" w:hAnsi="Times New Roman" w:cs="Times New Roman"/>
                <w:sz w:val="18"/>
                <w:szCs w:val="18"/>
              </w:rPr>
              <w:t>5</w:t>
            </w:r>
          </w:p>
        </w:tc>
        <w:tc>
          <w:tcPr>
            <w:tcW w:w="992" w:type="dxa"/>
          </w:tcPr>
          <w:p w14:paraId="42179ADD" w14:textId="5D5549AB"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0.00</w:t>
            </w:r>
            <w:r w:rsidR="008036C9" w:rsidRPr="00573080">
              <w:rPr>
                <w:rFonts w:ascii="Times New Roman" w:hAnsi="Times New Roman" w:cs="Times New Roman"/>
                <w:sz w:val="18"/>
                <w:szCs w:val="18"/>
              </w:rPr>
              <w:t>47</w:t>
            </w:r>
          </w:p>
        </w:tc>
        <w:tc>
          <w:tcPr>
            <w:cnfStyle w:val="000010000000" w:firstRow="0" w:lastRow="0" w:firstColumn="0" w:lastColumn="0" w:oddVBand="1" w:evenVBand="0" w:oddHBand="0" w:evenHBand="0" w:firstRowFirstColumn="0" w:firstRowLastColumn="0" w:lastRowFirstColumn="0" w:lastRowLastColumn="0"/>
            <w:tcW w:w="2410" w:type="dxa"/>
            <w:vMerge/>
          </w:tcPr>
          <w:p w14:paraId="1E9CFA89"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403A90A2" w14:textId="77777777" w:rsidTr="00147F7A">
        <w:trPr>
          <w:trHeight w:val="235"/>
        </w:trPr>
        <w:tc>
          <w:tcPr>
            <w:cnfStyle w:val="000010000000" w:firstRow="0" w:lastRow="0" w:firstColumn="0" w:lastColumn="0" w:oddVBand="1" w:evenVBand="0" w:oddHBand="0" w:evenHBand="0" w:firstRowFirstColumn="0" w:firstRowLastColumn="0" w:lastRowFirstColumn="0" w:lastRowLastColumn="0"/>
            <w:tcW w:w="6379" w:type="dxa"/>
            <w:gridSpan w:val="4"/>
            <w:tcBorders>
              <w:top w:val="single" w:sz="4" w:space="0" w:color="000000"/>
              <w:bottom w:val="single" w:sz="4" w:space="0" w:color="000000"/>
            </w:tcBorders>
            <w:shd w:val="clear" w:color="auto" w:fill="FFFFFF"/>
          </w:tcPr>
          <w:p w14:paraId="5BFE960D" w14:textId="7777777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b/>
                <w:sz w:val="18"/>
                <w:szCs w:val="18"/>
              </w:rPr>
              <w:t xml:space="preserve">Pooled (without </w:t>
            </w:r>
            <w:proofErr w:type="spellStart"/>
            <w:r w:rsidRPr="00573080">
              <w:rPr>
                <w:rFonts w:ascii="Times New Roman" w:hAnsi="Times New Roman" w:cs="Times New Roman"/>
                <w:b/>
                <w:sz w:val="18"/>
                <w:szCs w:val="18"/>
              </w:rPr>
              <w:t>tx</w:t>
            </w:r>
            <w:proofErr w:type="spellEnd"/>
            <w:r w:rsidRPr="00573080">
              <w:rPr>
                <w:rFonts w:ascii="Times New Roman" w:hAnsi="Times New Roman" w:cs="Times New Roman"/>
                <w:b/>
                <w:sz w:val="18"/>
                <w:szCs w:val="18"/>
              </w:rPr>
              <w:t xml:space="preserve"> indicator)</w:t>
            </w:r>
          </w:p>
        </w:tc>
        <w:tc>
          <w:tcPr>
            <w:tcW w:w="2410" w:type="dxa"/>
            <w:vMerge w:val="restart"/>
            <w:tcBorders>
              <w:top w:val="single" w:sz="4" w:space="0" w:color="A5A5A5"/>
            </w:tcBorders>
            <w:shd w:val="clear" w:color="auto" w:fill="auto"/>
          </w:tcPr>
          <w:p w14:paraId="50CF6AA1" w14:textId="47C1876E"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 xml:space="preserve">Study 301/ 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4928D64E" w14:textId="77777777" w:rsidTr="00147F7A">
        <w:trPr>
          <w:cnfStyle w:val="000000100000" w:firstRow="0" w:lastRow="0" w:firstColumn="0" w:lastColumn="0" w:oddVBand="0" w:evenVBand="0" w:oddHBand="1" w:evenHBand="0" w:firstRowFirstColumn="0" w:firstRowLastColumn="0" w:lastRowFirstColumn="0" w:lastRowLastColumn="0"/>
          <w:trHeight w:val="64"/>
        </w:trPr>
        <w:tc>
          <w:tcPr>
            <w:cnfStyle w:val="000010000000" w:firstRow="0" w:lastRow="0" w:firstColumn="0" w:lastColumn="0" w:oddVBand="1" w:evenVBand="0" w:oddHBand="0" w:evenHBand="0" w:firstRowFirstColumn="0" w:firstRowLastColumn="0" w:lastRowFirstColumn="0" w:lastRowLastColumn="0"/>
            <w:tcW w:w="2977" w:type="dxa"/>
            <w:tcBorders>
              <w:top w:val="single" w:sz="4" w:space="0" w:color="000000"/>
            </w:tcBorders>
          </w:tcPr>
          <w:p w14:paraId="21CB712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Constant</w:t>
            </w:r>
          </w:p>
        </w:tc>
        <w:tc>
          <w:tcPr>
            <w:tcW w:w="1134" w:type="dxa"/>
            <w:tcBorders>
              <w:top w:val="single" w:sz="4" w:space="0" w:color="000000"/>
            </w:tcBorders>
          </w:tcPr>
          <w:p w14:paraId="14C04733" w14:textId="29945D4D"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0.8</w:t>
            </w:r>
            <w:r w:rsidR="008036C9" w:rsidRPr="00573080">
              <w:rPr>
                <w:rFonts w:ascii="Times New Roman" w:hAnsi="Times New Roman" w:cs="Times New Roman"/>
                <w:sz w:val="18"/>
                <w:szCs w:val="18"/>
              </w:rPr>
              <w:t>3</w:t>
            </w:r>
            <w:r w:rsidR="000F1B86" w:rsidRPr="00573080">
              <w:rPr>
                <w:rFonts w:ascii="Times New Roman" w:hAnsi="Times New Roman" w:cs="Times New Roman"/>
                <w:sz w:val="18"/>
                <w:szCs w:val="18"/>
              </w:rPr>
              <w:t>57</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0000"/>
            </w:tcBorders>
          </w:tcPr>
          <w:p w14:paraId="2F783031" w14:textId="58AF7E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w:t>
            </w:r>
            <w:r w:rsidR="008036C9" w:rsidRPr="00573080">
              <w:rPr>
                <w:rFonts w:ascii="Times New Roman" w:hAnsi="Times New Roman" w:cs="Times New Roman"/>
                <w:sz w:val="18"/>
                <w:szCs w:val="18"/>
              </w:rPr>
              <w:t>1</w:t>
            </w:r>
            <w:r w:rsidR="000F1B86" w:rsidRPr="00573080">
              <w:rPr>
                <w:rFonts w:ascii="Times New Roman" w:hAnsi="Times New Roman" w:cs="Times New Roman"/>
                <w:sz w:val="18"/>
                <w:szCs w:val="18"/>
              </w:rPr>
              <w:t>94</w:t>
            </w:r>
          </w:p>
        </w:tc>
        <w:tc>
          <w:tcPr>
            <w:tcW w:w="992" w:type="dxa"/>
            <w:tcBorders>
              <w:top w:val="single" w:sz="4" w:space="0" w:color="000000"/>
            </w:tcBorders>
          </w:tcPr>
          <w:p w14:paraId="30DD9846" w14:textId="42B2C58B"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0.8</w:t>
            </w:r>
            <w:r w:rsidR="008036C9" w:rsidRPr="00573080">
              <w:rPr>
                <w:rFonts w:ascii="Times New Roman" w:hAnsi="Times New Roman" w:cs="Times New Roman"/>
                <w:sz w:val="18"/>
                <w:szCs w:val="18"/>
              </w:rPr>
              <w:t>5</w:t>
            </w:r>
            <w:r w:rsidR="000F1B86" w:rsidRPr="00573080">
              <w:rPr>
                <w:rFonts w:ascii="Times New Roman" w:hAnsi="Times New Roman" w:cs="Times New Roman"/>
                <w:sz w:val="18"/>
                <w:szCs w:val="18"/>
              </w:rPr>
              <w:t>19</w:t>
            </w:r>
          </w:p>
        </w:tc>
        <w:tc>
          <w:tcPr>
            <w:cnfStyle w:val="000010000000" w:firstRow="0" w:lastRow="0" w:firstColumn="0" w:lastColumn="0" w:oddVBand="1" w:evenVBand="0" w:oddHBand="0" w:evenHBand="0" w:firstRowFirstColumn="0" w:firstRowLastColumn="0" w:lastRowFirstColumn="0" w:lastRowLastColumn="0"/>
            <w:tcW w:w="2410" w:type="dxa"/>
            <w:vMerge/>
            <w:tcBorders>
              <w:top w:val="single" w:sz="4" w:space="0" w:color="A5A5A5"/>
            </w:tcBorders>
            <w:shd w:val="clear" w:color="auto" w:fill="auto"/>
          </w:tcPr>
          <w:p w14:paraId="4027926A"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27797D6"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3EB25A7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BTH-decrement</w:t>
            </w:r>
          </w:p>
        </w:tc>
        <w:tc>
          <w:tcPr>
            <w:tcW w:w="1134" w:type="dxa"/>
          </w:tcPr>
          <w:p w14:paraId="5B451876" w14:textId="48B8B1C7"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-0.10</w:t>
            </w:r>
            <w:r w:rsidR="008036C9" w:rsidRPr="00573080">
              <w:rPr>
                <w:rFonts w:ascii="Times New Roman" w:hAnsi="Times New Roman" w:cs="Times New Roman"/>
                <w:sz w:val="18"/>
                <w:szCs w:val="18"/>
              </w:rPr>
              <w:t>9</w:t>
            </w:r>
            <w:r w:rsidR="000F1B86" w:rsidRPr="00573080">
              <w:rPr>
                <w:rFonts w:ascii="Times New Roman" w:hAnsi="Times New Roman" w:cs="Times New Roman"/>
                <w:sz w:val="18"/>
                <w:szCs w:val="18"/>
              </w:rPr>
              <w:t>6</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04C85E88" w14:textId="5481FFBA"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w:t>
            </w:r>
            <w:r w:rsidR="008036C9" w:rsidRPr="00573080">
              <w:rPr>
                <w:rFonts w:ascii="Times New Roman" w:hAnsi="Times New Roman" w:cs="Times New Roman"/>
                <w:sz w:val="18"/>
                <w:szCs w:val="18"/>
              </w:rPr>
              <w:t>68</w:t>
            </w:r>
            <w:r w:rsidR="000F1B86" w:rsidRPr="00573080">
              <w:rPr>
                <w:rFonts w:ascii="Times New Roman" w:hAnsi="Times New Roman" w:cs="Times New Roman"/>
                <w:sz w:val="18"/>
                <w:szCs w:val="18"/>
              </w:rPr>
              <w:t>6</w:t>
            </w:r>
          </w:p>
        </w:tc>
        <w:tc>
          <w:tcPr>
            <w:tcW w:w="992" w:type="dxa"/>
          </w:tcPr>
          <w:p w14:paraId="15DF3DF5" w14:textId="51DF9296"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5</w:t>
            </w:r>
            <w:r w:rsidR="000F1B86" w:rsidRPr="00573080">
              <w:rPr>
                <w:rFonts w:ascii="Times New Roman" w:hAnsi="Times New Roman" w:cs="Times New Roman"/>
                <w:sz w:val="18"/>
                <w:szCs w:val="18"/>
              </w:rPr>
              <w:t>07</w:t>
            </w:r>
          </w:p>
        </w:tc>
        <w:tc>
          <w:tcPr>
            <w:cnfStyle w:val="000010000000" w:firstRow="0" w:lastRow="0" w:firstColumn="0" w:lastColumn="0" w:oddVBand="1" w:evenVBand="0" w:oddHBand="0" w:evenHBand="0" w:firstRowFirstColumn="0" w:firstRowLastColumn="0" w:lastRowFirstColumn="0" w:lastRowLastColumn="0"/>
            <w:tcW w:w="2410" w:type="dxa"/>
            <w:vMerge/>
            <w:tcBorders>
              <w:top w:val="single" w:sz="4" w:space="0" w:color="A5A5A5"/>
            </w:tcBorders>
            <w:shd w:val="clear" w:color="auto" w:fill="auto"/>
          </w:tcPr>
          <w:p w14:paraId="30589C79"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46904A45"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Pr>
          <w:p w14:paraId="5108CA5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Transfusion decrement</w:t>
            </w:r>
          </w:p>
        </w:tc>
        <w:tc>
          <w:tcPr>
            <w:tcW w:w="1134" w:type="dxa"/>
          </w:tcPr>
          <w:p w14:paraId="5946CD55" w14:textId="45F6C2FD"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63</w:t>
            </w:r>
            <w:r w:rsidR="00A9111B" w:rsidRPr="00573080">
              <w:rPr>
                <w:rFonts w:ascii="Times New Roman" w:hAnsi="Times New Roman" w:cs="Times New Roman"/>
                <w:sz w:val="18"/>
                <w:szCs w:val="18"/>
              </w:rPr>
              <w:t>4</w:t>
            </w:r>
          </w:p>
        </w:tc>
        <w:tc>
          <w:tcPr>
            <w:cnfStyle w:val="000010000000" w:firstRow="0" w:lastRow="0" w:firstColumn="0" w:lastColumn="0" w:oddVBand="1" w:evenVBand="0" w:oddHBand="0" w:evenHBand="0" w:firstRowFirstColumn="0" w:firstRowLastColumn="0" w:lastRowFirstColumn="0" w:lastRowLastColumn="0"/>
            <w:tcW w:w="1276" w:type="dxa"/>
          </w:tcPr>
          <w:p w14:paraId="0C402766" w14:textId="62508038"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85</w:t>
            </w:r>
            <w:r w:rsidR="00A9111B" w:rsidRPr="00573080">
              <w:rPr>
                <w:rFonts w:ascii="Times New Roman" w:hAnsi="Times New Roman" w:cs="Times New Roman"/>
                <w:sz w:val="18"/>
                <w:szCs w:val="18"/>
              </w:rPr>
              <w:t>6</w:t>
            </w:r>
          </w:p>
        </w:tc>
        <w:tc>
          <w:tcPr>
            <w:tcW w:w="992" w:type="dxa"/>
          </w:tcPr>
          <w:p w14:paraId="14342EA7" w14:textId="3A1572D7"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41</w:t>
            </w:r>
            <w:r w:rsidR="00A9111B" w:rsidRPr="00573080">
              <w:rPr>
                <w:rFonts w:ascii="Times New Roman" w:hAnsi="Times New Roman" w:cs="Times New Roman"/>
                <w:sz w:val="18"/>
                <w:szCs w:val="18"/>
              </w:rPr>
              <w:t>3</w:t>
            </w:r>
          </w:p>
        </w:tc>
        <w:tc>
          <w:tcPr>
            <w:cnfStyle w:val="000010000000" w:firstRow="0" w:lastRow="0" w:firstColumn="0" w:lastColumn="0" w:oddVBand="1" w:evenVBand="0" w:oddHBand="0" w:evenHBand="0" w:firstRowFirstColumn="0" w:firstRowLastColumn="0" w:lastRowFirstColumn="0" w:lastRowLastColumn="0"/>
            <w:tcW w:w="2410" w:type="dxa"/>
            <w:vMerge/>
            <w:tcBorders>
              <w:top w:val="single" w:sz="4" w:space="0" w:color="A5A5A5"/>
            </w:tcBorders>
            <w:shd w:val="clear" w:color="auto" w:fill="auto"/>
          </w:tcPr>
          <w:p w14:paraId="30EE71CB"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64F3A7BF"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287E048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Visit count</w:t>
            </w:r>
          </w:p>
        </w:tc>
        <w:tc>
          <w:tcPr>
            <w:tcW w:w="1134" w:type="dxa"/>
          </w:tcPr>
          <w:p w14:paraId="058038CA" w14:textId="711496D9"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121</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230F4206" w14:textId="661C7DED"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100</w:t>
            </w:r>
          </w:p>
        </w:tc>
        <w:tc>
          <w:tcPr>
            <w:tcW w:w="992" w:type="dxa"/>
          </w:tcPr>
          <w:p w14:paraId="1B64B334" w14:textId="3B8652BF"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0.01</w:t>
            </w:r>
            <w:r w:rsidR="008036C9" w:rsidRPr="00573080">
              <w:rPr>
                <w:rFonts w:ascii="Times New Roman" w:hAnsi="Times New Roman" w:cs="Times New Roman"/>
                <w:sz w:val="18"/>
                <w:szCs w:val="18"/>
              </w:rPr>
              <w:t>42</w:t>
            </w:r>
          </w:p>
        </w:tc>
        <w:tc>
          <w:tcPr>
            <w:cnfStyle w:val="000010000000" w:firstRow="0" w:lastRow="0" w:firstColumn="0" w:lastColumn="0" w:oddVBand="1" w:evenVBand="0" w:oddHBand="0" w:evenHBand="0" w:firstRowFirstColumn="0" w:firstRowLastColumn="0" w:lastRowFirstColumn="0" w:lastRowLastColumn="0"/>
            <w:tcW w:w="2410" w:type="dxa"/>
            <w:vMerge/>
            <w:tcBorders>
              <w:top w:val="single" w:sz="4" w:space="0" w:color="A5A5A5"/>
            </w:tcBorders>
            <w:shd w:val="clear" w:color="auto" w:fill="auto"/>
          </w:tcPr>
          <w:p w14:paraId="013B8F43"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3C7C51B3"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Borders>
              <w:bottom w:val="single" w:sz="4" w:space="0" w:color="000000"/>
            </w:tcBorders>
          </w:tcPr>
          <w:p w14:paraId="7277433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302</w:t>
            </w:r>
          </w:p>
        </w:tc>
        <w:tc>
          <w:tcPr>
            <w:tcW w:w="1134" w:type="dxa"/>
            <w:tcBorders>
              <w:bottom w:val="single" w:sz="4" w:space="0" w:color="000000"/>
            </w:tcBorders>
          </w:tcPr>
          <w:p w14:paraId="645BACAA" w14:textId="7F3CD5CA"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w:t>
            </w:r>
            <w:r w:rsidR="008036C9" w:rsidRPr="00573080">
              <w:rPr>
                <w:rFonts w:ascii="Times New Roman" w:hAnsi="Times New Roman" w:cs="Times New Roman"/>
                <w:sz w:val="18"/>
                <w:szCs w:val="18"/>
              </w:rPr>
              <w:t>163</w:t>
            </w:r>
          </w:p>
        </w:tc>
        <w:tc>
          <w:tcPr>
            <w:cnfStyle w:val="000010000000" w:firstRow="0" w:lastRow="0" w:firstColumn="0" w:lastColumn="0" w:oddVBand="1" w:evenVBand="0" w:oddHBand="0" w:evenHBand="0" w:firstRowFirstColumn="0" w:firstRowLastColumn="0" w:lastRowFirstColumn="0" w:lastRowLastColumn="0"/>
            <w:tcW w:w="1276" w:type="dxa"/>
            <w:tcBorders>
              <w:bottom w:val="single" w:sz="4" w:space="0" w:color="000000"/>
            </w:tcBorders>
          </w:tcPr>
          <w:p w14:paraId="2BFBDB70" w14:textId="27CC3376" w:rsidR="00147F7A" w:rsidRPr="00573080" w:rsidRDefault="008036C9">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-0.005</w:t>
            </w:r>
            <w:r w:rsidR="00A9111B" w:rsidRPr="00573080">
              <w:rPr>
                <w:rFonts w:ascii="Times New Roman" w:hAnsi="Times New Roman" w:cs="Times New Roman"/>
                <w:sz w:val="18"/>
                <w:szCs w:val="18"/>
              </w:rPr>
              <w:t>6</w:t>
            </w:r>
          </w:p>
        </w:tc>
        <w:tc>
          <w:tcPr>
            <w:tcW w:w="992" w:type="dxa"/>
            <w:tcBorders>
              <w:bottom w:val="single" w:sz="4" w:space="0" w:color="000000"/>
            </w:tcBorders>
          </w:tcPr>
          <w:p w14:paraId="781E1DD1" w14:textId="0C9A2B8C" w:rsidR="00147F7A" w:rsidRPr="00573080" w:rsidRDefault="00DD486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0.03</w:t>
            </w:r>
            <w:r w:rsidR="008036C9" w:rsidRPr="00573080">
              <w:rPr>
                <w:rFonts w:ascii="Times New Roman" w:hAnsi="Times New Roman" w:cs="Times New Roman"/>
                <w:sz w:val="18"/>
                <w:szCs w:val="18"/>
              </w:rPr>
              <w:t>82</w:t>
            </w:r>
          </w:p>
        </w:tc>
        <w:tc>
          <w:tcPr>
            <w:cnfStyle w:val="000010000000" w:firstRow="0" w:lastRow="0" w:firstColumn="0" w:lastColumn="0" w:oddVBand="1" w:evenVBand="0" w:oddHBand="0" w:evenHBand="0" w:firstRowFirstColumn="0" w:firstRowLastColumn="0" w:lastRowFirstColumn="0" w:lastRowLastColumn="0"/>
            <w:tcW w:w="2410" w:type="dxa"/>
            <w:vMerge/>
            <w:tcBorders>
              <w:top w:val="single" w:sz="4" w:space="0" w:color="A5A5A5"/>
            </w:tcBorders>
            <w:shd w:val="clear" w:color="auto" w:fill="auto"/>
          </w:tcPr>
          <w:p w14:paraId="366ADBBA" w14:textId="77777777" w:rsidR="00147F7A" w:rsidRPr="00573080" w:rsidRDefault="00147F7A">
            <w:pPr>
              <w:widowControl w:val="0"/>
              <w:pBdr>
                <w:top w:val="nil"/>
                <w:left w:val="nil"/>
                <w:bottom w:val="nil"/>
                <w:right w:val="nil"/>
                <w:between w:val="nil"/>
              </w:pBdr>
              <w:spacing w:line="276" w:lineRule="auto"/>
              <w:rPr>
                <w:rFonts w:ascii="Times New Roman" w:hAnsi="Times New Roman" w:cs="Times New Roman"/>
                <w:sz w:val="18"/>
                <w:szCs w:val="18"/>
              </w:rPr>
            </w:pPr>
          </w:p>
        </w:tc>
      </w:tr>
      <w:tr w:rsidR="00147F7A" w:rsidRPr="00573080" w14:paraId="50AE86CB"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6379" w:type="dxa"/>
            <w:gridSpan w:val="4"/>
            <w:tcBorders>
              <w:top w:val="single" w:sz="4" w:space="0" w:color="000000"/>
            </w:tcBorders>
            <w:shd w:val="clear" w:color="auto" w:fill="FFFFFF"/>
          </w:tcPr>
          <w:p w14:paraId="085725C9" w14:textId="7777777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b/>
                <w:sz w:val="18"/>
                <w:szCs w:val="18"/>
              </w:rPr>
              <w:t xml:space="preserve">Pooled (with </w:t>
            </w:r>
            <w:proofErr w:type="spellStart"/>
            <w:r w:rsidRPr="00573080">
              <w:rPr>
                <w:rFonts w:ascii="Times New Roman" w:hAnsi="Times New Roman" w:cs="Times New Roman"/>
                <w:b/>
                <w:sz w:val="18"/>
                <w:szCs w:val="18"/>
              </w:rPr>
              <w:t>tx</w:t>
            </w:r>
            <w:proofErr w:type="spellEnd"/>
            <w:r w:rsidRPr="00573080">
              <w:rPr>
                <w:rFonts w:ascii="Times New Roman" w:hAnsi="Times New Roman" w:cs="Times New Roman"/>
                <w:b/>
                <w:sz w:val="18"/>
                <w:szCs w:val="18"/>
              </w:rPr>
              <w:t xml:space="preserve"> indicator)</w:t>
            </w:r>
          </w:p>
        </w:tc>
        <w:tc>
          <w:tcPr>
            <w:tcW w:w="2410" w:type="dxa"/>
            <w:vMerge w:val="restart"/>
            <w:shd w:val="clear" w:color="auto" w:fill="auto"/>
          </w:tcPr>
          <w:p w14:paraId="125136C3" w14:textId="2165F2E7" w:rsidR="00147F7A" w:rsidRPr="00573080" w:rsidRDefault="00DD486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 xml:space="preserve">Study 301/ 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0F1B86" w:rsidRPr="00573080" w14:paraId="2C8612E6"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Borders>
              <w:top w:val="single" w:sz="4" w:space="0" w:color="000000"/>
            </w:tcBorders>
          </w:tcPr>
          <w:p w14:paraId="5275FD2D" w14:textId="77777777"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Constant</w:t>
            </w:r>
          </w:p>
        </w:tc>
        <w:tc>
          <w:tcPr>
            <w:tcW w:w="1134" w:type="dxa"/>
            <w:tcBorders>
              <w:top w:val="single" w:sz="4" w:space="0" w:color="000000"/>
            </w:tcBorders>
          </w:tcPr>
          <w:p w14:paraId="137E829D" w14:textId="0DACB41D" w:rsidR="000F1B86" w:rsidRPr="00573080" w:rsidRDefault="000F1B86" w:rsidP="000F1B8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0.8311</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0000"/>
            </w:tcBorders>
          </w:tcPr>
          <w:p w14:paraId="77657DA6" w14:textId="00F71B1A"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0.8117</w:t>
            </w:r>
          </w:p>
        </w:tc>
        <w:tc>
          <w:tcPr>
            <w:tcW w:w="992" w:type="dxa"/>
            <w:tcBorders>
              <w:top w:val="single" w:sz="4" w:space="0" w:color="000000"/>
            </w:tcBorders>
          </w:tcPr>
          <w:p w14:paraId="0B92477D" w14:textId="3E2D69BA" w:rsidR="000F1B86" w:rsidRPr="00573080" w:rsidRDefault="000F1B86" w:rsidP="000F1B8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0.8505</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05CD3565" w14:textId="77777777" w:rsidR="000F1B86" w:rsidRPr="00573080" w:rsidRDefault="000F1B86" w:rsidP="000F1B86">
            <w:pPr>
              <w:widowControl w:val="0"/>
              <w:pBdr>
                <w:top w:val="nil"/>
                <w:left w:val="nil"/>
                <w:bottom w:val="nil"/>
                <w:right w:val="nil"/>
                <w:between w:val="nil"/>
              </w:pBdr>
              <w:spacing w:line="276" w:lineRule="auto"/>
              <w:rPr>
                <w:rFonts w:ascii="Times New Roman" w:hAnsi="Times New Roman" w:cs="Times New Roman"/>
                <w:sz w:val="18"/>
                <w:szCs w:val="18"/>
              </w:rPr>
            </w:pPr>
          </w:p>
        </w:tc>
      </w:tr>
      <w:tr w:rsidR="000F1B86" w:rsidRPr="00573080" w14:paraId="5D7672B7"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2E8FC5AA" w14:textId="77777777"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BTH-decrement</w:t>
            </w:r>
          </w:p>
        </w:tc>
        <w:tc>
          <w:tcPr>
            <w:tcW w:w="1134" w:type="dxa"/>
          </w:tcPr>
          <w:p w14:paraId="5C9EE8DE" w14:textId="17F9FEE3" w:rsidR="000F1B86" w:rsidRPr="00573080" w:rsidRDefault="000F1B86" w:rsidP="000F1B8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-0.1094</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57586BE2" w14:textId="4F3BE291"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-0.1683</w:t>
            </w:r>
          </w:p>
        </w:tc>
        <w:tc>
          <w:tcPr>
            <w:tcW w:w="992" w:type="dxa"/>
          </w:tcPr>
          <w:p w14:paraId="762F91C4" w14:textId="25E528D4" w:rsidR="000F1B86" w:rsidRPr="00573080" w:rsidRDefault="000F1B86" w:rsidP="000F1B8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-0.0504</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19F81626" w14:textId="77777777" w:rsidR="000F1B86" w:rsidRPr="00573080" w:rsidRDefault="000F1B86" w:rsidP="000F1B86">
            <w:pPr>
              <w:widowControl w:val="0"/>
              <w:pBdr>
                <w:top w:val="nil"/>
                <w:left w:val="nil"/>
                <w:bottom w:val="nil"/>
                <w:right w:val="nil"/>
                <w:between w:val="nil"/>
              </w:pBdr>
              <w:spacing w:line="276" w:lineRule="auto"/>
              <w:rPr>
                <w:rFonts w:ascii="Times New Roman" w:hAnsi="Times New Roman" w:cs="Times New Roman"/>
                <w:sz w:val="18"/>
                <w:szCs w:val="18"/>
              </w:rPr>
            </w:pPr>
          </w:p>
        </w:tc>
      </w:tr>
      <w:tr w:rsidR="000F1B86" w:rsidRPr="00573080" w14:paraId="7C27F118" w14:textId="77777777" w:rsidTr="00147F7A">
        <w:trPr>
          <w:cnfStyle w:val="000000100000" w:firstRow="0" w:lastRow="0" w:firstColumn="0" w:lastColumn="0" w:oddVBand="0" w:evenVBand="0" w:oddHBand="1" w:evenHBand="0" w:firstRowFirstColumn="0" w:firstRowLastColumn="0" w:lastRowFirstColumn="0" w:lastRowLastColumn="0"/>
          <w:trHeight w:val="222"/>
        </w:trPr>
        <w:tc>
          <w:tcPr>
            <w:cnfStyle w:val="000010000000" w:firstRow="0" w:lastRow="0" w:firstColumn="0" w:lastColumn="0" w:oddVBand="1" w:evenVBand="0" w:oddHBand="0" w:evenHBand="0" w:firstRowFirstColumn="0" w:firstRowLastColumn="0" w:lastRowFirstColumn="0" w:lastRowLastColumn="0"/>
            <w:tcW w:w="2977" w:type="dxa"/>
          </w:tcPr>
          <w:p w14:paraId="241BB830" w14:textId="77777777"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Ravulizumab arm (vs. eculizumab)</w:t>
            </w:r>
          </w:p>
        </w:tc>
        <w:tc>
          <w:tcPr>
            <w:tcW w:w="1134" w:type="dxa"/>
          </w:tcPr>
          <w:p w14:paraId="5675DDE1" w14:textId="7D77DD23" w:rsidR="000F1B86" w:rsidRPr="00573080" w:rsidRDefault="000F1B86" w:rsidP="000F1B8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0.0093</w:t>
            </w:r>
          </w:p>
        </w:tc>
        <w:tc>
          <w:tcPr>
            <w:cnfStyle w:val="000010000000" w:firstRow="0" w:lastRow="0" w:firstColumn="0" w:lastColumn="0" w:oddVBand="1" w:evenVBand="0" w:oddHBand="0" w:evenHBand="0" w:firstRowFirstColumn="0" w:firstRowLastColumn="0" w:lastRowFirstColumn="0" w:lastRowLastColumn="0"/>
            <w:tcW w:w="1276" w:type="dxa"/>
          </w:tcPr>
          <w:p w14:paraId="02CDF5C8" w14:textId="6F060B2E"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-0.0124</w:t>
            </w:r>
          </w:p>
        </w:tc>
        <w:tc>
          <w:tcPr>
            <w:tcW w:w="992" w:type="dxa"/>
          </w:tcPr>
          <w:p w14:paraId="325AA27E" w14:textId="364744C1" w:rsidR="000F1B86" w:rsidRPr="00573080" w:rsidRDefault="000F1B86" w:rsidP="000F1B8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0.0311</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5A189564" w14:textId="77777777" w:rsidR="000F1B86" w:rsidRPr="00573080" w:rsidRDefault="000F1B86" w:rsidP="000F1B86">
            <w:pPr>
              <w:widowControl w:val="0"/>
              <w:pBdr>
                <w:top w:val="nil"/>
                <w:left w:val="nil"/>
                <w:bottom w:val="nil"/>
                <w:right w:val="nil"/>
                <w:between w:val="nil"/>
              </w:pBdr>
              <w:spacing w:line="276" w:lineRule="auto"/>
              <w:rPr>
                <w:rFonts w:ascii="Times New Roman" w:hAnsi="Times New Roman" w:cs="Times New Roman"/>
                <w:sz w:val="18"/>
                <w:szCs w:val="18"/>
              </w:rPr>
            </w:pPr>
          </w:p>
        </w:tc>
      </w:tr>
      <w:tr w:rsidR="000F1B86" w:rsidRPr="00573080" w14:paraId="06F4264E"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cPr>
          <w:p w14:paraId="235928C5" w14:textId="77777777"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Transfusion decrement</w:t>
            </w:r>
          </w:p>
        </w:tc>
        <w:tc>
          <w:tcPr>
            <w:tcW w:w="1134" w:type="dxa"/>
          </w:tcPr>
          <w:p w14:paraId="2E7DDB91" w14:textId="156ADFA2" w:rsidR="000F1B86" w:rsidRPr="00573080" w:rsidRDefault="000F1B86" w:rsidP="000F1B8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-0.0636</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cPr>
          <w:p w14:paraId="2D5D26E3" w14:textId="0BD1A0F8"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-0.0858</w:t>
            </w:r>
          </w:p>
        </w:tc>
        <w:tc>
          <w:tcPr>
            <w:tcW w:w="992" w:type="dxa"/>
          </w:tcPr>
          <w:p w14:paraId="69A9AACE" w14:textId="4E4E9581" w:rsidR="000F1B86" w:rsidRPr="00573080" w:rsidRDefault="000F1B86" w:rsidP="000F1B8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-0.0414</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2D0A8099" w14:textId="77777777" w:rsidR="000F1B86" w:rsidRPr="00573080" w:rsidRDefault="000F1B86" w:rsidP="000F1B86">
            <w:pPr>
              <w:widowControl w:val="0"/>
              <w:pBdr>
                <w:top w:val="nil"/>
                <w:left w:val="nil"/>
                <w:bottom w:val="nil"/>
                <w:right w:val="nil"/>
                <w:between w:val="nil"/>
              </w:pBdr>
              <w:spacing w:line="276" w:lineRule="auto"/>
              <w:rPr>
                <w:rFonts w:ascii="Times New Roman" w:hAnsi="Times New Roman" w:cs="Times New Roman"/>
                <w:sz w:val="18"/>
                <w:szCs w:val="18"/>
              </w:rPr>
            </w:pPr>
          </w:p>
        </w:tc>
      </w:tr>
      <w:tr w:rsidR="000F1B86" w:rsidRPr="00573080" w14:paraId="7CFDFD85" w14:textId="77777777" w:rsidTr="00147F7A">
        <w:trPr>
          <w:cnfStyle w:val="000000100000" w:firstRow="0" w:lastRow="0" w:firstColumn="0" w:lastColumn="0" w:oddVBand="0" w:evenVBand="0" w:oddHBand="1" w:evenHBand="0" w:firstRowFirstColumn="0" w:firstRowLastColumn="0" w:lastRowFirstColumn="0" w:lastRowLastColumn="0"/>
          <w:trHeight w:val="64"/>
        </w:trPr>
        <w:tc>
          <w:tcPr>
            <w:cnfStyle w:val="000010000000" w:firstRow="0" w:lastRow="0" w:firstColumn="0" w:lastColumn="0" w:oddVBand="1" w:evenVBand="0" w:oddHBand="0" w:evenHBand="0" w:firstRowFirstColumn="0" w:firstRowLastColumn="0" w:lastRowFirstColumn="0" w:lastRowLastColumn="0"/>
            <w:tcW w:w="2977" w:type="dxa"/>
          </w:tcPr>
          <w:p w14:paraId="5F6E4511" w14:textId="77777777"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Visit count</w:t>
            </w:r>
          </w:p>
        </w:tc>
        <w:tc>
          <w:tcPr>
            <w:tcW w:w="1134" w:type="dxa"/>
          </w:tcPr>
          <w:p w14:paraId="245C8900" w14:textId="6669492F" w:rsidR="000F1B86" w:rsidRPr="00573080" w:rsidRDefault="000F1B86" w:rsidP="000F1B8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0.0121</w:t>
            </w:r>
          </w:p>
        </w:tc>
        <w:tc>
          <w:tcPr>
            <w:cnfStyle w:val="000010000000" w:firstRow="0" w:lastRow="0" w:firstColumn="0" w:lastColumn="0" w:oddVBand="1" w:evenVBand="0" w:oddHBand="0" w:evenHBand="0" w:firstRowFirstColumn="0" w:firstRowLastColumn="0" w:lastRowFirstColumn="0" w:lastRowLastColumn="0"/>
            <w:tcW w:w="1276" w:type="dxa"/>
          </w:tcPr>
          <w:p w14:paraId="0D008717" w14:textId="011E78AF"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0.0100</w:t>
            </w:r>
          </w:p>
        </w:tc>
        <w:tc>
          <w:tcPr>
            <w:tcW w:w="992" w:type="dxa"/>
          </w:tcPr>
          <w:p w14:paraId="684B38C5" w14:textId="24333470" w:rsidR="000F1B86" w:rsidRPr="00573080" w:rsidRDefault="000F1B86" w:rsidP="000F1B8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0.0142</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28CDDF58" w14:textId="77777777" w:rsidR="000F1B86" w:rsidRPr="00573080" w:rsidRDefault="000F1B86" w:rsidP="000F1B86">
            <w:pPr>
              <w:widowControl w:val="0"/>
              <w:pBdr>
                <w:top w:val="nil"/>
                <w:left w:val="nil"/>
                <w:bottom w:val="nil"/>
                <w:right w:val="nil"/>
                <w:between w:val="nil"/>
              </w:pBdr>
              <w:spacing w:line="276" w:lineRule="auto"/>
              <w:rPr>
                <w:rFonts w:ascii="Times New Roman" w:hAnsi="Times New Roman" w:cs="Times New Roman"/>
                <w:sz w:val="18"/>
                <w:szCs w:val="18"/>
              </w:rPr>
            </w:pPr>
          </w:p>
        </w:tc>
      </w:tr>
      <w:tr w:rsidR="000F1B86" w:rsidRPr="00573080" w14:paraId="5F4E07B0" w14:textId="77777777" w:rsidTr="00147F7A">
        <w:trPr>
          <w:trHeight w:val="222"/>
        </w:trPr>
        <w:tc>
          <w:tcPr>
            <w:cnfStyle w:val="000010000000" w:firstRow="0" w:lastRow="0" w:firstColumn="0" w:lastColumn="0" w:oddVBand="1" w:evenVBand="0" w:oddHBand="0" w:evenHBand="0" w:firstRowFirstColumn="0" w:firstRowLastColumn="0" w:lastRowFirstColumn="0" w:lastRowLastColumn="0"/>
            <w:tcW w:w="2977" w:type="dxa"/>
            <w:shd w:val="clear" w:color="auto" w:fill="auto"/>
          </w:tcPr>
          <w:p w14:paraId="36F3CD41" w14:textId="77777777"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302</w:t>
            </w:r>
          </w:p>
        </w:tc>
        <w:tc>
          <w:tcPr>
            <w:tcW w:w="1134" w:type="dxa"/>
            <w:shd w:val="clear" w:color="auto" w:fill="auto"/>
          </w:tcPr>
          <w:p w14:paraId="42160CDB" w14:textId="0A4509EB" w:rsidR="000F1B86" w:rsidRPr="00573080" w:rsidRDefault="000F1B86" w:rsidP="000F1B8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73080">
              <w:rPr>
                <w:rFonts w:ascii="Times New Roman" w:hAnsi="Times New Roman" w:cs="Times New Roman"/>
                <w:sz w:val="18"/>
                <w:szCs w:val="18"/>
              </w:rPr>
              <w:t>0.0163</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62F80A05" w14:textId="567271C8" w:rsidR="000F1B86" w:rsidRPr="00573080" w:rsidRDefault="000F1B86" w:rsidP="000F1B86">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-0.0057</w:t>
            </w:r>
          </w:p>
        </w:tc>
        <w:tc>
          <w:tcPr>
            <w:tcW w:w="992" w:type="dxa"/>
            <w:shd w:val="clear" w:color="auto" w:fill="auto"/>
          </w:tcPr>
          <w:p w14:paraId="60A54133" w14:textId="0058A5DE" w:rsidR="000F1B86" w:rsidRPr="00573080" w:rsidRDefault="000F1B86" w:rsidP="000F1B8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0.0382</w:t>
            </w:r>
          </w:p>
        </w:tc>
        <w:tc>
          <w:tcPr>
            <w:cnfStyle w:val="000010000000" w:firstRow="0" w:lastRow="0" w:firstColumn="0" w:lastColumn="0" w:oddVBand="1" w:evenVBand="0" w:oddHBand="0" w:evenHBand="0" w:firstRowFirstColumn="0" w:firstRowLastColumn="0" w:lastRowFirstColumn="0" w:lastRowLastColumn="0"/>
            <w:tcW w:w="2410" w:type="dxa"/>
            <w:vMerge/>
            <w:shd w:val="clear" w:color="auto" w:fill="auto"/>
          </w:tcPr>
          <w:p w14:paraId="3EC32422" w14:textId="77777777" w:rsidR="000F1B86" w:rsidRPr="00573080" w:rsidRDefault="000F1B86" w:rsidP="000F1B86">
            <w:pPr>
              <w:widowControl w:val="0"/>
              <w:pBdr>
                <w:top w:val="nil"/>
                <w:left w:val="nil"/>
                <w:bottom w:val="nil"/>
                <w:right w:val="nil"/>
                <w:between w:val="nil"/>
              </w:pBdr>
              <w:spacing w:line="276" w:lineRule="auto"/>
              <w:rPr>
                <w:rFonts w:ascii="Times New Roman" w:hAnsi="Times New Roman" w:cs="Times New Roman"/>
                <w:sz w:val="18"/>
                <w:szCs w:val="18"/>
              </w:rPr>
            </w:pPr>
          </w:p>
        </w:tc>
      </w:tr>
    </w:tbl>
    <w:p w14:paraId="4F89D4E3" w14:textId="77777777" w:rsidR="00147F7A" w:rsidRPr="00573080" w:rsidRDefault="00DD486F">
      <w:pPr>
        <w:spacing w:after="0" w:line="276" w:lineRule="auto"/>
        <w:jc w:val="both"/>
        <w:rPr>
          <w:rFonts w:ascii="Times New Roman" w:hAnsi="Times New Roman" w:cs="Times New Roman"/>
          <w:sz w:val="16"/>
          <w:szCs w:val="16"/>
        </w:rPr>
      </w:pPr>
      <w:r w:rsidRPr="00573080">
        <w:rPr>
          <w:rFonts w:ascii="Times New Roman" w:hAnsi="Times New Roman" w:cs="Times New Roman"/>
          <w:b/>
          <w:sz w:val="16"/>
          <w:szCs w:val="16"/>
        </w:rPr>
        <w:t>Abbreviations</w:t>
      </w:r>
      <w:r w:rsidRPr="00573080">
        <w:rPr>
          <w:rFonts w:ascii="Times New Roman" w:hAnsi="Times New Roman" w:cs="Times New Roman"/>
          <w:sz w:val="16"/>
          <w:szCs w:val="16"/>
        </w:rPr>
        <w:t xml:space="preserve">: BTH: breakthrough hemolysis; CI: confidence interval; </w:t>
      </w:r>
      <w:proofErr w:type="spellStart"/>
      <w:proofErr w:type="gramStart"/>
      <w:r w:rsidRPr="00573080">
        <w:rPr>
          <w:rFonts w:ascii="Times New Roman" w:hAnsi="Times New Roman" w:cs="Times New Roman"/>
          <w:sz w:val="16"/>
          <w:szCs w:val="16"/>
        </w:rPr>
        <w:t>tx</w:t>
      </w:r>
      <w:proofErr w:type="spellEnd"/>
      <w:proofErr w:type="gramEnd"/>
      <w:r w:rsidRPr="00573080">
        <w:rPr>
          <w:rFonts w:ascii="Times New Roman" w:hAnsi="Times New Roman" w:cs="Times New Roman"/>
          <w:sz w:val="16"/>
          <w:szCs w:val="16"/>
        </w:rPr>
        <w:t xml:space="preserve">: treatment. </w:t>
      </w:r>
    </w:p>
    <w:p w14:paraId="75B8DC28" w14:textId="77777777" w:rsidR="00147F7A" w:rsidRPr="00573080" w:rsidRDefault="00DD486F">
      <w:pPr>
        <w:spacing w:after="0" w:line="276" w:lineRule="auto"/>
        <w:jc w:val="both"/>
        <w:rPr>
          <w:rFonts w:ascii="Times New Roman" w:hAnsi="Times New Roman" w:cs="Times New Roman"/>
          <w:sz w:val="16"/>
          <w:szCs w:val="16"/>
        </w:rPr>
      </w:pPr>
      <w:r w:rsidRPr="00573080">
        <w:rPr>
          <w:rFonts w:ascii="Times New Roman" w:hAnsi="Times New Roman" w:cs="Times New Roman"/>
          <w:b/>
          <w:sz w:val="16"/>
          <w:szCs w:val="16"/>
        </w:rPr>
        <w:t>Note.</w:t>
      </w:r>
      <w:r w:rsidRPr="00573080">
        <w:rPr>
          <w:rFonts w:ascii="Times New Roman" w:hAnsi="Times New Roman" w:cs="Times New Roman"/>
          <w:sz w:val="16"/>
          <w:szCs w:val="16"/>
        </w:rPr>
        <w:t xml:space="preserve"> BTH: BTH event experienced since last visit; Transfusion: protocol guidelines for transfusion met since last visit; </w:t>
      </w:r>
      <w:proofErr w:type="gramStart"/>
      <w:r w:rsidRPr="00573080">
        <w:rPr>
          <w:rFonts w:ascii="Times New Roman" w:hAnsi="Times New Roman" w:cs="Times New Roman"/>
          <w:sz w:val="16"/>
          <w:szCs w:val="16"/>
        </w:rPr>
        <w:t>Tx</w:t>
      </w:r>
      <w:proofErr w:type="gramEnd"/>
      <w:r w:rsidRPr="00573080">
        <w:rPr>
          <w:rFonts w:ascii="Times New Roman" w:hAnsi="Times New Roman" w:cs="Times New Roman"/>
          <w:sz w:val="16"/>
          <w:szCs w:val="16"/>
        </w:rPr>
        <w:t xml:space="preserve"> indicator: indicator whether treated with ravulizumab or eculizumab; visit count: number of visits since start of the trial (time trend).</w:t>
      </w:r>
    </w:p>
    <w:p w14:paraId="4FE2E69D" w14:textId="77777777" w:rsidR="00147F7A" w:rsidRPr="00241C53" w:rsidRDefault="00147F7A">
      <w:pPr>
        <w:spacing w:after="0"/>
        <w:rPr>
          <w:rFonts w:ascii="Times New Roman" w:hAnsi="Times New Roman" w:cs="Times New Roman"/>
          <w:b/>
          <w:sz w:val="24"/>
          <w:szCs w:val="24"/>
        </w:rPr>
      </w:pPr>
    </w:p>
    <w:p w14:paraId="4EB5E715" w14:textId="77777777" w:rsidR="00147F7A" w:rsidRPr="00241C53" w:rsidRDefault="00147F7A">
      <w:pPr>
        <w:spacing w:after="0"/>
        <w:rPr>
          <w:rFonts w:ascii="Times New Roman" w:hAnsi="Times New Roman" w:cs="Times New Roman"/>
          <w:b/>
          <w:sz w:val="24"/>
          <w:szCs w:val="24"/>
        </w:rPr>
      </w:pPr>
    </w:p>
    <w:p w14:paraId="336EE67F" w14:textId="77777777" w:rsidR="00147F7A" w:rsidRPr="00573080" w:rsidRDefault="00DD486F">
      <w:pPr>
        <w:pBdr>
          <w:top w:val="nil"/>
          <w:left w:val="nil"/>
          <w:bottom w:val="nil"/>
          <w:right w:val="nil"/>
          <w:between w:val="nil"/>
        </w:pBdr>
        <w:spacing w:after="0" w:line="240" w:lineRule="auto"/>
        <w:jc w:val="both"/>
        <w:rPr>
          <w:rFonts w:ascii="Times New Roman" w:hAnsi="Times New Roman" w:cs="Times New Roman"/>
          <w:b/>
          <w:color w:val="000000"/>
          <w:sz w:val="18"/>
          <w:szCs w:val="18"/>
        </w:rPr>
      </w:pPr>
      <w:r w:rsidRPr="00573080">
        <w:rPr>
          <w:rFonts w:ascii="Times New Roman" w:hAnsi="Times New Roman" w:cs="Times New Roman"/>
          <w:b/>
          <w:color w:val="000000"/>
          <w:sz w:val="18"/>
          <w:szCs w:val="18"/>
        </w:rPr>
        <w:t>Table S7. Overview of the sample and methods used for performing and analyzing the outcomes of the discrete choice experiment.</w:t>
      </w:r>
    </w:p>
    <w:tbl>
      <w:tblPr>
        <w:tblStyle w:val="a5"/>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016"/>
      </w:tblGrid>
      <w:tr w:rsidR="00147F7A" w:rsidRPr="00573080" w14:paraId="4535A5C7" w14:textId="77777777">
        <w:tc>
          <w:tcPr>
            <w:tcW w:w="9016" w:type="dxa"/>
          </w:tcPr>
          <w:p w14:paraId="408D761F" w14:textId="7777777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i/>
                <w:sz w:val="18"/>
                <w:szCs w:val="18"/>
              </w:rPr>
              <w:t>Methods</w:t>
            </w:r>
          </w:p>
          <w:p w14:paraId="0DF950E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A DCE was designed to understand the importance of different aspects of treatments for PNH and associated outcomes. These “attributes” included (1) life expectancy (2) treatment administration (3) severity and frequency of hemolysis (4) risk of meningococcal infection, and (5) frequency of blood transfusions. Variations of these attributes were combined using a published orthogonal array into choice sets presented in 16 questions, and administered as an online survey to a sample of N = 330 respondents in the Netherlands (broadly representative of the general population in terms of age, gender, ethnicity, and geography). A recruitment panel was used to survey the general public in the Netherlands. The survey was completed online and participants provided consent. The mixed logit model was used to estimate the strength of preference for the attributes in each country. MRS were estimated (for significant attribute levels) by contrasting the coefficients from the regression analysis. MRS indicate the number of units of one attribute that would compensate for the loss of one unit of another attribute.</w:t>
            </w:r>
          </w:p>
          <w:p w14:paraId="30A0F533" w14:textId="77777777" w:rsidR="00147F7A" w:rsidRPr="00573080" w:rsidRDefault="00147F7A">
            <w:pPr>
              <w:spacing w:line="276" w:lineRule="auto"/>
              <w:jc w:val="both"/>
              <w:rPr>
                <w:rFonts w:ascii="Times New Roman" w:hAnsi="Times New Roman" w:cs="Times New Roman"/>
                <w:sz w:val="18"/>
                <w:szCs w:val="18"/>
              </w:rPr>
            </w:pPr>
          </w:p>
          <w:p w14:paraId="29EB6C1D" w14:textId="77777777" w:rsidR="00147F7A" w:rsidRPr="00573080" w:rsidRDefault="00DD486F">
            <w:pPr>
              <w:spacing w:line="276" w:lineRule="auto"/>
              <w:jc w:val="both"/>
              <w:rPr>
                <w:rFonts w:ascii="Times New Roman" w:hAnsi="Times New Roman" w:cs="Times New Roman"/>
                <w:i/>
                <w:sz w:val="18"/>
                <w:szCs w:val="18"/>
              </w:rPr>
            </w:pPr>
            <w:r w:rsidRPr="00573080">
              <w:rPr>
                <w:rFonts w:ascii="Times New Roman" w:hAnsi="Times New Roman" w:cs="Times New Roman"/>
                <w:i/>
                <w:sz w:val="18"/>
                <w:szCs w:val="18"/>
              </w:rPr>
              <w:t>Sample: the Netherlands</w:t>
            </w:r>
          </w:p>
          <w:p w14:paraId="479F4C0F" w14:textId="77777777" w:rsidR="00147F7A" w:rsidRPr="00573080" w:rsidRDefault="00DD486F">
            <w:pPr>
              <w:spacing w:line="276" w:lineRule="auto"/>
              <w:rPr>
                <w:rFonts w:ascii="Times New Roman" w:hAnsi="Times New Roman" w:cs="Times New Roman"/>
                <w:b/>
                <w:sz w:val="18"/>
                <w:szCs w:val="18"/>
              </w:rPr>
            </w:pPr>
            <w:r w:rsidRPr="00573080">
              <w:rPr>
                <w:rFonts w:ascii="Times New Roman" w:hAnsi="Times New Roman" w:cs="Times New Roman"/>
                <w:sz w:val="18"/>
                <w:szCs w:val="18"/>
              </w:rPr>
              <w:t xml:space="preserve">The full sample of the Netherlands comprised 502 respondents. The average age of the respondents was 46.7. The distribution of male and female was 45.8% and 54.2%.  Most respondents had a paid employment (63.9%) or were not working because of health problems (12.4%).  Most respondents were normally fit and well (59.1%), 38.5% of the respondents suffered from a long-term illness, 3.0% was diagnosed with a rare disease, and 5.8% had a family member diagnosed with a rare disease. 68.5% of the respondent lived ten km or less from the nearest hospital, only 2% lived over 50 km from the nearest hospital. The survey included two simple consistency choice tests (dominant choice test and repeated choice test). Response checks showed that 172 respondents failed either the dominant choice test or repeated choice test (or both). The results of the remaining 330 respondents are reported in table 7. </w:t>
            </w:r>
          </w:p>
        </w:tc>
      </w:tr>
    </w:tbl>
    <w:p w14:paraId="3625A453" w14:textId="77777777" w:rsidR="00147F7A" w:rsidRPr="00573080" w:rsidRDefault="00DD486F">
      <w:pPr>
        <w:spacing w:after="0"/>
        <w:rPr>
          <w:rFonts w:ascii="Times New Roman" w:hAnsi="Times New Roman" w:cs="Times New Roman"/>
          <w:b/>
          <w:sz w:val="16"/>
          <w:szCs w:val="16"/>
        </w:rPr>
      </w:pPr>
      <w:r w:rsidRPr="00573080">
        <w:rPr>
          <w:rFonts w:ascii="Times New Roman" w:hAnsi="Times New Roman" w:cs="Times New Roman"/>
          <w:b/>
          <w:sz w:val="16"/>
          <w:szCs w:val="16"/>
        </w:rPr>
        <w:t xml:space="preserve">Abbreviations: </w:t>
      </w:r>
      <w:r w:rsidRPr="00573080">
        <w:rPr>
          <w:rFonts w:ascii="Times New Roman" w:hAnsi="Times New Roman" w:cs="Times New Roman"/>
          <w:sz w:val="16"/>
          <w:szCs w:val="16"/>
        </w:rPr>
        <w:t>DCE: discrete choice experiment; MRS: Marginal rates of substitution; PNH: paroxysmal nocturnal hemoglobinuria.</w:t>
      </w:r>
    </w:p>
    <w:p w14:paraId="5D1DE69B" w14:textId="77777777" w:rsidR="00147F7A" w:rsidRPr="00241C53" w:rsidRDefault="00147F7A">
      <w:pPr>
        <w:keepNext/>
        <w:pBdr>
          <w:top w:val="nil"/>
          <w:left w:val="nil"/>
          <w:bottom w:val="nil"/>
          <w:right w:val="nil"/>
          <w:between w:val="nil"/>
        </w:pBdr>
        <w:spacing w:after="0" w:line="276" w:lineRule="auto"/>
        <w:jc w:val="both"/>
        <w:rPr>
          <w:rFonts w:ascii="Times New Roman" w:hAnsi="Times New Roman" w:cs="Times New Roman"/>
          <w:b/>
          <w:color w:val="000000"/>
          <w:sz w:val="24"/>
          <w:szCs w:val="24"/>
        </w:rPr>
      </w:pPr>
    </w:p>
    <w:p w14:paraId="5F24BC12" w14:textId="77777777" w:rsidR="00147F7A" w:rsidRPr="00241C53" w:rsidRDefault="00147F7A">
      <w:pPr>
        <w:keepNext/>
        <w:pBdr>
          <w:top w:val="nil"/>
          <w:left w:val="nil"/>
          <w:bottom w:val="nil"/>
          <w:right w:val="nil"/>
          <w:between w:val="nil"/>
        </w:pBdr>
        <w:spacing w:after="0" w:line="276" w:lineRule="auto"/>
        <w:jc w:val="both"/>
        <w:rPr>
          <w:rFonts w:ascii="Times New Roman" w:hAnsi="Times New Roman" w:cs="Times New Roman"/>
          <w:b/>
          <w:color w:val="000000"/>
          <w:sz w:val="24"/>
          <w:szCs w:val="24"/>
        </w:rPr>
      </w:pPr>
    </w:p>
    <w:p w14:paraId="1F4FF0BB" w14:textId="77777777" w:rsidR="00147F7A" w:rsidRPr="00573080" w:rsidRDefault="00DD486F">
      <w:pPr>
        <w:keepNext/>
        <w:pBdr>
          <w:top w:val="nil"/>
          <w:left w:val="nil"/>
          <w:bottom w:val="nil"/>
          <w:right w:val="nil"/>
          <w:between w:val="nil"/>
        </w:pBdr>
        <w:spacing w:after="0" w:line="240" w:lineRule="auto"/>
        <w:jc w:val="both"/>
        <w:rPr>
          <w:rFonts w:ascii="Times New Roman" w:hAnsi="Times New Roman" w:cs="Times New Roman"/>
          <w:b/>
          <w:color w:val="000000"/>
          <w:sz w:val="18"/>
          <w:szCs w:val="18"/>
        </w:rPr>
      </w:pPr>
      <w:r w:rsidRPr="00573080">
        <w:rPr>
          <w:rFonts w:ascii="Times New Roman" w:hAnsi="Times New Roman" w:cs="Times New Roman"/>
          <w:b/>
          <w:color w:val="000000"/>
          <w:sz w:val="18"/>
          <w:szCs w:val="18"/>
        </w:rPr>
        <w:t xml:space="preserve">Table S8. Results of mixed logit model of patient preference and the corresponding estimated marginal utilities (expressed as </w:t>
      </w:r>
      <w:proofErr w:type="gramStart"/>
      <w:r w:rsidRPr="00573080">
        <w:rPr>
          <w:rFonts w:ascii="Times New Roman" w:hAnsi="Times New Roman" w:cs="Times New Roman"/>
          <w:b/>
          <w:color w:val="000000"/>
          <w:sz w:val="18"/>
          <w:szCs w:val="18"/>
        </w:rPr>
        <w:t>a</w:t>
      </w:r>
      <w:proofErr w:type="gramEnd"/>
      <w:r w:rsidRPr="00573080">
        <w:rPr>
          <w:rFonts w:ascii="Times New Roman" w:hAnsi="Times New Roman" w:cs="Times New Roman"/>
          <w:b/>
          <w:color w:val="000000"/>
          <w:sz w:val="18"/>
          <w:szCs w:val="18"/>
        </w:rPr>
        <w:t xml:space="preserve"> increment) for differences in attribute levels: sample which passed both logic tests (N=330).</w:t>
      </w:r>
    </w:p>
    <w:tbl>
      <w:tblPr>
        <w:tblStyle w:val="a6"/>
        <w:tblW w:w="962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47"/>
        <w:gridCol w:w="1113"/>
        <w:gridCol w:w="696"/>
        <w:gridCol w:w="836"/>
        <w:gridCol w:w="696"/>
        <w:gridCol w:w="704"/>
        <w:gridCol w:w="696"/>
        <w:gridCol w:w="697"/>
        <w:gridCol w:w="420"/>
        <w:gridCol w:w="418"/>
        <w:gridCol w:w="696"/>
        <w:gridCol w:w="704"/>
      </w:tblGrid>
      <w:tr w:rsidR="00147F7A" w:rsidRPr="00573080" w14:paraId="138F1C9F" w14:textId="77777777" w:rsidTr="00147F7A">
        <w:trPr>
          <w:cnfStyle w:val="000000100000" w:firstRow="0" w:lastRow="0" w:firstColumn="0" w:lastColumn="0" w:oddVBand="0" w:evenVBand="0" w:oddHBand="1" w:evenHBand="0" w:firstRowFirstColumn="0" w:firstRowLastColumn="0" w:lastRowFirstColumn="0" w:lastRowLastColumn="0"/>
          <w:trHeight w:val="15"/>
        </w:trPr>
        <w:tc>
          <w:tcPr>
            <w:tcW w:w="1947" w:type="dxa"/>
            <w:tcBorders>
              <w:bottom w:val="single" w:sz="4" w:space="0" w:color="000000"/>
            </w:tcBorders>
          </w:tcPr>
          <w:p w14:paraId="58D308E1"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Attributes and levels</w:t>
            </w:r>
          </w:p>
        </w:tc>
        <w:tc>
          <w:tcPr>
            <w:tcW w:w="1113" w:type="dxa"/>
            <w:tcBorders>
              <w:bottom w:val="single" w:sz="4" w:space="0" w:color="000000"/>
            </w:tcBorders>
          </w:tcPr>
          <w:p w14:paraId="33087C80"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Coefficients</w:t>
            </w:r>
          </w:p>
        </w:tc>
        <w:tc>
          <w:tcPr>
            <w:tcW w:w="696" w:type="dxa"/>
            <w:tcBorders>
              <w:bottom w:val="single" w:sz="4" w:space="0" w:color="000000"/>
            </w:tcBorders>
          </w:tcPr>
          <w:p w14:paraId="679D0F64"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SE</w:t>
            </w:r>
          </w:p>
        </w:tc>
        <w:tc>
          <w:tcPr>
            <w:tcW w:w="836" w:type="dxa"/>
            <w:tcBorders>
              <w:bottom w:val="single" w:sz="4" w:space="0" w:color="000000"/>
            </w:tcBorders>
          </w:tcPr>
          <w:p w14:paraId="0F6467D1"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z</w:t>
            </w:r>
          </w:p>
        </w:tc>
        <w:tc>
          <w:tcPr>
            <w:tcW w:w="696" w:type="dxa"/>
            <w:tcBorders>
              <w:bottom w:val="single" w:sz="4" w:space="0" w:color="000000"/>
            </w:tcBorders>
          </w:tcPr>
          <w:p w14:paraId="19EF7367"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P&gt;|z|</w:t>
            </w:r>
          </w:p>
        </w:tc>
        <w:tc>
          <w:tcPr>
            <w:tcW w:w="1400" w:type="dxa"/>
            <w:gridSpan w:val="2"/>
            <w:tcBorders>
              <w:bottom w:val="single" w:sz="4" w:space="0" w:color="000000"/>
            </w:tcBorders>
          </w:tcPr>
          <w:p w14:paraId="122AEBEB"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CI</w:t>
            </w:r>
          </w:p>
        </w:tc>
        <w:tc>
          <w:tcPr>
            <w:tcW w:w="697" w:type="dxa"/>
            <w:tcBorders>
              <w:bottom w:val="single" w:sz="4" w:space="0" w:color="000000"/>
            </w:tcBorders>
          </w:tcPr>
          <w:p w14:paraId="13A96460"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OR</w:t>
            </w:r>
          </w:p>
        </w:tc>
        <w:tc>
          <w:tcPr>
            <w:tcW w:w="838" w:type="dxa"/>
            <w:gridSpan w:val="2"/>
            <w:tcBorders>
              <w:bottom w:val="single" w:sz="4" w:space="0" w:color="000000"/>
            </w:tcBorders>
          </w:tcPr>
          <w:p w14:paraId="647C6DB8"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p-value</w:t>
            </w:r>
          </w:p>
        </w:tc>
        <w:tc>
          <w:tcPr>
            <w:tcW w:w="1400" w:type="dxa"/>
            <w:gridSpan w:val="2"/>
          </w:tcPr>
          <w:p w14:paraId="148A2A8D"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CI</w:t>
            </w:r>
          </w:p>
        </w:tc>
      </w:tr>
      <w:tr w:rsidR="00147F7A" w:rsidRPr="00573080" w14:paraId="4B3733C7" w14:textId="77777777" w:rsidTr="00147F7A">
        <w:trPr>
          <w:trHeight w:val="15"/>
        </w:trPr>
        <w:tc>
          <w:tcPr>
            <w:tcW w:w="9623" w:type="dxa"/>
            <w:gridSpan w:val="12"/>
            <w:tcBorders>
              <w:top w:val="single" w:sz="4" w:space="0" w:color="000000"/>
              <w:bottom w:val="single" w:sz="4" w:space="0" w:color="000000"/>
            </w:tcBorders>
          </w:tcPr>
          <w:p w14:paraId="7449B87B"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Treatment administrations (reference: 6-7 times a year at home, takes 3 hours)</w:t>
            </w:r>
          </w:p>
        </w:tc>
      </w:tr>
      <w:tr w:rsidR="00147F7A" w:rsidRPr="00573080" w14:paraId="1FA9D97D" w14:textId="77777777" w:rsidTr="00147F7A">
        <w:trPr>
          <w:cnfStyle w:val="000000100000" w:firstRow="0" w:lastRow="0" w:firstColumn="0" w:lastColumn="0" w:oddVBand="0" w:evenVBand="0" w:oddHBand="1" w:evenHBand="0" w:firstRowFirstColumn="0" w:firstRowLastColumn="0" w:lastRowFirstColumn="0" w:lastRowLastColumn="0"/>
          <w:trHeight w:val="15"/>
        </w:trPr>
        <w:tc>
          <w:tcPr>
            <w:tcW w:w="1947" w:type="dxa"/>
            <w:tcBorders>
              <w:top w:val="single" w:sz="4" w:space="0" w:color="000000"/>
              <w:bottom w:val="single" w:sz="4" w:space="0" w:color="000000"/>
            </w:tcBorders>
          </w:tcPr>
          <w:p w14:paraId="1FCA451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26 times a year at home, takes 1 hour</w:t>
            </w:r>
          </w:p>
        </w:tc>
        <w:tc>
          <w:tcPr>
            <w:tcW w:w="1113" w:type="dxa"/>
            <w:tcBorders>
              <w:top w:val="single" w:sz="4" w:space="0" w:color="000000"/>
              <w:bottom w:val="single" w:sz="4" w:space="0" w:color="000000"/>
            </w:tcBorders>
          </w:tcPr>
          <w:p w14:paraId="2DCA51F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-0.936</w:t>
            </w:r>
          </w:p>
        </w:tc>
        <w:tc>
          <w:tcPr>
            <w:tcW w:w="696" w:type="dxa"/>
            <w:tcBorders>
              <w:top w:val="single" w:sz="4" w:space="0" w:color="000000"/>
              <w:bottom w:val="single" w:sz="4" w:space="0" w:color="000000"/>
            </w:tcBorders>
          </w:tcPr>
          <w:p w14:paraId="45B8125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0.112</w:t>
            </w:r>
          </w:p>
        </w:tc>
        <w:tc>
          <w:tcPr>
            <w:tcW w:w="836" w:type="dxa"/>
            <w:tcBorders>
              <w:top w:val="single" w:sz="4" w:space="0" w:color="000000"/>
              <w:bottom w:val="single" w:sz="4" w:space="0" w:color="000000"/>
            </w:tcBorders>
          </w:tcPr>
          <w:p w14:paraId="41A3FBE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-8.360</w:t>
            </w:r>
          </w:p>
        </w:tc>
        <w:tc>
          <w:tcPr>
            <w:tcW w:w="696" w:type="dxa"/>
            <w:tcBorders>
              <w:top w:val="single" w:sz="4" w:space="0" w:color="000000"/>
              <w:bottom w:val="single" w:sz="4" w:space="0" w:color="000000"/>
            </w:tcBorders>
          </w:tcPr>
          <w:p w14:paraId="4B04A40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0.000</w:t>
            </w:r>
          </w:p>
        </w:tc>
        <w:tc>
          <w:tcPr>
            <w:tcW w:w="704" w:type="dxa"/>
            <w:tcBorders>
              <w:top w:val="single" w:sz="4" w:space="0" w:color="000000"/>
              <w:bottom w:val="single" w:sz="4" w:space="0" w:color="000000"/>
            </w:tcBorders>
          </w:tcPr>
          <w:p w14:paraId="0C14FD0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-1.155</w:t>
            </w:r>
          </w:p>
        </w:tc>
        <w:tc>
          <w:tcPr>
            <w:tcW w:w="696" w:type="dxa"/>
            <w:tcBorders>
              <w:top w:val="single" w:sz="4" w:space="0" w:color="000000"/>
              <w:bottom w:val="single" w:sz="4" w:space="0" w:color="000000"/>
            </w:tcBorders>
          </w:tcPr>
          <w:p w14:paraId="1C3BCBA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-0.716</w:t>
            </w:r>
          </w:p>
        </w:tc>
        <w:tc>
          <w:tcPr>
            <w:tcW w:w="697" w:type="dxa"/>
            <w:tcBorders>
              <w:top w:val="single" w:sz="4" w:space="0" w:color="000000"/>
              <w:bottom w:val="single" w:sz="4" w:space="0" w:color="000000"/>
            </w:tcBorders>
          </w:tcPr>
          <w:p w14:paraId="3CFFFAB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0.392</w:t>
            </w:r>
          </w:p>
        </w:tc>
        <w:tc>
          <w:tcPr>
            <w:tcW w:w="838" w:type="dxa"/>
            <w:gridSpan w:val="2"/>
            <w:tcBorders>
              <w:top w:val="single" w:sz="4" w:space="0" w:color="000000"/>
              <w:bottom w:val="single" w:sz="4" w:space="0" w:color="000000"/>
            </w:tcBorders>
          </w:tcPr>
          <w:p w14:paraId="43430C49"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0.000</w:t>
            </w:r>
          </w:p>
        </w:tc>
        <w:tc>
          <w:tcPr>
            <w:tcW w:w="696" w:type="dxa"/>
            <w:tcBorders>
              <w:top w:val="single" w:sz="4" w:space="0" w:color="000000"/>
              <w:bottom w:val="single" w:sz="4" w:space="0" w:color="000000"/>
            </w:tcBorders>
          </w:tcPr>
          <w:p w14:paraId="7E3B2E5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0.315</w:t>
            </w:r>
          </w:p>
        </w:tc>
        <w:tc>
          <w:tcPr>
            <w:tcW w:w="704" w:type="dxa"/>
            <w:tcBorders>
              <w:top w:val="single" w:sz="4" w:space="0" w:color="000000"/>
              <w:bottom w:val="single" w:sz="4" w:space="0" w:color="000000"/>
            </w:tcBorders>
          </w:tcPr>
          <w:p w14:paraId="3F6EFB4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0.488</w:t>
            </w:r>
          </w:p>
        </w:tc>
      </w:tr>
      <w:tr w:rsidR="00147F7A" w:rsidRPr="00573080" w14:paraId="079440A3" w14:textId="77777777" w:rsidTr="00147F7A">
        <w:trPr>
          <w:trHeight w:val="15"/>
        </w:trPr>
        <w:tc>
          <w:tcPr>
            <w:tcW w:w="1947" w:type="dxa"/>
            <w:tcBorders>
              <w:top w:val="single" w:sz="4" w:space="0" w:color="000000"/>
              <w:bottom w:val="single" w:sz="4" w:space="0" w:color="000000"/>
            </w:tcBorders>
          </w:tcPr>
          <w:p w14:paraId="520940F7" w14:textId="77777777" w:rsidR="00147F7A" w:rsidRPr="00573080" w:rsidRDefault="00147F7A">
            <w:pPr>
              <w:spacing w:line="276" w:lineRule="auto"/>
              <w:jc w:val="both"/>
              <w:rPr>
                <w:rFonts w:ascii="Times New Roman" w:hAnsi="Times New Roman" w:cs="Times New Roman"/>
                <w:sz w:val="18"/>
                <w:szCs w:val="18"/>
              </w:rPr>
            </w:pPr>
          </w:p>
        </w:tc>
        <w:tc>
          <w:tcPr>
            <w:tcW w:w="4045" w:type="dxa"/>
            <w:gridSpan w:val="5"/>
            <w:tcBorders>
              <w:top w:val="single" w:sz="4" w:space="0" w:color="000000"/>
              <w:bottom w:val="single" w:sz="4" w:space="0" w:color="000000"/>
            </w:tcBorders>
          </w:tcPr>
          <w:p w14:paraId="480E122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b/>
                <w:sz w:val="18"/>
                <w:szCs w:val="18"/>
              </w:rPr>
              <w:t>Passed both logic tests (N=330)</w:t>
            </w:r>
          </w:p>
        </w:tc>
        <w:tc>
          <w:tcPr>
            <w:tcW w:w="1813" w:type="dxa"/>
            <w:gridSpan w:val="3"/>
            <w:tcBorders>
              <w:top w:val="single" w:sz="4" w:space="0" w:color="000000"/>
              <w:bottom w:val="single" w:sz="4" w:space="0" w:color="000000"/>
            </w:tcBorders>
          </w:tcPr>
          <w:p w14:paraId="5EDC4F5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b/>
                <w:sz w:val="18"/>
                <w:szCs w:val="18"/>
              </w:rPr>
              <w:t>MRS</w:t>
            </w:r>
          </w:p>
        </w:tc>
        <w:tc>
          <w:tcPr>
            <w:tcW w:w="1818" w:type="dxa"/>
            <w:gridSpan w:val="3"/>
            <w:tcBorders>
              <w:top w:val="single" w:sz="4" w:space="0" w:color="000000"/>
              <w:bottom w:val="single" w:sz="4" w:space="0" w:color="000000"/>
            </w:tcBorders>
          </w:tcPr>
          <w:p w14:paraId="44DDAF2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b/>
                <w:sz w:val="18"/>
                <w:szCs w:val="18"/>
              </w:rPr>
              <w:t>Increment</w:t>
            </w:r>
          </w:p>
        </w:tc>
      </w:tr>
      <w:tr w:rsidR="00147F7A" w:rsidRPr="00573080" w14:paraId="26781BFA" w14:textId="77777777" w:rsidTr="00147F7A">
        <w:trPr>
          <w:cnfStyle w:val="000000100000" w:firstRow="0" w:lastRow="0" w:firstColumn="0" w:lastColumn="0" w:oddVBand="0" w:evenVBand="0" w:oddHBand="1" w:evenHBand="0" w:firstRowFirstColumn="0" w:firstRowLastColumn="0" w:lastRowFirstColumn="0" w:lastRowLastColumn="0"/>
          <w:trHeight w:val="15"/>
        </w:trPr>
        <w:tc>
          <w:tcPr>
            <w:tcW w:w="5992" w:type="dxa"/>
            <w:gridSpan w:val="6"/>
            <w:tcBorders>
              <w:top w:val="single" w:sz="4" w:space="0" w:color="000000"/>
              <w:bottom w:val="single" w:sz="4" w:space="0" w:color="000000"/>
            </w:tcBorders>
          </w:tcPr>
          <w:p w14:paraId="5D8050C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b/>
                <w:sz w:val="18"/>
                <w:szCs w:val="18"/>
              </w:rPr>
              <w:t>Treatment administration</w:t>
            </w:r>
          </w:p>
          <w:p w14:paraId="1EA8D36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Patient receives an infusion every 8 weeks which takes 3 hours (compared with an infusion every 2 weeks which takes 1 hour)</w:t>
            </w:r>
          </w:p>
        </w:tc>
        <w:tc>
          <w:tcPr>
            <w:tcW w:w="1813" w:type="dxa"/>
            <w:gridSpan w:val="3"/>
            <w:tcBorders>
              <w:top w:val="single" w:sz="4" w:space="0" w:color="000000"/>
              <w:bottom w:val="single" w:sz="4" w:space="0" w:color="000000"/>
            </w:tcBorders>
          </w:tcPr>
          <w:p w14:paraId="4DC27406"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2.453</w:t>
            </w:r>
          </w:p>
        </w:tc>
        <w:tc>
          <w:tcPr>
            <w:tcW w:w="1818" w:type="dxa"/>
            <w:gridSpan w:val="3"/>
            <w:tcBorders>
              <w:top w:val="single" w:sz="4" w:space="0" w:color="000000"/>
              <w:bottom w:val="single" w:sz="4" w:space="0" w:color="000000"/>
            </w:tcBorders>
          </w:tcPr>
          <w:p w14:paraId="37E9FC1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0.070</w:t>
            </w:r>
          </w:p>
        </w:tc>
      </w:tr>
    </w:tbl>
    <w:p w14:paraId="68D60CB3" w14:textId="77777777" w:rsidR="00147F7A" w:rsidRPr="00573080" w:rsidRDefault="00DD486F">
      <w:pPr>
        <w:spacing w:after="0" w:line="276" w:lineRule="auto"/>
        <w:jc w:val="both"/>
        <w:rPr>
          <w:rFonts w:ascii="Times New Roman" w:hAnsi="Times New Roman" w:cs="Times New Roman"/>
          <w:sz w:val="16"/>
          <w:szCs w:val="16"/>
        </w:rPr>
      </w:pPr>
      <w:r w:rsidRPr="00573080">
        <w:rPr>
          <w:rFonts w:ascii="Times New Roman" w:hAnsi="Times New Roman" w:cs="Times New Roman"/>
          <w:b/>
          <w:sz w:val="16"/>
          <w:szCs w:val="16"/>
        </w:rPr>
        <w:t>Abbreviations</w:t>
      </w:r>
      <w:r w:rsidRPr="00573080">
        <w:rPr>
          <w:rFonts w:ascii="Times New Roman" w:hAnsi="Times New Roman" w:cs="Times New Roman"/>
          <w:sz w:val="16"/>
          <w:szCs w:val="16"/>
        </w:rPr>
        <w:t xml:space="preserve">: CI: confidence interval; MRS: marginal rates of substitution; OR: odds ratio; RBC: red blood cell; SE: standard error. </w:t>
      </w:r>
    </w:p>
    <w:p w14:paraId="76B228C8" w14:textId="77777777" w:rsidR="00147F7A" w:rsidRPr="00573080" w:rsidRDefault="00DD486F">
      <w:pPr>
        <w:spacing w:after="0" w:line="276" w:lineRule="auto"/>
        <w:jc w:val="both"/>
        <w:rPr>
          <w:rFonts w:ascii="Times New Roman" w:hAnsi="Times New Roman" w:cs="Times New Roman"/>
          <w:sz w:val="16"/>
          <w:szCs w:val="16"/>
        </w:rPr>
      </w:pPr>
      <w:r w:rsidRPr="00573080">
        <w:rPr>
          <w:rFonts w:ascii="Times New Roman" w:hAnsi="Times New Roman" w:cs="Times New Roman"/>
          <w:b/>
          <w:sz w:val="16"/>
          <w:szCs w:val="16"/>
        </w:rPr>
        <w:t>Note</w:t>
      </w:r>
      <w:r w:rsidRPr="00573080">
        <w:rPr>
          <w:rFonts w:ascii="Times New Roman" w:hAnsi="Times New Roman" w:cs="Times New Roman"/>
          <w:sz w:val="16"/>
          <w:szCs w:val="16"/>
        </w:rPr>
        <w:t>: Model statistics: Log likelihood = -1970.6; Prob &gt; chi2 &lt;0.00; Number of respondents = 330; Number of choice sets per respondent = 17.</w:t>
      </w:r>
    </w:p>
    <w:p w14:paraId="6CF79E99" w14:textId="171CBF2D" w:rsidR="00147F7A" w:rsidRDefault="00147F7A">
      <w:pPr>
        <w:spacing w:after="0" w:line="276" w:lineRule="auto"/>
        <w:jc w:val="both"/>
        <w:rPr>
          <w:rFonts w:ascii="Times New Roman" w:hAnsi="Times New Roman" w:cs="Times New Roman"/>
        </w:rPr>
      </w:pPr>
    </w:p>
    <w:p w14:paraId="44DEECBA" w14:textId="77777777" w:rsidR="00573080" w:rsidRPr="00573080" w:rsidRDefault="00573080">
      <w:pPr>
        <w:spacing w:after="0" w:line="276" w:lineRule="auto"/>
        <w:jc w:val="both"/>
        <w:rPr>
          <w:rFonts w:ascii="Times New Roman" w:hAnsi="Times New Roman" w:cs="Times New Roman"/>
        </w:rPr>
      </w:pPr>
    </w:p>
    <w:p w14:paraId="28E31001" w14:textId="1B39E0E2" w:rsidR="00E23CBA" w:rsidRPr="00573080" w:rsidRDefault="00E23CBA" w:rsidP="00E23CBA">
      <w:pPr>
        <w:spacing w:after="0"/>
        <w:jc w:val="both"/>
        <w:rPr>
          <w:rFonts w:ascii="Times New Roman" w:hAnsi="Times New Roman" w:cs="Times New Roman"/>
          <w:b/>
          <w:bCs/>
          <w:sz w:val="18"/>
          <w:szCs w:val="18"/>
        </w:rPr>
      </w:pPr>
      <w:bookmarkStart w:id="3" w:name="_Ref71203736"/>
      <w:r w:rsidRPr="00573080">
        <w:rPr>
          <w:rFonts w:ascii="Times New Roman" w:hAnsi="Times New Roman" w:cs="Times New Roman"/>
          <w:b/>
          <w:bCs/>
          <w:sz w:val="18"/>
          <w:szCs w:val="18"/>
        </w:rPr>
        <w:t>Table</w:t>
      </w:r>
      <w:bookmarkEnd w:id="3"/>
      <w:r w:rsidRPr="00573080">
        <w:rPr>
          <w:rFonts w:ascii="Times New Roman" w:hAnsi="Times New Roman" w:cs="Times New Roman"/>
          <w:b/>
          <w:bCs/>
          <w:sz w:val="18"/>
          <w:szCs w:val="18"/>
        </w:rPr>
        <w:t xml:space="preserve"> S9. </w:t>
      </w:r>
      <w:r w:rsidRPr="00573080">
        <w:rPr>
          <w:rFonts w:ascii="Times New Roman" w:hAnsi="Times New Roman" w:cs="Times New Roman"/>
          <w:b/>
          <w:bCs/>
          <w:color w:val="000000"/>
          <w:sz w:val="18"/>
          <w:szCs w:val="18"/>
        </w:rPr>
        <w:t xml:space="preserve">Ravulizumab weight-based dosing </w:t>
      </w:r>
      <w:r w:rsidRPr="006B2670">
        <w:rPr>
          <w:rFonts w:ascii="Times New Roman" w:hAnsi="Times New Roman" w:cs="Times New Roman"/>
          <w:b/>
          <w:bCs/>
          <w:color w:val="000000"/>
          <w:sz w:val="18"/>
          <w:szCs w:val="18"/>
        </w:rPr>
        <w:t>regimen for adults</w:t>
      </w:r>
      <w:r w:rsidR="006B2670" w:rsidRPr="006B2670">
        <w:rPr>
          <w:rFonts w:ascii="Times New Roman" w:hAnsi="Times New Roman" w:cs="Times New Roman"/>
          <w:b/>
          <w:bCs/>
          <w:color w:val="000000"/>
          <w:sz w:val="18"/>
          <w:szCs w:val="18"/>
        </w:rPr>
        <w:t xml:space="preserve"> </w:t>
      </w:r>
      <w:r w:rsidR="006B2670" w:rsidRPr="006B2670">
        <w:rPr>
          <w:rFonts w:ascii="Times New Roman" w:hAnsi="Times New Roman" w:cs="Times New Roman"/>
          <w:b/>
          <w:bCs/>
          <w:color w:val="000000"/>
          <w:sz w:val="18"/>
          <w:szCs w:val="18"/>
        </w:rPr>
        <w:fldChar w:fldCharType="begin" w:fldLock="1"/>
      </w:r>
      <w:r w:rsidR="006B2670">
        <w:rPr>
          <w:rFonts w:ascii="Times New Roman" w:hAnsi="Times New Roman" w:cs="Times New Roman"/>
          <w:b/>
          <w:bCs/>
          <w:color w:val="000000"/>
          <w:sz w:val="18"/>
          <w:szCs w:val="18"/>
        </w:rPr>
        <w:instrText>ADDIN CSL_CITATION {"citationItems":[{"id":"ITEM-1","itemData":{"author":[{"dropping-particle":"","family":"Alexion internal data PNH register.","given":"","non-dropping-particle":"","parse-names":false,"suffix":""}],"id":"ITEM-1","issued":{"date-parts":[["0"]]},"title":"No Title","type":"article-journal"},"uris":["http://www.mendeley.com/documents/?uuid=a301f46b-bf83-4015-a69b-caa130b320ca"]},{"id":"ITEM-2","itemData":{"author":[{"dropping-particle":"","family":"Dutch Statistics","given":"","non-dropping-particle":"","parse-names":false,"suffix":""}],"id":"ITEM-2","issued":{"date-parts":[["0"]]},"title":"Bevolking; kerncijfers","type":"webpage"},"uris":["http://www.mendeley.com/documents/?uuid=a53a4591-8668-422f-b673-3a9524a5ff2a"]}],"mendeley":{"formattedCitation":"[8, 10]","plainTextFormattedCitation":"[8, 10]","previouslyFormattedCitation":"[8, 10]"},"properties":{"noteIndex":0},"schema":"https://github.com/citation-style-language/schema/raw/master/csl-citation.json"}</w:instrText>
      </w:r>
      <w:r w:rsidR="006B2670" w:rsidRPr="006B2670">
        <w:rPr>
          <w:rFonts w:ascii="Times New Roman" w:hAnsi="Times New Roman" w:cs="Times New Roman"/>
          <w:b/>
          <w:bCs/>
          <w:color w:val="000000"/>
          <w:sz w:val="18"/>
          <w:szCs w:val="18"/>
        </w:rPr>
        <w:fldChar w:fldCharType="separate"/>
      </w:r>
      <w:r w:rsidR="006B2670" w:rsidRPr="006B2670">
        <w:rPr>
          <w:rFonts w:ascii="Times New Roman" w:hAnsi="Times New Roman" w:cs="Times New Roman"/>
          <w:b/>
          <w:bCs/>
          <w:noProof/>
          <w:color w:val="000000"/>
          <w:sz w:val="18"/>
          <w:szCs w:val="18"/>
        </w:rPr>
        <w:t>[8, 10]</w:t>
      </w:r>
      <w:r w:rsidR="006B2670" w:rsidRPr="006B2670">
        <w:rPr>
          <w:rFonts w:ascii="Times New Roman" w:hAnsi="Times New Roman" w:cs="Times New Roman"/>
          <w:b/>
          <w:bCs/>
          <w:color w:val="000000"/>
          <w:sz w:val="18"/>
          <w:szCs w:val="18"/>
        </w:rPr>
        <w:fldChar w:fldCharType="end"/>
      </w:r>
      <w:r w:rsidRPr="006B2670">
        <w:rPr>
          <w:rFonts w:ascii="Times New Roman" w:hAnsi="Times New Roman" w:cs="Times New Roman"/>
          <w:b/>
          <w:bCs/>
          <w:color w:val="000000"/>
          <w:sz w:val="18"/>
          <w:szCs w:val="18"/>
        </w:rPr>
        <w:t>.</w:t>
      </w:r>
    </w:p>
    <w:tbl>
      <w:tblPr>
        <w:tblStyle w:val="PlainTable1"/>
        <w:tblW w:w="8217" w:type="dxa"/>
        <w:tblLayout w:type="fixed"/>
        <w:tblLook w:val="0000" w:firstRow="0" w:lastRow="0" w:firstColumn="0" w:lastColumn="0" w:noHBand="0" w:noVBand="0"/>
      </w:tblPr>
      <w:tblGrid>
        <w:gridCol w:w="1512"/>
        <w:gridCol w:w="1602"/>
        <w:gridCol w:w="1701"/>
        <w:gridCol w:w="1701"/>
        <w:gridCol w:w="1701"/>
      </w:tblGrid>
      <w:tr w:rsidR="00E23CBA" w:rsidRPr="00573080" w14:paraId="28536B18" w14:textId="77777777" w:rsidTr="00564153">
        <w:trPr>
          <w:cnfStyle w:val="000000100000" w:firstRow="0" w:lastRow="0" w:firstColumn="0" w:lastColumn="0" w:oddVBand="0" w:evenVBand="0" w:oddHBand="1" w:evenHBand="0" w:firstRowFirstColumn="0" w:firstRowLastColumn="0" w:lastRowFirstColumn="0" w:lastRowLastColumn="0"/>
          <w:trHeight w:val="324"/>
        </w:trPr>
        <w:tc>
          <w:tcPr>
            <w:cnfStyle w:val="000010000000" w:firstRow="0" w:lastRow="0" w:firstColumn="0" w:lastColumn="0" w:oddVBand="1" w:evenVBand="0" w:oddHBand="0" w:evenHBand="0" w:firstRowFirstColumn="0" w:firstRowLastColumn="0" w:lastRowFirstColumn="0" w:lastRowLastColumn="0"/>
            <w:tcW w:w="1512" w:type="dxa"/>
          </w:tcPr>
          <w:p w14:paraId="29E9C8F0" w14:textId="77777777" w:rsidR="00E23CBA" w:rsidRPr="00573080" w:rsidRDefault="00E23CBA" w:rsidP="00E23CBA">
            <w:pPr>
              <w:spacing w:line="276" w:lineRule="auto"/>
              <w:rPr>
                <w:rFonts w:ascii="Times New Roman" w:hAnsi="Times New Roman" w:cs="Times New Roman"/>
                <w:sz w:val="18"/>
                <w:szCs w:val="18"/>
              </w:rPr>
            </w:pPr>
            <w:r w:rsidRPr="00573080">
              <w:rPr>
                <w:rFonts w:ascii="Times New Roman" w:hAnsi="Times New Roman" w:cs="Times New Roman"/>
                <w:b/>
                <w:sz w:val="18"/>
                <w:szCs w:val="18"/>
              </w:rPr>
              <w:t>Body weight (kg)</w:t>
            </w:r>
          </w:p>
        </w:tc>
        <w:tc>
          <w:tcPr>
            <w:tcW w:w="1602" w:type="dxa"/>
          </w:tcPr>
          <w:p w14:paraId="08CE591C" w14:textId="77777777" w:rsidR="00E23CBA" w:rsidRPr="00573080" w:rsidRDefault="00E23CBA" w:rsidP="00E23C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b/>
                <w:sz w:val="18"/>
                <w:szCs w:val="18"/>
              </w:rPr>
              <w:t>Loading dose ravulizumab (mg)</w:t>
            </w:r>
          </w:p>
        </w:tc>
        <w:tc>
          <w:tcPr>
            <w:cnfStyle w:val="000010000000" w:firstRow="0" w:lastRow="0" w:firstColumn="0" w:lastColumn="0" w:oddVBand="1" w:evenVBand="0" w:oddHBand="0" w:evenHBand="0" w:firstRowFirstColumn="0" w:firstRowLastColumn="0" w:lastRowFirstColumn="0" w:lastRowLastColumn="0"/>
            <w:tcW w:w="1701" w:type="dxa"/>
          </w:tcPr>
          <w:p w14:paraId="6F3D4A4E" w14:textId="77777777" w:rsidR="00E23CBA" w:rsidRPr="00573080" w:rsidRDefault="00E23CBA" w:rsidP="00E23CBA">
            <w:pPr>
              <w:spacing w:line="276" w:lineRule="auto"/>
              <w:rPr>
                <w:rFonts w:ascii="Times New Roman" w:hAnsi="Times New Roman" w:cs="Times New Roman"/>
                <w:sz w:val="18"/>
                <w:szCs w:val="18"/>
              </w:rPr>
            </w:pPr>
            <w:r w:rsidRPr="00573080">
              <w:rPr>
                <w:rFonts w:ascii="Times New Roman" w:hAnsi="Times New Roman" w:cs="Times New Roman"/>
                <w:b/>
                <w:sz w:val="18"/>
                <w:szCs w:val="18"/>
              </w:rPr>
              <w:t>Maintenance dose ravulizumab  (mg)</w:t>
            </w:r>
          </w:p>
        </w:tc>
        <w:tc>
          <w:tcPr>
            <w:tcW w:w="1701" w:type="dxa"/>
          </w:tcPr>
          <w:p w14:paraId="1D5888F3" w14:textId="77777777" w:rsidR="00E23CBA" w:rsidRPr="00573080" w:rsidRDefault="00E23CBA" w:rsidP="00E23C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73080">
              <w:rPr>
                <w:rFonts w:ascii="Times New Roman" w:hAnsi="Times New Roman" w:cs="Times New Roman"/>
                <w:b/>
                <w:sz w:val="18"/>
                <w:szCs w:val="18"/>
              </w:rPr>
              <w:t>Initial dose eculizumab (mg)</w:t>
            </w:r>
          </w:p>
        </w:tc>
        <w:tc>
          <w:tcPr>
            <w:cnfStyle w:val="000010000000" w:firstRow="0" w:lastRow="0" w:firstColumn="0" w:lastColumn="0" w:oddVBand="1" w:evenVBand="0" w:oddHBand="0" w:evenHBand="0" w:firstRowFirstColumn="0" w:firstRowLastColumn="0" w:lastRowFirstColumn="0" w:lastRowLastColumn="0"/>
            <w:tcW w:w="1701" w:type="dxa"/>
          </w:tcPr>
          <w:p w14:paraId="688A9A6E" w14:textId="77777777" w:rsidR="00E23CBA" w:rsidRPr="00573080" w:rsidRDefault="00E23CBA" w:rsidP="00E23CBA">
            <w:pPr>
              <w:spacing w:line="276" w:lineRule="auto"/>
              <w:rPr>
                <w:rFonts w:ascii="Times New Roman" w:hAnsi="Times New Roman" w:cs="Times New Roman"/>
                <w:b/>
                <w:sz w:val="18"/>
                <w:szCs w:val="18"/>
              </w:rPr>
            </w:pPr>
            <w:r w:rsidRPr="00573080">
              <w:rPr>
                <w:rFonts w:ascii="Times New Roman" w:hAnsi="Times New Roman" w:cs="Times New Roman"/>
                <w:b/>
                <w:sz w:val="18"/>
                <w:szCs w:val="18"/>
              </w:rPr>
              <w:t>Maintenance dose eculizumab (mg)</w:t>
            </w:r>
          </w:p>
        </w:tc>
      </w:tr>
      <w:tr w:rsidR="00E23CBA" w:rsidRPr="00573080" w14:paraId="51408DE8" w14:textId="77777777" w:rsidTr="00564153">
        <w:trPr>
          <w:trHeight w:val="70"/>
        </w:trPr>
        <w:tc>
          <w:tcPr>
            <w:cnfStyle w:val="000010000000" w:firstRow="0" w:lastRow="0" w:firstColumn="0" w:lastColumn="0" w:oddVBand="1" w:evenVBand="0" w:oddHBand="0" w:evenHBand="0" w:firstRowFirstColumn="0" w:firstRowLastColumn="0" w:lastRowFirstColumn="0" w:lastRowLastColumn="0"/>
            <w:tcW w:w="1512" w:type="dxa"/>
            <w:shd w:val="clear" w:color="auto" w:fill="auto"/>
          </w:tcPr>
          <w:p w14:paraId="2340383C" w14:textId="77777777" w:rsidR="00E23CBA" w:rsidRPr="00573080" w:rsidRDefault="00E23CBA" w:rsidP="00E23CBA">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 40 to &lt; 60 </w:t>
            </w:r>
          </w:p>
        </w:tc>
        <w:tc>
          <w:tcPr>
            <w:tcW w:w="1602" w:type="dxa"/>
            <w:shd w:val="clear" w:color="auto" w:fill="auto"/>
          </w:tcPr>
          <w:p w14:paraId="71BA1855" w14:textId="77777777" w:rsidR="00E23CBA" w:rsidRPr="00573080" w:rsidRDefault="00E23CBA" w:rsidP="00E23CB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2,400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0B445A1C" w14:textId="77777777" w:rsidR="00E23CBA" w:rsidRPr="00573080" w:rsidRDefault="00E23CBA" w:rsidP="00E23CBA">
            <w:pPr>
              <w:spacing w:line="276" w:lineRule="auto"/>
              <w:jc w:val="center"/>
              <w:rPr>
                <w:rFonts w:ascii="Times New Roman" w:hAnsi="Times New Roman" w:cs="Times New Roman"/>
                <w:sz w:val="18"/>
                <w:szCs w:val="18"/>
              </w:rPr>
            </w:pPr>
            <w:r w:rsidRPr="00573080">
              <w:rPr>
                <w:rFonts w:ascii="Times New Roman" w:hAnsi="Times New Roman" w:cs="Times New Roman"/>
                <w:sz w:val="18"/>
                <w:szCs w:val="18"/>
              </w:rPr>
              <w:t>3,000</w:t>
            </w:r>
          </w:p>
        </w:tc>
        <w:tc>
          <w:tcPr>
            <w:tcW w:w="1701" w:type="dxa"/>
            <w:vMerge w:val="restart"/>
          </w:tcPr>
          <w:p w14:paraId="5841A6EF" w14:textId="77777777" w:rsidR="00E23CBA" w:rsidRPr="00573080" w:rsidRDefault="00E23CBA" w:rsidP="00E23CB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600</w:t>
            </w:r>
          </w:p>
        </w:tc>
        <w:tc>
          <w:tcPr>
            <w:cnfStyle w:val="000010000000" w:firstRow="0" w:lastRow="0" w:firstColumn="0" w:lastColumn="0" w:oddVBand="1" w:evenVBand="0" w:oddHBand="0" w:evenHBand="0" w:firstRowFirstColumn="0" w:firstRowLastColumn="0" w:lastRowFirstColumn="0" w:lastRowLastColumn="0"/>
            <w:tcW w:w="1701" w:type="dxa"/>
            <w:vMerge w:val="restart"/>
            <w:shd w:val="clear" w:color="auto" w:fill="auto"/>
          </w:tcPr>
          <w:p w14:paraId="69ADF298" w14:textId="77777777" w:rsidR="00E23CBA" w:rsidRPr="00573080" w:rsidRDefault="00E23CBA" w:rsidP="00E23CBA">
            <w:pPr>
              <w:spacing w:line="276" w:lineRule="auto"/>
              <w:jc w:val="center"/>
              <w:rPr>
                <w:rFonts w:ascii="Times New Roman" w:hAnsi="Times New Roman" w:cs="Times New Roman"/>
                <w:sz w:val="18"/>
                <w:szCs w:val="18"/>
              </w:rPr>
            </w:pPr>
            <w:r w:rsidRPr="00573080">
              <w:rPr>
                <w:rFonts w:ascii="Times New Roman" w:hAnsi="Times New Roman" w:cs="Times New Roman"/>
                <w:sz w:val="18"/>
                <w:szCs w:val="18"/>
              </w:rPr>
              <w:t>900</w:t>
            </w:r>
          </w:p>
        </w:tc>
      </w:tr>
      <w:tr w:rsidR="00E23CBA" w:rsidRPr="00573080" w14:paraId="03FC5295" w14:textId="77777777" w:rsidTr="00564153">
        <w:trPr>
          <w:cnfStyle w:val="000000100000" w:firstRow="0" w:lastRow="0" w:firstColumn="0" w:lastColumn="0" w:oddVBand="0" w:evenVBand="0" w:oddHBand="1" w:evenHBand="0" w:firstRowFirstColumn="0" w:firstRowLastColumn="0" w:lastRowFirstColumn="0" w:lastRowLastColumn="0"/>
          <w:trHeight w:val="16"/>
        </w:trPr>
        <w:tc>
          <w:tcPr>
            <w:cnfStyle w:val="000010000000" w:firstRow="0" w:lastRow="0" w:firstColumn="0" w:lastColumn="0" w:oddVBand="1" w:evenVBand="0" w:oddHBand="0" w:evenHBand="0" w:firstRowFirstColumn="0" w:firstRowLastColumn="0" w:lastRowFirstColumn="0" w:lastRowLastColumn="0"/>
            <w:tcW w:w="1512" w:type="dxa"/>
          </w:tcPr>
          <w:p w14:paraId="3490CB35" w14:textId="77777777" w:rsidR="00E23CBA" w:rsidRPr="00573080" w:rsidRDefault="00E23CBA" w:rsidP="00E23CBA">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 60 to &lt; 100 </w:t>
            </w:r>
          </w:p>
        </w:tc>
        <w:tc>
          <w:tcPr>
            <w:tcW w:w="1602" w:type="dxa"/>
          </w:tcPr>
          <w:p w14:paraId="31D0867F" w14:textId="77777777" w:rsidR="00E23CBA" w:rsidRPr="00573080" w:rsidRDefault="00E23CBA" w:rsidP="00E23CB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2,700</w:t>
            </w:r>
          </w:p>
        </w:tc>
        <w:tc>
          <w:tcPr>
            <w:cnfStyle w:val="000010000000" w:firstRow="0" w:lastRow="0" w:firstColumn="0" w:lastColumn="0" w:oddVBand="1" w:evenVBand="0" w:oddHBand="0" w:evenHBand="0" w:firstRowFirstColumn="0" w:firstRowLastColumn="0" w:lastRowFirstColumn="0" w:lastRowLastColumn="0"/>
            <w:tcW w:w="1701" w:type="dxa"/>
          </w:tcPr>
          <w:p w14:paraId="27C4929A" w14:textId="77777777" w:rsidR="00E23CBA" w:rsidRPr="00573080" w:rsidRDefault="00E23CBA" w:rsidP="00E23CBA">
            <w:pPr>
              <w:spacing w:line="276" w:lineRule="auto"/>
              <w:jc w:val="center"/>
              <w:rPr>
                <w:rFonts w:ascii="Times New Roman" w:hAnsi="Times New Roman" w:cs="Times New Roman"/>
                <w:sz w:val="18"/>
                <w:szCs w:val="18"/>
              </w:rPr>
            </w:pPr>
            <w:r w:rsidRPr="00573080">
              <w:rPr>
                <w:rFonts w:ascii="Times New Roman" w:hAnsi="Times New Roman" w:cs="Times New Roman"/>
                <w:sz w:val="18"/>
                <w:szCs w:val="18"/>
              </w:rPr>
              <w:t>3,300</w:t>
            </w:r>
          </w:p>
        </w:tc>
        <w:tc>
          <w:tcPr>
            <w:tcW w:w="1701" w:type="dxa"/>
            <w:vMerge/>
          </w:tcPr>
          <w:p w14:paraId="3B38D6F7" w14:textId="77777777" w:rsidR="00E23CBA" w:rsidRPr="00573080" w:rsidRDefault="00E23CBA" w:rsidP="00E23CB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701" w:type="dxa"/>
            <w:vMerge/>
            <w:shd w:val="clear" w:color="auto" w:fill="auto"/>
          </w:tcPr>
          <w:p w14:paraId="0E9BA457" w14:textId="77777777" w:rsidR="00E23CBA" w:rsidRPr="00573080" w:rsidRDefault="00E23CBA" w:rsidP="00E23CBA">
            <w:pPr>
              <w:widowControl w:val="0"/>
              <w:pBdr>
                <w:top w:val="nil"/>
                <w:left w:val="nil"/>
                <w:bottom w:val="nil"/>
                <w:right w:val="nil"/>
                <w:between w:val="nil"/>
              </w:pBdr>
              <w:spacing w:line="276" w:lineRule="auto"/>
              <w:rPr>
                <w:rFonts w:ascii="Times New Roman" w:hAnsi="Times New Roman" w:cs="Times New Roman"/>
                <w:sz w:val="18"/>
                <w:szCs w:val="18"/>
              </w:rPr>
            </w:pPr>
          </w:p>
        </w:tc>
      </w:tr>
      <w:tr w:rsidR="00E23CBA" w:rsidRPr="00573080" w14:paraId="495102D2" w14:textId="77777777" w:rsidTr="00564153">
        <w:trPr>
          <w:trHeight w:val="16"/>
        </w:trPr>
        <w:tc>
          <w:tcPr>
            <w:cnfStyle w:val="000010000000" w:firstRow="0" w:lastRow="0" w:firstColumn="0" w:lastColumn="0" w:oddVBand="1" w:evenVBand="0" w:oddHBand="0" w:evenHBand="0" w:firstRowFirstColumn="0" w:firstRowLastColumn="0" w:lastRowFirstColumn="0" w:lastRowLastColumn="0"/>
            <w:tcW w:w="1512" w:type="dxa"/>
            <w:shd w:val="clear" w:color="auto" w:fill="auto"/>
          </w:tcPr>
          <w:p w14:paraId="01F8E1B8" w14:textId="77777777" w:rsidR="00E23CBA" w:rsidRPr="00573080" w:rsidRDefault="00E23CBA" w:rsidP="00E23CBA">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 100 </w:t>
            </w:r>
          </w:p>
        </w:tc>
        <w:tc>
          <w:tcPr>
            <w:tcW w:w="1602" w:type="dxa"/>
            <w:shd w:val="clear" w:color="auto" w:fill="auto"/>
          </w:tcPr>
          <w:p w14:paraId="43F7FD2D" w14:textId="77777777" w:rsidR="00E23CBA" w:rsidRPr="00573080" w:rsidRDefault="00E23CBA" w:rsidP="00E23CB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3,000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1BB87D12" w14:textId="77777777" w:rsidR="00E23CBA" w:rsidRPr="00573080" w:rsidRDefault="00E23CBA" w:rsidP="00E23CBA">
            <w:pPr>
              <w:spacing w:line="276" w:lineRule="auto"/>
              <w:jc w:val="center"/>
              <w:rPr>
                <w:rFonts w:ascii="Times New Roman" w:hAnsi="Times New Roman" w:cs="Times New Roman"/>
                <w:sz w:val="18"/>
                <w:szCs w:val="18"/>
              </w:rPr>
            </w:pPr>
            <w:r w:rsidRPr="00573080">
              <w:rPr>
                <w:rFonts w:ascii="Times New Roman" w:hAnsi="Times New Roman" w:cs="Times New Roman"/>
                <w:sz w:val="18"/>
                <w:szCs w:val="18"/>
              </w:rPr>
              <w:t>3,600</w:t>
            </w:r>
          </w:p>
        </w:tc>
        <w:tc>
          <w:tcPr>
            <w:tcW w:w="1701" w:type="dxa"/>
            <w:vMerge/>
          </w:tcPr>
          <w:p w14:paraId="0FA2DE3B" w14:textId="77777777" w:rsidR="00E23CBA" w:rsidRPr="00573080" w:rsidRDefault="00E23CBA" w:rsidP="00E23CB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701" w:type="dxa"/>
            <w:vMerge/>
            <w:shd w:val="clear" w:color="auto" w:fill="auto"/>
          </w:tcPr>
          <w:p w14:paraId="763423DE" w14:textId="77777777" w:rsidR="00E23CBA" w:rsidRPr="00573080" w:rsidRDefault="00E23CBA" w:rsidP="00E23CBA">
            <w:pPr>
              <w:widowControl w:val="0"/>
              <w:pBdr>
                <w:top w:val="nil"/>
                <w:left w:val="nil"/>
                <w:bottom w:val="nil"/>
                <w:right w:val="nil"/>
                <w:between w:val="nil"/>
              </w:pBdr>
              <w:spacing w:line="276" w:lineRule="auto"/>
              <w:rPr>
                <w:rFonts w:ascii="Times New Roman" w:hAnsi="Times New Roman" w:cs="Times New Roman"/>
                <w:sz w:val="18"/>
                <w:szCs w:val="18"/>
              </w:rPr>
            </w:pPr>
          </w:p>
        </w:tc>
      </w:tr>
    </w:tbl>
    <w:p w14:paraId="09A56367" w14:textId="77777777" w:rsidR="00E23CBA" w:rsidRPr="00241C53" w:rsidRDefault="00E23CBA">
      <w:pPr>
        <w:spacing w:after="0" w:line="276" w:lineRule="auto"/>
        <w:jc w:val="both"/>
        <w:rPr>
          <w:rFonts w:ascii="Times New Roman" w:hAnsi="Times New Roman" w:cs="Times New Roman"/>
          <w:sz w:val="24"/>
          <w:szCs w:val="24"/>
        </w:rPr>
      </w:pPr>
    </w:p>
    <w:p w14:paraId="7C735740" w14:textId="77777777" w:rsidR="00147F7A" w:rsidRPr="00241C53" w:rsidRDefault="00147F7A">
      <w:pPr>
        <w:spacing w:after="0" w:line="276" w:lineRule="auto"/>
        <w:jc w:val="both"/>
        <w:rPr>
          <w:rFonts w:ascii="Times New Roman" w:hAnsi="Times New Roman" w:cs="Times New Roman"/>
          <w:sz w:val="24"/>
          <w:szCs w:val="24"/>
        </w:rPr>
      </w:pPr>
      <w:bookmarkStart w:id="4" w:name="_heading=h.1664s55" w:colFirst="0" w:colLast="0"/>
      <w:bookmarkEnd w:id="4"/>
    </w:p>
    <w:p w14:paraId="6FE728C9" w14:textId="351F9B05" w:rsidR="00147F7A" w:rsidRPr="00573080" w:rsidRDefault="00DD486F">
      <w:pPr>
        <w:keepNext/>
        <w:pBdr>
          <w:top w:val="nil"/>
          <w:left w:val="nil"/>
          <w:bottom w:val="nil"/>
          <w:right w:val="nil"/>
          <w:between w:val="nil"/>
        </w:pBdr>
        <w:spacing w:after="0" w:line="240" w:lineRule="auto"/>
        <w:rPr>
          <w:rFonts w:ascii="Times New Roman" w:hAnsi="Times New Roman" w:cs="Times New Roman"/>
          <w:i/>
          <w:color w:val="44546A"/>
          <w:sz w:val="18"/>
          <w:szCs w:val="18"/>
        </w:rPr>
      </w:pPr>
      <w:r w:rsidRPr="00573080">
        <w:rPr>
          <w:rFonts w:ascii="Times New Roman" w:hAnsi="Times New Roman" w:cs="Times New Roman"/>
          <w:b/>
          <w:color w:val="000000"/>
          <w:sz w:val="18"/>
          <w:szCs w:val="18"/>
        </w:rPr>
        <w:t>Table S</w:t>
      </w:r>
      <w:r w:rsidR="00E23CBA" w:rsidRPr="00573080">
        <w:rPr>
          <w:rFonts w:ascii="Times New Roman" w:hAnsi="Times New Roman" w:cs="Times New Roman"/>
          <w:b/>
          <w:color w:val="000000"/>
          <w:sz w:val="18"/>
          <w:szCs w:val="18"/>
        </w:rPr>
        <w:t>10</w:t>
      </w:r>
      <w:r w:rsidRPr="00573080">
        <w:rPr>
          <w:rFonts w:ascii="Times New Roman" w:hAnsi="Times New Roman" w:cs="Times New Roman"/>
          <w:b/>
          <w:color w:val="000000"/>
          <w:sz w:val="18"/>
          <w:szCs w:val="18"/>
        </w:rPr>
        <w:t>.</w:t>
      </w:r>
      <w:r w:rsidRPr="00573080">
        <w:rPr>
          <w:rFonts w:ascii="Times New Roman" w:hAnsi="Times New Roman" w:cs="Times New Roman"/>
          <w:i/>
          <w:color w:val="000000"/>
          <w:sz w:val="18"/>
          <w:szCs w:val="18"/>
        </w:rPr>
        <w:t xml:space="preserve"> </w:t>
      </w:r>
      <w:r w:rsidRPr="00573080">
        <w:rPr>
          <w:rFonts w:ascii="Times New Roman" w:hAnsi="Times New Roman" w:cs="Times New Roman"/>
          <w:b/>
          <w:color w:val="000000"/>
          <w:sz w:val="18"/>
          <w:szCs w:val="18"/>
        </w:rPr>
        <w:t>Modelled medical resource utilization and unit costs for the management of BTH events</w:t>
      </w:r>
      <w:r w:rsidR="006B2670">
        <w:rPr>
          <w:rFonts w:ascii="Times New Roman" w:hAnsi="Times New Roman" w:cs="Times New Roman"/>
          <w:b/>
          <w:color w:val="000000"/>
          <w:sz w:val="18"/>
          <w:szCs w:val="18"/>
        </w:rPr>
        <w:t xml:space="preserve"> [</w:t>
      </w:r>
      <w:r w:rsidR="00D54521">
        <w:rPr>
          <w:rFonts w:ascii="Times New Roman" w:hAnsi="Times New Roman" w:cs="Times New Roman"/>
          <w:b/>
          <w:color w:val="000000"/>
          <w:sz w:val="18"/>
          <w:szCs w:val="18"/>
        </w:rPr>
        <w:t>3</w:t>
      </w:r>
      <w:proofErr w:type="gramStart"/>
      <w:r w:rsidR="006B2670">
        <w:rPr>
          <w:rFonts w:ascii="Times New Roman" w:hAnsi="Times New Roman" w:cs="Times New Roman"/>
          <w:b/>
          <w:color w:val="000000"/>
          <w:sz w:val="18"/>
          <w:szCs w:val="18"/>
        </w:rPr>
        <w:t>,11</w:t>
      </w:r>
      <w:proofErr w:type="gramEnd"/>
      <w:r w:rsidR="006B2670">
        <w:rPr>
          <w:rFonts w:ascii="Times New Roman" w:hAnsi="Times New Roman" w:cs="Times New Roman"/>
          <w:b/>
          <w:color w:val="000000"/>
          <w:sz w:val="18"/>
          <w:szCs w:val="18"/>
        </w:rPr>
        <w:t>-13]</w:t>
      </w:r>
      <w:r w:rsidRPr="00573080">
        <w:rPr>
          <w:rFonts w:ascii="Times New Roman" w:hAnsi="Times New Roman" w:cs="Times New Roman"/>
          <w:b/>
          <w:color w:val="000000"/>
          <w:sz w:val="18"/>
          <w:szCs w:val="18"/>
        </w:rPr>
        <w:t>.</w:t>
      </w:r>
    </w:p>
    <w:tbl>
      <w:tblPr>
        <w:tblStyle w:val="a8"/>
        <w:tblW w:w="921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1418"/>
        <w:gridCol w:w="992"/>
        <w:gridCol w:w="1418"/>
        <w:gridCol w:w="992"/>
        <w:gridCol w:w="1134"/>
        <w:gridCol w:w="1701"/>
      </w:tblGrid>
      <w:tr w:rsidR="00147F7A" w:rsidRPr="00573080" w14:paraId="2AA1BED5" w14:textId="77777777" w:rsidTr="00573080">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60" w:type="dxa"/>
          </w:tcPr>
          <w:p w14:paraId="12148EA6" w14:textId="77777777" w:rsidR="00147F7A" w:rsidRPr="00573080" w:rsidRDefault="00147F7A">
            <w:pPr>
              <w:rPr>
                <w:rFonts w:ascii="Times New Roman" w:eastAsia="Times New Roman" w:hAnsi="Times New Roman" w:cs="Times New Roman"/>
              </w:rPr>
            </w:pPr>
          </w:p>
        </w:tc>
        <w:tc>
          <w:tcPr>
            <w:tcW w:w="2410" w:type="dxa"/>
            <w:gridSpan w:val="2"/>
          </w:tcPr>
          <w:p w14:paraId="39B131E0" w14:textId="77777777" w:rsidR="00147F7A" w:rsidRPr="00573080" w:rsidRDefault="00DD48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IncC5Inhib BTH</w:t>
            </w:r>
          </w:p>
        </w:tc>
        <w:tc>
          <w:tcPr>
            <w:tcW w:w="2410" w:type="dxa"/>
            <w:gridSpan w:val="2"/>
          </w:tcPr>
          <w:p w14:paraId="5DD3215C" w14:textId="77777777" w:rsidR="00147F7A" w:rsidRPr="00573080" w:rsidRDefault="00DD48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CAC BTH</w:t>
            </w:r>
          </w:p>
        </w:tc>
        <w:tc>
          <w:tcPr>
            <w:tcW w:w="1134" w:type="dxa"/>
          </w:tcPr>
          <w:p w14:paraId="07B3AF1A" w14:textId="77777777" w:rsidR="00147F7A" w:rsidRPr="00573080" w:rsidRDefault="00147F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701" w:type="dxa"/>
          </w:tcPr>
          <w:p w14:paraId="13512269" w14:textId="77777777" w:rsidR="00147F7A" w:rsidRPr="00573080" w:rsidRDefault="00147F7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573080" w:rsidRPr="00573080" w14:paraId="64EE7688" w14:textId="77777777" w:rsidTr="00573080">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560" w:type="dxa"/>
          </w:tcPr>
          <w:p w14:paraId="1A22BD0F"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Resource</w:t>
            </w:r>
          </w:p>
        </w:tc>
        <w:tc>
          <w:tcPr>
            <w:tcW w:w="1418" w:type="dxa"/>
          </w:tcPr>
          <w:p w14:paraId="41BBAD75"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b/>
                <w:sz w:val="18"/>
                <w:szCs w:val="18"/>
              </w:rPr>
              <w:t>Patients using resource (%)</w:t>
            </w:r>
          </w:p>
        </w:tc>
        <w:tc>
          <w:tcPr>
            <w:tcW w:w="992" w:type="dxa"/>
          </w:tcPr>
          <w:p w14:paraId="57FA4682"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b/>
                <w:sz w:val="18"/>
                <w:szCs w:val="18"/>
              </w:rPr>
              <w:t>Number of units</w:t>
            </w:r>
          </w:p>
        </w:tc>
        <w:tc>
          <w:tcPr>
            <w:tcW w:w="1418" w:type="dxa"/>
          </w:tcPr>
          <w:p w14:paraId="376FBD5F"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b/>
                <w:sz w:val="18"/>
                <w:szCs w:val="18"/>
              </w:rPr>
              <w:t>Patients using resource (%)</w:t>
            </w:r>
          </w:p>
        </w:tc>
        <w:tc>
          <w:tcPr>
            <w:tcW w:w="992" w:type="dxa"/>
          </w:tcPr>
          <w:p w14:paraId="54C0BEAD"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b/>
                <w:sz w:val="18"/>
                <w:szCs w:val="18"/>
              </w:rPr>
              <w:t>Number of units</w:t>
            </w:r>
          </w:p>
        </w:tc>
        <w:tc>
          <w:tcPr>
            <w:tcW w:w="1134" w:type="dxa"/>
          </w:tcPr>
          <w:p w14:paraId="015FD289"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573080">
              <w:rPr>
                <w:rFonts w:ascii="Times New Roman" w:hAnsi="Times New Roman" w:cs="Times New Roman"/>
                <w:b/>
                <w:sz w:val="18"/>
                <w:szCs w:val="18"/>
              </w:rPr>
              <w:t>Unit cost (2019 EUR)</w:t>
            </w:r>
          </w:p>
        </w:tc>
        <w:tc>
          <w:tcPr>
            <w:tcW w:w="1701" w:type="dxa"/>
          </w:tcPr>
          <w:p w14:paraId="541C8385"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b/>
                <w:sz w:val="18"/>
                <w:szCs w:val="18"/>
              </w:rPr>
              <w:t>Source</w:t>
            </w:r>
          </w:p>
        </w:tc>
      </w:tr>
      <w:tr w:rsidR="00573080" w:rsidRPr="00573080" w14:paraId="02BCC6BE" w14:textId="77777777" w:rsidTr="00573080">
        <w:trPr>
          <w:trHeight w:val="18"/>
        </w:trPr>
        <w:tc>
          <w:tcPr>
            <w:cnfStyle w:val="001000000000" w:firstRow="0" w:lastRow="0" w:firstColumn="1" w:lastColumn="0" w:oddVBand="0" w:evenVBand="0" w:oddHBand="0" w:evenHBand="0" w:firstRowFirstColumn="0" w:firstRowLastColumn="0" w:lastRowFirstColumn="0" w:lastRowLastColumn="0"/>
            <w:tcW w:w="1560" w:type="dxa"/>
          </w:tcPr>
          <w:p w14:paraId="2B463652" w14:textId="77777777" w:rsidR="00147F7A" w:rsidRPr="00573080" w:rsidRDefault="00DD486F">
            <w:pPr>
              <w:jc w:val="both"/>
              <w:rPr>
                <w:rFonts w:ascii="Times New Roman" w:hAnsi="Times New Roman" w:cs="Times New Roman"/>
                <w:sz w:val="18"/>
                <w:szCs w:val="18"/>
              </w:rPr>
            </w:pPr>
            <w:r w:rsidRPr="00573080">
              <w:rPr>
                <w:rFonts w:ascii="Times New Roman" w:hAnsi="Times New Roman" w:cs="Times New Roman"/>
                <w:sz w:val="18"/>
                <w:szCs w:val="18"/>
              </w:rPr>
              <w:t>General ward admission (day)</w:t>
            </w:r>
          </w:p>
        </w:tc>
        <w:tc>
          <w:tcPr>
            <w:tcW w:w="1418" w:type="dxa"/>
          </w:tcPr>
          <w:p w14:paraId="3F9EA561"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15%</w:t>
            </w:r>
          </w:p>
        </w:tc>
        <w:tc>
          <w:tcPr>
            <w:tcW w:w="992" w:type="dxa"/>
          </w:tcPr>
          <w:p w14:paraId="443B5FEB"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1</w:t>
            </w:r>
          </w:p>
        </w:tc>
        <w:tc>
          <w:tcPr>
            <w:tcW w:w="1418" w:type="dxa"/>
          </w:tcPr>
          <w:p w14:paraId="34DB8081"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23%</w:t>
            </w:r>
          </w:p>
        </w:tc>
        <w:tc>
          <w:tcPr>
            <w:tcW w:w="992" w:type="dxa"/>
          </w:tcPr>
          <w:p w14:paraId="63DDAF4D"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3</w:t>
            </w:r>
          </w:p>
        </w:tc>
        <w:tc>
          <w:tcPr>
            <w:tcW w:w="1134" w:type="dxa"/>
          </w:tcPr>
          <w:p w14:paraId="4A9B0007" w14:textId="77777777" w:rsidR="00147F7A" w:rsidRPr="00573080" w:rsidRDefault="00DD48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 xml:space="preserve"> €678.99 </w:t>
            </w:r>
          </w:p>
        </w:tc>
        <w:tc>
          <w:tcPr>
            <w:tcW w:w="1701" w:type="dxa"/>
          </w:tcPr>
          <w:p w14:paraId="375CEB54" w14:textId="49219428" w:rsidR="00147F7A" w:rsidRPr="00573080" w:rsidRDefault="00DD48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573080">
              <w:rPr>
                <w:rFonts w:ascii="Times New Roman" w:hAnsi="Times New Roman" w:cs="Times New Roman"/>
                <w:sz w:val="18"/>
                <w:szCs w:val="18"/>
              </w:rPr>
              <w:t>Tomazos</w:t>
            </w:r>
            <w:proofErr w:type="spellEnd"/>
            <w:r w:rsidRPr="00573080">
              <w:rPr>
                <w:rFonts w:ascii="Times New Roman" w:hAnsi="Times New Roman" w:cs="Times New Roman"/>
                <w:sz w:val="18"/>
                <w:szCs w:val="18"/>
              </w:rPr>
              <w:t xml:space="preserve"> et al </w:t>
            </w:r>
            <w:r w:rsidR="006B2670">
              <w:rPr>
                <w:rFonts w:ascii="Times New Roman" w:hAnsi="Times New Roman" w:cs="Times New Roman"/>
                <w:sz w:val="18"/>
                <w:szCs w:val="18"/>
              </w:rPr>
              <w:fldChar w:fldCharType="begin" w:fldLock="1"/>
            </w:r>
            <w:r w:rsidR="006B2670">
              <w:rPr>
                <w:rFonts w:ascii="Times New Roman" w:hAnsi="Times New Roman" w:cs="Times New Roman"/>
                <w:sz w:val="18"/>
                <w:szCs w:val="18"/>
              </w:rPr>
              <w:instrText>ADDIN CSL_CITATION {"citationItems":[{"id":"ITEM-1","itemData":{"DOI":"10.1080/16078454.2020.1807226","ISSN":"16078454","PMID":"32856539","abstract":"Objectives: Although complement inhibition is highly effective, patients with paroxysmal nocturnal hemoglobinuria (PNH) may experience intravascular breakthrough hemolysis (BTH). Underlying causes may include elevated free C5, pregnancy, or non-pregnancy complement-activating conditions (e.g. infections). This study compared BTH-related resource utilization and costs in PNH patients treated with eculizumab versus ravulizumab. Methods: A cost model was developed using data from a targeted literature review and a survey of experienced clinicians. Costs associated with BTH episodes were calculated by cause and weighted by the proportion attributed to each cause and the cost of treating each episode. The model captured direct medical costs in 2018 US dollars. Annual BTH-related healthcare resource utilization was also calculated. Results: BTH episodes in the literature were commonly associated with elevated lactate dehydrogenase and aspartate aminotransferase, hemoglobinuria, transfusion needs, and/or recurrence of PNH symptoms. The majority of BTH management costs in eculizumab-treated patients related to changing from the approved dosing regimen following an episode of BTH, rather than acute management. No ongoing dosing changes were expected for ravulizumab-treated patients following episodes of BTH, substantially reducing its ongoing management costs. Resource utilization was greater for eculizumab-treated patients than ravulizumab-treated patients due to higher incidence of BTH, and risk of elevated free C5-related BTH. Total incremental cost was substantially lower for ravulizumab- vs eculizumab-treated patients ($407 vs $9379); results were consistent when pregnant women were not included ($386 vs $3472). Conclusion: Overall resource use and costs for BTH are estimated to be lower for PNH patients receiving ravulizumab compared with eculizumab.","author":[{"dropping-particle":"","family":"Tomazos","given":"Ioannis","non-dropping-particle":"","parse-names":false,"suffix":""},{"dropping-particle":"","family":"Sierra","given":"J. Rafael","non-dropping-particle":"","parse-names":false,"suffix":""},{"dropping-particle":"","family":"Johnston","given":"Karissa M.","non-dropping-particle":"","parse-names":false,"suffix":""},{"dropping-particle":"","family":"Cheung","given":"Antoinette","non-dropping-particle":"","parse-names":false,"suffix":""},{"dropping-particle":"","family":"Brodsky","given":"Robert A.","non-dropping-particle":"","parse-names":false,"suffix":""},{"dropping-particle":"","family":"Weitz","given":"Ilene C.","non-dropping-particle":"","parse-names":false,"suffix":""}],"container-title":"Hematology (United Kingdom)","id":"ITEM-1","issue":"1","issued":{"date-parts":[["2020"]]},"page":"327-334","title":"Cost burden of breakthrough hemolysis in patients with paroxysmal nocturnal hemoglobinuria receiving ravulizumab versus eculizumab","type":"article-journal","volume":"25"},"uris":["http://www.mendeley.com/documents/?uuid=d4aa1c85-8574-40a8-b1ec-957e49313956"]}],"mendeley":{"formattedCitation":"[11]","plainTextFormattedCitation":"[11]","previouslyFormattedCitation":"[11]"},"properties":{"noteIndex":0},"schema":"https://github.com/citation-style-language/schema/raw/master/csl-citation.json"}</w:instrText>
            </w:r>
            <w:r w:rsidR="006B2670">
              <w:rPr>
                <w:rFonts w:ascii="Times New Roman" w:hAnsi="Times New Roman" w:cs="Times New Roman"/>
                <w:sz w:val="18"/>
                <w:szCs w:val="18"/>
              </w:rPr>
              <w:fldChar w:fldCharType="separate"/>
            </w:r>
            <w:r w:rsidR="006B2670" w:rsidRPr="006B2670">
              <w:rPr>
                <w:rFonts w:ascii="Times New Roman" w:hAnsi="Times New Roman" w:cs="Times New Roman"/>
                <w:noProof/>
                <w:sz w:val="18"/>
                <w:szCs w:val="18"/>
              </w:rPr>
              <w:t>[11]</w:t>
            </w:r>
            <w:r w:rsidR="006B2670">
              <w:rPr>
                <w:rFonts w:ascii="Times New Roman" w:hAnsi="Times New Roman" w:cs="Times New Roman"/>
                <w:sz w:val="18"/>
                <w:szCs w:val="18"/>
              </w:rPr>
              <w:fldChar w:fldCharType="end"/>
            </w:r>
            <w:r w:rsidRPr="00573080">
              <w:rPr>
                <w:rFonts w:ascii="Times New Roman" w:hAnsi="Times New Roman" w:cs="Times New Roman"/>
                <w:sz w:val="18"/>
                <w:szCs w:val="18"/>
              </w:rPr>
              <w:br/>
              <w:t xml:space="preserve">Cost </w:t>
            </w:r>
            <w:proofErr w:type="spellStart"/>
            <w:r w:rsidRPr="00573080">
              <w:rPr>
                <w:rFonts w:ascii="Times New Roman" w:hAnsi="Times New Roman" w:cs="Times New Roman"/>
                <w:sz w:val="18"/>
                <w:szCs w:val="18"/>
              </w:rPr>
              <w:t>manual</w:t>
            </w:r>
            <w:r w:rsidRPr="00573080">
              <w:rPr>
                <w:rFonts w:ascii="Times New Roman" w:hAnsi="Times New Roman" w:cs="Times New Roman"/>
                <w:sz w:val="18"/>
                <w:szCs w:val="18"/>
                <w:vertAlign w:val="superscript"/>
              </w:rPr>
              <w:t>a</w:t>
            </w:r>
            <w:proofErr w:type="spellEnd"/>
            <w:r w:rsidRPr="00573080">
              <w:rPr>
                <w:rFonts w:ascii="Times New Roman" w:hAnsi="Times New Roman" w:cs="Times New Roman"/>
                <w:sz w:val="18"/>
                <w:szCs w:val="18"/>
              </w:rPr>
              <w:t xml:space="preserve"> </w:t>
            </w:r>
            <w:r w:rsidR="006B2670">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006B2670">
              <w:rPr>
                <w:rFonts w:ascii="Times New Roman" w:hAnsi="Times New Roman" w:cs="Times New Roman"/>
                <w:sz w:val="18"/>
                <w:szCs w:val="18"/>
              </w:rPr>
              <w:fldChar w:fldCharType="separate"/>
            </w:r>
            <w:r w:rsidR="006B2670" w:rsidRPr="006B2670">
              <w:rPr>
                <w:rFonts w:ascii="Times New Roman" w:hAnsi="Times New Roman" w:cs="Times New Roman"/>
                <w:noProof/>
                <w:sz w:val="18"/>
                <w:szCs w:val="18"/>
              </w:rPr>
              <w:t>[12]</w:t>
            </w:r>
            <w:r w:rsidR="006B2670">
              <w:rPr>
                <w:rFonts w:ascii="Times New Roman" w:hAnsi="Times New Roman" w:cs="Times New Roman"/>
                <w:sz w:val="18"/>
                <w:szCs w:val="18"/>
              </w:rPr>
              <w:fldChar w:fldCharType="end"/>
            </w:r>
          </w:p>
        </w:tc>
      </w:tr>
      <w:tr w:rsidR="00573080" w:rsidRPr="00573080" w14:paraId="4ED4C9F6" w14:textId="77777777" w:rsidTr="00573080">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60" w:type="dxa"/>
          </w:tcPr>
          <w:p w14:paraId="1F21169B"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Intensive care admission (day)</w:t>
            </w:r>
          </w:p>
        </w:tc>
        <w:tc>
          <w:tcPr>
            <w:tcW w:w="1418" w:type="dxa"/>
          </w:tcPr>
          <w:p w14:paraId="536CF8E6"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992" w:type="dxa"/>
          </w:tcPr>
          <w:p w14:paraId="16957011"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1418" w:type="dxa"/>
          </w:tcPr>
          <w:p w14:paraId="7DF8EDDA"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992" w:type="dxa"/>
          </w:tcPr>
          <w:p w14:paraId="51C9AE71"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1134" w:type="dxa"/>
          </w:tcPr>
          <w:p w14:paraId="413614C5" w14:textId="77777777" w:rsidR="00147F7A" w:rsidRPr="00573080" w:rsidRDefault="00DD486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 €2,151.20 </w:t>
            </w:r>
          </w:p>
        </w:tc>
        <w:tc>
          <w:tcPr>
            <w:tcW w:w="1701" w:type="dxa"/>
          </w:tcPr>
          <w:p w14:paraId="52C79CBC" w14:textId="7CBBFE72" w:rsidR="00147F7A" w:rsidRPr="00573080" w:rsidRDefault="006B267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roofErr w:type="spellStart"/>
            <w:r w:rsidRPr="00573080">
              <w:rPr>
                <w:rFonts w:ascii="Times New Roman" w:hAnsi="Times New Roman" w:cs="Times New Roman"/>
                <w:sz w:val="18"/>
                <w:szCs w:val="18"/>
              </w:rPr>
              <w:t>Tomazos</w:t>
            </w:r>
            <w:proofErr w:type="spellEnd"/>
            <w:r w:rsidRPr="00573080">
              <w:rPr>
                <w:rFonts w:ascii="Times New Roman" w:hAnsi="Times New Roman" w:cs="Times New Roman"/>
                <w:sz w:val="18"/>
                <w:szCs w:val="18"/>
              </w:rPr>
              <w:t xml:space="preserve"> et al </w:t>
            </w: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{"citationItems":[{"id":"ITEM-1","itemData":{"DOI":"10.1080/16078454.2020.1807226","ISSN":"16078454","PMID":"32856539","abstract":"Objectives: Although complement inhibition is highly effective, patients with paroxysmal nocturnal hemoglobinuria (PNH) may experience intravascular breakthrough hemolysis (BTH). Underlying causes may include elevated free C5, pregnancy, or non-pregnancy complement-activating conditions (e.g. infections). This study compared BTH-related resource utilization and costs in PNH patients treated with eculizumab versus ravulizumab. Methods: A cost model was developed using data from a targeted literature review and a survey of experienced clinicians. Costs associated with BTH episodes were calculated by cause and weighted by the proportion attributed to each cause and the cost of treating each episode. The model captured direct medical costs in 2018 US dollars. Annual BTH-related healthcare resource utilization was also calculated. Results: BTH episodes in the literature were commonly associated with elevated lactate dehydrogenase and aspartate aminotransferase, hemoglobinuria, transfusion needs, and/or recurrence of PNH symptoms. The majority of BTH management costs in eculizumab-treated patients related to changing from the approved dosing regimen following an episode of BTH, rather than acute management. No ongoing dosing changes were expected for ravulizumab-treated patients following episodes of BTH, substantially reducing its ongoing management costs. Resource utilization was greater for eculizumab-treated patients than ravulizumab-treated patients due to higher incidence of BTH, and risk of elevated free C5-related BTH. Total incremental cost was substantially lower for ravulizumab- vs eculizumab-treated patients ($407 vs $9379); results were consistent when pregnant women were not included ($386 vs $3472). Conclusion: Overall resource use and costs for BTH are estimated to be lower for PNH patients receiving ravulizumab compared with eculizumab.","author":[{"dropping-particle":"","family":"Tomazos","given":"Ioannis","non-dropping-particle":"","parse-names":false,"suffix":""},{"dropping-particle":"","family":"Sierra","given":"J. Rafael","non-dropping-particle":"","parse-names":false,"suffix":""},{"dropping-particle":"","family":"Johnston","given":"Karissa M.","non-dropping-particle":"","parse-names":false,"suffix":""},{"dropping-particle":"","family":"Cheung","given":"Antoinette","non-dropping-particle":"","parse-names":false,"suffix":""},{"dropping-particle":"","family":"Brodsky","given":"Robert A.","non-dropping-particle":"","parse-names":false,"suffix":""},{"dropping-particle":"","family":"Weitz","given":"Ilene C.","non-dropping-particle":"","parse-names":false,"suffix":""}],"container-title":"Hematology (United Kingdom)","id":"ITEM-1","issue":"1","issued":{"date-parts":[["2020"]]},"page":"327-334","title":"Cost burden of breakthrough hemolysis in patients with paroxysmal nocturnal hemoglobinuria receiving ravulizumab versus eculizumab","type":"article-journal","volume":"25"},"uris":["http://www.mendeley.com/documents/?uuid=d4aa1c85-8574-40a8-b1ec-957e49313956"]}],"mendeley":{"formattedCitation":"[11]","plainTextFormattedCitation":"[11]","previouslyFormattedCitation":"[11]"},"properties":{"noteIndex":0},"schema":"https://github.com/citation-style-language/schema/raw/master/csl-citation.json"}</w:instrText>
            </w:r>
            <w:r>
              <w:rPr>
                <w:rFonts w:ascii="Times New Roman" w:hAnsi="Times New Roman" w:cs="Times New Roman"/>
                <w:sz w:val="18"/>
                <w:szCs w:val="18"/>
              </w:rPr>
              <w:fldChar w:fldCharType="separate"/>
            </w:r>
            <w:r w:rsidRPr="006B2670">
              <w:rPr>
                <w:rFonts w:ascii="Times New Roman" w:hAnsi="Times New Roman" w:cs="Times New Roman"/>
                <w:noProof/>
                <w:sz w:val="18"/>
                <w:szCs w:val="18"/>
              </w:rPr>
              <w:t>[11]</w:t>
            </w:r>
            <w:r>
              <w:rPr>
                <w:rFonts w:ascii="Times New Roman" w:hAnsi="Times New Roman" w:cs="Times New Roman"/>
                <w:sz w:val="18"/>
                <w:szCs w:val="18"/>
              </w:rPr>
              <w:fldChar w:fldCharType="end"/>
            </w:r>
            <w:r w:rsidRPr="00573080">
              <w:rPr>
                <w:rFonts w:ascii="Times New Roman" w:hAnsi="Times New Roman" w:cs="Times New Roman"/>
                <w:sz w:val="18"/>
                <w:szCs w:val="18"/>
              </w:rPr>
              <w:br/>
              <w:t xml:space="preserve">Cost </w:t>
            </w:r>
            <w:proofErr w:type="spellStart"/>
            <w:r w:rsidRPr="00573080">
              <w:rPr>
                <w:rFonts w:ascii="Times New Roman" w:hAnsi="Times New Roman" w:cs="Times New Roman"/>
                <w:sz w:val="18"/>
                <w:szCs w:val="18"/>
              </w:rPr>
              <w:t>manual</w:t>
            </w:r>
            <w:r w:rsidRPr="00573080">
              <w:rPr>
                <w:rFonts w:ascii="Times New Roman" w:hAnsi="Times New Roman" w:cs="Times New Roman"/>
                <w:sz w:val="18"/>
                <w:szCs w:val="18"/>
                <w:vertAlign w:val="superscript"/>
              </w:rPr>
              <w:t>a</w:t>
            </w:r>
            <w:proofErr w:type="spellEnd"/>
            <w:r w:rsidRPr="00573080">
              <w:rPr>
                <w:rFonts w:ascii="Times New Roman" w:hAnsi="Times New Roman" w:cs="Times New Roman"/>
                <w:sz w:val="18"/>
                <w:szCs w:val="18"/>
              </w:rPr>
              <w:t xml:space="preserve"> </w:t>
            </w:r>
            <w:r>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Pr>
                <w:rFonts w:ascii="Times New Roman" w:hAnsi="Times New Roman" w:cs="Times New Roman"/>
                <w:sz w:val="18"/>
                <w:szCs w:val="18"/>
              </w:rPr>
              <w:fldChar w:fldCharType="separate"/>
            </w:r>
            <w:r w:rsidRPr="006B2670">
              <w:rPr>
                <w:rFonts w:ascii="Times New Roman" w:hAnsi="Times New Roman" w:cs="Times New Roman"/>
                <w:noProof/>
                <w:sz w:val="18"/>
                <w:szCs w:val="18"/>
              </w:rPr>
              <w:t>[12]</w:t>
            </w:r>
            <w:r>
              <w:rPr>
                <w:rFonts w:ascii="Times New Roman" w:hAnsi="Times New Roman" w:cs="Times New Roman"/>
                <w:sz w:val="18"/>
                <w:szCs w:val="18"/>
              </w:rPr>
              <w:fldChar w:fldCharType="end"/>
            </w:r>
          </w:p>
        </w:tc>
      </w:tr>
      <w:tr w:rsidR="00573080" w:rsidRPr="009D5B16" w14:paraId="66AFA804" w14:textId="77777777" w:rsidTr="00573080">
        <w:trPr>
          <w:trHeight w:val="18"/>
        </w:trPr>
        <w:tc>
          <w:tcPr>
            <w:cnfStyle w:val="001000000000" w:firstRow="0" w:lastRow="0" w:firstColumn="1" w:lastColumn="0" w:oddVBand="0" w:evenVBand="0" w:oddHBand="0" w:evenHBand="0" w:firstRowFirstColumn="0" w:firstRowLastColumn="0" w:lastRowFirstColumn="0" w:lastRowLastColumn="0"/>
            <w:tcW w:w="1560" w:type="dxa"/>
          </w:tcPr>
          <w:p w14:paraId="5454D143"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Dialysis period of 4 weeks</w:t>
            </w:r>
          </w:p>
        </w:tc>
        <w:tc>
          <w:tcPr>
            <w:tcW w:w="1418" w:type="dxa"/>
          </w:tcPr>
          <w:p w14:paraId="54ECCA96"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4%</w:t>
            </w:r>
          </w:p>
        </w:tc>
        <w:tc>
          <w:tcPr>
            <w:tcW w:w="992" w:type="dxa"/>
          </w:tcPr>
          <w:p w14:paraId="1B24AEC4"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1418" w:type="dxa"/>
          </w:tcPr>
          <w:p w14:paraId="6951599C"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4%</w:t>
            </w:r>
          </w:p>
        </w:tc>
        <w:tc>
          <w:tcPr>
            <w:tcW w:w="992" w:type="dxa"/>
          </w:tcPr>
          <w:p w14:paraId="70E7AFA7" w14:textId="77777777" w:rsidR="00147F7A" w:rsidRPr="00573080" w:rsidRDefault="00DD486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1134" w:type="dxa"/>
          </w:tcPr>
          <w:p w14:paraId="034A8EC9" w14:textId="77777777" w:rsidR="00147F7A" w:rsidRPr="00573080" w:rsidRDefault="00DD486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 xml:space="preserve"> €5,955.00 </w:t>
            </w:r>
          </w:p>
        </w:tc>
        <w:tc>
          <w:tcPr>
            <w:tcW w:w="1701" w:type="dxa"/>
          </w:tcPr>
          <w:p w14:paraId="5E5464E6" w14:textId="77856AEE" w:rsidR="00147F7A" w:rsidRPr="00573080" w:rsidRDefault="006B267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nl-NL"/>
              </w:rPr>
            </w:pPr>
            <w:proofErr w:type="spellStart"/>
            <w:r w:rsidRPr="00573080">
              <w:rPr>
                <w:rFonts w:ascii="Times New Roman" w:hAnsi="Times New Roman" w:cs="Times New Roman"/>
                <w:sz w:val="18"/>
                <w:szCs w:val="18"/>
              </w:rPr>
              <w:t>Tomazos</w:t>
            </w:r>
            <w:proofErr w:type="spellEnd"/>
            <w:r w:rsidRPr="00573080">
              <w:rPr>
                <w:rFonts w:ascii="Times New Roman" w:hAnsi="Times New Roman" w:cs="Times New Roman"/>
                <w:sz w:val="18"/>
                <w:szCs w:val="18"/>
              </w:rPr>
              <w:t xml:space="preserve"> et al </w:t>
            </w: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{"citationItems":[{"id":"ITEM-1","itemData":{"DOI":"10.1080/16078454.2020.1807226","ISSN":"16078454","PMID":"32856539","abstract":"Objectives: Although complement inhibition is highly effective, patients with paroxysmal nocturnal hemoglobinuria (PNH) may experience intravascular breakthrough hemolysis (BTH). Underlying causes may include elevated free C5, pregnancy, or non-pregnancy complement-activating conditions (e.g. infections). This study compared BTH-related resource utilization and costs in PNH patients treated with eculizumab versus ravulizumab. Methods: A cost model was developed using data from a targeted literature review and a survey of experienced clinicians. Costs associated with BTH episodes were calculated by cause and weighted by the proportion attributed to each cause and the cost of treating each episode. The model captured direct medical costs in 2018 US dollars. Annual BTH-related healthcare resource utilization was also calculated. Results: BTH episodes in the literature were commonly associated with elevated lactate dehydrogenase and aspartate aminotransferase, hemoglobinuria, transfusion needs, and/or recurrence of PNH symptoms. The majority of BTH management costs in eculizumab-treated patients related to changing from the approved dosing regimen following an episode of BTH, rather than acute management. No ongoing dosing changes were expected for ravulizumab-treated patients following episodes of BTH, substantially reducing its ongoing management costs. Resource utilization was greater for eculizumab-treated patients than ravulizumab-treated patients due to higher incidence of BTH, and risk of elevated free C5-related BTH. Total incremental cost was substantially lower for ravulizumab- vs eculizumab-treated patients ($407 vs $9379); results were consistent when pregnant women were not included ($386 vs $3472). Conclusion: Overall resource use and costs for BTH are estimated to be lower for PNH patients receiving ravulizumab compared with eculizumab.","author":[{"dropping-particle":"","family":"Tomazos","given":"Ioannis","non-dropping-particle":"","parse-names":false,"suffix":""},{"dropping-particle":"","family":"Sierra","given":"J. Rafael","non-dropping-particle":"","parse-names":false,"suffix":""},{"dropping-particle":"","family":"Johnston","given":"Karissa M.","non-dropping-particle":"","parse-names":false,"suffix":""},{"dropping-particle":"","family":"Cheung","given":"Antoinette","non-dropping-particle":"","parse-names":false,"suffix":""},{"dropping-particle":"","family":"Brodsky","given":"Robert A.","non-dropping-particle":"","parse-names":false,"suffix":""},{"dropping-particle":"","family":"Weitz","given":"Ilene C.","non-dropping-particle":"","parse-names":false,"suffix":""}],"container-title":"Hematology (United Kingdom)","id":"ITEM-1","issue":"1","issued":{"date-parts":[["2020"]]},"page":"327-334","title":"Cost burden of breakthrough hemolysis in patients with paroxysmal nocturnal hemoglobinuria receiving ravulizumab versus eculizumab","type":"article-journal","volume":"25"},"uris":["http://www.mendeley.com/documents/?uuid=d4aa1c85-8574-40a8-b1ec-957e49313956"]}],"mendeley":{"formattedCitation":"[11]","plainTextFormattedCitation":"[11]","previouslyFormattedCitation":"[11]"},"properties":{"noteIndex":0},"schema":"https://github.com/citation-style-language/schema/raw/master/csl-citation.json"}</w:instrText>
            </w:r>
            <w:r>
              <w:rPr>
                <w:rFonts w:ascii="Times New Roman" w:hAnsi="Times New Roman" w:cs="Times New Roman"/>
                <w:sz w:val="18"/>
                <w:szCs w:val="18"/>
              </w:rPr>
              <w:fldChar w:fldCharType="separate"/>
            </w:r>
            <w:r w:rsidRPr="006B2670">
              <w:rPr>
                <w:rFonts w:ascii="Times New Roman" w:hAnsi="Times New Roman" w:cs="Times New Roman"/>
                <w:noProof/>
                <w:sz w:val="18"/>
                <w:szCs w:val="18"/>
              </w:rPr>
              <w:t>[11]</w:t>
            </w:r>
            <w:r>
              <w:rPr>
                <w:rFonts w:ascii="Times New Roman" w:hAnsi="Times New Roman" w:cs="Times New Roman"/>
                <w:sz w:val="18"/>
                <w:szCs w:val="18"/>
              </w:rPr>
              <w:fldChar w:fldCharType="end"/>
            </w:r>
            <w:r w:rsidR="00DD486F" w:rsidRPr="00573080">
              <w:rPr>
                <w:rFonts w:ascii="Times New Roman" w:hAnsi="Times New Roman" w:cs="Times New Roman"/>
                <w:sz w:val="18"/>
                <w:szCs w:val="18"/>
                <w:lang w:val="nl-NL"/>
              </w:rPr>
              <w:br/>
              <w:t xml:space="preserve">NZa tariffs </w:t>
            </w:r>
            <w:r w:rsidR="00DD486F" w:rsidRPr="00573080">
              <w:rPr>
                <w:rFonts w:ascii="Times New Roman" w:hAnsi="Times New Roman" w:cs="Times New Roman"/>
                <w:sz w:val="18"/>
                <w:szCs w:val="18"/>
                <w:vertAlign w:val="superscript"/>
                <w:lang w:val="nl-NL"/>
              </w:rPr>
              <w:t>cd</w:t>
            </w:r>
            <w:r w:rsidR="00DD486F" w:rsidRPr="00573080">
              <w:rPr>
                <w:rFonts w:ascii="Times New Roman" w:hAnsi="Times New Roman" w:cs="Times New Roman"/>
                <w:sz w:val="18"/>
                <w:szCs w:val="18"/>
                <w:lang w:val="nl-NL"/>
              </w:rPr>
              <w:t xml:space="preserve"> </w:t>
            </w:r>
            <w:r>
              <w:rPr>
                <w:rFonts w:ascii="Times New Roman" w:hAnsi="Times New Roman" w:cs="Times New Roman"/>
                <w:sz w:val="18"/>
                <w:szCs w:val="18"/>
                <w:lang w:val="nl-NL"/>
              </w:rPr>
              <w:fldChar w:fldCharType="begin" w:fldLock="1"/>
            </w:r>
            <w:r w:rsidR="004F0891">
              <w:rPr>
                <w:rFonts w:ascii="Times New Roman" w:hAnsi="Times New Roman" w:cs="Times New Roman"/>
                <w:sz w:val="18"/>
                <w:szCs w:val="18"/>
                <w:lang w:val="nl-NL"/>
              </w:rPr>
              <w:instrText>ADDIN CSL_CITATION {"citationItems":[{"id":"ITEM-1","itemData":{"URL":"https://www.opendisdata.nl/","author":[{"dropping-particle":"","family":"Dutch Healthcare Authority (Dutch: Nederlandse Zorgautoriteit) (NZa)","given":"","non-dropping-particle":"","parse-names":false,"suffix":""}],"id":"ITEM-1","issued":{"date-parts":[["0"]]},"title":"Open DIS Data - DBC zorgproductenzoeker","type":"webpage"},"uris":["http://www.mendeley.com/documents/?uuid=a810e1bf-a61c-4dca-a893-65f7155bb24d"]}],"mendeley":{"formattedCitation":"[13]","plainTextFormattedCitation":"[13]","previouslyFormattedCitation":"[13]"},"properties":{"noteIndex":0},"schema":"https://github.com/citation-style-language/schema/raw/master/csl-citation.json"}</w:instrText>
            </w:r>
            <w:r>
              <w:rPr>
                <w:rFonts w:ascii="Times New Roman" w:hAnsi="Times New Roman" w:cs="Times New Roman"/>
                <w:sz w:val="18"/>
                <w:szCs w:val="18"/>
                <w:lang w:val="nl-NL"/>
              </w:rPr>
              <w:fldChar w:fldCharType="separate"/>
            </w:r>
            <w:r w:rsidRPr="006B2670">
              <w:rPr>
                <w:rFonts w:ascii="Times New Roman" w:hAnsi="Times New Roman" w:cs="Times New Roman"/>
                <w:noProof/>
                <w:sz w:val="18"/>
                <w:szCs w:val="18"/>
                <w:lang w:val="nl-NL"/>
              </w:rPr>
              <w:t>[13]</w:t>
            </w:r>
            <w:r>
              <w:rPr>
                <w:rFonts w:ascii="Times New Roman" w:hAnsi="Times New Roman" w:cs="Times New Roman"/>
                <w:sz w:val="18"/>
                <w:szCs w:val="18"/>
                <w:lang w:val="nl-NL"/>
              </w:rPr>
              <w:fldChar w:fldCharType="end"/>
            </w:r>
          </w:p>
        </w:tc>
      </w:tr>
      <w:tr w:rsidR="00573080" w:rsidRPr="00573080" w14:paraId="12120E3F" w14:textId="77777777" w:rsidTr="00573080">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60" w:type="dxa"/>
          </w:tcPr>
          <w:p w14:paraId="7BCD97D6" w14:textId="77777777" w:rsidR="00147F7A" w:rsidRPr="00573080" w:rsidRDefault="00DD486F">
            <w:pPr>
              <w:jc w:val="both"/>
              <w:rPr>
                <w:rFonts w:ascii="Times New Roman" w:eastAsia="Times New Roman" w:hAnsi="Times New Roman" w:cs="Times New Roman"/>
              </w:rPr>
            </w:pPr>
            <w:r w:rsidRPr="00573080">
              <w:rPr>
                <w:rFonts w:ascii="Times New Roman" w:hAnsi="Times New Roman" w:cs="Times New Roman"/>
                <w:sz w:val="18"/>
                <w:szCs w:val="18"/>
              </w:rPr>
              <w:t>Hematology specialist visit</w:t>
            </w:r>
          </w:p>
        </w:tc>
        <w:tc>
          <w:tcPr>
            <w:tcW w:w="1418" w:type="dxa"/>
          </w:tcPr>
          <w:p w14:paraId="1946ECA6"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100%</w:t>
            </w:r>
          </w:p>
        </w:tc>
        <w:tc>
          <w:tcPr>
            <w:tcW w:w="992" w:type="dxa"/>
          </w:tcPr>
          <w:p w14:paraId="50F1522D"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1418" w:type="dxa"/>
          </w:tcPr>
          <w:p w14:paraId="54EA7930"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100%</w:t>
            </w:r>
          </w:p>
        </w:tc>
        <w:tc>
          <w:tcPr>
            <w:tcW w:w="992" w:type="dxa"/>
          </w:tcPr>
          <w:p w14:paraId="42381568"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73080">
              <w:rPr>
                <w:rFonts w:ascii="Times New Roman" w:hAnsi="Times New Roman" w:cs="Times New Roman"/>
                <w:sz w:val="18"/>
                <w:szCs w:val="18"/>
              </w:rPr>
              <w:t>1</w:t>
            </w:r>
          </w:p>
        </w:tc>
        <w:tc>
          <w:tcPr>
            <w:tcW w:w="1134" w:type="dxa"/>
          </w:tcPr>
          <w:p w14:paraId="7C9A10FE" w14:textId="77777777" w:rsidR="00147F7A" w:rsidRPr="00573080" w:rsidRDefault="00DD486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73080">
              <w:rPr>
                <w:rFonts w:ascii="Times New Roman" w:hAnsi="Times New Roman" w:cs="Times New Roman"/>
                <w:sz w:val="18"/>
                <w:szCs w:val="18"/>
              </w:rPr>
              <w:t xml:space="preserve"> €140.92 </w:t>
            </w:r>
          </w:p>
        </w:tc>
        <w:tc>
          <w:tcPr>
            <w:tcW w:w="1701" w:type="dxa"/>
          </w:tcPr>
          <w:p w14:paraId="3D8AD4CA" w14:textId="608C1D75" w:rsidR="00147F7A" w:rsidRPr="00573080" w:rsidRDefault="00DD486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573080">
              <w:rPr>
                <w:rFonts w:ascii="Times New Roman" w:hAnsi="Times New Roman" w:cs="Times New Roman"/>
                <w:sz w:val="18"/>
                <w:szCs w:val="18"/>
              </w:rPr>
              <w:t xml:space="preserve">PNH guideline </w:t>
            </w:r>
            <w:r w:rsidR="00D54521" w:rsidRPr="00D54521">
              <w:rPr>
                <w:rFonts w:ascii="Times New Roman" w:hAnsi="Times New Roman" w:cs="Times New Roman"/>
                <w:sz w:val="18"/>
                <w:szCs w:val="18"/>
              </w:rPr>
              <w:t>[3]</w:t>
            </w:r>
            <w:r w:rsidRPr="00573080">
              <w:rPr>
                <w:rFonts w:ascii="Times New Roman" w:hAnsi="Times New Roman" w:cs="Times New Roman"/>
                <w:sz w:val="18"/>
                <w:szCs w:val="18"/>
              </w:rPr>
              <w:br/>
              <w:t xml:space="preserve">Cost manual </w:t>
            </w:r>
            <w:r w:rsidRPr="00573080">
              <w:rPr>
                <w:rFonts w:ascii="Times New Roman" w:hAnsi="Times New Roman" w:cs="Times New Roman"/>
                <w:sz w:val="18"/>
                <w:szCs w:val="18"/>
                <w:vertAlign w:val="superscript"/>
              </w:rPr>
              <w:t xml:space="preserve">e </w:t>
            </w:r>
            <w:r w:rsidR="006B2670">
              <w:rPr>
                <w:rFonts w:ascii="Times New Roman" w:hAnsi="Times New Roman" w:cs="Times New Roman"/>
                <w:sz w:val="18"/>
                <w:szCs w:val="18"/>
                <w:vertAlign w:val="superscript"/>
              </w:rPr>
              <w:fldChar w:fldCharType="begin" w:fldLock="1"/>
            </w:r>
            <w:r w:rsidR="004F0891">
              <w:rPr>
                <w:rFonts w:ascii="Times New Roman" w:hAnsi="Times New Roman" w:cs="Times New Roman"/>
                <w:sz w:val="18"/>
                <w:szCs w:val="18"/>
                <w:vertAlign w:val="superscript"/>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006B2670">
              <w:rPr>
                <w:rFonts w:ascii="Times New Roman" w:hAnsi="Times New Roman" w:cs="Times New Roman"/>
                <w:sz w:val="18"/>
                <w:szCs w:val="18"/>
                <w:vertAlign w:val="superscript"/>
              </w:rPr>
              <w:fldChar w:fldCharType="separate"/>
            </w:r>
            <w:r w:rsidR="006B2670" w:rsidRPr="006B2670">
              <w:rPr>
                <w:rFonts w:ascii="Times New Roman" w:hAnsi="Times New Roman" w:cs="Times New Roman"/>
                <w:noProof/>
                <w:sz w:val="18"/>
                <w:szCs w:val="18"/>
              </w:rPr>
              <w:t>[12]</w:t>
            </w:r>
            <w:r w:rsidR="006B2670">
              <w:rPr>
                <w:rFonts w:ascii="Times New Roman" w:hAnsi="Times New Roman" w:cs="Times New Roman"/>
                <w:sz w:val="18"/>
                <w:szCs w:val="18"/>
                <w:vertAlign w:val="superscript"/>
              </w:rPr>
              <w:fldChar w:fldCharType="end"/>
            </w:r>
          </w:p>
        </w:tc>
      </w:tr>
    </w:tbl>
    <w:p w14:paraId="59B93797" w14:textId="77777777" w:rsidR="00147F7A" w:rsidRPr="00573080" w:rsidRDefault="00DD486F">
      <w:pPr>
        <w:spacing w:after="0" w:line="240" w:lineRule="auto"/>
        <w:jc w:val="both"/>
        <w:rPr>
          <w:rFonts w:ascii="Times New Roman" w:hAnsi="Times New Roman" w:cs="Times New Roman"/>
          <w:color w:val="000000"/>
          <w:sz w:val="16"/>
          <w:szCs w:val="16"/>
        </w:rPr>
      </w:pPr>
      <w:r w:rsidRPr="00573080">
        <w:rPr>
          <w:rFonts w:ascii="Times New Roman" w:hAnsi="Times New Roman" w:cs="Times New Roman"/>
          <w:b/>
          <w:color w:val="000000"/>
          <w:sz w:val="16"/>
          <w:szCs w:val="16"/>
        </w:rPr>
        <w:t>Abbreviations</w:t>
      </w:r>
      <w:r w:rsidRPr="00573080">
        <w:rPr>
          <w:rFonts w:ascii="Times New Roman" w:hAnsi="Times New Roman" w:cs="Times New Roman"/>
          <w:color w:val="000000"/>
          <w:sz w:val="16"/>
          <w:szCs w:val="16"/>
        </w:rPr>
        <w:t>: BTH: breakthrough hemolysis; CAC: complement amplifying condition; IncC5Inhib: incomplete C5 inhibition. </w:t>
      </w:r>
    </w:p>
    <w:p w14:paraId="3196783E" w14:textId="77777777" w:rsidR="00147F7A" w:rsidRPr="00573080" w:rsidRDefault="00DD486F">
      <w:pPr>
        <w:spacing w:after="0" w:line="240" w:lineRule="auto"/>
        <w:jc w:val="both"/>
        <w:rPr>
          <w:rFonts w:ascii="Times New Roman" w:hAnsi="Times New Roman" w:cs="Times New Roman"/>
          <w:sz w:val="16"/>
          <w:szCs w:val="16"/>
        </w:rPr>
      </w:pPr>
      <w:proofErr w:type="gramStart"/>
      <w:r w:rsidRPr="00573080">
        <w:rPr>
          <w:rFonts w:ascii="Times New Roman" w:hAnsi="Times New Roman" w:cs="Times New Roman"/>
          <w:sz w:val="16"/>
          <w:szCs w:val="16"/>
          <w:vertAlign w:val="superscript"/>
        </w:rPr>
        <w:t>a</w:t>
      </w:r>
      <w:proofErr w:type="gramEnd"/>
      <w:r w:rsidRPr="00573080">
        <w:rPr>
          <w:rFonts w:ascii="Times New Roman" w:hAnsi="Times New Roman" w:cs="Times New Roman"/>
          <w:sz w:val="16"/>
          <w:szCs w:val="16"/>
        </w:rPr>
        <w:t xml:space="preserve"> Based on a nursing day for haemato-oncology (incl. Diagnostics and medication)</w:t>
      </w:r>
    </w:p>
    <w:p w14:paraId="748FBAF0" w14:textId="77777777" w:rsidR="00147F7A" w:rsidRPr="00573080" w:rsidRDefault="00DD486F">
      <w:pPr>
        <w:spacing w:after="0" w:line="240" w:lineRule="auto"/>
        <w:jc w:val="both"/>
        <w:rPr>
          <w:rFonts w:ascii="Times New Roman" w:hAnsi="Times New Roman" w:cs="Times New Roman"/>
          <w:sz w:val="16"/>
          <w:szCs w:val="16"/>
        </w:rPr>
      </w:pPr>
      <w:proofErr w:type="gramStart"/>
      <w:r w:rsidRPr="00573080">
        <w:rPr>
          <w:rFonts w:ascii="Times New Roman" w:hAnsi="Times New Roman" w:cs="Times New Roman"/>
          <w:sz w:val="16"/>
          <w:szCs w:val="16"/>
          <w:vertAlign w:val="superscript"/>
        </w:rPr>
        <w:t>b</w:t>
      </w:r>
      <w:proofErr w:type="gramEnd"/>
      <w:r w:rsidRPr="00573080">
        <w:rPr>
          <w:rFonts w:ascii="Times New Roman" w:hAnsi="Times New Roman" w:cs="Times New Roman"/>
          <w:sz w:val="16"/>
          <w:szCs w:val="16"/>
          <w:vertAlign w:val="superscript"/>
        </w:rPr>
        <w:t xml:space="preserve"> </w:t>
      </w:r>
      <w:r w:rsidRPr="00573080">
        <w:rPr>
          <w:rFonts w:ascii="Times New Roman" w:hAnsi="Times New Roman" w:cs="Times New Roman"/>
          <w:sz w:val="16"/>
          <w:szCs w:val="16"/>
        </w:rPr>
        <w:t>Based on an intensive care nursing day (incl. diagnostics and medication)</w:t>
      </w:r>
    </w:p>
    <w:p w14:paraId="49036FEA" w14:textId="77777777" w:rsidR="00147F7A" w:rsidRPr="00573080" w:rsidRDefault="00DD486F">
      <w:pPr>
        <w:spacing w:after="0" w:line="240" w:lineRule="auto"/>
        <w:jc w:val="both"/>
        <w:rPr>
          <w:rFonts w:ascii="Times New Roman" w:hAnsi="Times New Roman" w:cs="Times New Roman"/>
          <w:sz w:val="16"/>
          <w:szCs w:val="16"/>
        </w:rPr>
      </w:pPr>
      <w:proofErr w:type="gramStart"/>
      <w:r w:rsidRPr="00573080">
        <w:rPr>
          <w:rFonts w:ascii="Times New Roman" w:hAnsi="Times New Roman" w:cs="Times New Roman"/>
          <w:sz w:val="16"/>
          <w:szCs w:val="16"/>
          <w:vertAlign w:val="superscript"/>
        </w:rPr>
        <w:t>c</w:t>
      </w:r>
      <w:proofErr w:type="gramEnd"/>
      <w:r w:rsidRPr="00573080">
        <w:rPr>
          <w:rFonts w:ascii="Times New Roman" w:hAnsi="Times New Roman" w:cs="Times New Roman"/>
          <w:sz w:val="16"/>
          <w:szCs w:val="16"/>
          <w:vertAlign w:val="superscript"/>
        </w:rPr>
        <w:t xml:space="preserve"> </w:t>
      </w:r>
      <w:r w:rsidRPr="00573080">
        <w:rPr>
          <w:rFonts w:ascii="Times New Roman" w:hAnsi="Times New Roman" w:cs="Times New Roman"/>
          <w:sz w:val="16"/>
          <w:szCs w:val="16"/>
        </w:rPr>
        <w:t>Based on code 140301009: Filtering the blood by an artificial kidney (dialysis) with 4 or 5 dialyses per week in sudden kidney failure, 2nd week</w:t>
      </w:r>
    </w:p>
    <w:p w14:paraId="23E93F0C" w14:textId="77777777" w:rsidR="00147F7A" w:rsidRPr="00573080" w:rsidRDefault="00DD486F">
      <w:pPr>
        <w:spacing w:after="0" w:line="240" w:lineRule="auto"/>
        <w:jc w:val="both"/>
        <w:rPr>
          <w:rFonts w:ascii="Times New Roman" w:hAnsi="Times New Roman" w:cs="Times New Roman"/>
          <w:sz w:val="16"/>
          <w:szCs w:val="16"/>
        </w:rPr>
      </w:pPr>
      <w:proofErr w:type="gramStart"/>
      <w:r w:rsidRPr="00573080">
        <w:rPr>
          <w:rFonts w:ascii="Times New Roman" w:hAnsi="Times New Roman" w:cs="Times New Roman"/>
          <w:sz w:val="16"/>
          <w:szCs w:val="16"/>
          <w:vertAlign w:val="superscript"/>
        </w:rPr>
        <w:t>d</w:t>
      </w:r>
      <w:proofErr w:type="gramEnd"/>
      <w:r w:rsidRPr="00573080">
        <w:rPr>
          <w:rFonts w:ascii="Times New Roman" w:hAnsi="Times New Roman" w:cs="Times New Roman"/>
          <w:sz w:val="16"/>
          <w:szCs w:val="16"/>
          <w:vertAlign w:val="superscript"/>
        </w:rPr>
        <w:t xml:space="preserve"> </w:t>
      </w:r>
      <w:r w:rsidRPr="00573080">
        <w:rPr>
          <w:rFonts w:ascii="Times New Roman" w:hAnsi="Times New Roman" w:cs="Times New Roman"/>
          <w:sz w:val="16"/>
          <w:szCs w:val="16"/>
        </w:rPr>
        <w:t>Based on code 140301009: Filtering the blood by an artificial kidney (dialysis) with 1 to a maximum of 3 dialyses per week in sudden kidney failure</w:t>
      </w:r>
    </w:p>
    <w:p w14:paraId="46247D6F" w14:textId="77777777" w:rsidR="00147F7A" w:rsidRPr="00573080" w:rsidRDefault="00DD486F">
      <w:pPr>
        <w:spacing w:after="0" w:line="240" w:lineRule="auto"/>
        <w:jc w:val="both"/>
        <w:rPr>
          <w:rFonts w:ascii="Times New Roman" w:hAnsi="Times New Roman" w:cs="Times New Roman"/>
          <w:sz w:val="16"/>
          <w:szCs w:val="16"/>
        </w:rPr>
      </w:pPr>
      <w:proofErr w:type="gramStart"/>
      <w:r w:rsidRPr="00573080">
        <w:rPr>
          <w:rFonts w:ascii="Times New Roman" w:hAnsi="Times New Roman" w:cs="Times New Roman"/>
          <w:sz w:val="16"/>
          <w:szCs w:val="16"/>
          <w:vertAlign w:val="superscript"/>
        </w:rPr>
        <w:t>e</w:t>
      </w:r>
      <w:proofErr w:type="gramEnd"/>
      <w:r w:rsidRPr="00573080">
        <w:rPr>
          <w:rFonts w:ascii="Times New Roman" w:hAnsi="Times New Roman" w:cs="Times New Roman"/>
          <w:sz w:val="16"/>
          <w:szCs w:val="16"/>
          <w:vertAlign w:val="superscript"/>
        </w:rPr>
        <w:t xml:space="preserve"> </w:t>
      </w:r>
      <w:r w:rsidRPr="00573080">
        <w:rPr>
          <w:rFonts w:ascii="Times New Roman" w:hAnsi="Times New Roman" w:cs="Times New Roman"/>
          <w:sz w:val="16"/>
          <w:szCs w:val="16"/>
        </w:rPr>
        <w:t>Based on a polyclinical visits for haemato-oncology</w:t>
      </w:r>
    </w:p>
    <w:p w14:paraId="00ECEF82" w14:textId="77777777" w:rsidR="00147F7A" w:rsidRPr="00573080" w:rsidRDefault="00147F7A">
      <w:pPr>
        <w:spacing w:after="0"/>
        <w:rPr>
          <w:rFonts w:ascii="Times New Roman" w:hAnsi="Times New Roman" w:cs="Times New Roman"/>
          <w:sz w:val="24"/>
          <w:szCs w:val="24"/>
        </w:rPr>
      </w:pPr>
    </w:p>
    <w:p w14:paraId="334F91C4" w14:textId="77777777" w:rsidR="00147F7A" w:rsidRPr="00573080" w:rsidRDefault="00147F7A">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bookmarkStart w:id="5" w:name="_heading=h.2szc72q" w:colFirst="0" w:colLast="0"/>
      <w:bookmarkEnd w:id="5"/>
    </w:p>
    <w:p w14:paraId="0E97CCE8" w14:textId="5A91B8C6" w:rsidR="00147F7A" w:rsidRPr="00573080" w:rsidRDefault="00DD486F">
      <w:pPr>
        <w:keepNext/>
        <w:pBdr>
          <w:top w:val="nil"/>
          <w:left w:val="nil"/>
          <w:bottom w:val="nil"/>
          <w:right w:val="nil"/>
          <w:between w:val="nil"/>
        </w:pBdr>
        <w:spacing w:after="0" w:line="240" w:lineRule="auto"/>
        <w:rPr>
          <w:rFonts w:ascii="Times New Roman" w:hAnsi="Times New Roman" w:cs="Times New Roman"/>
          <w:i/>
          <w:color w:val="44546A"/>
          <w:sz w:val="18"/>
          <w:szCs w:val="18"/>
        </w:rPr>
      </w:pPr>
      <w:r w:rsidRPr="00573080">
        <w:rPr>
          <w:rFonts w:ascii="Times New Roman" w:hAnsi="Times New Roman" w:cs="Times New Roman"/>
          <w:b/>
          <w:color w:val="000000"/>
          <w:sz w:val="18"/>
          <w:szCs w:val="18"/>
        </w:rPr>
        <w:t>Table S1</w:t>
      </w:r>
      <w:r w:rsidR="00E23CBA" w:rsidRPr="00573080">
        <w:rPr>
          <w:rFonts w:ascii="Times New Roman" w:hAnsi="Times New Roman" w:cs="Times New Roman"/>
          <w:b/>
          <w:color w:val="000000"/>
          <w:sz w:val="18"/>
          <w:szCs w:val="18"/>
        </w:rPr>
        <w:t>1</w:t>
      </w:r>
      <w:r w:rsidRPr="00573080">
        <w:rPr>
          <w:rFonts w:ascii="Times New Roman" w:hAnsi="Times New Roman" w:cs="Times New Roman"/>
          <w:b/>
          <w:color w:val="000000"/>
          <w:sz w:val="18"/>
          <w:szCs w:val="18"/>
        </w:rPr>
        <w:t>.</w:t>
      </w:r>
      <w:r w:rsidRPr="00573080">
        <w:rPr>
          <w:rFonts w:ascii="Times New Roman" w:hAnsi="Times New Roman" w:cs="Times New Roman"/>
          <w:i/>
          <w:color w:val="000000"/>
          <w:sz w:val="18"/>
          <w:szCs w:val="18"/>
        </w:rPr>
        <w:t xml:space="preserve"> </w:t>
      </w:r>
      <w:r w:rsidRPr="00573080">
        <w:rPr>
          <w:rFonts w:ascii="Times New Roman" w:hAnsi="Times New Roman" w:cs="Times New Roman"/>
          <w:b/>
          <w:color w:val="000000"/>
          <w:sz w:val="18"/>
          <w:szCs w:val="18"/>
        </w:rPr>
        <w:t xml:space="preserve">Parameter limits used in </w:t>
      </w:r>
      <w:r w:rsidR="00241C53">
        <w:rPr>
          <w:rFonts w:ascii="Times New Roman" w:hAnsi="Times New Roman" w:cs="Times New Roman"/>
          <w:b/>
          <w:color w:val="000000"/>
          <w:sz w:val="18"/>
          <w:szCs w:val="18"/>
        </w:rPr>
        <w:t>univariate and probabilistic sensitivity analyses</w:t>
      </w:r>
      <w:r w:rsidR="001A0D21">
        <w:rPr>
          <w:rFonts w:ascii="Times New Roman" w:hAnsi="Times New Roman" w:cs="Times New Roman"/>
          <w:b/>
          <w:color w:val="000000"/>
          <w:sz w:val="18"/>
          <w:szCs w:val="18"/>
        </w:rPr>
        <w:t xml:space="preserve"> [1</w:t>
      </w:r>
      <w:proofErr w:type="gramStart"/>
      <w:r w:rsidR="001A0D21">
        <w:rPr>
          <w:rFonts w:ascii="Times New Roman" w:hAnsi="Times New Roman" w:cs="Times New Roman"/>
          <w:b/>
          <w:color w:val="000000"/>
          <w:sz w:val="18"/>
          <w:szCs w:val="18"/>
        </w:rPr>
        <w:t>,2</w:t>
      </w:r>
      <w:proofErr w:type="gramEnd"/>
      <w:r w:rsidR="001A0D21">
        <w:rPr>
          <w:rFonts w:ascii="Times New Roman" w:hAnsi="Times New Roman" w:cs="Times New Roman"/>
          <w:b/>
          <w:color w:val="000000"/>
          <w:sz w:val="18"/>
          <w:szCs w:val="18"/>
        </w:rPr>
        <w:t>, 12, 14-16]</w:t>
      </w:r>
      <w:r w:rsidR="00241C53">
        <w:rPr>
          <w:rFonts w:ascii="Times New Roman" w:hAnsi="Times New Roman" w:cs="Times New Roman"/>
          <w:b/>
          <w:color w:val="000000"/>
          <w:sz w:val="18"/>
          <w:szCs w:val="18"/>
        </w:rPr>
        <w:t>.</w:t>
      </w:r>
    </w:p>
    <w:tbl>
      <w:tblPr>
        <w:tblStyle w:val="a9"/>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38"/>
        <w:gridCol w:w="1135"/>
        <w:gridCol w:w="851"/>
        <w:gridCol w:w="850"/>
        <w:gridCol w:w="786"/>
        <w:gridCol w:w="1856"/>
      </w:tblGrid>
      <w:tr w:rsidR="00147F7A" w:rsidRPr="00573080" w14:paraId="1928BD4B"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bottom w:val="single" w:sz="4" w:space="0" w:color="000000"/>
            </w:tcBorders>
          </w:tcPr>
          <w:p w14:paraId="709CA10E"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Parameter</w:t>
            </w:r>
          </w:p>
        </w:tc>
        <w:tc>
          <w:tcPr>
            <w:tcW w:w="1135" w:type="dxa"/>
            <w:tcBorders>
              <w:bottom w:val="single" w:sz="4" w:space="0" w:color="000000"/>
            </w:tcBorders>
          </w:tcPr>
          <w:p w14:paraId="43DB8431"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Distribution</w:t>
            </w:r>
          </w:p>
        </w:tc>
        <w:tc>
          <w:tcPr>
            <w:tcW w:w="851" w:type="dxa"/>
            <w:tcBorders>
              <w:bottom w:val="single" w:sz="4" w:space="0" w:color="000000"/>
            </w:tcBorders>
          </w:tcPr>
          <w:p w14:paraId="576B35D3"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Mean  Value</w:t>
            </w:r>
          </w:p>
        </w:tc>
        <w:tc>
          <w:tcPr>
            <w:tcW w:w="850" w:type="dxa"/>
            <w:tcBorders>
              <w:bottom w:val="single" w:sz="4" w:space="0" w:color="000000"/>
            </w:tcBorders>
          </w:tcPr>
          <w:p w14:paraId="46FCBA51"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Lower Bound</w:t>
            </w:r>
          </w:p>
        </w:tc>
        <w:tc>
          <w:tcPr>
            <w:tcW w:w="786" w:type="dxa"/>
            <w:tcBorders>
              <w:bottom w:val="single" w:sz="4" w:space="0" w:color="000000"/>
            </w:tcBorders>
          </w:tcPr>
          <w:p w14:paraId="68848705"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Upper Bound</w:t>
            </w:r>
          </w:p>
        </w:tc>
        <w:tc>
          <w:tcPr>
            <w:tcW w:w="1856" w:type="dxa"/>
            <w:tcBorders>
              <w:bottom w:val="single" w:sz="4" w:space="0" w:color="000000"/>
            </w:tcBorders>
          </w:tcPr>
          <w:p w14:paraId="3F3CC39A"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Source</w:t>
            </w:r>
          </w:p>
        </w:tc>
      </w:tr>
      <w:tr w:rsidR="00147F7A" w:rsidRPr="00573080" w14:paraId="5B95169F" w14:textId="77777777" w:rsidTr="00147F7A">
        <w:trPr>
          <w:trHeight w:val="213"/>
        </w:trPr>
        <w:tc>
          <w:tcPr>
            <w:tcW w:w="9016" w:type="dxa"/>
            <w:gridSpan w:val="6"/>
            <w:tcBorders>
              <w:top w:val="single" w:sz="4" w:space="0" w:color="000000"/>
              <w:bottom w:val="single" w:sz="4" w:space="0" w:color="000000"/>
            </w:tcBorders>
          </w:tcPr>
          <w:p w14:paraId="4AF2B1A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b/>
                <w:sz w:val="18"/>
                <w:szCs w:val="18"/>
              </w:rPr>
              <w:t>Cohort baseline characteristics</w:t>
            </w:r>
          </w:p>
        </w:tc>
      </w:tr>
      <w:tr w:rsidR="00147F7A" w:rsidRPr="00573080" w14:paraId="6F00D24D"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top w:val="single" w:sz="4" w:space="0" w:color="000000"/>
            </w:tcBorders>
          </w:tcPr>
          <w:p w14:paraId="0191C74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 Age at baseline</w:t>
            </w:r>
          </w:p>
        </w:tc>
        <w:tc>
          <w:tcPr>
            <w:tcW w:w="1135" w:type="dxa"/>
            <w:tcBorders>
              <w:top w:val="single" w:sz="4" w:space="0" w:color="000000"/>
            </w:tcBorders>
          </w:tcPr>
          <w:p w14:paraId="5095B4E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Normal</w:t>
            </w:r>
          </w:p>
        </w:tc>
        <w:tc>
          <w:tcPr>
            <w:tcW w:w="851" w:type="dxa"/>
            <w:tcBorders>
              <w:top w:val="single" w:sz="4" w:space="0" w:color="000000"/>
            </w:tcBorders>
          </w:tcPr>
          <w:p w14:paraId="1A499C7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45.49 </w:t>
            </w:r>
          </w:p>
        </w:tc>
        <w:tc>
          <w:tcPr>
            <w:tcW w:w="850" w:type="dxa"/>
            <w:tcBorders>
              <w:top w:val="single" w:sz="4" w:space="0" w:color="000000"/>
            </w:tcBorders>
          </w:tcPr>
          <w:p w14:paraId="15038BE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43.53</w:t>
            </w:r>
          </w:p>
        </w:tc>
        <w:tc>
          <w:tcPr>
            <w:tcW w:w="786" w:type="dxa"/>
            <w:tcBorders>
              <w:top w:val="single" w:sz="4" w:space="0" w:color="000000"/>
            </w:tcBorders>
          </w:tcPr>
          <w:p w14:paraId="441A98C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47.45</w:t>
            </w:r>
          </w:p>
        </w:tc>
        <w:tc>
          <w:tcPr>
            <w:tcW w:w="1856" w:type="dxa"/>
            <w:tcBorders>
              <w:top w:val="single" w:sz="4" w:space="0" w:color="000000"/>
            </w:tcBorders>
          </w:tcPr>
          <w:p w14:paraId="4B64A453" w14:textId="21AD5B94"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39C2EB0D" w14:textId="77777777" w:rsidTr="00147F7A">
        <w:trPr>
          <w:trHeight w:val="225"/>
        </w:trPr>
        <w:tc>
          <w:tcPr>
            <w:tcW w:w="3538" w:type="dxa"/>
          </w:tcPr>
          <w:p w14:paraId="0D90BF2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 Proportion female</w:t>
            </w:r>
          </w:p>
        </w:tc>
        <w:tc>
          <w:tcPr>
            <w:tcW w:w="1135" w:type="dxa"/>
          </w:tcPr>
          <w:p w14:paraId="0500D88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0C7EE1A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0.46 </w:t>
            </w:r>
          </w:p>
        </w:tc>
        <w:tc>
          <w:tcPr>
            <w:tcW w:w="850" w:type="dxa"/>
          </w:tcPr>
          <w:p w14:paraId="7AA4534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0.24</w:t>
            </w:r>
          </w:p>
        </w:tc>
        <w:tc>
          <w:tcPr>
            <w:tcW w:w="786" w:type="dxa"/>
          </w:tcPr>
          <w:p w14:paraId="0D1BDC2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0.68</w:t>
            </w:r>
          </w:p>
        </w:tc>
        <w:tc>
          <w:tcPr>
            <w:tcW w:w="1856" w:type="dxa"/>
          </w:tcPr>
          <w:p w14:paraId="00D9ACB2" w14:textId="02A85ED6"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2D28C0D1"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05C0290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 Age at baseline</w:t>
            </w:r>
          </w:p>
        </w:tc>
        <w:tc>
          <w:tcPr>
            <w:tcW w:w="1135" w:type="dxa"/>
          </w:tcPr>
          <w:p w14:paraId="37F254D9"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Normal</w:t>
            </w:r>
          </w:p>
        </w:tc>
        <w:tc>
          <w:tcPr>
            <w:tcW w:w="851" w:type="dxa"/>
          </w:tcPr>
          <w:p w14:paraId="66ADCCD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47.71 </w:t>
            </w:r>
          </w:p>
        </w:tc>
        <w:tc>
          <w:tcPr>
            <w:tcW w:w="850" w:type="dxa"/>
          </w:tcPr>
          <w:p w14:paraId="349937C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45.71</w:t>
            </w:r>
          </w:p>
        </w:tc>
        <w:tc>
          <w:tcPr>
            <w:tcW w:w="786" w:type="dxa"/>
          </w:tcPr>
          <w:p w14:paraId="74FE23B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49.70</w:t>
            </w:r>
          </w:p>
        </w:tc>
        <w:tc>
          <w:tcPr>
            <w:tcW w:w="1856" w:type="dxa"/>
          </w:tcPr>
          <w:p w14:paraId="54ADDDF4" w14:textId="25B88ED0"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40C953F5" w14:textId="77777777" w:rsidTr="00147F7A">
        <w:trPr>
          <w:trHeight w:val="213"/>
        </w:trPr>
        <w:tc>
          <w:tcPr>
            <w:tcW w:w="3538" w:type="dxa"/>
          </w:tcPr>
          <w:p w14:paraId="0F79F05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 Proportion female</w:t>
            </w:r>
          </w:p>
        </w:tc>
        <w:tc>
          <w:tcPr>
            <w:tcW w:w="1135" w:type="dxa"/>
          </w:tcPr>
          <w:p w14:paraId="5405E7F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01A19919"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0.50 </w:t>
            </w:r>
          </w:p>
        </w:tc>
        <w:tc>
          <w:tcPr>
            <w:tcW w:w="850" w:type="dxa"/>
          </w:tcPr>
          <w:p w14:paraId="2F7B12C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0.26</w:t>
            </w:r>
          </w:p>
        </w:tc>
        <w:tc>
          <w:tcPr>
            <w:tcW w:w="786" w:type="dxa"/>
          </w:tcPr>
          <w:p w14:paraId="1F8CF73A"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0.74</w:t>
            </w:r>
          </w:p>
        </w:tc>
        <w:tc>
          <w:tcPr>
            <w:tcW w:w="1856" w:type="dxa"/>
          </w:tcPr>
          <w:p w14:paraId="7DF52640" w14:textId="505115B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442FB36B"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9016" w:type="dxa"/>
            <w:gridSpan w:val="6"/>
            <w:tcBorders>
              <w:top w:val="single" w:sz="4" w:space="0" w:color="000000"/>
            </w:tcBorders>
          </w:tcPr>
          <w:p w14:paraId="06A6B30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b/>
                <w:sz w:val="18"/>
                <w:szCs w:val="18"/>
              </w:rPr>
              <w:t>Transition probabilities eculizumab</w:t>
            </w:r>
          </w:p>
        </w:tc>
      </w:tr>
      <w:tr w:rsidR="00147F7A" w:rsidRPr="00573080" w14:paraId="42E13035" w14:textId="77777777" w:rsidTr="00147F7A">
        <w:trPr>
          <w:trHeight w:val="213"/>
        </w:trPr>
        <w:tc>
          <w:tcPr>
            <w:tcW w:w="3538" w:type="dxa"/>
            <w:tcBorders>
              <w:top w:val="single" w:sz="4" w:space="0" w:color="000000"/>
            </w:tcBorders>
          </w:tcPr>
          <w:p w14:paraId="7502E476"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eculizumab – BTH Trans. prob.: NoHxIncC5Inhib to IncC5Inhib</w:t>
            </w:r>
          </w:p>
        </w:tc>
        <w:tc>
          <w:tcPr>
            <w:tcW w:w="1135" w:type="dxa"/>
            <w:tcBorders>
              <w:top w:val="single" w:sz="4" w:space="0" w:color="000000"/>
            </w:tcBorders>
          </w:tcPr>
          <w:p w14:paraId="0B0385D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Borders>
              <w:top w:val="single" w:sz="4" w:space="0" w:color="000000"/>
            </w:tcBorders>
          </w:tcPr>
          <w:p w14:paraId="2132766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0.0031</w:t>
            </w:r>
          </w:p>
        </w:tc>
        <w:tc>
          <w:tcPr>
            <w:tcW w:w="850" w:type="dxa"/>
            <w:tcBorders>
              <w:top w:val="single" w:sz="4" w:space="0" w:color="000000"/>
            </w:tcBorders>
          </w:tcPr>
          <w:p w14:paraId="27F60DF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0.0063</w:t>
            </w:r>
          </w:p>
        </w:tc>
        <w:tc>
          <w:tcPr>
            <w:tcW w:w="786" w:type="dxa"/>
            <w:tcBorders>
              <w:top w:val="single" w:sz="4" w:space="0" w:color="000000"/>
            </w:tcBorders>
          </w:tcPr>
          <w:p w14:paraId="2582727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0.0010</w:t>
            </w:r>
          </w:p>
        </w:tc>
        <w:tc>
          <w:tcPr>
            <w:tcW w:w="1856" w:type="dxa"/>
            <w:tcBorders>
              <w:top w:val="single" w:sz="4" w:space="0" w:color="000000"/>
            </w:tcBorders>
          </w:tcPr>
          <w:p w14:paraId="186DAF0C" w14:textId="25EF2026"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6C378CD1"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54033AB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eculizumab – BTH Trans. prob.: NoHxIncC5Inhib to CAC</w:t>
            </w:r>
          </w:p>
        </w:tc>
        <w:tc>
          <w:tcPr>
            <w:tcW w:w="1135" w:type="dxa"/>
          </w:tcPr>
          <w:p w14:paraId="1AF07A0A"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1686994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0.0054</w:t>
            </w:r>
          </w:p>
        </w:tc>
        <w:tc>
          <w:tcPr>
            <w:tcW w:w="850" w:type="dxa"/>
          </w:tcPr>
          <w:p w14:paraId="44B2920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0.0024</w:t>
            </w:r>
          </w:p>
        </w:tc>
        <w:tc>
          <w:tcPr>
            <w:tcW w:w="786" w:type="dxa"/>
          </w:tcPr>
          <w:p w14:paraId="119A007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0.0095</w:t>
            </w:r>
          </w:p>
        </w:tc>
        <w:tc>
          <w:tcPr>
            <w:tcW w:w="1856" w:type="dxa"/>
          </w:tcPr>
          <w:p w14:paraId="5C0FFBB1" w14:textId="3BD7D51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6DC3FA0D" w14:textId="77777777" w:rsidTr="00147F7A">
        <w:trPr>
          <w:trHeight w:val="213"/>
        </w:trPr>
        <w:tc>
          <w:tcPr>
            <w:tcW w:w="3538" w:type="dxa"/>
          </w:tcPr>
          <w:p w14:paraId="2A220DC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 xml:space="preserve">Cohort 1 </w:t>
            </w:r>
            <w:r w:rsidRPr="00573080">
              <w:rPr>
                <w:rFonts w:ascii="Times New Roman" w:hAnsi="Times New Roman" w:cs="Times New Roman"/>
                <w:sz w:val="18"/>
                <w:szCs w:val="18"/>
              </w:rPr>
              <w:t>eculizumab –</w:t>
            </w:r>
            <w:r w:rsidRPr="00573080">
              <w:rPr>
                <w:rFonts w:ascii="Times New Roman" w:hAnsi="Times New Roman" w:cs="Times New Roman"/>
                <w:color w:val="000000"/>
                <w:sz w:val="18"/>
                <w:szCs w:val="18"/>
              </w:rPr>
              <w:t xml:space="preserve"> BTH Trans. prob.: HxIncC5Inhib to IncC5Inhib</w:t>
            </w:r>
          </w:p>
        </w:tc>
        <w:tc>
          <w:tcPr>
            <w:tcW w:w="1135" w:type="dxa"/>
          </w:tcPr>
          <w:p w14:paraId="7776B19A"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1F8850E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0.1429</w:t>
            </w:r>
          </w:p>
        </w:tc>
        <w:tc>
          <w:tcPr>
            <w:tcW w:w="850" w:type="dxa"/>
          </w:tcPr>
          <w:p w14:paraId="4B93FCB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0.0232</w:t>
            </w:r>
          </w:p>
        </w:tc>
        <w:tc>
          <w:tcPr>
            <w:tcW w:w="786" w:type="dxa"/>
          </w:tcPr>
          <w:p w14:paraId="0751DF2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0.3452</w:t>
            </w:r>
          </w:p>
        </w:tc>
        <w:tc>
          <w:tcPr>
            <w:tcW w:w="1856" w:type="dxa"/>
          </w:tcPr>
          <w:p w14:paraId="6AEBA91F" w14:textId="31A0F090"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36BD16EA"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125CC53A"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 xml:space="preserve">Cohort 1 </w:t>
            </w:r>
            <w:r w:rsidRPr="00573080">
              <w:rPr>
                <w:rFonts w:ascii="Times New Roman" w:hAnsi="Times New Roman" w:cs="Times New Roman"/>
                <w:sz w:val="18"/>
                <w:szCs w:val="18"/>
              </w:rPr>
              <w:t>eculizumab –</w:t>
            </w:r>
            <w:r w:rsidRPr="00573080">
              <w:rPr>
                <w:rFonts w:ascii="Times New Roman" w:hAnsi="Times New Roman" w:cs="Times New Roman"/>
                <w:color w:val="000000"/>
                <w:sz w:val="18"/>
                <w:szCs w:val="18"/>
              </w:rPr>
              <w:t xml:space="preserve"> BTH Trans. prob.: HxIncC5Inhib_IncC5Inhib to IncC5Inhib</w:t>
            </w:r>
          </w:p>
        </w:tc>
        <w:tc>
          <w:tcPr>
            <w:tcW w:w="1135" w:type="dxa"/>
          </w:tcPr>
          <w:p w14:paraId="0C070955"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04FDAB6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0.3333</w:t>
            </w:r>
          </w:p>
        </w:tc>
        <w:tc>
          <w:tcPr>
            <w:tcW w:w="850" w:type="dxa"/>
          </w:tcPr>
          <w:p w14:paraId="12A4E6E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0.1127</w:t>
            </w:r>
          </w:p>
        </w:tc>
        <w:tc>
          <w:tcPr>
            <w:tcW w:w="786" w:type="dxa"/>
          </w:tcPr>
          <w:p w14:paraId="5B3C1CD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0.6043</w:t>
            </w:r>
          </w:p>
        </w:tc>
        <w:tc>
          <w:tcPr>
            <w:tcW w:w="1856" w:type="dxa"/>
          </w:tcPr>
          <w:p w14:paraId="2C2C3369" w14:textId="6776550A"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4D6F9B4E" w14:textId="77777777" w:rsidTr="00147F7A">
        <w:trPr>
          <w:trHeight w:val="213"/>
        </w:trPr>
        <w:tc>
          <w:tcPr>
            <w:tcW w:w="3538" w:type="dxa"/>
          </w:tcPr>
          <w:p w14:paraId="0F24EBB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eculizumab – BTH Trans. prob.: NoHxIncC5Inhib to IncC5Inhib</w:t>
            </w:r>
          </w:p>
        </w:tc>
        <w:tc>
          <w:tcPr>
            <w:tcW w:w="1135" w:type="dxa"/>
          </w:tcPr>
          <w:p w14:paraId="1672D998"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4F124C19"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0.0010</w:t>
            </w:r>
          </w:p>
        </w:tc>
        <w:tc>
          <w:tcPr>
            <w:tcW w:w="850" w:type="dxa"/>
          </w:tcPr>
          <w:p w14:paraId="0BFE378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0.0036</w:t>
            </w:r>
          </w:p>
        </w:tc>
        <w:tc>
          <w:tcPr>
            <w:tcW w:w="786" w:type="dxa"/>
          </w:tcPr>
          <w:p w14:paraId="32A5AEE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1856" w:type="dxa"/>
          </w:tcPr>
          <w:p w14:paraId="1932D059" w14:textId="2954FAAB"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10482EDA"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4DA5E949"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eculizumab – BTH Trans. prob.: NoHxIncC5Inhib to CAC</w:t>
            </w:r>
          </w:p>
        </w:tc>
        <w:tc>
          <w:tcPr>
            <w:tcW w:w="1135" w:type="dxa"/>
          </w:tcPr>
          <w:p w14:paraId="70F36936"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451838B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0.0031</w:t>
            </w:r>
          </w:p>
        </w:tc>
        <w:tc>
          <w:tcPr>
            <w:tcW w:w="850" w:type="dxa"/>
          </w:tcPr>
          <w:p w14:paraId="4D43FD1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0.0063</w:t>
            </w:r>
          </w:p>
        </w:tc>
        <w:tc>
          <w:tcPr>
            <w:tcW w:w="786" w:type="dxa"/>
          </w:tcPr>
          <w:p w14:paraId="445097C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0.0010</w:t>
            </w:r>
          </w:p>
        </w:tc>
        <w:tc>
          <w:tcPr>
            <w:tcW w:w="1856" w:type="dxa"/>
          </w:tcPr>
          <w:p w14:paraId="62DB408C" w14:textId="1962658A"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471BDB41" w14:textId="77777777" w:rsidTr="00147F7A">
        <w:trPr>
          <w:trHeight w:val="213"/>
        </w:trPr>
        <w:tc>
          <w:tcPr>
            <w:tcW w:w="3538" w:type="dxa"/>
          </w:tcPr>
          <w:p w14:paraId="3C3A1B9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 xml:space="preserve">Cohort 2 </w:t>
            </w:r>
            <w:r w:rsidRPr="00573080">
              <w:rPr>
                <w:rFonts w:ascii="Times New Roman" w:hAnsi="Times New Roman" w:cs="Times New Roman"/>
                <w:sz w:val="18"/>
                <w:szCs w:val="18"/>
              </w:rPr>
              <w:t>eculizumab –</w:t>
            </w:r>
            <w:r w:rsidRPr="00573080">
              <w:rPr>
                <w:rFonts w:ascii="Times New Roman" w:hAnsi="Times New Roman" w:cs="Times New Roman"/>
                <w:color w:val="000000"/>
                <w:sz w:val="18"/>
                <w:szCs w:val="18"/>
              </w:rPr>
              <w:t xml:space="preserve"> BTH Trans. prob.: HxIncC5Inhib to IncC5Inhib</w:t>
            </w:r>
          </w:p>
        </w:tc>
        <w:tc>
          <w:tcPr>
            <w:tcW w:w="1135" w:type="dxa"/>
          </w:tcPr>
          <w:p w14:paraId="1C405043"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6A53D1D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0.3333</w:t>
            </w:r>
          </w:p>
        </w:tc>
        <w:tc>
          <w:tcPr>
            <w:tcW w:w="850" w:type="dxa"/>
          </w:tcPr>
          <w:p w14:paraId="2CA6D59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0.9852</w:t>
            </w:r>
          </w:p>
        </w:tc>
        <w:tc>
          <w:tcPr>
            <w:tcW w:w="786" w:type="dxa"/>
          </w:tcPr>
          <w:p w14:paraId="175DC91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1856" w:type="dxa"/>
          </w:tcPr>
          <w:p w14:paraId="03F773A3" w14:textId="4F588073"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510FC3B1"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12B7187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 xml:space="preserve">Cohort 2 </w:t>
            </w:r>
            <w:r w:rsidRPr="00573080">
              <w:rPr>
                <w:rFonts w:ascii="Times New Roman" w:hAnsi="Times New Roman" w:cs="Times New Roman"/>
                <w:sz w:val="18"/>
                <w:szCs w:val="18"/>
              </w:rPr>
              <w:t>eculizumab –</w:t>
            </w:r>
            <w:r w:rsidRPr="00573080">
              <w:rPr>
                <w:rFonts w:ascii="Times New Roman" w:hAnsi="Times New Roman" w:cs="Times New Roman"/>
                <w:color w:val="000000"/>
                <w:sz w:val="18"/>
                <w:szCs w:val="18"/>
              </w:rPr>
              <w:t xml:space="preserve"> BTH Trans. prob.: HxIncC5Inhib_IncC5Inhib to IncC5Inhib</w:t>
            </w:r>
          </w:p>
        </w:tc>
        <w:tc>
          <w:tcPr>
            <w:tcW w:w="1135" w:type="dxa"/>
          </w:tcPr>
          <w:p w14:paraId="15317A00"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26220866"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0.3333</w:t>
            </w:r>
          </w:p>
        </w:tc>
        <w:tc>
          <w:tcPr>
            <w:tcW w:w="850" w:type="dxa"/>
          </w:tcPr>
          <w:p w14:paraId="02A905F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0.9852</w:t>
            </w:r>
          </w:p>
        </w:tc>
        <w:tc>
          <w:tcPr>
            <w:tcW w:w="786" w:type="dxa"/>
          </w:tcPr>
          <w:p w14:paraId="29560D6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1856" w:type="dxa"/>
          </w:tcPr>
          <w:p w14:paraId="654CDEE4" w14:textId="5FF33F33"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7CD78EBF" w14:textId="77777777" w:rsidTr="00147F7A">
        <w:trPr>
          <w:trHeight w:val="213"/>
        </w:trPr>
        <w:tc>
          <w:tcPr>
            <w:tcW w:w="3538" w:type="dxa"/>
            <w:tcBorders>
              <w:top w:val="single" w:sz="4" w:space="0" w:color="000000"/>
              <w:bottom w:val="single" w:sz="4" w:space="0" w:color="000000"/>
            </w:tcBorders>
          </w:tcPr>
          <w:p w14:paraId="64D34899"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Transition probabilities ravulizumab</w:t>
            </w:r>
          </w:p>
        </w:tc>
        <w:tc>
          <w:tcPr>
            <w:tcW w:w="1135" w:type="dxa"/>
            <w:tcBorders>
              <w:top w:val="single" w:sz="4" w:space="0" w:color="000000"/>
              <w:bottom w:val="single" w:sz="4" w:space="0" w:color="000000"/>
            </w:tcBorders>
          </w:tcPr>
          <w:p w14:paraId="1894F39F" w14:textId="77777777" w:rsidR="00147F7A" w:rsidRPr="00573080" w:rsidRDefault="00147F7A">
            <w:pPr>
              <w:spacing w:line="276" w:lineRule="auto"/>
              <w:jc w:val="both"/>
              <w:rPr>
                <w:rFonts w:ascii="Times New Roman" w:hAnsi="Times New Roman" w:cs="Times New Roman"/>
                <w:sz w:val="18"/>
                <w:szCs w:val="18"/>
              </w:rPr>
            </w:pPr>
          </w:p>
        </w:tc>
        <w:tc>
          <w:tcPr>
            <w:tcW w:w="851" w:type="dxa"/>
            <w:tcBorders>
              <w:top w:val="single" w:sz="4" w:space="0" w:color="000000"/>
              <w:bottom w:val="single" w:sz="4" w:space="0" w:color="000000"/>
            </w:tcBorders>
          </w:tcPr>
          <w:p w14:paraId="2552CCAA" w14:textId="77777777" w:rsidR="00147F7A" w:rsidRPr="00573080" w:rsidRDefault="00147F7A">
            <w:pPr>
              <w:spacing w:line="276" w:lineRule="auto"/>
              <w:jc w:val="both"/>
              <w:rPr>
                <w:rFonts w:ascii="Times New Roman" w:hAnsi="Times New Roman" w:cs="Times New Roman"/>
                <w:sz w:val="18"/>
                <w:szCs w:val="18"/>
              </w:rPr>
            </w:pPr>
          </w:p>
        </w:tc>
        <w:tc>
          <w:tcPr>
            <w:tcW w:w="850" w:type="dxa"/>
            <w:tcBorders>
              <w:top w:val="single" w:sz="4" w:space="0" w:color="000000"/>
              <w:bottom w:val="single" w:sz="4" w:space="0" w:color="000000"/>
            </w:tcBorders>
          </w:tcPr>
          <w:p w14:paraId="74826E8C" w14:textId="77777777" w:rsidR="00147F7A" w:rsidRPr="00573080" w:rsidRDefault="00147F7A">
            <w:pPr>
              <w:spacing w:line="276" w:lineRule="auto"/>
              <w:jc w:val="both"/>
              <w:rPr>
                <w:rFonts w:ascii="Times New Roman" w:hAnsi="Times New Roman" w:cs="Times New Roman"/>
                <w:sz w:val="18"/>
                <w:szCs w:val="18"/>
              </w:rPr>
            </w:pPr>
          </w:p>
        </w:tc>
        <w:tc>
          <w:tcPr>
            <w:tcW w:w="786" w:type="dxa"/>
            <w:tcBorders>
              <w:top w:val="single" w:sz="4" w:space="0" w:color="000000"/>
              <w:bottom w:val="single" w:sz="4" w:space="0" w:color="000000"/>
            </w:tcBorders>
          </w:tcPr>
          <w:p w14:paraId="4AD7D410" w14:textId="77777777" w:rsidR="00147F7A" w:rsidRPr="00573080" w:rsidRDefault="00147F7A">
            <w:pPr>
              <w:spacing w:line="276" w:lineRule="auto"/>
              <w:jc w:val="both"/>
              <w:rPr>
                <w:rFonts w:ascii="Times New Roman" w:hAnsi="Times New Roman" w:cs="Times New Roman"/>
                <w:sz w:val="18"/>
                <w:szCs w:val="18"/>
              </w:rPr>
            </w:pPr>
          </w:p>
        </w:tc>
        <w:tc>
          <w:tcPr>
            <w:tcW w:w="1856" w:type="dxa"/>
            <w:tcBorders>
              <w:top w:val="single" w:sz="4" w:space="0" w:color="000000"/>
              <w:bottom w:val="single" w:sz="4" w:space="0" w:color="000000"/>
            </w:tcBorders>
          </w:tcPr>
          <w:p w14:paraId="54EF5688" w14:textId="77777777" w:rsidR="00147F7A" w:rsidRPr="00573080" w:rsidRDefault="00147F7A">
            <w:pPr>
              <w:spacing w:line="276" w:lineRule="auto"/>
              <w:jc w:val="both"/>
              <w:rPr>
                <w:rFonts w:ascii="Times New Roman" w:hAnsi="Times New Roman" w:cs="Times New Roman"/>
                <w:sz w:val="18"/>
                <w:szCs w:val="18"/>
              </w:rPr>
            </w:pPr>
          </w:p>
        </w:tc>
      </w:tr>
      <w:tr w:rsidR="00147F7A" w:rsidRPr="00573080" w14:paraId="422187C8"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top w:val="single" w:sz="4" w:space="0" w:color="000000"/>
            </w:tcBorders>
          </w:tcPr>
          <w:p w14:paraId="748C327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ravulizumab – BTH Trans. prob.: NoHxIncC5Inhib to IncC5Inhib</w:t>
            </w:r>
          </w:p>
        </w:tc>
        <w:tc>
          <w:tcPr>
            <w:tcW w:w="1135" w:type="dxa"/>
            <w:tcBorders>
              <w:top w:val="single" w:sz="4" w:space="0" w:color="000000"/>
            </w:tcBorders>
          </w:tcPr>
          <w:p w14:paraId="4177F909"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Borders>
              <w:top w:val="single" w:sz="4" w:space="0" w:color="000000"/>
            </w:tcBorders>
          </w:tcPr>
          <w:p w14:paraId="32999BF9"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850" w:type="dxa"/>
            <w:tcBorders>
              <w:top w:val="single" w:sz="4" w:space="0" w:color="000000"/>
            </w:tcBorders>
          </w:tcPr>
          <w:p w14:paraId="4A0160C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786" w:type="dxa"/>
            <w:tcBorders>
              <w:top w:val="single" w:sz="4" w:space="0" w:color="000000"/>
            </w:tcBorders>
          </w:tcPr>
          <w:p w14:paraId="31EB349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1856" w:type="dxa"/>
            <w:tcBorders>
              <w:top w:val="single" w:sz="4" w:space="0" w:color="000000"/>
            </w:tcBorders>
          </w:tcPr>
          <w:p w14:paraId="274CA34D" w14:textId="6D953A3E"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5230E7E4" w14:textId="77777777" w:rsidTr="00147F7A">
        <w:trPr>
          <w:trHeight w:val="213"/>
        </w:trPr>
        <w:tc>
          <w:tcPr>
            <w:tcW w:w="3538" w:type="dxa"/>
          </w:tcPr>
          <w:p w14:paraId="1B62D016"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ravulizumab – BTH Trans. prob.: NoHxIncC5Inhib to CAC</w:t>
            </w:r>
          </w:p>
        </w:tc>
        <w:tc>
          <w:tcPr>
            <w:tcW w:w="1135" w:type="dxa"/>
          </w:tcPr>
          <w:p w14:paraId="38D599F5"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75802E2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0.0026</w:t>
            </w:r>
          </w:p>
        </w:tc>
        <w:tc>
          <w:tcPr>
            <w:tcW w:w="850" w:type="dxa"/>
          </w:tcPr>
          <w:p w14:paraId="5177B2C9"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0.0007</w:t>
            </w:r>
          </w:p>
        </w:tc>
        <w:tc>
          <w:tcPr>
            <w:tcW w:w="786" w:type="dxa"/>
          </w:tcPr>
          <w:p w14:paraId="7812A56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0.0058</w:t>
            </w:r>
          </w:p>
        </w:tc>
        <w:tc>
          <w:tcPr>
            <w:tcW w:w="1856" w:type="dxa"/>
          </w:tcPr>
          <w:p w14:paraId="7E605F31" w14:textId="1BBCF461"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301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mendeley":{"formattedCitation":"[1]","plainTextFormattedCitation":"[1]","previouslyFormattedCitation":"[1]"},"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[1]</w:t>
            </w:r>
            <w:r w:rsidR="006B2670">
              <w:rPr>
                <w:rFonts w:ascii="Times New Roman" w:hAnsi="Times New Roman" w:cs="Times New Roman"/>
                <w:color w:val="000000"/>
                <w:sz w:val="18"/>
                <w:szCs w:val="18"/>
              </w:rPr>
              <w:fldChar w:fldCharType="end"/>
            </w:r>
          </w:p>
        </w:tc>
      </w:tr>
      <w:tr w:rsidR="00147F7A" w:rsidRPr="00573080" w14:paraId="41F0B29E"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393CF0D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ravulizumab – BTH Trans. prob.: NoHxIncC5Inhib to IncC5Inhib</w:t>
            </w:r>
          </w:p>
        </w:tc>
        <w:tc>
          <w:tcPr>
            <w:tcW w:w="1135" w:type="dxa"/>
          </w:tcPr>
          <w:p w14:paraId="71F142B9"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4F99976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850" w:type="dxa"/>
          </w:tcPr>
          <w:p w14:paraId="5251854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786" w:type="dxa"/>
          </w:tcPr>
          <w:p w14:paraId="1C721C1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1856" w:type="dxa"/>
          </w:tcPr>
          <w:p w14:paraId="60AC02B5" w14:textId="324DCEB4"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5E51E8BE" w14:textId="77777777" w:rsidTr="00147F7A">
        <w:trPr>
          <w:trHeight w:val="213"/>
        </w:trPr>
        <w:tc>
          <w:tcPr>
            <w:tcW w:w="3538" w:type="dxa"/>
          </w:tcPr>
          <w:p w14:paraId="4A01419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ravulizumab – BTH Trans. prob.: NoHxIncC5Inhib to CAC</w:t>
            </w:r>
          </w:p>
        </w:tc>
        <w:tc>
          <w:tcPr>
            <w:tcW w:w="1135" w:type="dxa"/>
          </w:tcPr>
          <w:p w14:paraId="2D3D66A4"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Beta</w:t>
            </w:r>
          </w:p>
        </w:tc>
        <w:tc>
          <w:tcPr>
            <w:tcW w:w="851" w:type="dxa"/>
          </w:tcPr>
          <w:p w14:paraId="27976AE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0.0001</w:t>
            </w:r>
          </w:p>
        </w:tc>
        <w:tc>
          <w:tcPr>
            <w:tcW w:w="850" w:type="dxa"/>
          </w:tcPr>
          <w:p w14:paraId="76EE25F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0.0000</w:t>
            </w:r>
          </w:p>
        </w:tc>
        <w:tc>
          <w:tcPr>
            <w:tcW w:w="786" w:type="dxa"/>
          </w:tcPr>
          <w:p w14:paraId="293472F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0.0004</w:t>
            </w:r>
          </w:p>
        </w:tc>
        <w:tc>
          <w:tcPr>
            <w:tcW w:w="1856" w:type="dxa"/>
          </w:tcPr>
          <w:p w14:paraId="5C2A5028" w14:textId="07172903"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Study 302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Latour","given":"Regis","non-dropping-particle":"","parse-names":false,"suffix":""}],"container-title":"Blood","id":"ITEM-1","issue":"6","issued":{"date-parts":[["2019"]]},"page":"540-549","title":"Ravulizumab (ALXN1210) vs eculizumab in C5-inhibitor–experienced adult patients with PNH: The 302 study","type":"article-journal","volume":"133"},"uris":["http://www.mendeley.com/documents/?uuid=b6c601fa-2e89-4067-b78d-dcd8363000fd"]}],"mendeley":{"formattedCitation":"[2]","plainTextFormattedCitation":"[2]","previouslyFormattedCitation":"[2]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6B2670">
              <w:rPr>
                <w:rFonts w:ascii="Times New Roman" w:hAnsi="Times New Roman" w:cs="Times New Roman"/>
                <w:noProof/>
                <w:color w:val="000000"/>
                <w:sz w:val="18"/>
                <w:szCs w:val="18"/>
              </w:rPr>
              <w:t>[2]</w:t>
            </w:r>
            <w:r w:rsidR="006B2670">
              <w:rPr>
                <w:rFonts w:ascii="Times New Roman" w:hAnsi="Times New Roman" w:cs="Times New Roman"/>
                <w:color w:val="000000"/>
                <w:sz w:val="18"/>
                <w:szCs w:val="18"/>
              </w:rPr>
              <w:fldChar w:fldCharType="end"/>
            </w:r>
          </w:p>
        </w:tc>
      </w:tr>
      <w:tr w:rsidR="00147F7A" w:rsidRPr="00573080" w14:paraId="3DF333EB"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9016" w:type="dxa"/>
            <w:gridSpan w:val="6"/>
            <w:tcBorders>
              <w:top w:val="single" w:sz="4" w:space="0" w:color="000000"/>
              <w:bottom w:val="single" w:sz="4" w:space="0" w:color="000000"/>
            </w:tcBorders>
          </w:tcPr>
          <w:p w14:paraId="075AB58A"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b/>
                <w:sz w:val="18"/>
                <w:szCs w:val="18"/>
              </w:rPr>
              <w:t>No BTH: Prob. transfusion in two-week period</w:t>
            </w:r>
          </w:p>
        </w:tc>
      </w:tr>
      <w:tr w:rsidR="00147F7A" w:rsidRPr="00573080" w14:paraId="7BB53170" w14:textId="77777777" w:rsidTr="00147F7A">
        <w:trPr>
          <w:trHeight w:val="213"/>
        </w:trPr>
        <w:tc>
          <w:tcPr>
            <w:tcW w:w="3538" w:type="dxa"/>
            <w:tcBorders>
              <w:top w:val="single" w:sz="4" w:space="0" w:color="000000"/>
            </w:tcBorders>
          </w:tcPr>
          <w:p w14:paraId="361B8E7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eculizumab – No BTH: prob. transfusion in 2wk period</w:t>
            </w:r>
          </w:p>
        </w:tc>
        <w:tc>
          <w:tcPr>
            <w:tcW w:w="1135" w:type="dxa"/>
            <w:tcBorders>
              <w:top w:val="single" w:sz="4" w:space="0" w:color="000000"/>
            </w:tcBorders>
          </w:tcPr>
          <w:p w14:paraId="5A35721A"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Borders>
              <w:top w:val="single" w:sz="4" w:space="0" w:color="000000"/>
            </w:tcBorders>
          </w:tcPr>
          <w:p w14:paraId="4F67277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0.09</w:t>
            </w:r>
          </w:p>
        </w:tc>
        <w:tc>
          <w:tcPr>
            <w:tcW w:w="850" w:type="dxa"/>
            <w:tcBorders>
              <w:top w:val="single" w:sz="4" w:space="0" w:color="000000"/>
            </w:tcBorders>
          </w:tcPr>
          <w:p w14:paraId="4362AA4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0.07</w:t>
            </w:r>
          </w:p>
        </w:tc>
        <w:tc>
          <w:tcPr>
            <w:tcW w:w="786" w:type="dxa"/>
            <w:tcBorders>
              <w:top w:val="single" w:sz="4" w:space="0" w:color="000000"/>
            </w:tcBorders>
          </w:tcPr>
          <w:p w14:paraId="3B2BEED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0.10</w:t>
            </w:r>
          </w:p>
        </w:tc>
        <w:tc>
          <w:tcPr>
            <w:tcW w:w="1856" w:type="dxa"/>
            <w:tcBorders>
              <w:top w:val="single" w:sz="4" w:space="0" w:color="000000"/>
            </w:tcBorders>
          </w:tcPr>
          <w:p w14:paraId="1F758D29" w14:textId="6F203F8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38D63740"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713683D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eculizumab – No BTH: prob. transfusion in 2wk period</w:t>
            </w:r>
          </w:p>
        </w:tc>
        <w:tc>
          <w:tcPr>
            <w:tcW w:w="1135" w:type="dxa"/>
          </w:tcPr>
          <w:p w14:paraId="536C5CD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7F31A10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0.02</w:t>
            </w:r>
          </w:p>
        </w:tc>
        <w:tc>
          <w:tcPr>
            <w:tcW w:w="850" w:type="dxa"/>
          </w:tcPr>
          <w:p w14:paraId="2DFC7BD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0.01</w:t>
            </w:r>
          </w:p>
        </w:tc>
        <w:tc>
          <w:tcPr>
            <w:tcW w:w="786" w:type="dxa"/>
          </w:tcPr>
          <w:p w14:paraId="4A27B45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0.03</w:t>
            </w:r>
          </w:p>
        </w:tc>
        <w:tc>
          <w:tcPr>
            <w:tcW w:w="1856" w:type="dxa"/>
          </w:tcPr>
          <w:p w14:paraId="703EEB4F" w14:textId="2B2D52C5"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52D3CB20" w14:textId="77777777" w:rsidTr="00147F7A">
        <w:trPr>
          <w:trHeight w:val="213"/>
        </w:trPr>
        <w:tc>
          <w:tcPr>
            <w:tcW w:w="3538" w:type="dxa"/>
          </w:tcPr>
          <w:p w14:paraId="0D126E5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ravulizumab – No BTH: prob. transfusion in 2wk period</w:t>
            </w:r>
          </w:p>
        </w:tc>
        <w:tc>
          <w:tcPr>
            <w:tcW w:w="1135" w:type="dxa"/>
          </w:tcPr>
          <w:p w14:paraId="171FBC26"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3781CEA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0.06</w:t>
            </w:r>
          </w:p>
        </w:tc>
        <w:tc>
          <w:tcPr>
            <w:tcW w:w="850" w:type="dxa"/>
          </w:tcPr>
          <w:p w14:paraId="09E1B62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0.05</w:t>
            </w:r>
          </w:p>
        </w:tc>
        <w:tc>
          <w:tcPr>
            <w:tcW w:w="786" w:type="dxa"/>
          </w:tcPr>
          <w:p w14:paraId="33150B8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0.07</w:t>
            </w:r>
          </w:p>
        </w:tc>
        <w:tc>
          <w:tcPr>
            <w:tcW w:w="1856" w:type="dxa"/>
          </w:tcPr>
          <w:p w14:paraId="4968C17E" w14:textId="5A1A850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31A98EDE"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222467F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ravulizumab – No BTH: prob. transfusion in 2wk period</w:t>
            </w:r>
          </w:p>
        </w:tc>
        <w:tc>
          <w:tcPr>
            <w:tcW w:w="1135" w:type="dxa"/>
          </w:tcPr>
          <w:p w14:paraId="69B614D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0949BA2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0.02</w:t>
            </w:r>
          </w:p>
        </w:tc>
        <w:tc>
          <w:tcPr>
            <w:tcW w:w="850" w:type="dxa"/>
          </w:tcPr>
          <w:p w14:paraId="6C77E37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0.02</w:t>
            </w:r>
          </w:p>
        </w:tc>
        <w:tc>
          <w:tcPr>
            <w:tcW w:w="786" w:type="dxa"/>
          </w:tcPr>
          <w:p w14:paraId="4E5DBF3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0.03</w:t>
            </w:r>
          </w:p>
        </w:tc>
        <w:tc>
          <w:tcPr>
            <w:tcW w:w="1856" w:type="dxa"/>
          </w:tcPr>
          <w:p w14:paraId="7D7CA3EC" w14:textId="4852214F"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71BDEBE8" w14:textId="77777777" w:rsidTr="00147F7A">
        <w:trPr>
          <w:trHeight w:val="213"/>
        </w:trPr>
        <w:tc>
          <w:tcPr>
            <w:tcW w:w="9016" w:type="dxa"/>
            <w:gridSpan w:val="6"/>
            <w:tcBorders>
              <w:top w:val="single" w:sz="4" w:space="0" w:color="000000"/>
              <w:bottom w:val="single" w:sz="4" w:space="0" w:color="000000"/>
            </w:tcBorders>
          </w:tcPr>
          <w:p w14:paraId="50DAB77C" w14:textId="59039F81"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 xml:space="preserve">No BTH: Units of </w:t>
            </w:r>
            <w:proofErr w:type="spellStart"/>
            <w:r w:rsidR="00302A7A">
              <w:rPr>
                <w:rFonts w:ascii="Times New Roman" w:hAnsi="Times New Roman" w:cs="Times New Roman"/>
                <w:b/>
                <w:sz w:val="18"/>
                <w:szCs w:val="18"/>
              </w:rPr>
              <w:t>p</w:t>
            </w:r>
            <w:r w:rsidRPr="00573080">
              <w:rPr>
                <w:rFonts w:ascii="Times New Roman" w:hAnsi="Times New Roman" w:cs="Times New Roman"/>
                <w:b/>
                <w:sz w:val="18"/>
                <w:szCs w:val="18"/>
              </w:rPr>
              <w:t>RBC</w:t>
            </w:r>
            <w:proofErr w:type="spellEnd"/>
            <w:r w:rsidRPr="00573080">
              <w:rPr>
                <w:rFonts w:ascii="Times New Roman" w:hAnsi="Times New Roman" w:cs="Times New Roman"/>
                <w:b/>
                <w:sz w:val="18"/>
                <w:szCs w:val="18"/>
              </w:rPr>
              <w:t xml:space="preserve"> per transfusion</w:t>
            </w:r>
          </w:p>
        </w:tc>
      </w:tr>
      <w:tr w:rsidR="00147F7A" w:rsidRPr="00573080" w14:paraId="4944A999" w14:textId="77777777" w:rsidTr="00147F7A">
        <w:trPr>
          <w:cnfStyle w:val="000000100000" w:firstRow="0" w:lastRow="0" w:firstColumn="0" w:lastColumn="0" w:oddVBand="0" w:evenVBand="0" w:oddHBand="1" w:evenHBand="0" w:firstRowFirstColumn="0" w:firstRowLastColumn="0" w:lastRowFirstColumn="0" w:lastRowLastColumn="0"/>
          <w:trHeight w:val="190"/>
        </w:trPr>
        <w:tc>
          <w:tcPr>
            <w:tcW w:w="3538" w:type="dxa"/>
            <w:tcBorders>
              <w:top w:val="single" w:sz="4" w:space="0" w:color="000000"/>
            </w:tcBorders>
          </w:tcPr>
          <w:p w14:paraId="1E1017A6" w14:textId="7B0AEE2D"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1 eculizumab – No BTH: units of </w:t>
            </w:r>
            <w:proofErr w:type="spellStart"/>
            <w:r w:rsidR="00302A7A">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Borders>
              <w:top w:val="single" w:sz="4" w:space="0" w:color="000000"/>
            </w:tcBorders>
          </w:tcPr>
          <w:p w14:paraId="6A67F23A"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top w:val="single" w:sz="4" w:space="0" w:color="000000"/>
            </w:tcBorders>
          </w:tcPr>
          <w:p w14:paraId="30C47A6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1.59</w:t>
            </w:r>
          </w:p>
        </w:tc>
        <w:tc>
          <w:tcPr>
            <w:tcW w:w="850" w:type="dxa"/>
            <w:tcBorders>
              <w:top w:val="single" w:sz="4" w:space="0" w:color="000000"/>
            </w:tcBorders>
          </w:tcPr>
          <w:p w14:paraId="7C97B6D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1.46</w:t>
            </w:r>
          </w:p>
        </w:tc>
        <w:tc>
          <w:tcPr>
            <w:tcW w:w="786" w:type="dxa"/>
            <w:tcBorders>
              <w:top w:val="single" w:sz="4" w:space="0" w:color="000000"/>
            </w:tcBorders>
          </w:tcPr>
          <w:p w14:paraId="634F8ED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1.73</w:t>
            </w:r>
          </w:p>
        </w:tc>
        <w:tc>
          <w:tcPr>
            <w:tcW w:w="1856" w:type="dxa"/>
            <w:tcBorders>
              <w:top w:val="single" w:sz="4" w:space="0" w:color="000000"/>
            </w:tcBorders>
          </w:tcPr>
          <w:p w14:paraId="7E276B19" w14:textId="3077072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1B52303E" w14:textId="77777777" w:rsidTr="00147F7A">
        <w:trPr>
          <w:trHeight w:val="225"/>
        </w:trPr>
        <w:tc>
          <w:tcPr>
            <w:tcW w:w="3538" w:type="dxa"/>
          </w:tcPr>
          <w:p w14:paraId="6A2B34D0" w14:textId="6D603E23"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2 eculizumab – No BTH: units of </w:t>
            </w:r>
            <w:proofErr w:type="spellStart"/>
            <w:r w:rsidR="00302A7A">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Pr>
          <w:p w14:paraId="1695EE6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10E87D6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1.57</w:t>
            </w:r>
          </w:p>
        </w:tc>
        <w:tc>
          <w:tcPr>
            <w:tcW w:w="850" w:type="dxa"/>
          </w:tcPr>
          <w:p w14:paraId="4220906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1.35</w:t>
            </w:r>
          </w:p>
        </w:tc>
        <w:tc>
          <w:tcPr>
            <w:tcW w:w="786" w:type="dxa"/>
          </w:tcPr>
          <w:p w14:paraId="76514032"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1.81</w:t>
            </w:r>
          </w:p>
        </w:tc>
        <w:tc>
          <w:tcPr>
            <w:tcW w:w="1856" w:type="dxa"/>
          </w:tcPr>
          <w:p w14:paraId="2618AA83" w14:textId="1DF5EB3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32DD470A"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3B118D65" w14:textId="203CC66B"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1 ravulizumab – No BTH: units of </w:t>
            </w:r>
            <w:proofErr w:type="spellStart"/>
            <w:r w:rsidR="00302A7A">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Pr>
          <w:p w14:paraId="2B6A317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23F93B1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1.68</w:t>
            </w:r>
          </w:p>
        </w:tc>
        <w:tc>
          <w:tcPr>
            <w:tcW w:w="850" w:type="dxa"/>
          </w:tcPr>
          <w:p w14:paraId="2B5BA690"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1.51</w:t>
            </w:r>
          </w:p>
        </w:tc>
        <w:tc>
          <w:tcPr>
            <w:tcW w:w="786" w:type="dxa"/>
          </w:tcPr>
          <w:p w14:paraId="76119C4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1.86</w:t>
            </w:r>
          </w:p>
        </w:tc>
        <w:tc>
          <w:tcPr>
            <w:tcW w:w="1856" w:type="dxa"/>
          </w:tcPr>
          <w:p w14:paraId="1CA64CCE" w14:textId="47ACEED6"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083569F7" w14:textId="77777777" w:rsidTr="00147F7A">
        <w:trPr>
          <w:trHeight w:val="213"/>
        </w:trPr>
        <w:tc>
          <w:tcPr>
            <w:tcW w:w="3538" w:type="dxa"/>
          </w:tcPr>
          <w:p w14:paraId="6DFB1A0E" w14:textId="5694BA88"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2 ravulizumab – No BTH: units of </w:t>
            </w:r>
            <w:proofErr w:type="spellStart"/>
            <w:r w:rsidR="00302A7A">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Pr>
          <w:p w14:paraId="5523799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4CFD0626"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1.58</w:t>
            </w:r>
          </w:p>
        </w:tc>
        <w:tc>
          <w:tcPr>
            <w:tcW w:w="850" w:type="dxa"/>
          </w:tcPr>
          <w:p w14:paraId="21E1CDA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1.34</w:t>
            </w:r>
          </w:p>
        </w:tc>
        <w:tc>
          <w:tcPr>
            <w:tcW w:w="786" w:type="dxa"/>
          </w:tcPr>
          <w:p w14:paraId="6E9B3E15"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1.83</w:t>
            </w:r>
          </w:p>
        </w:tc>
        <w:tc>
          <w:tcPr>
            <w:tcW w:w="1856" w:type="dxa"/>
          </w:tcPr>
          <w:p w14:paraId="54A9913B" w14:textId="767F7DD0"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Study 301/ Study 302</w:t>
            </w:r>
            <w:r w:rsidRPr="00573080">
              <w:rPr>
                <w:rFonts w:ascii="Times New Roman" w:hAnsi="Times New Roman" w:cs="Times New Roman"/>
                <w:sz w:val="18"/>
                <w:szCs w:val="18"/>
                <w:vertAlign w:val="superscript"/>
              </w:rPr>
              <w:t xml:space="preserve"> </w:t>
            </w:r>
            <w:r w:rsidRPr="00573080">
              <w:rPr>
                <w:rFonts w:ascii="Times New Roman" w:hAnsi="Times New Roman" w:cs="Times New Roman"/>
                <w:sz w:val="18"/>
                <w:szCs w:val="18"/>
              </w:rPr>
              <w:t xml:space="preserve"> </w:t>
            </w:r>
            <w:r w:rsidR="006B2670">
              <w:rPr>
                <w:rFonts w:ascii="Times New Roman" w:hAnsi="Times New Roman" w:cs="Times New Roman"/>
                <w:color w:val="000000"/>
                <w:sz w:val="18"/>
                <w:szCs w:val="18"/>
              </w:rPr>
              <w:fldChar w:fldCharType="begin" w:fldLock="1"/>
            </w:r>
            <w:r w:rsidR="006B2670">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006B2670">
              <w:rPr>
                <w:rFonts w:ascii="Times New Roman" w:hAnsi="Times New Roman" w:cs="Times New Roman"/>
                <w:color w:val="000000"/>
                <w:sz w:val="18"/>
                <w:szCs w:val="18"/>
              </w:rPr>
              <w:fldChar w:fldCharType="separate"/>
            </w:r>
            <w:r w:rsidR="006B2670" w:rsidRPr="00564153">
              <w:rPr>
                <w:rFonts w:ascii="Times New Roman" w:hAnsi="Times New Roman" w:cs="Times New Roman"/>
                <w:noProof/>
                <w:color w:val="000000"/>
                <w:sz w:val="18"/>
                <w:szCs w:val="18"/>
              </w:rPr>
              <w:t>[1, 2]</w:t>
            </w:r>
            <w:r w:rsidR="006B2670">
              <w:rPr>
                <w:rFonts w:ascii="Times New Roman" w:hAnsi="Times New Roman" w:cs="Times New Roman"/>
                <w:color w:val="000000"/>
                <w:sz w:val="18"/>
                <w:szCs w:val="18"/>
              </w:rPr>
              <w:fldChar w:fldCharType="end"/>
            </w:r>
          </w:p>
        </w:tc>
      </w:tr>
      <w:tr w:rsidR="00147F7A" w:rsidRPr="00573080" w14:paraId="1577C6C8"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9016" w:type="dxa"/>
            <w:gridSpan w:val="6"/>
            <w:tcBorders>
              <w:top w:val="single" w:sz="4" w:space="0" w:color="000000"/>
            </w:tcBorders>
          </w:tcPr>
          <w:p w14:paraId="042EE0EE"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With BTH: Prob. transfusion in two-week period</w:t>
            </w:r>
          </w:p>
        </w:tc>
      </w:tr>
      <w:tr w:rsidR="006B2670" w:rsidRPr="00573080" w14:paraId="11998706" w14:textId="77777777" w:rsidTr="00147F7A">
        <w:trPr>
          <w:trHeight w:val="213"/>
        </w:trPr>
        <w:tc>
          <w:tcPr>
            <w:tcW w:w="3538" w:type="dxa"/>
            <w:tcBorders>
              <w:top w:val="single" w:sz="4" w:space="0" w:color="000000"/>
            </w:tcBorders>
          </w:tcPr>
          <w:p w14:paraId="2F11A29A"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eculizumab – BTH: prob. transfusion in 2wk period</w:t>
            </w:r>
          </w:p>
        </w:tc>
        <w:tc>
          <w:tcPr>
            <w:tcW w:w="1135" w:type="dxa"/>
            <w:tcBorders>
              <w:top w:val="single" w:sz="4" w:space="0" w:color="000000"/>
            </w:tcBorders>
          </w:tcPr>
          <w:p w14:paraId="5297AD69"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top w:val="single" w:sz="4" w:space="0" w:color="000000"/>
            </w:tcBorders>
          </w:tcPr>
          <w:p w14:paraId="1FE46937"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0.30</w:t>
            </w:r>
          </w:p>
        </w:tc>
        <w:tc>
          <w:tcPr>
            <w:tcW w:w="850" w:type="dxa"/>
            <w:tcBorders>
              <w:top w:val="single" w:sz="4" w:space="0" w:color="000000"/>
            </w:tcBorders>
          </w:tcPr>
          <w:p w14:paraId="18A5352E"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14.00</w:t>
            </w:r>
          </w:p>
        </w:tc>
        <w:tc>
          <w:tcPr>
            <w:tcW w:w="786" w:type="dxa"/>
            <w:tcBorders>
              <w:top w:val="single" w:sz="4" w:space="0" w:color="000000"/>
            </w:tcBorders>
          </w:tcPr>
          <w:p w14:paraId="14F5E328"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14.00</w:t>
            </w:r>
          </w:p>
        </w:tc>
        <w:tc>
          <w:tcPr>
            <w:tcW w:w="1856" w:type="dxa"/>
            <w:tcBorders>
              <w:top w:val="single" w:sz="4" w:space="0" w:color="000000"/>
            </w:tcBorders>
          </w:tcPr>
          <w:p w14:paraId="381826E9" w14:textId="1D77A891" w:rsidR="006B2670" w:rsidRPr="00573080" w:rsidRDefault="006B2670" w:rsidP="006B2670">
            <w:pPr>
              <w:spacing w:line="276" w:lineRule="auto"/>
              <w:jc w:val="both"/>
              <w:rPr>
                <w:rFonts w:ascii="Times New Roman" w:hAnsi="Times New Roman" w:cs="Times New Roman"/>
                <w:sz w:val="18"/>
                <w:szCs w:val="18"/>
              </w:rPr>
            </w:pPr>
            <w:r w:rsidRPr="00371298">
              <w:rPr>
                <w:rFonts w:ascii="Times New Roman" w:hAnsi="Times New Roman" w:cs="Times New Roman"/>
                <w:sz w:val="18"/>
                <w:szCs w:val="18"/>
              </w:rPr>
              <w:t>Study 301/ Study 302</w:t>
            </w:r>
            <w:r w:rsidRPr="00371298">
              <w:rPr>
                <w:rFonts w:ascii="Times New Roman" w:hAnsi="Times New Roman" w:cs="Times New Roman"/>
                <w:sz w:val="18"/>
                <w:szCs w:val="18"/>
                <w:vertAlign w:val="superscript"/>
              </w:rPr>
              <w:t xml:space="preserve"> </w:t>
            </w:r>
            <w:r w:rsidRPr="00371298">
              <w:rPr>
                <w:rFonts w:ascii="Times New Roman" w:hAnsi="Times New Roman" w:cs="Times New Roman"/>
                <w:sz w:val="18"/>
                <w:szCs w:val="18"/>
              </w:rPr>
              <w:t xml:space="preserve"> </w:t>
            </w:r>
            <w:r w:rsidRPr="00371298">
              <w:rPr>
                <w:rFonts w:ascii="Times New Roman" w:hAnsi="Times New Roman" w:cs="Times New Roman"/>
                <w:color w:val="000000"/>
                <w:sz w:val="18"/>
                <w:szCs w:val="18"/>
              </w:rPr>
              <w:fldChar w:fldCharType="begin" w:fldLock="1"/>
            </w:r>
            <w:r w:rsidRPr="00371298">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371298">
              <w:rPr>
                <w:rFonts w:ascii="Times New Roman" w:hAnsi="Times New Roman" w:cs="Times New Roman"/>
                <w:color w:val="000000"/>
                <w:sz w:val="18"/>
                <w:szCs w:val="18"/>
              </w:rPr>
              <w:fldChar w:fldCharType="separate"/>
            </w:r>
            <w:r w:rsidRPr="00371298">
              <w:rPr>
                <w:rFonts w:ascii="Times New Roman" w:hAnsi="Times New Roman" w:cs="Times New Roman"/>
                <w:noProof/>
                <w:color w:val="000000"/>
                <w:sz w:val="18"/>
                <w:szCs w:val="18"/>
              </w:rPr>
              <w:t>[1, 2]</w:t>
            </w:r>
            <w:r w:rsidRPr="00371298">
              <w:rPr>
                <w:rFonts w:ascii="Times New Roman" w:hAnsi="Times New Roman" w:cs="Times New Roman"/>
                <w:color w:val="000000"/>
                <w:sz w:val="18"/>
                <w:szCs w:val="18"/>
              </w:rPr>
              <w:fldChar w:fldCharType="end"/>
            </w:r>
          </w:p>
        </w:tc>
      </w:tr>
      <w:tr w:rsidR="006B2670" w:rsidRPr="00573080" w14:paraId="6D5F2A34"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49DDA481"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eculizumab – BTH: prob. transfusion in 2wk period</w:t>
            </w:r>
          </w:p>
        </w:tc>
        <w:tc>
          <w:tcPr>
            <w:tcW w:w="1135" w:type="dxa"/>
          </w:tcPr>
          <w:p w14:paraId="56FCD2F6"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3C360900"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0.38</w:t>
            </w:r>
          </w:p>
        </w:tc>
        <w:tc>
          <w:tcPr>
            <w:tcW w:w="850" w:type="dxa"/>
          </w:tcPr>
          <w:p w14:paraId="0004127B"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2.03</w:t>
            </w:r>
          </w:p>
        </w:tc>
        <w:tc>
          <w:tcPr>
            <w:tcW w:w="786" w:type="dxa"/>
          </w:tcPr>
          <w:p w14:paraId="3745A51E"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14.00</w:t>
            </w:r>
          </w:p>
        </w:tc>
        <w:tc>
          <w:tcPr>
            <w:tcW w:w="1856" w:type="dxa"/>
          </w:tcPr>
          <w:p w14:paraId="05DC3EBA" w14:textId="675BEB63" w:rsidR="006B2670" w:rsidRPr="00573080" w:rsidRDefault="006B2670" w:rsidP="006B2670">
            <w:pPr>
              <w:spacing w:line="276" w:lineRule="auto"/>
              <w:jc w:val="both"/>
              <w:rPr>
                <w:rFonts w:ascii="Times New Roman" w:hAnsi="Times New Roman" w:cs="Times New Roman"/>
                <w:sz w:val="18"/>
                <w:szCs w:val="18"/>
              </w:rPr>
            </w:pPr>
            <w:r w:rsidRPr="00371298">
              <w:rPr>
                <w:rFonts w:ascii="Times New Roman" w:hAnsi="Times New Roman" w:cs="Times New Roman"/>
                <w:sz w:val="18"/>
                <w:szCs w:val="18"/>
              </w:rPr>
              <w:t>Study 301/ Study 302</w:t>
            </w:r>
            <w:r w:rsidRPr="00371298">
              <w:rPr>
                <w:rFonts w:ascii="Times New Roman" w:hAnsi="Times New Roman" w:cs="Times New Roman"/>
                <w:sz w:val="18"/>
                <w:szCs w:val="18"/>
                <w:vertAlign w:val="superscript"/>
              </w:rPr>
              <w:t xml:space="preserve"> </w:t>
            </w:r>
            <w:r w:rsidRPr="00371298">
              <w:rPr>
                <w:rFonts w:ascii="Times New Roman" w:hAnsi="Times New Roman" w:cs="Times New Roman"/>
                <w:sz w:val="18"/>
                <w:szCs w:val="18"/>
              </w:rPr>
              <w:t xml:space="preserve"> </w:t>
            </w:r>
            <w:r w:rsidRPr="00371298">
              <w:rPr>
                <w:rFonts w:ascii="Times New Roman" w:hAnsi="Times New Roman" w:cs="Times New Roman"/>
                <w:color w:val="000000"/>
                <w:sz w:val="18"/>
                <w:szCs w:val="18"/>
              </w:rPr>
              <w:fldChar w:fldCharType="begin" w:fldLock="1"/>
            </w:r>
            <w:r w:rsidRPr="00371298">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371298">
              <w:rPr>
                <w:rFonts w:ascii="Times New Roman" w:hAnsi="Times New Roman" w:cs="Times New Roman"/>
                <w:color w:val="000000"/>
                <w:sz w:val="18"/>
                <w:szCs w:val="18"/>
              </w:rPr>
              <w:fldChar w:fldCharType="separate"/>
            </w:r>
            <w:r w:rsidRPr="00371298">
              <w:rPr>
                <w:rFonts w:ascii="Times New Roman" w:hAnsi="Times New Roman" w:cs="Times New Roman"/>
                <w:noProof/>
                <w:color w:val="000000"/>
                <w:sz w:val="18"/>
                <w:szCs w:val="18"/>
              </w:rPr>
              <w:t>[1, 2]</w:t>
            </w:r>
            <w:r w:rsidRPr="00371298">
              <w:rPr>
                <w:rFonts w:ascii="Times New Roman" w:hAnsi="Times New Roman" w:cs="Times New Roman"/>
                <w:color w:val="000000"/>
                <w:sz w:val="18"/>
                <w:szCs w:val="18"/>
              </w:rPr>
              <w:fldChar w:fldCharType="end"/>
            </w:r>
          </w:p>
        </w:tc>
      </w:tr>
      <w:tr w:rsidR="006B2670" w:rsidRPr="00573080" w14:paraId="03177327" w14:textId="77777777" w:rsidTr="00147F7A">
        <w:trPr>
          <w:trHeight w:val="213"/>
        </w:trPr>
        <w:tc>
          <w:tcPr>
            <w:tcW w:w="3538" w:type="dxa"/>
          </w:tcPr>
          <w:p w14:paraId="76E2F56A"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ravulizumab – BTH: prob. transfusion in 2wk period</w:t>
            </w:r>
          </w:p>
        </w:tc>
        <w:tc>
          <w:tcPr>
            <w:tcW w:w="1135" w:type="dxa"/>
          </w:tcPr>
          <w:p w14:paraId="7BEDCC54"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6CC4B736"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0.17</w:t>
            </w:r>
          </w:p>
        </w:tc>
        <w:tc>
          <w:tcPr>
            <w:tcW w:w="850" w:type="dxa"/>
          </w:tcPr>
          <w:p w14:paraId="51B586D5"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1.76</w:t>
            </w:r>
          </w:p>
        </w:tc>
        <w:tc>
          <w:tcPr>
            <w:tcW w:w="786" w:type="dxa"/>
          </w:tcPr>
          <w:p w14:paraId="3C0268BB"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14.00</w:t>
            </w:r>
          </w:p>
        </w:tc>
        <w:tc>
          <w:tcPr>
            <w:tcW w:w="1856" w:type="dxa"/>
          </w:tcPr>
          <w:p w14:paraId="43788F1F" w14:textId="6AE9EEF8" w:rsidR="006B2670" w:rsidRPr="00573080" w:rsidRDefault="006B2670" w:rsidP="006B2670">
            <w:pPr>
              <w:spacing w:line="276" w:lineRule="auto"/>
              <w:jc w:val="both"/>
              <w:rPr>
                <w:rFonts w:ascii="Times New Roman" w:hAnsi="Times New Roman" w:cs="Times New Roman"/>
                <w:sz w:val="18"/>
                <w:szCs w:val="18"/>
              </w:rPr>
            </w:pPr>
            <w:r w:rsidRPr="00371298">
              <w:rPr>
                <w:rFonts w:ascii="Times New Roman" w:hAnsi="Times New Roman" w:cs="Times New Roman"/>
                <w:sz w:val="18"/>
                <w:szCs w:val="18"/>
              </w:rPr>
              <w:t>Study 301/ Study 302</w:t>
            </w:r>
            <w:r w:rsidRPr="00371298">
              <w:rPr>
                <w:rFonts w:ascii="Times New Roman" w:hAnsi="Times New Roman" w:cs="Times New Roman"/>
                <w:sz w:val="18"/>
                <w:szCs w:val="18"/>
                <w:vertAlign w:val="superscript"/>
              </w:rPr>
              <w:t xml:space="preserve"> </w:t>
            </w:r>
            <w:r w:rsidRPr="00371298">
              <w:rPr>
                <w:rFonts w:ascii="Times New Roman" w:hAnsi="Times New Roman" w:cs="Times New Roman"/>
                <w:sz w:val="18"/>
                <w:szCs w:val="18"/>
              </w:rPr>
              <w:t xml:space="preserve"> </w:t>
            </w:r>
            <w:r w:rsidRPr="00371298">
              <w:rPr>
                <w:rFonts w:ascii="Times New Roman" w:hAnsi="Times New Roman" w:cs="Times New Roman"/>
                <w:color w:val="000000"/>
                <w:sz w:val="18"/>
                <w:szCs w:val="18"/>
              </w:rPr>
              <w:fldChar w:fldCharType="begin" w:fldLock="1"/>
            </w:r>
            <w:r w:rsidRPr="00371298">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371298">
              <w:rPr>
                <w:rFonts w:ascii="Times New Roman" w:hAnsi="Times New Roman" w:cs="Times New Roman"/>
                <w:color w:val="000000"/>
                <w:sz w:val="18"/>
                <w:szCs w:val="18"/>
              </w:rPr>
              <w:fldChar w:fldCharType="separate"/>
            </w:r>
            <w:r w:rsidRPr="00371298">
              <w:rPr>
                <w:rFonts w:ascii="Times New Roman" w:hAnsi="Times New Roman" w:cs="Times New Roman"/>
                <w:noProof/>
                <w:color w:val="000000"/>
                <w:sz w:val="18"/>
                <w:szCs w:val="18"/>
              </w:rPr>
              <w:t>[1, 2]</w:t>
            </w:r>
            <w:r w:rsidRPr="00371298">
              <w:rPr>
                <w:rFonts w:ascii="Times New Roman" w:hAnsi="Times New Roman" w:cs="Times New Roman"/>
                <w:color w:val="000000"/>
                <w:sz w:val="18"/>
                <w:szCs w:val="18"/>
              </w:rPr>
              <w:fldChar w:fldCharType="end"/>
            </w:r>
          </w:p>
        </w:tc>
      </w:tr>
      <w:tr w:rsidR="006B2670" w:rsidRPr="00573080" w14:paraId="1BD04ABF"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35A95F4F"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ravulizumab – BTH: prob. transfusion in 2wk period</w:t>
            </w:r>
          </w:p>
        </w:tc>
        <w:tc>
          <w:tcPr>
            <w:tcW w:w="1135" w:type="dxa"/>
          </w:tcPr>
          <w:p w14:paraId="3DBA1FC3"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28613FF4"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w:t>
            </w:r>
          </w:p>
        </w:tc>
        <w:tc>
          <w:tcPr>
            <w:tcW w:w="850" w:type="dxa"/>
          </w:tcPr>
          <w:p w14:paraId="35DF2B63"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w:t>
            </w:r>
          </w:p>
        </w:tc>
        <w:tc>
          <w:tcPr>
            <w:tcW w:w="786" w:type="dxa"/>
          </w:tcPr>
          <w:p w14:paraId="4D905433"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w:t>
            </w:r>
          </w:p>
        </w:tc>
        <w:tc>
          <w:tcPr>
            <w:tcW w:w="1856" w:type="dxa"/>
          </w:tcPr>
          <w:p w14:paraId="34FAFD33" w14:textId="23B37A9B" w:rsidR="006B2670" w:rsidRPr="00573080" w:rsidRDefault="006B2670" w:rsidP="006B2670">
            <w:pPr>
              <w:spacing w:line="276" w:lineRule="auto"/>
              <w:jc w:val="both"/>
              <w:rPr>
                <w:rFonts w:ascii="Times New Roman" w:hAnsi="Times New Roman" w:cs="Times New Roman"/>
                <w:sz w:val="18"/>
                <w:szCs w:val="18"/>
              </w:rPr>
            </w:pPr>
            <w:r w:rsidRPr="00371298">
              <w:rPr>
                <w:rFonts w:ascii="Times New Roman" w:hAnsi="Times New Roman" w:cs="Times New Roman"/>
                <w:sz w:val="18"/>
                <w:szCs w:val="18"/>
              </w:rPr>
              <w:t>Study 301/ Study 302</w:t>
            </w:r>
            <w:r w:rsidRPr="00371298">
              <w:rPr>
                <w:rFonts w:ascii="Times New Roman" w:hAnsi="Times New Roman" w:cs="Times New Roman"/>
                <w:sz w:val="18"/>
                <w:szCs w:val="18"/>
                <w:vertAlign w:val="superscript"/>
              </w:rPr>
              <w:t xml:space="preserve"> </w:t>
            </w:r>
            <w:r w:rsidRPr="00371298">
              <w:rPr>
                <w:rFonts w:ascii="Times New Roman" w:hAnsi="Times New Roman" w:cs="Times New Roman"/>
                <w:sz w:val="18"/>
                <w:szCs w:val="18"/>
              </w:rPr>
              <w:t xml:space="preserve"> </w:t>
            </w:r>
            <w:r w:rsidRPr="00371298">
              <w:rPr>
                <w:rFonts w:ascii="Times New Roman" w:hAnsi="Times New Roman" w:cs="Times New Roman"/>
                <w:color w:val="000000"/>
                <w:sz w:val="18"/>
                <w:szCs w:val="18"/>
              </w:rPr>
              <w:fldChar w:fldCharType="begin" w:fldLock="1"/>
            </w:r>
            <w:r w:rsidRPr="00371298">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371298">
              <w:rPr>
                <w:rFonts w:ascii="Times New Roman" w:hAnsi="Times New Roman" w:cs="Times New Roman"/>
                <w:color w:val="000000"/>
                <w:sz w:val="18"/>
                <w:szCs w:val="18"/>
              </w:rPr>
              <w:fldChar w:fldCharType="separate"/>
            </w:r>
            <w:r w:rsidRPr="00371298">
              <w:rPr>
                <w:rFonts w:ascii="Times New Roman" w:hAnsi="Times New Roman" w:cs="Times New Roman"/>
                <w:noProof/>
                <w:color w:val="000000"/>
                <w:sz w:val="18"/>
                <w:szCs w:val="18"/>
              </w:rPr>
              <w:t>[1, 2]</w:t>
            </w:r>
            <w:r w:rsidRPr="00371298">
              <w:rPr>
                <w:rFonts w:ascii="Times New Roman" w:hAnsi="Times New Roman" w:cs="Times New Roman"/>
                <w:color w:val="000000"/>
                <w:sz w:val="18"/>
                <w:szCs w:val="18"/>
              </w:rPr>
              <w:fldChar w:fldCharType="end"/>
            </w:r>
          </w:p>
        </w:tc>
      </w:tr>
      <w:tr w:rsidR="00147F7A" w:rsidRPr="00573080" w14:paraId="70D61971" w14:textId="77777777" w:rsidTr="00147F7A">
        <w:trPr>
          <w:trHeight w:val="213"/>
        </w:trPr>
        <w:tc>
          <w:tcPr>
            <w:tcW w:w="9016" w:type="dxa"/>
            <w:gridSpan w:val="6"/>
            <w:tcBorders>
              <w:top w:val="single" w:sz="4" w:space="0" w:color="000000"/>
              <w:bottom w:val="single" w:sz="4" w:space="0" w:color="000000"/>
            </w:tcBorders>
          </w:tcPr>
          <w:p w14:paraId="20D0443A" w14:textId="32614793"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W</w:t>
            </w:r>
            <w:r w:rsidR="000340B9" w:rsidRPr="00573080">
              <w:rPr>
                <w:rFonts w:ascii="Times New Roman" w:hAnsi="Times New Roman" w:cs="Times New Roman"/>
                <w:b/>
                <w:sz w:val="18"/>
                <w:szCs w:val="18"/>
              </w:rPr>
              <w:t>ith</w:t>
            </w:r>
            <w:r w:rsidRPr="00573080">
              <w:rPr>
                <w:rFonts w:ascii="Times New Roman" w:hAnsi="Times New Roman" w:cs="Times New Roman"/>
                <w:b/>
                <w:sz w:val="18"/>
                <w:szCs w:val="18"/>
              </w:rPr>
              <w:t xml:space="preserve"> BTH: Units of </w:t>
            </w:r>
            <w:proofErr w:type="spellStart"/>
            <w:r w:rsidR="00302A7A">
              <w:rPr>
                <w:rFonts w:ascii="Times New Roman" w:hAnsi="Times New Roman" w:cs="Times New Roman"/>
                <w:b/>
                <w:sz w:val="18"/>
                <w:szCs w:val="18"/>
              </w:rPr>
              <w:t>p</w:t>
            </w:r>
            <w:r w:rsidRPr="00573080">
              <w:rPr>
                <w:rFonts w:ascii="Times New Roman" w:hAnsi="Times New Roman" w:cs="Times New Roman"/>
                <w:b/>
                <w:sz w:val="18"/>
                <w:szCs w:val="18"/>
              </w:rPr>
              <w:t>RBC</w:t>
            </w:r>
            <w:proofErr w:type="spellEnd"/>
            <w:r w:rsidRPr="00573080">
              <w:rPr>
                <w:rFonts w:ascii="Times New Roman" w:hAnsi="Times New Roman" w:cs="Times New Roman"/>
                <w:b/>
                <w:sz w:val="18"/>
                <w:szCs w:val="18"/>
              </w:rPr>
              <w:t xml:space="preserve"> per transfusion</w:t>
            </w:r>
          </w:p>
        </w:tc>
      </w:tr>
      <w:tr w:rsidR="006B2670" w:rsidRPr="00573080" w14:paraId="749C05C7"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top w:val="single" w:sz="4" w:space="0" w:color="000000"/>
            </w:tcBorders>
          </w:tcPr>
          <w:p w14:paraId="609B02FA" w14:textId="5088235A"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1 eculizumab – BTH: units of </w:t>
            </w:r>
            <w:proofErr w:type="spellStart"/>
            <w:r>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Borders>
              <w:top w:val="single" w:sz="4" w:space="0" w:color="000000"/>
            </w:tcBorders>
          </w:tcPr>
          <w:p w14:paraId="35CE25A2"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top w:val="single" w:sz="4" w:space="0" w:color="000000"/>
            </w:tcBorders>
          </w:tcPr>
          <w:p w14:paraId="40869882"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1.83</w:t>
            </w:r>
          </w:p>
        </w:tc>
        <w:tc>
          <w:tcPr>
            <w:tcW w:w="850" w:type="dxa"/>
            <w:tcBorders>
              <w:top w:val="single" w:sz="4" w:space="0" w:color="000000"/>
            </w:tcBorders>
          </w:tcPr>
          <w:p w14:paraId="06959935"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1.52</w:t>
            </w:r>
          </w:p>
        </w:tc>
        <w:tc>
          <w:tcPr>
            <w:tcW w:w="786" w:type="dxa"/>
            <w:tcBorders>
              <w:top w:val="single" w:sz="4" w:space="0" w:color="000000"/>
            </w:tcBorders>
          </w:tcPr>
          <w:p w14:paraId="342341E6"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2.17</w:t>
            </w:r>
          </w:p>
        </w:tc>
        <w:tc>
          <w:tcPr>
            <w:tcW w:w="1856" w:type="dxa"/>
            <w:tcBorders>
              <w:top w:val="single" w:sz="4" w:space="0" w:color="000000"/>
            </w:tcBorders>
          </w:tcPr>
          <w:p w14:paraId="47A3DE82" w14:textId="0012589E" w:rsidR="006B2670" w:rsidRPr="00573080" w:rsidRDefault="006B2670" w:rsidP="006B2670">
            <w:pPr>
              <w:spacing w:line="276" w:lineRule="auto"/>
              <w:jc w:val="both"/>
              <w:rPr>
                <w:rFonts w:ascii="Times New Roman" w:hAnsi="Times New Roman" w:cs="Times New Roman"/>
                <w:sz w:val="18"/>
                <w:szCs w:val="18"/>
              </w:rPr>
            </w:pPr>
            <w:r w:rsidRPr="00802952">
              <w:rPr>
                <w:rFonts w:ascii="Times New Roman" w:hAnsi="Times New Roman" w:cs="Times New Roman"/>
                <w:sz w:val="18"/>
                <w:szCs w:val="18"/>
              </w:rPr>
              <w:t>Study 301/ Study 302</w:t>
            </w:r>
            <w:r w:rsidRPr="00802952">
              <w:rPr>
                <w:rFonts w:ascii="Times New Roman" w:hAnsi="Times New Roman" w:cs="Times New Roman"/>
                <w:sz w:val="18"/>
                <w:szCs w:val="18"/>
                <w:vertAlign w:val="superscript"/>
              </w:rPr>
              <w:t xml:space="preserve"> </w:t>
            </w:r>
            <w:r w:rsidRPr="00802952">
              <w:rPr>
                <w:rFonts w:ascii="Times New Roman" w:hAnsi="Times New Roman" w:cs="Times New Roman"/>
                <w:sz w:val="18"/>
                <w:szCs w:val="18"/>
              </w:rPr>
              <w:t xml:space="preserve"> </w:t>
            </w:r>
            <w:r w:rsidRPr="00802952">
              <w:rPr>
                <w:rFonts w:ascii="Times New Roman" w:hAnsi="Times New Roman" w:cs="Times New Roman"/>
                <w:color w:val="000000"/>
                <w:sz w:val="18"/>
                <w:szCs w:val="18"/>
              </w:rPr>
              <w:fldChar w:fldCharType="begin" w:fldLock="1"/>
            </w:r>
            <w:r w:rsidRPr="0080295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802952">
              <w:rPr>
                <w:rFonts w:ascii="Times New Roman" w:hAnsi="Times New Roman" w:cs="Times New Roman"/>
                <w:color w:val="000000"/>
                <w:sz w:val="18"/>
                <w:szCs w:val="18"/>
              </w:rPr>
              <w:fldChar w:fldCharType="separate"/>
            </w:r>
            <w:r w:rsidRPr="00802952">
              <w:rPr>
                <w:rFonts w:ascii="Times New Roman" w:hAnsi="Times New Roman" w:cs="Times New Roman"/>
                <w:noProof/>
                <w:color w:val="000000"/>
                <w:sz w:val="18"/>
                <w:szCs w:val="18"/>
              </w:rPr>
              <w:t>[1, 2]</w:t>
            </w:r>
            <w:r w:rsidRPr="00802952">
              <w:rPr>
                <w:rFonts w:ascii="Times New Roman" w:hAnsi="Times New Roman" w:cs="Times New Roman"/>
                <w:color w:val="000000"/>
                <w:sz w:val="18"/>
                <w:szCs w:val="18"/>
              </w:rPr>
              <w:fldChar w:fldCharType="end"/>
            </w:r>
          </w:p>
        </w:tc>
      </w:tr>
      <w:tr w:rsidR="006B2670" w:rsidRPr="00573080" w14:paraId="04DDDFB7" w14:textId="77777777" w:rsidTr="00147F7A">
        <w:trPr>
          <w:trHeight w:val="213"/>
        </w:trPr>
        <w:tc>
          <w:tcPr>
            <w:tcW w:w="3538" w:type="dxa"/>
          </w:tcPr>
          <w:p w14:paraId="20969A5B" w14:textId="11C10825"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2 eculizumab – BTH: units of </w:t>
            </w:r>
            <w:proofErr w:type="spellStart"/>
            <w:r>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Pr>
          <w:p w14:paraId="4CAC60A9"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0C0517CD"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2.33</w:t>
            </w:r>
          </w:p>
        </w:tc>
        <w:tc>
          <w:tcPr>
            <w:tcW w:w="850" w:type="dxa"/>
          </w:tcPr>
          <w:p w14:paraId="3A6ED63C"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0.94</w:t>
            </w:r>
          </w:p>
        </w:tc>
        <w:tc>
          <w:tcPr>
            <w:tcW w:w="786" w:type="dxa"/>
          </w:tcPr>
          <w:p w14:paraId="491D8F91"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4.35</w:t>
            </w:r>
          </w:p>
        </w:tc>
        <w:tc>
          <w:tcPr>
            <w:tcW w:w="1856" w:type="dxa"/>
          </w:tcPr>
          <w:p w14:paraId="0E198A5E" w14:textId="1DA2CAF5" w:rsidR="006B2670" w:rsidRPr="00573080" w:rsidRDefault="006B2670" w:rsidP="006B2670">
            <w:pPr>
              <w:spacing w:line="276" w:lineRule="auto"/>
              <w:jc w:val="both"/>
              <w:rPr>
                <w:rFonts w:ascii="Times New Roman" w:hAnsi="Times New Roman" w:cs="Times New Roman"/>
                <w:sz w:val="18"/>
                <w:szCs w:val="18"/>
              </w:rPr>
            </w:pPr>
            <w:r w:rsidRPr="00802952">
              <w:rPr>
                <w:rFonts w:ascii="Times New Roman" w:hAnsi="Times New Roman" w:cs="Times New Roman"/>
                <w:sz w:val="18"/>
                <w:szCs w:val="18"/>
              </w:rPr>
              <w:t>Study 301/ Study 302</w:t>
            </w:r>
            <w:r w:rsidRPr="00802952">
              <w:rPr>
                <w:rFonts w:ascii="Times New Roman" w:hAnsi="Times New Roman" w:cs="Times New Roman"/>
                <w:sz w:val="18"/>
                <w:szCs w:val="18"/>
                <w:vertAlign w:val="superscript"/>
              </w:rPr>
              <w:t xml:space="preserve"> </w:t>
            </w:r>
            <w:r w:rsidRPr="00802952">
              <w:rPr>
                <w:rFonts w:ascii="Times New Roman" w:hAnsi="Times New Roman" w:cs="Times New Roman"/>
                <w:sz w:val="18"/>
                <w:szCs w:val="18"/>
              </w:rPr>
              <w:t xml:space="preserve"> </w:t>
            </w:r>
            <w:r w:rsidRPr="00802952">
              <w:rPr>
                <w:rFonts w:ascii="Times New Roman" w:hAnsi="Times New Roman" w:cs="Times New Roman"/>
                <w:color w:val="000000"/>
                <w:sz w:val="18"/>
                <w:szCs w:val="18"/>
              </w:rPr>
              <w:fldChar w:fldCharType="begin" w:fldLock="1"/>
            </w:r>
            <w:r w:rsidRPr="0080295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802952">
              <w:rPr>
                <w:rFonts w:ascii="Times New Roman" w:hAnsi="Times New Roman" w:cs="Times New Roman"/>
                <w:color w:val="000000"/>
                <w:sz w:val="18"/>
                <w:szCs w:val="18"/>
              </w:rPr>
              <w:fldChar w:fldCharType="separate"/>
            </w:r>
            <w:r w:rsidRPr="00802952">
              <w:rPr>
                <w:rFonts w:ascii="Times New Roman" w:hAnsi="Times New Roman" w:cs="Times New Roman"/>
                <w:noProof/>
                <w:color w:val="000000"/>
                <w:sz w:val="18"/>
                <w:szCs w:val="18"/>
              </w:rPr>
              <w:t>[1, 2]</w:t>
            </w:r>
            <w:r w:rsidRPr="00802952">
              <w:rPr>
                <w:rFonts w:ascii="Times New Roman" w:hAnsi="Times New Roman" w:cs="Times New Roman"/>
                <w:color w:val="000000"/>
                <w:sz w:val="18"/>
                <w:szCs w:val="18"/>
              </w:rPr>
              <w:fldChar w:fldCharType="end"/>
            </w:r>
          </w:p>
        </w:tc>
      </w:tr>
      <w:tr w:rsidR="006B2670" w:rsidRPr="00573080" w14:paraId="7EB134D9" w14:textId="77777777" w:rsidTr="00147F7A">
        <w:trPr>
          <w:cnfStyle w:val="000000100000" w:firstRow="0" w:lastRow="0" w:firstColumn="0" w:lastColumn="0" w:oddVBand="0" w:evenVBand="0" w:oddHBand="1" w:evenHBand="0" w:firstRowFirstColumn="0" w:firstRowLastColumn="0" w:lastRowFirstColumn="0" w:lastRowLastColumn="0"/>
          <w:trHeight w:val="225"/>
        </w:trPr>
        <w:tc>
          <w:tcPr>
            <w:tcW w:w="3538" w:type="dxa"/>
          </w:tcPr>
          <w:p w14:paraId="4EDC1F5C" w14:textId="35621BC1"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1 ravulizumab – BTH: units of </w:t>
            </w:r>
            <w:proofErr w:type="spellStart"/>
            <w:r>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Pr>
          <w:p w14:paraId="6DABE8E2"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7712057B"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1.50</w:t>
            </w:r>
          </w:p>
        </w:tc>
        <w:tc>
          <w:tcPr>
            <w:tcW w:w="850" w:type="dxa"/>
          </w:tcPr>
          <w:p w14:paraId="096948BB"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0.69</w:t>
            </w:r>
          </w:p>
        </w:tc>
        <w:tc>
          <w:tcPr>
            <w:tcW w:w="786" w:type="dxa"/>
          </w:tcPr>
          <w:p w14:paraId="2717E9F4"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2.63</w:t>
            </w:r>
          </w:p>
        </w:tc>
        <w:tc>
          <w:tcPr>
            <w:tcW w:w="1856" w:type="dxa"/>
          </w:tcPr>
          <w:p w14:paraId="5B76FC12" w14:textId="7EF4977E" w:rsidR="006B2670" w:rsidRPr="00573080" w:rsidRDefault="006B2670" w:rsidP="006B2670">
            <w:pPr>
              <w:spacing w:line="276" w:lineRule="auto"/>
              <w:jc w:val="both"/>
              <w:rPr>
                <w:rFonts w:ascii="Times New Roman" w:hAnsi="Times New Roman" w:cs="Times New Roman"/>
                <w:sz w:val="18"/>
                <w:szCs w:val="18"/>
              </w:rPr>
            </w:pPr>
            <w:r w:rsidRPr="00802952">
              <w:rPr>
                <w:rFonts w:ascii="Times New Roman" w:hAnsi="Times New Roman" w:cs="Times New Roman"/>
                <w:sz w:val="18"/>
                <w:szCs w:val="18"/>
              </w:rPr>
              <w:t>Study 301/ Study 302</w:t>
            </w:r>
            <w:r w:rsidRPr="00802952">
              <w:rPr>
                <w:rFonts w:ascii="Times New Roman" w:hAnsi="Times New Roman" w:cs="Times New Roman"/>
                <w:sz w:val="18"/>
                <w:szCs w:val="18"/>
                <w:vertAlign w:val="superscript"/>
              </w:rPr>
              <w:t xml:space="preserve"> </w:t>
            </w:r>
            <w:r w:rsidRPr="00802952">
              <w:rPr>
                <w:rFonts w:ascii="Times New Roman" w:hAnsi="Times New Roman" w:cs="Times New Roman"/>
                <w:sz w:val="18"/>
                <w:szCs w:val="18"/>
              </w:rPr>
              <w:t xml:space="preserve"> </w:t>
            </w:r>
            <w:r w:rsidRPr="00802952">
              <w:rPr>
                <w:rFonts w:ascii="Times New Roman" w:hAnsi="Times New Roman" w:cs="Times New Roman"/>
                <w:color w:val="000000"/>
                <w:sz w:val="18"/>
                <w:szCs w:val="18"/>
              </w:rPr>
              <w:fldChar w:fldCharType="begin" w:fldLock="1"/>
            </w:r>
            <w:r w:rsidRPr="0080295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802952">
              <w:rPr>
                <w:rFonts w:ascii="Times New Roman" w:hAnsi="Times New Roman" w:cs="Times New Roman"/>
                <w:color w:val="000000"/>
                <w:sz w:val="18"/>
                <w:szCs w:val="18"/>
              </w:rPr>
              <w:fldChar w:fldCharType="separate"/>
            </w:r>
            <w:r w:rsidRPr="00802952">
              <w:rPr>
                <w:rFonts w:ascii="Times New Roman" w:hAnsi="Times New Roman" w:cs="Times New Roman"/>
                <w:noProof/>
                <w:color w:val="000000"/>
                <w:sz w:val="18"/>
                <w:szCs w:val="18"/>
              </w:rPr>
              <w:t>[1, 2]</w:t>
            </w:r>
            <w:r w:rsidRPr="00802952">
              <w:rPr>
                <w:rFonts w:ascii="Times New Roman" w:hAnsi="Times New Roman" w:cs="Times New Roman"/>
                <w:color w:val="000000"/>
                <w:sz w:val="18"/>
                <w:szCs w:val="18"/>
              </w:rPr>
              <w:fldChar w:fldCharType="end"/>
            </w:r>
          </w:p>
        </w:tc>
      </w:tr>
      <w:tr w:rsidR="006B2670" w:rsidRPr="00573080" w14:paraId="212F2854" w14:textId="77777777" w:rsidTr="00147F7A">
        <w:trPr>
          <w:trHeight w:val="213"/>
        </w:trPr>
        <w:tc>
          <w:tcPr>
            <w:tcW w:w="3538" w:type="dxa"/>
          </w:tcPr>
          <w:p w14:paraId="6F4561C4" w14:textId="3BC5E7FA"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Cohort 2 ravulizumab – BTH: units of </w:t>
            </w:r>
            <w:proofErr w:type="spellStart"/>
            <w:r>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per transfusion</w:t>
            </w:r>
          </w:p>
        </w:tc>
        <w:tc>
          <w:tcPr>
            <w:tcW w:w="1135" w:type="dxa"/>
          </w:tcPr>
          <w:p w14:paraId="53C47CA3"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33EE4A5D"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w:t>
            </w:r>
          </w:p>
        </w:tc>
        <w:tc>
          <w:tcPr>
            <w:tcW w:w="850" w:type="dxa"/>
          </w:tcPr>
          <w:p w14:paraId="57A7A0C2"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w:t>
            </w:r>
          </w:p>
        </w:tc>
        <w:tc>
          <w:tcPr>
            <w:tcW w:w="786" w:type="dxa"/>
          </w:tcPr>
          <w:p w14:paraId="54CF1D8C"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0.00</w:t>
            </w:r>
          </w:p>
        </w:tc>
        <w:tc>
          <w:tcPr>
            <w:tcW w:w="1856" w:type="dxa"/>
          </w:tcPr>
          <w:p w14:paraId="28AD735B" w14:textId="1DD79BF1" w:rsidR="006B2670" w:rsidRPr="00573080" w:rsidRDefault="006B2670" w:rsidP="006B2670">
            <w:pPr>
              <w:spacing w:line="276" w:lineRule="auto"/>
              <w:jc w:val="both"/>
              <w:rPr>
                <w:rFonts w:ascii="Times New Roman" w:hAnsi="Times New Roman" w:cs="Times New Roman"/>
                <w:sz w:val="18"/>
                <w:szCs w:val="18"/>
              </w:rPr>
            </w:pPr>
            <w:r w:rsidRPr="00802952">
              <w:rPr>
                <w:rFonts w:ascii="Times New Roman" w:hAnsi="Times New Roman" w:cs="Times New Roman"/>
                <w:sz w:val="18"/>
                <w:szCs w:val="18"/>
              </w:rPr>
              <w:t>Study 301/ Study 302</w:t>
            </w:r>
            <w:r w:rsidRPr="00802952">
              <w:rPr>
                <w:rFonts w:ascii="Times New Roman" w:hAnsi="Times New Roman" w:cs="Times New Roman"/>
                <w:sz w:val="18"/>
                <w:szCs w:val="18"/>
                <w:vertAlign w:val="superscript"/>
              </w:rPr>
              <w:t xml:space="preserve"> </w:t>
            </w:r>
            <w:r w:rsidRPr="00802952">
              <w:rPr>
                <w:rFonts w:ascii="Times New Roman" w:hAnsi="Times New Roman" w:cs="Times New Roman"/>
                <w:sz w:val="18"/>
                <w:szCs w:val="18"/>
              </w:rPr>
              <w:t xml:space="preserve"> </w:t>
            </w:r>
            <w:r w:rsidRPr="00802952">
              <w:rPr>
                <w:rFonts w:ascii="Times New Roman" w:hAnsi="Times New Roman" w:cs="Times New Roman"/>
                <w:color w:val="000000"/>
                <w:sz w:val="18"/>
                <w:szCs w:val="18"/>
              </w:rPr>
              <w:fldChar w:fldCharType="begin" w:fldLock="1"/>
            </w:r>
            <w:r w:rsidRPr="0080295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802952">
              <w:rPr>
                <w:rFonts w:ascii="Times New Roman" w:hAnsi="Times New Roman" w:cs="Times New Roman"/>
                <w:color w:val="000000"/>
                <w:sz w:val="18"/>
                <w:szCs w:val="18"/>
              </w:rPr>
              <w:fldChar w:fldCharType="separate"/>
            </w:r>
            <w:r w:rsidRPr="00802952">
              <w:rPr>
                <w:rFonts w:ascii="Times New Roman" w:hAnsi="Times New Roman" w:cs="Times New Roman"/>
                <w:noProof/>
                <w:color w:val="000000"/>
                <w:sz w:val="18"/>
                <w:szCs w:val="18"/>
              </w:rPr>
              <w:t>[1, 2]</w:t>
            </w:r>
            <w:r w:rsidRPr="00802952">
              <w:rPr>
                <w:rFonts w:ascii="Times New Roman" w:hAnsi="Times New Roman" w:cs="Times New Roman"/>
                <w:color w:val="000000"/>
                <w:sz w:val="18"/>
                <w:szCs w:val="18"/>
              </w:rPr>
              <w:fldChar w:fldCharType="end"/>
            </w:r>
          </w:p>
        </w:tc>
      </w:tr>
      <w:tr w:rsidR="00147F7A" w:rsidRPr="00573080" w14:paraId="6A7372B2"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9016" w:type="dxa"/>
            <w:gridSpan w:val="6"/>
            <w:tcBorders>
              <w:top w:val="single" w:sz="4" w:space="0" w:color="000000"/>
            </w:tcBorders>
          </w:tcPr>
          <w:p w14:paraId="292ACFD2"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No-BTH-event health utilities</w:t>
            </w:r>
          </w:p>
        </w:tc>
      </w:tr>
      <w:tr w:rsidR="006B2670" w:rsidRPr="00573080" w14:paraId="73EF1D07" w14:textId="77777777" w:rsidTr="00147F7A">
        <w:trPr>
          <w:trHeight w:val="213"/>
        </w:trPr>
        <w:tc>
          <w:tcPr>
            <w:tcW w:w="3538" w:type="dxa"/>
            <w:tcBorders>
              <w:top w:val="single" w:sz="4" w:space="0" w:color="000000"/>
            </w:tcBorders>
          </w:tcPr>
          <w:p w14:paraId="6A03F479"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eculizumab – No BTH-event health utility</w:t>
            </w:r>
          </w:p>
        </w:tc>
        <w:tc>
          <w:tcPr>
            <w:tcW w:w="1135" w:type="dxa"/>
            <w:tcBorders>
              <w:top w:val="single" w:sz="4" w:space="0" w:color="000000"/>
            </w:tcBorders>
          </w:tcPr>
          <w:p w14:paraId="34C6AFAF"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Borders>
              <w:top w:val="single" w:sz="4" w:space="0" w:color="000000"/>
            </w:tcBorders>
          </w:tcPr>
          <w:p w14:paraId="454E8B5D" w14:textId="1AAD37B8"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0.87</w:t>
            </w:r>
          </w:p>
        </w:tc>
        <w:tc>
          <w:tcPr>
            <w:tcW w:w="850" w:type="dxa"/>
            <w:tcBorders>
              <w:top w:val="single" w:sz="4" w:space="0" w:color="000000"/>
            </w:tcBorders>
          </w:tcPr>
          <w:p w14:paraId="714550DD" w14:textId="2DAE86A6"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0.85</w:t>
            </w:r>
          </w:p>
        </w:tc>
        <w:tc>
          <w:tcPr>
            <w:tcW w:w="786" w:type="dxa"/>
            <w:tcBorders>
              <w:top w:val="single" w:sz="4" w:space="0" w:color="000000"/>
            </w:tcBorders>
          </w:tcPr>
          <w:p w14:paraId="0B3C2593" w14:textId="415A8499"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0.89</w:t>
            </w:r>
          </w:p>
        </w:tc>
        <w:tc>
          <w:tcPr>
            <w:tcW w:w="1856" w:type="dxa"/>
            <w:tcBorders>
              <w:top w:val="single" w:sz="4" w:space="0" w:color="000000"/>
            </w:tcBorders>
          </w:tcPr>
          <w:p w14:paraId="1D7A3279" w14:textId="6E3D0770" w:rsidR="006B2670" w:rsidRPr="00573080" w:rsidRDefault="006B2670" w:rsidP="006B2670">
            <w:pPr>
              <w:spacing w:line="276" w:lineRule="auto"/>
              <w:jc w:val="both"/>
              <w:rPr>
                <w:rFonts w:ascii="Times New Roman" w:hAnsi="Times New Roman" w:cs="Times New Roman"/>
                <w:sz w:val="18"/>
                <w:szCs w:val="18"/>
              </w:rPr>
            </w:pPr>
            <w:r w:rsidRPr="00741AE2">
              <w:rPr>
                <w:rFonts w:ascii="Times New Roman" w:hAnsi="Times New Roman" w:cs="Times New Roman"/>
                <w:sz w:val="18"/>
                <w:szCs w:val="18"/>
              </w:rPr>
              <w:t>Study 301/ Study 302</w:t>
            </w:r>
            <w:r w:rsidRPr="00741AE2">
              <w:rPr>
                <w:rFonts w:ascii="Times New Roman" w:hAnsi="Times New Roman" w:cs="Times New Roman"/>
                <w:sz w:val="18"/>
                <w:szCs w:val="18"/>
                <w:vertAlign w:val="superscript"/>
              </w:rPr>
              <w:t xml:space="preserve"> </w:t>
            </w:r>
            <w:r w:rsidRPr="00741AE2">
              <w:rPr>
                <w:rFonts w:ascii="Times New Roman" w:hAnsi="Times New Roman" w:cs="Times New Roman"/>
                <w:sz w:val="18"/>
                <w:szCs w:val="18"/>
              </w:rPr>
              <w:t xml:space="preserve"> </w:t>
            </w:r>
            <w:r w:rsidRPr="00741AE2">
              <w:rPr>
                <w:rFonts w:ascii="Times New Roman" w:hAnsi="Times New Roman" w:cs="Times New Roman"/>
                <w:color w:val="000000"/>
                <w:sz w:val="18"/>
                <w:szCs w:val="18"/>
              </w:rPr>
              <w:fldChar w:fldCharType="begin" w:fldLock="1"/>
            </w:r>
            <w:r w:rsidRPr="00741AE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741AE2">
              <w:rPr>
                <w:rFonts w:ascii="Times New Roman" w:hAnsi="Times New Roman" w:cs="Times New Roman"/>
                <w:color w:val="000000"/>
                <w:sz w:val="18"/>
                <w:szCs w:val="18"/>
              </w:rPr>
              <w:fldChar w:fldCharType="separate"/>
            </w:r>
            <w:r w:rsidRPr="00741AE2">
              <w:rPr>
                <w:rFonts w:ascii="Times New Roman" w:hAnsi="Times New Roman" w:cs="Times New Roman"/>
                <w:noProof/>
                <w:color w:val="000000"/>
                <w:sz w:val="18"/>
                <w:szCs w:val="18"/>
              </w:rPr>
              <w:t>[1, 2]</w:t>
            </w:r>
            <w:r w:rsidRPr="00741AE2">
              <w:rPr>
                <w:rFonts w:ascii="Times New Roman" w:hAnsi="Times New Roman" w:cs="Times New Roman"/>
                <w:color w:val="000000"/>
                <w:sz w:val="18"/>
                <w:szCs w:val="18"/>
              </w:rPr>
              <w:fldChar w:fldCharType="end"/>
            </w:r>
          </w:p>
        </w:tc>
      </w:tr>
      <w:tr w:rsidR="006B2670" w:rsidRPr="00573080" w14:paraId="3574760B"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373983EA"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ravulizumab – No BTH-event health utility</w:t>
            </w:r>
          </w:p>
        </w:tc>
        <w:tc>
          <w:tcPr>
            <w:tcW w:w="1135" w:type="dxa"/>
          </w:tcPr>
          <w:p w14:paraId="348670EA"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24A690BC" w14:textId="74FD6039"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0.87</w:t>
            </w:r>
          </w:p>
        </w:tc>
        <w:tc>
          <w:tcPr>
            <w:tcW w:w="850" w:type="dxa"/>
          </w:tcPr>
          <w:p w14:paraId="250B39F7" w14:textId="5AF5B95C"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0.85</w:t>
            </w:r>
          </w:p>
        </w:tc>
        <w:tc>
          <w:tcPr>
            <w:tcW w:w="786" w:type="dxa"/>
          </w:tcPr>
          <w:p w14:paraId="3ABB7F04" w14:textId="434E35F4"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0.87</w:t>
            </w:r>
          </w:p>
        </w:tc>
        <w:tc>
          <w:tcPr>
            <w:tcW w:w="1856" w:type="dxa"/>
          </w:tcPr>
          <w:p w14:paraId="46047E77" w14:textId="3322A1E5" w:rsidR="006B2670" w:rsidRPr="00573080" w:rsidRDefault="006B2670" w:rsidP="006B2670">
            <w:pPr>
              <w:spacing w:line="276" w:lineRule="auto"/>
              <w:jc w:val="both"/>
              <w:rPr>
                <w:rFonts w:ascii="Times New Roman" w:hAnsi="Times New Roman" w:cs="Times New Roman"/>
                <w:sz w:val="18"/>
                <w:szCs w:val="18"/>
              </w:rPr>
            </w:pPr>
            <w:r w:rsidRPr="00741AE2">
              <w:rPr>
                <w:rFonts w:ascii="Times New Roman" w:hAnsi="Times New Roman" w:cs="Times New Roman"/>
                <w:sz w:val="18"/>
                <w:szCs w:val="18"/>
              </w:rPr>
              <w:t>Study 301/ Study 302</w:t>
            </w:r>
            <w:r w:rsidRPr="00741AE2">
              <w:rPr>
                <w:rFonts w:ascii="Times New Roman" w:hAnsi="Times New Roman" w:cs="Times New Roman"/>
                <w:sz w:val="18"/>
                <w:szCs w:val="18"/>
                <w:vertAlign w:val="superscript"/>
              </w:rPr>
              <w:t xml:space="preserve"> </w:t>
            </w:r>
            <w:r w:rsidRPr="00741AE2">
              <w:rPr>
                <w:rFonts w:ascii="Times New Roman" w:hAnsi="Times New Roman" w:cs="Times New Roman"/>
                <w:sz w:val="18"/>
                <w:szCs w:val="18"/>
              </w:rPr>
              <w:t xml:space="preserve"> </w:t>
            </w:r>
            <w:r w:rsidRPr="00741AE2">
              <w:rPr>
                <w:rFonts w:ascii="Times New Roman" w:hAnsi="Times New Roman" w:cs="Times New Roman"/>
                <w:color w:val="000000"/>
                <w:sz w:val="18"/>
                <w:szCs w:val="18"/>
              </w:rPr>
              <w:fldChar w:fldCharType="begin" w:fldLock="1"/>
            </w:r>
            <w:r w:rsidRPr="00741AE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741AE2">
              <w:rPr>
                <w:rFonts w:ascii="Times New Roman" w:hAnsi="Times New Roman" w:cs="Times New Roman"/>
                <w:color w:val="000000"/>
                <w:sz w:val="18"/>
                <w:szCs w:val="18"/>
              </w:rPr>
              <w:fldChar w:fldCharType="separate"/>
            </w:r>
            <w:r w:rsidRPr="00741AE2">
              <w:rPr>
                <w:rFonts w:ascii="Times New Roman" w:hAnsi="Times New Roman" w:cs="Times New Roman"/>
                <w:noProof/>
                <w:color w:val="000000"/>
                <w:sz w:val="18"/>
                <w:szCs w:val="18"/>
              </w:rPr>
              <w:t>[1, 2]</w:t>
            </w:r>
            <w:r w:rsidRPr="00741AE2">
              <w:rPr>
                <w:rFonts w:ascii="Times New Roman" w:hAnsi="Times New Roman" w:cs="Times New Roman"/>
                <w:color w:val="000000"/>
                <w:sz w:val="18"/>
                <w:szCs w:val="18"/>
              </w:rPr>
              <w:fldChar w:fldCharType="end"/>
            </w:r>
          </w:p>
        </w:tc>
      </w:tr>
      <w:tr w:rsidR="006B2670" w:rsidRPr="00573080" w14:paraId="676A1DE1" w14:textId="77777777" w:rsidTr="00147F7A">
        <w:trPr>
          <w:trHeight w:val="213"/>
        </w:trPr>
        <w:tc>
          <w:tcPr>
            <w:tcW w:w="3538" w:type="dxa"/>
          </w:tcPr>
          <w:p w14:paraId="4FE16387"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eculizumab – No BTH-event health utility</w:t>
            </w:r>
          </w:p>
        </w:tc>
        <w:tc>
          <w:tcPr>
            <w:tcW w:w="1135" w:type="dxa"/>
          </w:tcPr>
          <w:p w14:paraId="14B42297"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5D9FA796" w14:textId="71DB06E3"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0.89</w:t>
            </w:r>
          </w:p>
        </w:tc>
        <w:tc>
          <w:tcPr>
            <w:tcW w:w="850" w:type="dxa"/>
          </w:tcPr>
          <w:p w14:paraId="50ED1030" w14:textId="2CD11B1A"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0.87</w:t>
            </w:r>
          </w:p>
        </w:tc>
        <w:tc>
          <w:tcPr>
            <w:tcW w:w="786" w:type="dxa"/>
          </w:tcPr>
          <w:p w14:paraId="3192F474" w14:textId="3E62BCB9"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0.91</w:t>
            </w:r>
          </w:p>
        </w:tc>
        <w:tc>
          <w:tcPr>
            <w:tcW w:w="1856" w:type="dxa"/>
          </w:tcPr>
          <w:p w14:paraId="6DB8D902" w14:textId="4D365F67" w:rsidR="006B2670" w:rsidRPr="00573080" w:rsidRDefault="006B2670" w:rsidP="006B2670">
            <w:pPr>
              <w:spacing w:line="276" w:lineRule="auto"/>
              <w:jc w:val="both"/>
              <w:rPr>
                <w:rFonts w:ascii="Times New Roman" w:hAnsi="Times New Roman" w:cs="Times New Roman"/>
                <w:sz w:val="18"/>
                <w:szCs w:val="18"/>
              </w:rPr>
            </w:pPr>
            <w:r w:rsidRPr="00741AE2">
              <w:rPr>
                <w:rFonts w:ascii="Times New Roman" w:hAnsi="Times New Roman" w:cs="Times New Roman"/>
                <w:sz w:val="18"/>
                <w:szCs w:val="18"/>
              </w:rPr>
              <w:t>Study 301/ Study 302</w:t>
            </w:r>
            <w:r w:rsidRPr="00741AE2">
              <w:rPr>
                <w:rFonts w:ascii="Times New Roman" w:hAnsi="Times New Roman" w:cs="Times New Roman"/>
                <w:sz w:val="18"/>
                <w:szCs w:val="18"/>
                <w:vertAlign w:val="superscript"/>
              </w:rPr>
              <w:t xml:space="preserve"> </w:t>
            </w:r>
            <w:r w:rsidRPr="00741AE2">
              <w:rPr>
                <w:rFonts w:ascii="Times New Roman" w:hAnsi="Times New Roman" w:cs="Times New Roman"/>
                <w:sz w:val="18"/>
                <w:szCs w:val="18"/>
              </w:rPr>
              <w:t xml:space="preserve"> </w:t>
            </w:r>
            <w:r w:rsidRPr="00741AE2">
              <w:rPr>
                <w:rFonts w:ascii="Times New Roman" w:hAnsi="Times New Roman" w:cs="Times New Roman"/>
                <w:color w:val="000000"/>
                <w:sz w:val="18"/>
                <w:szCs w:val="18"/>
              </w:rPr>
              <w:fldChar w:fldCharType="begin" w:fldLock="1"/>
            </w:r>
            <w:r w:rsidRPr="00741AE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741AE2">
              <w:rPr>
                <w:rFonts w:ascii="Times New Roman" w:hAnsi="Times New Roman" w:cs="Times New Roman"/>
                <w:color w:val="000000"/>
                <w:sz w:val="18"/>
                <w:szCs w:val="18"/>
              </w:rPr>
              <w:fldChar w:fldCharType="separate"/>
            </w:r>
            <w:r w:rsidRPr="00741AE2">
              <w:rPr>
                <w:rFonts w:ascii="Times New Roman" w:hAnsi="Times New Roman" w:cs="Times New Roman"/>
                <w:noProof/>
                <w:color w:val="000000"/>
                <w:sz w:val="18"/>
                <w:szCs w:val="18"/>
              </w:rPr>
              <w:t>[1, 2]</w:t>
            </w:r>
            <w:r w:rsidRPr="00741AE2">
              <w:rPr>
                <w:rFonts w:ascii="Times New Roman" w:hAnsi="Times New Roman" w:cs="Times New Roman"/>
                <w:color w:val="000000"/>
                <w:sz w:val="18"/>
                <w:szCs w:val="18"/>
              </w:rPr>
              <w:fldChar w:fldCharType="end"/>
            </w:r>
          </w:p>
        </w:tc>
      </w:tr>
      <w:tr w:rsidR="006B2670" w:rsidRPr="00573080" w14:paraId="50E3AE3C"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6D094030"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ravulizumab – No BTH-event health utility</w:t>
            </w:r>
          </w:p>
        </w:tc>
        <w:tc>
          <w:tcPr>
            <w:tcW w:w="1135" w:type="dxa"/>
          </w:tcPr>
          <w:p w14:paraId="16F07085"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Beta</w:t>
            </w:r>
          </w:p>
        </w:tc>
        <w:tc>
          <w:tcPr>
            <w:tcW w:w="851" w:type="dxa"/>
          </w:tcPr>
          <w:p w14:paraId="21195431" w14:textId="7B68CE92"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0.89</w:t>
            </w:r>
          </w:p>
        </w:tc>
        <w:tc>
          <w:tcPr>
            <w:tcW w:w="850" w:type="dxa"/>
          </w:tcPr>
          <w:p w14:paraId="63BFA647" w14:textId="213AB4B1"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0.87</w:t>
            </w:r>
          </w:p>
        </w:tc>
        <w:tc>
          <w:tcPr>
            <w:tcW w:w="786" w:type="dxa"/>
          </w:tcPr>
          <w:p w14:paraId="4A5AE0C3" w14:textId="525629BD"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0.91</w:t>
            </w:r>
          </w:p>
        </w:tc>
        <w:tc>
          <w:tcPr>
            <w:tcW w:w="1856" w:type="dxa"/>
          </w:tcPr>
          <w:p w14:paraId="1B6D730E" w14:textId="4D34A412" w:rsidR="006B2670" w:rsidRPr="00573080" w:rsidRDefault="006B2670" w:rsidP="006B2670">
            <w:pPr>
              <w:spacing w:line="276" w:lineRule="auto"/>
              <w:jc w:val="both"/>
              <w:rPr>
                <w:rFonts w:ascii="Times New Roman" w:hAnsi="Times New Roman" w:cs="Times New Roman"/>
                <w:sz w:val="18"/>
                <w:szCs w:val="18"/>
              </w:rPr>
            </w:pPr>
            <w:r w:rsidRPr="00741AE2">
              <w:rPr>
                <w:rFonts w:ascii="Times New Roman" w:hAnsi="Times New Roman" w:cs="Times New Roman"/>
                <w:sz w:val="18"/>
                <w:szCs w:val="18"/>
              </w:rPr>
              <w:t>Study 301/ Study 302</w:t>
            </w:r>
            <w:r w:rsidRPr="00741AE2">
              <w:rPr>
                <w:rFonts w:ascii="Times New Roman" w:hAnsi="Times New Roman" w:cs="Times New Roman"/>
                <w:sz w:val="18"/>
                <w:szCs w:val="18"/>
                <w:vertAlign w:val="superscript"/>
              </w:rPr>
              <w:t xml:space="preserve"> </w:t>
            </w:r>
            <w:r w:rsidRPr="00741AE2">
              <w:rPr>
                <w:rFonts w:ascii="Times New Roman" w:hAnsi="Times New Roman" w:cs="Times New Roman"/>
                <w:sz w:val="18"/>
                <w:szCs w:val="18"/>
              </w:rPr>
              <w:t xml:space="preserve"> </w:t>
            </w:r>
            <w:r w:rsidRPr="00741AE2">
              <w:rPr>
                <w:rFonts w:ascii="Times New Roman" w:hAnsi="Times New Roman" w:cs="Times New Roman"/>
                <w:color w:val="000000"/>
                <w:sz w:val="18"/>
                <w:szCs w:val="18"/>
              </w:rPr>
              <w:fldChar w:fldCharType="begin" w:fldLock="1"/>
            </w:r>
            <w:r w:rsidRPr="00741AE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741AE2">
              <w:rPr>
                <w:rFonts w:ascii="Times New Roman" w:hAnsi="Times New Roman" w:cs="Times New Roman"/>
                <w:color w:val="000000"/>
                <w:sz w:val="18"/>
                <w:szCs w:val="18"/>
              </w:rPr>
              <w:fldChar w:fldCharType="separate"/>
            </w:r>
            <w:r w:rsidRPr="00741AE2">
              <w:rPr>
                <w:rFonts w:ascii="Times New Roman" w:hAnsi="Times New Roman" w:cs="Times New Roman"/>
                <w:noProof/>
                <w:color w:val="000000"/>
                <w:sz w:val="18"/>
                <w:szCs w:val="18"/>
              </w:rPr>
              <w:t>[1, 2]</w:t>
            </w:r>
            <w:r w:rsidRPr="00741AE2">
              <w:rPr>
                <w:rFonts w:ascii="Times New Roman" w:hAnsi="Times New Roman" w:cs="Times New Roman"/>
                <w:color w:val="000000"/>
                <w:sz w:val="18"/>
                <w:szCs w:val="18"/>
              </w:rPr>
              <w:fldChar w:fldCharType="end"/>
            </w:r>
          </w:p>
        </w:tc>
      </w:tr>
      <w:tr w:rsidR="00147F7A" w:rsidRPr="00573080" w14:paraId="1ECFFA04" w14:textId="77777777" w:rsidTr="00147F7A">
        <w:trPr>
          <w:trHeight w:val="213"/>
        </w:trPr>
        <w:tc>
          <w:tcPr>
            <w:tcW w:w="9016" w:type="dxa"/>
            <w:gridSpan w:val="6"/>
            <w:tcBorders>
              <w:top w:val="single" w:sz="4" w:space="0" w:color="000000"/>
              <w:bottom w:val="single" w:sz="4" w:space="0" w:color="000000"/>
            </w:tcBorders>
          </w:tcPr>
          <w:p w14:paraId="49A01EF2"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BTH-event health-utility decrement</w:t>
            </w:r>
          </w:p>
        </w:tc>
      </w:tr>
      <w:tr w:rsidR="006B2670" w:rsidRPr="00573080" w14:paraId="3DB33B4F"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top w:val="single" w:sz="4" w:space="0" w:color="000000"/>
            </w:tcBorders>
          </w:tcPr>
          <w:p w14:paraId="2BB72599"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 BTH-event utility decrement</w:t>
            </w:r>
          </w:p>
        </w:tc>
        <w:tc>
          <w:tcPr>
            <w:tcW w:w="1135" w:type="dxa"/>
            <w:tcBorders>
              <w:top w:val="single" w:sz="4" w:space="0" w:color="000000"/>
            </w:tcBorders>
          </w:tcPr>
          <w:p w14:paraId="2C2A36A0"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top w:val="single" w:sz="4" w:space="0" w:color="000000"/>
            </w:tcBorders>
          </w:tcPr>
          <w:p w14:paraId="6A7E5C02" w14:textId="3B4F99B8"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-0.06</w:t>
            </w:r>
          </w:p>
        </w:tc>
        <w:tc>
          <w:tcPr>
            <w:tcW w:w="850" w:type="dxa"/>
            <w:tcBorders>
              <w:top w:val="single" w:sz="4" w:space="0" w:color="000000"/>
            </w:tcBorders>
          </w:tcPr>
          <w:p w14:paraId="0C9CA84C" w14:textId="3AA61A5D"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0.01</w:t>
            </w:r>
          </w:p>
        </w:tc>
        <w:tc>
          <w:tcPr>
            <w:tcW w:w="786" w:type="dxa"/>
            <w:tcBorders>
              <w:top w:val="single" w:sz="4" w:space="0" w:color="000000"/>
            </w:tcBorders>
          </w:tcPr>
          <w:p w14:paraId="70F130D7" w14:textId="15B147C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0.15</w:t>
            </w:r>
          </w:p>
        </w:tc>
        <w:tc>
          <w:tcPr>
            <w:tcW w:w="1856" w:type="dxa"/>
            <w:tcBorders>
              <w:top w:val="single" w:sz="4" w:space="0" w:color="000000"/>
            </w:tcBorders>
          </w:tcPr>
          <w:p w14:paraId="6FEBA203" w14:textId="6A313AA0" w:rsidR="006B2670" w:rsidRPr="00573080" w:rsidRDefault="006B2670" w:rsidP="006B2670">
            <w:pPr>
              <w:spacing w:line="276" w:lineRule="auto"/>
              <w:jc w:val="both"/>
              <w:rPr>
                <w:rFonts w:ascii="Times New Roman" w:hAnsi="Times New Roman" w:cs="Times New Roman"/>
                <w:sz w:val="18"/>
                <w:szCs w:val="18"/>
              </w:rPr>
            </w:pPr>
            <w:r w:rsidRPr="00370DA7">
              <w:rPr>
                <w:rFonts w:ascii="Times New Roman" w:hAnsi="Times New Roman" w:cs="Times New Roman"/>
                <w:sz w:val="18"/>
                <w:szCs w:val="18"/>
              </w:rPr>
              <w:t>Study 301/ Study 302</w:t>
            </w:r>
            <w:r w:rsidRPr="00370DA7">
              <w:rPr>
                <w:rFonts w:ascii="Times New Roman" w:hAnsi="Times New Roman" w:cs="Times New Roman"/>
                <w:sz w:val="18"/>
                <w:szCs w:val="18"/>
                <w:vertAlign w:val="superscript"/>
              </w:rPr>
              <w:t xml:space="preserve"> </w:t>
            </w:r>
            <w:r w:rsidRPr="00370DA7">
              <w:rPr>
                <w:rFonts w:ascii="Times New Roman" w:hAnsi="Times New Roman" w:cs="Times New Roman"/>
                <w:sz w:val="18"/>
                <w:szCs w:val="18"/>
              </w:rPr>
              <w:t xml:space="preserve"> </w:t>
            </w:r>
            <w:r w:rsidRPr="00370DA7">
              <w:rPr>
                <w:rFonts w:ascii="Times New Roman" w:hAnsi="Times New Roman" w:cs="Times New Roman"/>
                <w:color w:val="000000"/>
                <w:sz w:val="18"/>
                <w:szCs w:val="18"/>
              </w:rPr>
              <w:fldChar w:fldCharType="begin" w:fldLock="1"/>
            </w:r>
            <w:r w:rsidRPr="00370DA7">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370DA7">
              <w:rPr>
                <w:rFonts w:ascii="Times New Roman" w:hAnsi="Times New Roman" w:cs="Times New Roman"/>
                <w:color w:val="000000"/>
                <w:sz w:val="18"/>
                <w:szCs w:val="18"/>
              </w:rPr>
              <w:fldChar w:fldCharType="separate"/>
            </w:r>
            <w:r w:rsidRPr="00370DA7">
              <w:rPr>
                <w:rFonts w:ascii="Times New Roman" w:hAnsi="Times New Roman" w:cs="Times New Roman"/>
                <w:noProof/>
                <w:color w:val="000000"/>
                <w:sz w:val="18"/>
                <w:szCs w:val="18"/>
              </w:rPr>
              <w:t>[1, 2]</w:t>
            </w:r>
            <w:r w:rsidRPr="00370DA7">
              <w:rPr>
                <w:rFonts w:ascii="Times New Roman" w:hAnsi="Times New Roman" w:cs="Times New Roman"/>
                <w:color w:val="000000"/>
                <w:sz w:val="18"/>
                <w:szCs w:val="18"/>
              </w:rPr>
              <w:fldChar w:fldCharType="end"/>
            </w:r>
          </w:p>
        </w:tc>
      </w:tr>
      <w:tr w:rsidR="006B2670" w:rsidRPr="00573080" w14:paraId="03624C2C" w14:textId="77777777" w:rsidTr="00147F7A">
        <w:trPr>
          <w:trHeight w:val="213"/>
        </w:trPr>
        <w:tc>
          <w:tcPr>
            <w:tcW w:w="3538" w:type="dxa"/>
          </w:tcPr>
          <w:p w14:paraId="1FF72709"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 BTH-event utility decrement</w:t>
            </w:r>
          </w:p>
        </w:tc>
        <w:tc>
          <w:tcPr>
            <w:tcW w:w="1135" w:type="dxa"/>
          </w:tcPr>
          <w:p w14:paraId="67A135DF"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2E9C8F4B" w14:textId="1E0FF0C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-0.29</w:t>
            </w:r>
          </w:p>
        </w:tc>
        <w:tc>
          <w:tcPr>
            <w:tcW w:w="850" w:type="dxa"/>
          </w:tcPr>
          <w:p w14:paraId="4731FD92" w14:textId="2C52631A"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0.19</w:t>
            </w:r>
          </w:p>
        </w:tc>
        <w:tc>
          <w:tcPr>
            <w:tcW w:w="786" w:type="dxa"/>
          </w:tcPr>
          <w:p w14:paraId="63D9B542" w14:textId="46A4C464"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0.40</w:t>
            </w:r>
          </w:p>
        </w:tc>
        <w:tc>
          <w:tcPr>
            <w:tcW w:w="1856" w:type="dxa"/>
          </w:tcPr>
          <w:p w14:paraId="320BA268" w14:textId="6F11F2BE" w:rsidR="006B2670" w:rsidRPr="00573080" w:rsidRDefault="006B2670" w:rsidP="006B2670">
            <w:pPr>
              <w:spacing w:line="276" w:lineRule="auto"/>
              <w:jc w:val="both"/>
              <w:rPr>
                <w:rFonts w:ascii="Times New Roman" w:hAnsi="Times New Roman" w:cs="Times New Roman"/>
                <w:sz w:val="18"/>
                <w:szCs w:val="18"/>
              </w:rPr>
            </w:pPr>
            <w:r w:rsidRPr="00370DA7">
              <w:rPr>
                <w:rFonts w:ascii="Times New Roman" w:hAnsi="Times New Roman" w:cs="Times New Roman"/>
                <w:sz w:val="18"/>
                <w:szCs w:val="18"/>
              </w:rPr>
              <w:t>Study 301/ Study 302</w:t>
            </w:r>
            <w:r w:rsidRPr="00370DA7">
              <w:rPr>
                <w:rFonts w:ascii="Times New Roman" w:hAnsi="Times New Roman" w:cs="Times New Roman"/>
                <w:sz w:val="18"/>
                <w:szCs w:val="18"/>
                <w:vertAlign w:val="superscript"/>
              </w:rPr>
              <w:t xml:space="preserve"> </w:t>
            </w:r>
            <w:r w:rsidRPr="00370DA7">
              <w:rPr>
                <w:rFonts w:ascii="Times New Roman" w:hAnsi="Times New Roman" w:cs="Times New Roman"/>
                <w:sz w:val="18"/>
                <w:szCs w:val="18"/>
              </w:rPr>
              <w:t xml:space="preserve"> </w:t>
            </w:r>
            <w:r w:rsidRPr="00370DA7">
              <w:rPr>
                <w:rFonts w:ascii="Times New Roman" w:hAnsi="Times New Roman" w:cs="Times New Roman"/>
                <w:color w:val="000000"/>
                <w:sz w:val="18"/>
                <w:szCs w:val="18"/>
              </w:rPr>
              <w:fldChar w:fldCharType="begin" w:fldLock="1"/>
            </w:r>
            <w:r w:rsidRPr="00370DA7">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370DA7">
              <w:rPr>
                <w:rFonts w:ascii="Times New Roman" w:hAnsi="Times New Roman" w:cs="Times New Roman"/>
                <w:color w:val="000000"/>
                <w:sz w:val="18"/>
                <w:szCs w:val="18"/>
              </w:rPr>
              <w:fldChar w:fldCharType="separate"/>
            </w:r>
            <w:r w:rsidRPr="00370DA7">
              <w:rPr>
                <w:rFonts w:ascii="Times New Roman" w:hAnsi="Times New Roman" w:cs="Times New Roman"/>
                <w:noProof/>
                <w:color w:val="000000"/>
                <w:sz w:val="18"/>
                <w:szCs w:val="18"/>
              </w:rPr>
              <w:t>[1, 2]</w:t>
            </w:r>
            <w:r w:rsidRPr="00370DA7">
              <w:rPr>
                <w:rFonts w:ascii="Times New Roman" w:hAnsi="Times New Roman" w:cs="Times New Roman"/>
                <w:color w:val="000000"/>
                <w:sz w:val="18"/>
                <w:szCs w:val="18"/>
              </w:rPr>
              <w:fldChar w:fldCharType="end"/>
            </w:r>
          </w:p>
        </w:tc>
      </w:tr>
      <w:tr w:rsidR="006B2670" w:rsidRPr="00573080" w14:paraId="3AEE1734"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bottom w:val="single" w:sz="4" w:space="0" w:color="000000"/>
            </w:tcBorders>
          </w:tcPr>
          <w:p w14:paraId="6D10E609"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Persistence of IncC5Inhib BTH events – user-specified probability</w:t>
            </w:r>
          </w:p>
        </w:tc>
        <w:tc>
          <w:tcPr>
            <w:tcW w:w="1135" w:type="dxa"/>
            <w:tcBorders>
              <w:bottom w:val="single" w:sz="4" w:space="0" w:color="000000"/>
            </w:tcBorders>
          </w:tcPr>
          <w:p w14:paraId="3C55CDFF"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bottom w:val="single" w:sz="4" w:space="0" w:color="000000"/>
            </w:tcBorders>
          </w:tcPr>
          <w:p w14:paraId="42CC8AAD"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 xml:space="preserve">0.50 </w:t>
            </w:r>
          </w:p>
        </w:tc>
        <w:tc>
          <w:tcPr>
            <w:tcW w:w="850" w:type="dxa"/>
            <w:tcBorders>
              <w:bottom w:val="single" w:sz="4" w:space="0" w:color="000000"/>
            </w:tcBorders>
          </w:tcPr>
          <w:p w14:paraId="3BF0DCEC"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0.29</w:t>
            </w:r>
          </w:p>
        </w:tc>
        <w:tc>
          <w:tcPr>
            <w:tcW w:w="786" w:type="dxa"/>
            <w:tcBorders>
              <w:bottom w:val="single" w:sz="4" w:space="0" w:color="000000"/>
            </w:tcBorders>
          </w:tcPr>
          <w:p w14:paraId="22582DEA"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0.77</w:t>
            </w:r>
          </w:p>
        </w:tc>
        <w:tc>
          <w:tcPr>
            <w:tcW w:w="1856" w:type="dxa"/>
          </w:tcPr>
          <w:p w14:paraId="2BE63E3B" w14:textId="21EF1010" w:rsidR="006B2670" w:rsidRPr="00573080" w:rsidRDefault="006B2670" w:rsidP="006B2670">
            <w:pPr>
              <w:spacing w:line="276" w:lineRule="auto"/>
              <w:jc w:val="both"/>
              <w:rPr>
                <w:rFonts w:ascii="Times New Roman" w:hAnsi="Times New Roman" w:cs="Times New Roman"/>
                <w:sz w:val="18"/>
                <w:szCs w:val="18"/>
              </w:rPr>
            </w:pPr>
            <w:r w:rsidRPr="00370DA7">
              <w:rPr>
                <w:rFonts w:ascii="Times New Roman" w:hAnsi="Times New Roman" w:cs="Times New Roman"/>
                <w:sz w:val="18"/>
                <w:szCs w:val="18"/>
              </w:rPr>
              <w:t>Study 301/ Study 302</w:t>
            </w:r>
            <w:r w:rsidRPr="00370DA7">
              <w:rPr>
                <w:rFonts w:ascii="Times New Roman" w:hAnsi="Times New Roman" w:cs="Times New Roman"/>
                <w:sz w:val="18"/>
                <w:szCs w:val="18"/>
                <w:vertAlign w:val="superscript"/>
              </w:rPr>
              <w:t xml:space="preserve"> </w:t>
            </w:r>
            <w:r w:rsidRPr="00370DA7">
              <w:rPr>
                <w:rFonts w:ascii="Times New Roman" w:hAnsi="Times New Roman" w:cs="Times New Roman"/>
                <w:sz w:val="18"/>
                <w:szCs w:val="18"/>
              </w:rPr>
              <w:t xml:space="preserve"> </w:t>
            </w:r>
            <w:r w:rsidRPr="00370DA7">
              <w:rPr>
                <w:rFonts w:ascii="Times New Roman" w:hAnsi="Times New Roman" w:cs="Times New Roman"/>
                <w:color w:val="000000"/>
                <w:sz w:val="18"/>
                <w:szCs w:val="18"/>
              </w:rPr>
              <w:fldChar w:fldCharType="begin" w:fldLock="1"/>
            </w:r>
            <w:r w:rsidRPr="00370DA7">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370DA7">
              <w:rPr>
                <w:rFonts w:ascii="Times New Roman" w:hAnsi="Times New Roman" w:cs="Times New Roman"/>
                <w:color w:val="000000"/>
                <w:sz w:val="18"/>
                <w:szCs w:val="18"/>
              </w:rPr>
              <w:fldChar w:fldCharType="separate"/>
            </w:r>
            <w:r w:rsidRPr="00370DA7">
              <w:rPr>
                <w:rFonts w:ascii="Times New Roman" w:hAnsi="Times New Roman" w:cs="Times New Roman"/>
                <w:noProof/>
                <w:color w:val="000000"/>
                <w:sz w:val="18"/>
                <w:szCs w:val="18"/>
              </w:rPr>
              <w:t>[1, 2]</w:t>
            </w:r>
            <w:r w:rsidRPr="00370DA7">
              <w:rPr>
                <w:rFonts w:ascii="Times New Roman" w:hAnsi="Times New Roman" w:cs="Times New Roman"/>
                <w:color w:val="000000"/>
                <w:sz w:val="18"/>
                <w:szCs w:val="18"/>
              </w:rPr>
              <w:fldChar w:fldCharType="end"/>
            </w:r>
          </w:p>
        </w:tc>
      </w:tr>
      <w:tr w:rsidR="00147F7A" w:rsidRPr="00573080" w14:paraId="372D97A2" w14:textId="77777777" w:rsidTr="00147F7A">
        <w:trPr>
          <w:trHeight w:val="225"/>
        </w:trPr>
        <w:tc>
          <w:tcPr>
            <w:tcW w:w="9016" w:type="dxa"/>
            <w:gridSpan w:val="6"/>
            <w:tcBorders>
              <w:top w:val="single" w:sz="4" w:space="0" w:color="000000"/>
              <w:bottom w:val="single" w:sz="4" w:space="0" w:color="000000"/>
            </w:tcBorders>
          </w:tcPr>
          <w:p w14:paraId="5AFD0174"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Transfusion health-utility decrement</w:t>
            </w:r>
          </w:p>
        </w:tc>
      </w:tr>
      <w:tr w:rsidR="006B2670" w:rsidRPr="00573080" w14:paraId="62E9DDBF"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top w:val="single" w:sz="4" w:space="0" w:color="000000"/>
            </w:tcBorders>
          </w:tcPr>
          <w:p w14:paraId="6B1EE92E"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1 – Transfusion utility decrement</w:t>
            </w:r>
          </w:p>
        </w:tc>
        <w:tc>
          <w:tcPr>
            <w:tcW w:w="1135" w:type="dxa"/>
            <w:tcBorders>
              <w:top w:val="single" w:sz="4" w:space="0" w:color="000000"/>
            </w:tcBorders>
          </w:tcPr>
          <w:p w14:paraId="1BE486EB"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top w:val="single" w:sz="4" w:space="0" w:color="000000"/>
            </w:tcBorders>
          </w:tcPr>
          <w:p w14:paraId="2918ACEE"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-0.07</w:t>
            </w:r>
          </w:p>
        </w:tc>
        <w:tc>
          <w:tcPr>
            <w:tcW w:w="850" w:type="dxa"/>
            <w:tcBorders>
              <w:top w:val="single" w:sz="4" w:space="0" w:color="000000"/>
            </w:tcBorders>
          </w:tcPr>
          <w:p w14:paraId="32AEEBD8"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0.04</w:t>
            </w:r>
          </w:p>
        </w:tc>
        <w:tc>
          <w:tcPr>
            <w:tcW w:w="786" w:type="dxa"/>
            <w:tcBorders>
              <w:top w:val="single" w:sz="4" w:space="0" w:color="000000"/>
            </w:tcBorders>
          </w:tcPr>
          <w:p w14:paraId="7B9A9EF2"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0.10</w:t>
            </w:r>
          </w:p>
        </w:tc>
        <w:tc>
          <w:tcPr>
            <w:tcW w:w="1856" w:type="dxa"/>
            <w:tcBorders>
              <w:top w:val="single" w:sz="4" w:space="0" w:color="000000"/>
            </w:tcBorders>
          </w:tcPr>
          <w:p w14:paraId="75D0B62D" w14:textId="6753411E" w:rsidR="006B2670" w:rsidRPr="00573080" w:rsidRDefault="006B2670" w:rsidP="006B2670">
            <w:pPr>
              <w:spacing w:line="276" w:lineRule="auto"/>
              <w:jc w:val="both"/>
              <w:rPr>
                <w:rFonts w:ascii="Times New Roman" w:hAnsi="Times New Roman" w:cs="Times New Roman"/>
                <w:sz w:val="18"/>
                <w:szCs w:val="18"/>
              </w:rPr>
            </w:pPr>
            <w:r w:rsidRPr="00C62082">
              <w:rPr>
                <w:rFonts w:ascii="Times New Roman" w:hAnsi="Times New Roman" w:cs="Times New Roman"/>
                <w:sz w:val="18"/>
                <w:szCs w:val="18"/>
              </w:rPr>
              <w:t>Study 301/ Study 302</w:t>
            </w:r>
            <w:r w:rsidRPr="00C62082">
              <w:rPr>
                <w:rFonts w:ascii="Times New Roman" w:hAnsi="Times New Roman" w:cs="Times New Roman"/>
                <w:sz w:val="18"/>
                <w:szCs w:val="18"/>
                <w:vertAlign w:val="superscript"/>
              </w:rPr>
              <w:t xml:space="preserve"> </w:t>
            </w:r>
            <w:r w:rsidRPr="00C62082">
              <w:rPr>
                <w:rFonts w:ascii="Times New Roman" w:hAnsi="Times New Roman" w:cs="Times New Roman"/>
                <w:sz w:val="18"/>
                <w:szCs w:val="18"/>
              </w:rPr>
              <w:t xml:space="preserve"> </w:t>
            </w:r>
            <w:r w:rsidRPr="00C62082">
              <w:rPr>
                <w:rFonts w:ascii="Times New Roman" w:hAnsi="Times New Roman" w:cs="Times New Roman"/>
                <w:color w:val="000000"/>
                <w:sz w:val="18"/>
                <w:szCs w:val="18"/>
              </w:rPr>
              <w:fldChar w:fldCharType="begin" w:fldLock="1"/>
            </w:r>
            <w:r w:rsidRPr="00C6208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C62082">
              <w:rPr>
                <w:rFonts w:ascii="Times New Roman" w:hAnsi="Times New Roman" w:cs="Times New Roman"/>
                <w:color w:val="000000"/>
                <w:sz w:val="18"/>
                <w:szCs w:val="18"/>
              </w:rPr>
              <w:fldChar w:fldCharType="separate"/>
            </w:r>
            <w:r w:rsidRPr="00C62082">
              <w:rPr>
                <w:rFonts w:ascii="Times New Roman" w:hAnsi="Times New Roman" w:cs="Times New Roman"/>
                <w:noProof/>
                <w:color w:val="000000"/>
                <w:sz w:val="18"/>
                <w:szCs w:val="18"/>
              </w:rPr>
              <w:t>[1, 2]</w:t>
            </w:r>
            <w:r w:rsidRPr="00C62082">
              <w:rPr>
                <w:rFonts w:ascii="Times New Roman" w:hAnsi="Times New Roman" w:cs="Times New Roman"/>
                <w:color w:val="000000"/>
                <w:sz w:val="18"/>
                <w:szCs w:val="18"/>
              </w:rPr>
              <w:fldChar w:fldCharType="end"/>
            </w:r>
          </w:p>
        </w:tc>
      </w:tr>
      <w:tr w:rsidR="006B2670" w:rsidRPr="00573080" w14:paraId="2BE91E03" w14:textId="77777777" w:rsidTr="00147F7A">
        <w:trPr>
          <w:trHeight w:val="213"/>
        </w:trPr>
        <w:tc>
          <w:tcPr>
            <w:tcW w:w="3538" w:type="dxa"/>
          </w:tcPr>
          <w:p w14:paraId="40ECDCE7"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Cohort 2 – Transfusion utility decrement</w:t>
            </w:r>
          </w:p>
        </w:tc>
        <w:tc>
          <w:tcPr>
            <w:tcW w:w="1135" w:type="dxa"/>
          </w:tcPr>
          <w:p w14:paraId="59E34EB3"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004F1F7E" w14:textId="75833801"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-0.08</w:t>
            </w:r>
          </w:p>
        </w:tc>
        <w:tc>
          <w:tcPr>
            <w:tcW w:w="850" w:type="dxa"/>
          </w:tcPr>
          <w:p w14:paraId="7677DEEA" w14:textId="77777777"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0.04</w:t>
            </w:r>
          </w:p>
        </w:tc>
        <w:tc>
          <w:tcPr>
            <w:tcW w:w="786" w:type="dxa"/>
          </w:tcPr>
          <w:p w14:paraId="6FAFB569" w14:textId="4EE972A0" w:rsidR="006B2670" w:rsidRPr="00573080" w:rsidRDefault="006B2670" w:rsidP="006B2670">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0.12</w:t>
            </w:r>
          </w:p>
        </w:tc>
        <w:tc>
          <w:tcPr>
            <w:tcW w:w="1856" w:type="dxa"/>
          </w:tcPr>
          <w:p w14:paraId="42CF75DB" w14:textId="1F6A4594" w:rsidR="006B2670" w:rsidRPr="00573080" w:rsidRDefault="006B2670" w:rsidP="006B2670">
            <w:pPr>
              <w:spacing w:line="276" w:lineRule="auto"/>
              <w:jc w:val="both"/>
              <w:rPr>
                <w:rFonts w:ascii="Times New Roman" w:hAnsi="Times New Roman" w:cs="Times New Roman"/>
                <w:sz w:val="18"/>
                <w:szCs w:val="18"/>
              </w:rPr>
            </w:pPr>
            <w:r w:rsidRPr="00C62082">
              <w:rPr>
                <w:rFonts w:ascii="Times New Roman" w:hAnsi="Times New Roman" w:cs="Times New Roman"/>
                <w:sz w:val="18"/>
                <w:szCs w:val="18"/>
              </w:rPr>
              <w:t>Study 301/ Study 302</w:t>
            </w:r>
            <w:r w:rsidRPr="00C62082">
              <w:rPr>
                <w:rFonts w:ascii="Times New Roman" w:hAnsi="Times New Roman" w:cs="Times New Roman"/>
                <w:sz w:val="18"/>
                <w:szCs w:val="18"/>
                <w:vertAlign w:val="superscript"/>
              </w:rPr>
              <w:t xml:space="preserve"> </w:t>
            </w:r>
            <w:r w:rsidRPr="00C62082">
              <w:rPr>
                <w:rFonts w:ascii="Times New Roman" w:hAnsi="Times New Roman" w:cs="Times New Roman"/>
                <w:sz w:val="18"/>
                <w:szCs w:val="18"/>
              </w:rPr>
              <w:t xml:space="preserve"> </w:t>
            </w:r>
            <w:r w:rsidRPr="00C62082">
              <w:rPr>
                <w:rFonts w:ascii="Times New Roman" w:hAnsi="Times New Roman" w:cs="Times New Roman"/>
                <w:color w:val="000000"/>
                <w:sz w:val="18"/>
                <w:szCs w:val="18"/>
              </w:rPr>
              <w:fldChar w:fldCharType="begin" w:fldLock="1"/>
            </w:r>
            <w:r w:rsidRPr="00C62082">
              <w:rPr>
                <w:rFonts w:ascii="Times New Roman" w:hAnsi="Times New Roman" w:cs="Times New Roman"/>
                <w:color w:val="000000"/>
                <w:sz w:val="18"/>
                <w:szCs w:val="18"/>
              </w:rPr>
              <w:instrText>ADDIN CSL_CITATION {"citationItems":[{"id":"ITEM-1","itemData":{"DOI":"10.1182/blood-2018-09-876136","ISSN":"15280020","PMID":"30510080","abstract":"Ravulizumab (ALXN1210), a new complement C5 inhibitor, provides immediate, complete, and sustained C5 inhibition. This phase 3, open-label study assessed the noninferiority of ravulizumab to eculizumab in complement inhibitor–naive adults with paroxysmal nocturnal hemoglobinuria (PNH). Patients with lactate dehydrogenase (LDH) ‡1.5 times the upper limit of normal and at least 1 PNH symptom were randomized 1:1 to receive ravulizumab or eculizumab for 183 days (N 5 246). Coprimary efficacy end points were proportion of patients remaining transfusion-free and LDH normalization. Secondary end points were percent change from baseline in LDH, change from baseline in Functional Assessment of Chronic Illness Therapy (FACIT)–Fatigue score, proportion of patients with breakthrough hemolysis, stabilized hemoglobin, and change in serum free C5. Ravulizumab was noninferior to eculizumab for both coprimary and all key secondary end points (P inf &lt; .0001): transfusion avoidance (73.6% vs 66.1%; difference of 6.8% [95% confidence interval (CI), 24.66, 18.14]), LDH normalization (53.6% vs 49.4%; odds ratio, 1.19 [0.80, 1.77]), percent reduction in LDH (276.8% vs 276.0%; difference [95% CI], 20.83% [25.21, 3.56]), change in FACIT-Fatigue score (7.07 vs 6.40; difference [95% CI], 0.67 [21.21, 2.55]), breakthrough hemolysis (4.0% vs 10.7%; difference [95% CI], 26.7% [214.21, 0.18]), and stabilized hemoglobin (68.0% vs 64.5%; difference [95% CI], 2.9 [28.80, 14.64]). The safety and tolerability of ravulizumab and eculizumab were similar; no meningococcal infections occurred. In conclusion, ravulizumab given every 8 weeks achieved noninferiority compared with eculizumab given every 2 weeks for all efficacy end points, with a similar safety profile. This trial was registered at www.clinicaltrials.gov as #NCT02946463.","author":[{"dropping-particle":"","family":"Lee","given":"Jong Wook","non-dropping-particle":"","parse-names":false,"suffix":""},{"dropping-particle":"","family":"Fontbrune","given":"Flore Sicre","non-dropping-particle":"de","parse-names":false,"suffix":""},{"dropping-particle":"","family":"Lee","given":"Lily Wong Lee","non-dropping-particle":"","parse-names":false,"suffix":""},{"dropping-particle":"","family":"Pessoa","given":"Viviani","non-dropping-particle":"","parse-names":false,"suffix":""},{"dropping-particle":"","family":"Gualandro","given":"Sandra","non-dropping-particle":"","parse-names":false,"suffix":""},{"dropping-particle":"","family":"Füreder","given":"Wolfgang","non-dropping-particle":"","parse-names":false,"suffix":""},{"dropping-particle":"","family":"Ptushkin","given":"Vadim","non-dropping-particle":"","parse-names":false,"suffix":""},{"dropping-particle":"","family":"Rottinghaus","given":"Scott T.","non-dropping-particle":"","parse-names":false,"suffix":""},{"dropping-particle":"","family":"Volles","given":"Lori","non-dropping-particle":"","parse-names":false,"suffix":""},{"dropping-particle":"","family":"Shafner","given":"Lori","non-dropping-particle":"","parse-names":false,"suffix":""},{"dropping-particle":"","family":"Aguzzi","given":"Rasha","non-dropping-particle":"","parse-names":false,"suffix":""},{"dropping-particle":"","family":"Pradhan","given":"Rajendra","non-dropping-particle":"","parse-names":false,"suffix":""},{"dropping-particle":"","family":"Schrezenmeier","given":"Hubert","non-dropping-particle":"","parse-names":false,"suffix":""},{"dropping-particle":"","family":"Hill","given":"Anita","non-dropping-particle":"","parse-names":false,"suffix":""}],"container-title":"Blood","id":"ITEM-1","issue":"6","issued":{"date-parts":[["2019"]]},"page":"530-539","title":"Ravulizumab (ALXN1210) vs eculizumab in adult patients with PNH naive to complement inhibitors: The 301 study","type":"article-journal","volume":"133"},"uris":["http://www.mendeley.com/documents/?uuid=406093bd-2704-4498-9560-1763b69ea6ff"]},{"id":"ITEM-2","itemData":{"DOI":"10.1182/blood-2018-09-876805","ISBN":"2016002026","ISSN":"15280020","PMID":"30510079","abstract":"Ravulizumab, a new complement component C5 inhibitor administered every 8 weeks, was noninferior to eculizumab administered every 2 weeks in complement-inhibitor–naive patients with paroxysmal nocturnal hemoglobinuria (PNH). This study assessed noninferiority of ravulizumab to eculizumab in clinically stable PNH patients during previous eculizumab therapy. In this phase 3, open-label, multicenter study, 195 PNH patients on labeled-dose (900 mg every 2 weeks) eculizumab for &gt;6 months were randomly assigned 1:1 to switch to ravulizumab (n 5 97) or continue eculizumab (n 5 98). Primary efficacy end point was percentage change in lactate dehydrogenase (LDH) from baseline to day 183. Key secondary end points included proportion of patients with breakthrough hemolysis, change in Functional Assessment of Chronic Illness Therapy (FACIT)–Fatigue score, transfusion avoidance, and stabilized hemoglobin. In 191 patients completing 183 days of treatment, ravulizumab was noninferior to eculizumab (P inf &lt; .0006 for all end points), including percentage change in LDH (difference, 9.21% [95% confidence interval (CI), 20.42 to 18.84], P 5 .058 for superiority), breakthrough hemolysis (difference, 5.1 [95% CI, 28.89 to 18.99]), change in FACIT-Fatigue score (difference, 1.47 [95% CI, 20.21 to 3.15]), transfusion avoidance (difference, 5.5 [95% CI, 24.27 to 15.68]), and stabilized hemoglobin (difference, 1.4 [95% CI, 210.41 to 13.31]). The most frequently reported adverse event was headache (26.8%, ravulizumab; 17.3%, eculizumab). No meningococcal infections or discontinuations due to adverse events occurred. Patients with PNH may be safely and effectively switched from labeled-dose eculizumab administered every 2 weeks to ravulizumab administered every 8 weeks. This trial was funded by Alexion Pharmaceuticals, Inc., and is registered at www.clinicaltrials.gov as #NCT03056040. (Blood. 2019;133(6):540-549)","author":[{"dropping-particle":"","family":"Kulasekararaj","given":"Austin G.","non-dropping-particle":"","parse-names":false,"suffix":""},{"dropping-particle":"","family":"Hill","given":"Anita","non-dropping-particle":"","parse-names":false,"suffix":""},{"dropping-particle":"","family":"Rottinghaus","given":"Scott T.","non-dropping-particle":"","parse-names":false,"suffix":""},{"dropping-particle":"","family":"Langemeijer","given":"Saskia","non-dropping-particle":"","parse-names":false,"suffix":""},{"dropping-particle":"","family":"Wells","given":"Richard","non-dropping-particle":"","parse-names":false,"suffix":""},{"dropping-particle":"","family":"Gonzalez-Fernandez","given":"F. Ataulfo","non-dropping-particle":"","parse-names":false,"suffix":""},{"dropping-particle":"","family":"Gaya","given":"Anna","non-dropping-particle":"","parse-names":false,"suffix":""},{"dropping-particle":"","family":"Lee","given":"Jong Wook","non-dropping-particle":"","parse-names":false,"suffix":""},{"dropping-particle":"","family":"Gutierrez","given":"Emilio Ojeda","non-dropping-particle":"","parse-names":false,"suffix":""},{"dropping-particle":"","family":"Piatek","given":"Caroline I.","non-dropping-particle":"","parse-names":false,"suffix":""},{"dropping-particle":"","family":"Szer","given":"Jeff","non-dropping-particle":"","parse-names":false,"suffix":""},{"dropping-particle":"","family":"Risitano","given":"Antonio","non-dropping-particle":"","parse-names":false,"suffix":""},{"dropping-particle":"","family":"Nakao","given":"Shinji","non-dropping-particle":"","parse-names":false,"suffix":""},{"dropping-particle":"","family":"Bachman","given":"Eric","non-dropping-particle":"","parse-names":false,"suffix":""},{"dropping-particle":"","family":"Shafner","given":"Lori","non-dropping-particle":"","parse-names":false,"suffix":""},{"dropping-particle":"","family":"Damokosh","given":"Andrew I.","non-dropping-particle":"","parse-names":false,"suffix":""},{"dropping-particle":"","family":"Ortiz","given":"Stephan","non-dropping-particle":"","parse-names":false,"suffix":""},{"dropping-particle":"","family":"Röth","given":"Alexander","non-dropping-particle":"","parse-names":false,"suffix":""},{"dropping-particle":"","family":"Peffault de Latour","given":"Regis","non-dropping-particle":"","parse-names":false,"suffix":""}],"container-title":"Blood","id":"ITEM-2","issue":"6","issued":{"date-parts":[["2019"]]},"page":"540-549","title":"Ravulizumab (ALXN1210) vs eculizumab in C5-inhibitor–experienced adult patients with PNH: The 302 study","type":"article-journal","volume":"133"},"uris":["http://www.mendeley.com/documents/?uuid=b6c601fa-2e89-4067-b78d-dcd8363000fd"]}],"mendeley":{"formattedCitation":"[1, 2]","plainTextFormattedCitation":"[1, 2]","previouslyFormattedCitation":"[1, 2]"},"properties":{"noteIndex":0},"schema":"https://github.com/citation-style-language/schema/raw/master/csl-citation.json"}</w:instrText>
            </w:r>
            <w:r w:rsidRPr="00C62082">
              <w:rPr>
                <w:rFonts w:ascii="Times New Roman" w:hAnsi="Times New Roman" w:cs="Times New Roman"/>
                <w:color w:val="000000"/>
                <w:sz w:val="18"/>
                <w:szCs w:val="18"/>
              </w:rPr>
              <w:fldChar w:fldCharType="separate"/>
            </w:r>
            <w:r w:rsidRPr="00C62082">
              <w:rPr>
                <w:rFonts w:ascii="Times New Roman" w:hAnsi="Times New Roman" w:cs="Times New Roman"/>
                <w:noProof/>
                <w:color w:val="000000"/>
                <w:sz w:val="18"/>
                <w:szCs w:val="18"/>
              </w:rPr>
              <w:t>[1, 2]</w:t>
            </w:r>
            <w:r w:rsidRPr="00C62082">
              <w:rPr>
                <w:rFonts w:ascii="Times New Roman" w:hAnsi="Times New Roman" w:cs="Times New Roman"/>
                <w:color w:val="000000"/>
                <w:sz w:val="18"/>
                <w:szCs w:val="18"/>
              </w:rPr>
              <w:fldChar w:fldCharType="end"/>
            </w:r>
          </w:p>
        </w:tc>
      </w:tr>
      <w:tr w:rsidR="00147F7A" w:rsidRPr="00573080" w14:paraId="26029A8A"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bottom w:val="single" w:sz="4" w:space="0" w:color="000000"/>
            </w:tcBorders>
          </w:tcPr>
          <w:p w14:paraId="29312F8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Convenience health-utility benefit</w:t>
            </w:r>
          </w:p>
        </w:tc>
        <w:tc>
          <w:tcPr>
            <w:tcW w:w="1135" w:type="dxa"/>
            <w:tcBorders>
              <w:bottom w:val="single" w:sz="4" w:space="0" w:color="000000"/>
            </w:tcBorders>
          </w:tcPr>
          <w:p w14:paraId="5EFA4BF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bottom w:val="single" w:sz="4" w:space="0" w:color="000000"/>
            </w:tcBorders>
          </w:tcPr>
          <w:p w14:paraId="4340A2A9" w14:textId="4DFC8003"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w:t>
            </w:r>
            <w:r w:rsidR="00747AA8" w:rsidRPr="00573080">
              <w:rPr>
                <w:rFonts w:ascii="Times New Roman" w:hAnsi="Times New Roman" w:cs="Times New Roman"/>
                <w:sz w:val="18"/>
                <w:szCs w:val="18"/>
              </w:rPr>
              <w:t>7</w:t>
            </w:r>
          </w:p>
        </w:tc>
        <w:tc>
          <w:tcPr>
            <w:tcW w:w="850" w:type="dxa"/>
            <w:tcBorders>
              <w:bottom w:val="single" w:sz="4" w:space="0" w:color="000000"/>
            </w:tcBorders>
          </w:tcPr>
          <w:p w14:paraId="21AD1120" w14:textId="0C97E8F3"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w:t>
            </w:r>
            <w:r w:rsidR="00747AA8" w:rsidRPr="00573080">
              <w:rPr>
                <w:rFonts w:ascii="Times New Roman" w:hAnsi="Times New Roman" w:cs="Times New Roman"/>
                <w:sz w:val="18"/>
                <w:szCs w:val="18"/>
              </w:rPr>
              <w:t>7</w:t>
            </w:r>
          </w:p>
        </w:tc>
        <w:tc>
          <w:tcPr>
            <w:tcW w:w="786" w:type="dxa"/>
            <w:tcBorders>
              <w:bottom w:val="single" w:sz="4" w:space="0" w:color="000000"/>
            </w:tcBorders>
          </w:tcPr>
          <w:p w14:paraId="0776C96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0.07</w:t>
            </w:r>
          </w:p>
        </w:tc>
        <w:tc>
          <w:tcPr>
            <w:tcW w:w="1856" w:type="dxa"/>
            <w:tcBorders>
              <w:bottom w:val="single" w:sz="4" w:space="0" w:color="000000"/>
            </w:tcBorders>
          </w:tcPr>
          <w:p w14:paraId="7319208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DCE (table S7, S8, S8)</w:t>
            </w:r>
          </w:p>
        </w:tc>
      </w:tr>
      <w:tr w:rsidR="00147F7A" w:rsidRPr="00573080" w14:paraId="175E3734" w14:textId="77777777" w:rsidTr="00147F7A">
        <w:trPr>
          <w:trHeight w:val="213"/>
        </w:trPr>
        <w:tc>
          <w:tcPr>
            <w:tcW w:w="9016" w:type="dxa"/>
            <w:gridSpan w:val="6"/>
            <w:tcBorders>
              <w:top w:val="single" w:sz="4" w:space="0" w:color="000000"/>
            </w:tcBorders>
          </w:tcPr>
          <w:p w14:paraId="4CEF6764" w14:textId="77777777" w:rsidR="00147F7A" w:rsidRPr="00573080" w:rsidRDefault="00DD486F">
            <w:pPr>
              <w:spacing w:line="276" w:lineRule="auto"/>
              <w:jc w:val="both"/>
              <w:rPr>
                <w:rFonts w:ascii="Times New Roman" w:hAnsi="Times New Roman" w:cs="Times New Roman"/>
                <w:b/>
                <w:sz w:val="18"/>
                <w:szCs w:val="18"/>
              </w:rPr>
            </w:pPr>
            <w:r w:rsidRPr="00573080">
              <w:rPr>
                <w:rFonts w:ascii="Times New Roman" w:hAnsi="Times New Roman" w:cs="Times New Roman"/>
                <w:b/>
                <w:sz w:val="18"/>
                <w:szCs w:val="18"/>
              </w:rPr>
              <w:t>Costs</w:t>
            </w:r>
          </w:p>
        </w:tc>
      </w:tr>
      <w:tr w:rsidR="00147F7A" w:rsidRPr="00573080" w14:paraId="45B88E20"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Borders>
              <w:top w:val="single" w:sz="4" w:space="0" w:color="000000"/>
            </w:tcBorders>
          </w:tcPr>
          <w:p w14:paraId="1478917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Vaccine cost</w:t>
            </w:r>
          </w:p>
        </w:tc>
        <w:tc>
          <w:tcPr>
            <w:tcW w:w="1135" w:type="dxa"/>
            <w:tcBorders>
              <w:top w:val="single" w:sz="4" w:space="0" w:color="000000"/>
            </w:tcBorders>
          </w:tcPr>
          <w:p w14:paraId="7072732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top w:val="single" w:sz="4" w:space="0" w:color="000000"/>
            </w:tcBorders>
          </w:tcPr>
          <w:p w14:paraId="71B96E7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142.42</w:t>
            </w:r>
          </w:p>
        </w:tc>
        <w:tc>
          <w:tcPr>
            <w:tcW w:w="850" w:type="dxa"/>
            <w:tcBorders>
              <w:top w:val="single" w:sz="4" w:space="0" w:color="000000"/>
            </w:tcBorders>
          </w:tcPr>
          <w:p w14:paraId="71CFEBCD"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81.41</w:t>
            </w:r>
          </w:p>
        </w:tc>
        <w:tc>
          <w:tcPr>
            <w:tcW w:w="786" w:type="dxa"/>
            <w:tcBorders>
              <w:top w:val="single" w:sz="4" w:space="0" w:color="000000"/>
            </w:tcBorders>
          </w:tcPr>
          <w:p w14:paraId="5095FB3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220.22</w:t>
            </w:r>
          </w:p>
        </w:tc>
        <w:tc>
          <w:tcPr>
            <w:tcW w:w="1856" w:type="dxa"/>
            <w:tcBorders>
              <w:top w:val="single" w:sz="4" w:space="0" w:color="000000"/>
            </w:tcBorders>
          </w:tcPr>
          <w:p w14:paraId="24D2CABE" w14:textId="7B29021C" w:rsidR="00147F7A" w:rsidRPr="00573080" w:rsidRDefault="00DD486F">
            <w:pPr>
              <w:spacing w:line="276" w:lineRule="auto"/>
              <w:jc w:val="both"/>
              <w:rPr>
                <w:rFonts w:ascii="Times New Roman" w:hAnsi="Times New Roman" w:cs="Times New Roman"/>
                <w:sz w:val="18"/>
                <w:szCs w:val="18"/>
                <w:highlight w:val="yellow"/>
              </w:rPr>
            </w:pPr>
            <w:r w:rsidRPr="00573080">
              <w:rPr>
                <w:rFonts w:ascii="Times New Roman" w:hAnsi="Times New Roman" w:cs="Times New Roman"/>
                <w:sz w:val="18"/>
                <w:szCs w:val="18"/>
              </w:rPr>
              <w:t>Medicijnkosten</w:t>
            </w:r>
            <w:r w:rsidR="00894862">
              <w:rPr>
                <w:rFonts w:ascii="Times New Roman" w:hAnsi="Times New Roman" w:cs="Times New Roman"/>
                <w:sz w:val="18"/>
                <w:szCs w:val="18"/>
              </w:rPr>
              <w:t>.nl</w:t>
            </w:r>
            <w:r w:rsidR="006B2670">
              <w:rPr>
                <w:rFonts w:ascii="Times New Roman" w:hAnsi="Times New Roman" w:cs="Times New Roman"/>
                <w:sz w:val="18"/>
                <w:szCs w:val="18"/>
              </w:rPr>
              <w:t xml:space="preserve"> </w:t>
            </w:r>
            <w:r w:rsidR="006B2670">
              <w:rPr>
                <w:rFonts w:ascii="Times New Roman" w:hAnsi="Times New Roman" w:cs="Times New Roman"/>
                <w:sz w:val="18"/>
                <w:szCs w:val="18"/>
              </w:rPr>
              <w:fldChar w:fldCharType="begin" w:fldLock="1"/>
            </w:r>
            <w:r w:rsidR="00894862">
              <w:rPr>
                <w:rFonts w:ascii="Times New Roman" w:hAnsi="Times New Roman" w:cs="Times New Roman"/>
                <w:sz w:val="18"/>
                <w:szCs w:val="18"/>
              </w:rPr>
              <w:instrText>ADDIN CSL_CITATION {"citationItems":[{"id":"ITEM-1","itemData":{"URL":"https://www.medicijnkosten.nl/","author":[{"dropping-particle":"","family":"Dutch Institute National Health Care (Zorginstituut Nederland)","given":"","non-dropping-particle":"","parse-names":false,"suffix":""}],"id":"ITEM-1","issued":{"date-parts":[["0"]]},"title":"Medicijnkosten","type":"webpage"},"uris":["http://www.mendeley.com/documents/?uuid=01d5eba4-ed25-475a-b517-ca6f0d3ff0f1"]}],"mendeley":{"formattedCitation":"[14]","plainTextFormattedCitation":"[14]","previouslyFormattedCitation":"[14]"},"properties":{"noteIndex":0},"schema":"https://github.com/citation-style-language/schema/raw/master/csl-citation.json"}</w:instrText>
            </w:r>
            <w:r w:rsidR="006B2670">
              <w:rPr>
                <w:rFonts w:ascii="Times New Roman" w:hAnsi="Times New Roman" w:cs="Times New Roman"/>
                <w:sz w:val="18"/>
                <w:szCs w:val="18"/>
              </w:rPr>
              <w:fldChar w:fldCharType="separate"/>
            </w:r>
            <w:r w:rsidR="006B2670" w:rsidRPr="006B2670">
              <w:rPr>
                <w:rFonts w:ascii="Times New Roman" w:hAnsi="Times New Roman" w:cs="Times New Roman"/>
                <w:noProof/>
                <w:sz w:val="18"/>
                <w:szCs w:val="18"/>
              </w:rPr>
              <w:t>[14]</w:t>
            </w:r>
            <w:r w:rsidR="006B2670">
              <w:rPr>
                <w:rFonts w:ascii="Times New Roman" w:hAnsi="Times New Roman" w:cs="Times New Roman"/>
                <w:sz w:val="18"/>
                <w:szCs w:val="18"/>
              </w:rPr>
              <w:fldChar w:fldCharType="end"/>
            </w:r>
          </w:p>
        </w:tc>
      </w:tr>
      <w:tr w:rsidR="00147F7A" w:rsidRPr="00573080" w14:paraId="520B4D7E" w14:textId="77777777" w:rsidTr="00147F7A">
        <w:trPr>
          <w:trHeight w:val="213"/>
        </w:trPr>
        <w:tc>
          <w:tcPr>
            <w:tcW w:w="3538" w:type="dxa"/>
          </w:tcPr>
          <w:p w14:paraId="543136D1"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Administration cost eculizumab</w:t>
            </w:r>
          </w:p>
        </w:tc>
        <w:tc>
          <w:tcPr>
            <w:tcW w:w="1135" w:type="dxa"/>
          </w:tcPr>
          <w:p w14:paraId="7F10DDEB"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451E7316" w14:textId="746E6ACC"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189.29</w:t>
            </w:r>
          </w:p>
        </w:tc>
        <w:tc>
          <w:tcPr>
            <w:tcW w:w="850" w:type="dxa"/>
          </w:tcPr>
          <w:p w14:paraId="3C31F06E" w14:textId="5ABA174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104.20</w:t>
            </w:r>
          </w:p>
        </w:tc>
        <w:tc>
          <w:tcPr>
            <w:tcW w:w="786" w:type="dxa"/>
          </w:tcPr>
          <w:p w14:paraId="62E172D7" w14:textId="3962B1F8"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281.87</w:t>
            </w:r>
          </w:p>
        </w:tc>
        <w:tc>
          <w:tcPr>
            <w:tcW w:w="1856" w:type="dxa"/>
          </w:tcPr>
          <w:p w14:paraId="7DFF9BDC" w14:textId="6E6AAD0A" w:rsidR="00147F7A" w:rsidRPr="00573080" w:rsidRDefault="00DD486F">
            <w:pPr>
              <w:spacing w:line="276" w:lineRule="auto"/>
              <w:jc w:val="both"/>
              <w:rPr>
                <w:rFonts w:ascii="Times New Roman" w:hAnsi="Times New Roman" w:cs="Times New Roman"/>
                <w:sz w:val="18"/>
                <w:szCs w:val="18"/>
                <w:highlight w:val="yellow"/>
              </w:rPr>
            </w:pPr>
            <w:proofErr w:type="spellStart"/>
            <w:r w:rsidRPr="00573080">
              <w:rPr>
                <w:rFonts w:ascii="Times New Roman" w:hAnsi="Times New Roman" w:cs="Times New Roman"/>
                <w:sz w:val="18"/>
                <w:szCs w:val="18"/>
              </w:rPr>
              <w:t>NZa</w:t>
            </w:r>
            <w:proofErr w:type="spellEnd"/>
            <w:r w:rsidRPr="00573080">
              <w:rPr>
                <w:rFonts w:ascii="Times New Roman" w:hAnsi="Times New Roman" w:cs="Times New Roman"/>
                <w:sz w:val="18"/>
                <w:szCs w:val="18"/>
              </w:rPr>
              <w:t xml:space="preserve"> reference cost </w:t>
            </w:r>
            <w:r w:rsidR="00894862">
              <w:rPr>
                <w:rFonts w:ascii="Times New Roman" w:hAnsi="Times New Roman" w:cs="Times New Roman"/>
                <w:sz w:val="18"/>
                <w:szCs w:val="18"/>
              </w:rPr>
              <w:fldChar w:fldCharType="begin" w:fldLock="1"/>
            </w:r>
            <w:r w:rsidR="00894862">
              <w:rPr>
                <w:rFonts w:ascii="Times New Roman" w:hAnsi="Times New Roman" w:cs="Times New Roman"/>
                <w:sz w:val="18"/>
                <w:szCs w:val="18"/>
              </w:rPr>
              <w:instrText>ADDIN CSL_CITATION {"citationItems":[{"id":"ITEM-1","itemData":{"author":[{"dropping-particle":"","family":"Dutch Healthcare Authority (Dutch: Nederlandse Zorgautoriteit) (NZa)","given":"","non-dropping-particle":"","parse-names":false,"suffix":""}],"id":"ITEM-1","issued":{"date-parts":[["0"]]},"title":"Prestatie- en tarieventabel add-on geneesmiddelen (2016-12) -","type":"article"},"uris":["http://www.mendeley.com/documents/?uuid=0bac0549-4ccc-4ca7-9045-40d7eeb26a80"]}],"mendeley":{"formattedCitation":"[15]","plainTextFormattedCitation":"[15]","previouslyFormattedCitation":"[15]"},"properties":{"noteIndex":0},"schema":"https://github.com/citation-style-language/schema/raw/master/csl-citation.json"}</w:instrText>
            </w:r>
            <w:r w:rsidR="00894862">
              <w:rPr>
                <w:rFonts w:ascii="Times New Roman" w:hAnsi="Times New Roman" w:cs="Times New Roman"/>
                <w:sz w:val="18"/>
                <w:szCs w:val="18"/>
              </w:rPr>
              <w:fldChar w:fldCharType="separate"/>
            </w:r>
            <w:r w:rsidR="00894862" w:rsidRPr="00894862">
              <w:rPr>
                <w:rFonts w:ascii="Times New Roman" w:hAnsi="Times New Roman" w:cs="Times New Roman"/>
                <w:noProof/>
                <w:sz w:val="18"/>
                <w:szCs w:val="18"/>
              </w:rPr>
              <w:t>[15]</w:t>
            </w:r>
            <w:r w:rsidR="00894862">
              <w:rPr>
                <w:rFonts w:ascii="Times New Roman" w:hAnsi="Times New Roman" w:cs="Times New Roman"/>
                <w:sz w:val="18"/>
                <w:szCs w:val="18"/>
              </w:rPr>
              <w:fldChar w:fldCharType="end"/>
            </w:r>
          </w:p>
        </w:tc>
      </w:tr>
      <w:tr w:rsidR="00147F7A" w:rsidRPr="00573080" w14:paraId="2C044D7F" w14:textId="77777777" w:rsidTr="00147F7A">
        <w:trPr>
          <w:cnfStyle w:val="000000100000" w:firstRow="0" w:lastRow="0" w:firstColumn="0" w:lastColumn="0" w:oddVBand="0" w:evenVBand="0" w:oddHBand="1" w:evenHBand="0" w:firstRowFirstColumn="0" w:firstRowLastColumn="0" w:lastRowFirstColumn="0" w:lastRowLastColumn="0"/>
          <w:trHeight w:val="225"/>
        </w:trPr>
        <w:tc>
          <w:tcPr>
            <w:tcW w:w="3538" w:type="dxa"/>
          </w:tcPr>
          <w:p w14:paraId="16A8BD4F"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Administration cost ravulizumab</w:t>
            </w:r>
          </w:p>
        </w:tc>
        <w:tc>
          <w:tcPr>
            <w:tcW w:w="1135" w:type="dxa"/>
          </w:tcPr>
          <w:p w14:paraId="62732DB4"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77AD4075" w14:textId="03A1D61B"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334.22</w:t>
            </w:r>
          </w:p>
        </w:tc>
        <w:tc>
          <w:tcPr>
            <w:tcW w:w="850" w:type="dxa"/>
          </w:tcPr>
          <w:p w14:paraId="4C8EC230" w14:textId="46154AF9"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191.03</w:t>
            </w:r>
          </w:p>
        </w:tc>
        <w:tc>
          <w:tcPr>
            <w:tcW w:w="786" w:type="dxa"/>
          </w:tcPr>
          <w:p w14:paraId="1BBC84AE" w14:textId="0920E28B"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516.79</w:t>
            </w:r>
          </w:p>
        </w:tc>
        <w:tc>
          <w:tcPr>
            <w:tcW w:w="1856" w:type="dxa"/>
          </w:tcPr>
          <w:p w14:paraId="2A3AC780" w14:textId="5BCDF749" w:rsidR="00147F7A" w:rsidRPr="00573080" w:rsidRDefault="00894862">
            <w:pPr>
              <w:spacing w:line="276" w:lineRule="auto"/>
              <w:jc w:val="both"/>
              <w:rPr>
                <w:rFonts w:ascii="Times New Roman" w:hAnsi="Times New Roman" w:cs="Times New Roman"/>
                <w:sz w:val="18"/>
                <w:szCs w:val="18"/>
                <w:highlight w:val="yellow"/>
              </w:rPr>
            </w:pPr>
            <w:proofErr w:type="spellStart"/>
            <w:r w:rsidRPr="00573080">
              <w:rPr>
                <w:rFonts w:ascii="Times New Roman" w:hAnsi="Times New Roman" w:cs="Times New Roman"/>
                <w:sz w:val="18"/>
                <w:szCs w:val="18"/>
              </w:rPr>
              <w:t>NZa</w:t>
            </w:r>
            <w:proofErr w:type="spellEnd"/>
            <w:r w:rsidRPr="00573080">
              <w:rPr>
                <w:rFonts w:ascii="Times New Roman" w:hAnsi="Times New Roman" w:cs="Times New Roman"/>
                <w:sz w:val="18"/>
                <w:szCs w:val="18"/>
              </w:rPr>
              <w:t xml:space="preserve"> reference cost </w:t>
            </w: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{"citationItems":[{"id":"ITEM-1","itemData":{"author":[{"dropping-particle":"","family":"Dutch Healthcare Authority (Dutch: Nederlandse Zorgautoriteit) (NZa)","given":"","non-dropping-particle":"","parse-names":false,"suffix":""}],"id":"ITEM-1","issued":{"date-parts":[["0"]]},"title":"Prestatie- en tarieventabel add-on geneesmiddelen (2016-12) -","type":"article"},"uris":["http://www.mendeley.com/documents/?uuid=0bac0549-4ccc-4ca7-9045-40d7eeb26a80"]}],"mendeley":{"formattedCitation":"[15]","plainTextFormattedCitation":"[15]","previouslyFormattedCitation":"[15]"},"properties":{"noteIndex":0},"schema":"https://github.com/citation-style-language/schema/raw/master/csl-citation.json"}</w:instrText>
            </w:r>
            <w:r>
              <w:rPr>
                <w:rFonts w:ascii="Times New Roman" w:hAnsi="Times New Roman" w:cs="Times New Roman"/>
                <w:sz w:val="18"/>
                <w:szCs w:val="18"/>
              </w:rPr>
              <w:fldChar w:fldCharType="separate"/>
            </w:r>
            <w:r w:rsidRPr="00894862">
              <w:rPr>
                <w:rFonts w:ascii="Times New Roman" w:hAnsi="Times New Roman" w:cs="Times New Roman"/>
                <w:noProof/>
                <w:sz w:val="18"/>
                <w:szCs w:val="18"/>
              </w:rPr>
              <w:t>[15]</w:t>
            </w:r>
            <w:r>
              <w:rPr>
                <w:rFonts w:ascii="Times New Roman" w:hAnsi="Times New Roman" w:cs="Times New Roman"/>
                <w:sz w:val="18"/>
                <w:szCs w:val="18"/>
              </w:rPr>
              <w:fldChar w:fldCharType="end"/>
            </w:r>
          </w:p>
        </w:tc>
      </w:tr>
      <w:tr w:rsidR="00147F7A" w:rsidRPr="00573080" w14:paraId="07BC2C9F" w14:textId="77777777" w:rsidTr="00147F7A">
        <w:trPr>
          <w:trHeight w:val="225"/>
        </w:trPr>
        <w:tc>
          <w:tcPr>
            <w:tcW w:w="3538" w:type="dxa"/>
          </w:tcPr>
          <w:p w14:paraId="3C1DCC5E"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Transfusion administration cost</w:t>
            </w:r>
          </w:p>
        </w:tc>
        <w:tc>
          <w:tcPr>
            <w:tcW w:w="1135" w:type="dxa"/>
          </w:tcPr>
          <w:p w14:paraId="5E35F3B6"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Gamma</w:t>
            </w:r>
          </w:p>
        </w:tc>
        <w:tc>
          <w:tcPr>
            <w:tcW w:w="851" w:type="dxa"/>
          </w:tcPr>
          <w:p w14:paraId="56D3647C"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225.26</w:t>
            </w:r>
          </w:p>
        </w:tc>
        <w:tc>
          <w:tcPr>
            <w:tcW w:w="850" w:type="dxa"/>
          </w:tcPr>
          <w:p w14:paraId="06C2BAF3"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128.76</w:t>
            </w:r>
          </w:p>
        </w:tc>
        <w:tc>
          <w:tcPr>
            <w:tcW w:w="786" w:type="dxa"/>
          </w:tcPr>
          <w:p w14:paraId="778A9DD8"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348.31</w:t>
            </w:r>
          </w:p>
        </w:tc>
        <w:tc>
          <w:tcPr>
            <w:tcW w:w="1856" w:type="dxa"/>
          </w:tcPr>
          <w:p w14:paraId="1BD64FB2" w14:textId="04B97A40" w:rsidR="00147F7A" w:rsidRPr="00573080" w:rsidRDefault="00DD486F">
            <w:pPr>
              <w:spacing w:line="276" w:lineRule="auto"/>
              <w:jc w:val="both"/>
              <w:rPr>
                <w:rFonts w:ascii="Times New Roman" w:hAnsi="Times New Roman" w:cs="Times New Roman"/>
                <w:sz w:val="18"/>
                <w:szCs w:val="18"/>
                <w:highlight w:val="yellow"/>
              </w:rPr>
            </w:pPr>
            <w:r w:rsidRPr="00573080">
              <w:rPr>
                <w:rFonts w:ascii="Times New Roman" w:hAnsi="Times New Roman" w:cs="Times New Roman"/>
                <w:sz w:val="18"/>
                <w:szCs w:val="18"/>
              </w:rPr>
              <w:t>Dutch cost manual</w:t>
            </w:r>
            <w:r w:rsidR="00894862">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00894862">
              <w:rPr>
                <w:rFonts w:ascii="Times New Roman" w:hAnsi="Times New Roman" w:cs="Times New Roman"/>
                <w:sz w:val="18"/>
                <w:szCs w:val="18"/>
              </w:rPr>
              <w:fldChar w:fldCharType="separate"/>
            </w:r>
            <w:r w:rsidR="00894862" w:rsidRPr="00894862">
              <w:rPr>
                <w:rFonts w:ascii="Times New Roman" w:hAnsi="Times New Roman" w:cs="Times New Roman"/>
                <w:noProof/>
                <w:sz w:val="18"/>
                <w:szCs w:val="18"/>
              </w:rPr>
              <w:t>[12]</w:t>
            </w:r>
            <w:r w:rsidR="00894862">
              <w:rPr>
                <w:rFonts w:ascii="Times New Roman" w:hAnsi="Times New Roman" w:cs="Times New Roman"/>
                <w:sz w:val="18"/>
                <w:szCs w:val="18"/>
              </w:rPr>
              <w:fldChar w:fldCharType="end"/>
            </w:r>
          </w:p>
        </w:tc>
      </w:tr>
      <w:tr w:rsidR="00894862" w:rsidRPr="00573080" w14:paraId="0D17854B"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590871C7" w14:textId="43954516" w:rsidR="00894862" w:rsidRPr="00573080" w:rsidRDefault="00894862" w:rsidP="00894862">
            <w:pPr>
              <w:spacing w:line="276" w:lineRule="auto"/>
              <w:jc w:val="both"/>
              <w:rPr>
                <w:rFonts w:ascii="Times New Roman" w:hAnsi="Times New Roman" w:cs="Times New Roman"/>
                <w:sz w:val="18"/>
                <w:szCs w:val="18"/>
              </w:rPr>
            </w:pPr>
            <w:proofErr w:type="spellStart"/>
            <w:r>
              <w:rPr>
                <w:rFonts w:ascii="Times New Roman" w:hAnsi="Times New Roman" w:cs="Times New Roman"/>
                <w:sz w:val="18"/>
                <w:szCs w:val="18"/>
              </w:rPr>
              <w:t>p</w:t>
            </w:r>
            <w:r w:rsidRPr="00573080">
              <w:rPr>
                <w:rFonts w:ascii="Times New Roman" w:hAnsi="Times New Roman" w:cs="Times New Roman"/>
                <w:sz w:val="18"/>
                <w:szCs w:val="18"/>
              </w:rPr>
              <w:t>RBC</w:t>
            </w:r>
            <w:proofErr w:type="spellEnd"/>
            <w:r w:rsidRPr="00573080">
              <w:rPr>
                <w:rFonts w:ascii="Times New Roman" w:hAnsi="Times New Roman" w:cs="Times New Roman"/>
                <w:sz w:val="18"/>
                <w:szCs w:val="18"/>
              </w:rPr>
              <w:t xml:space="preserve"> unit cost</w:t>
            </w:r>
          </w:p>
        </w:tc>
        <w:tc>
          <w:tcPr>
            <w:tcW w:w="1135" w:type="dxa"/>
          </w:tcPr>
          <w:p w14:paraId="3401CAF7" w14:textId="77777777" w:rsidR="00894862" w:rsidRPr="00573080" w:rsidRDefault="00894862" w:rsidP="00894862">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Gamma</w:t>
            </w:r>
          </w:p>
        </w:tc>
        <w:tc>
          <w:tcPr>
            <w:tcW w:w="851" w:type="dxa"/>
          </w:tcPr>
          <w:p w14:paraId="43D4403E"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230.60</w:t>
            </w:r>
          </w:p>
        </w:tc>
        <w:tc>
          <w:tcPr>
            <w:tcW w:w="850" w:type="dxa"/>
          </w:tcPr>
          <w:p w14:paraId="40B1748C"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131.81</w:t>
            </w:r>
          </w:p>
        </w:tc>
        <w:tc>
          <w:tcPr>
            <w:tcW w:w="786" w:type="dxa"/>
          </w:tcPr>
          <w:p w14:paraId="72D0F985"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356.57</w:t>
            </w:r>
          </w:p>
        </w:tc>
        <w:tc>
          <w:tcPr>
            <w:tcW w:w="1856" w:type="dxa"/>
          </w:tcPr>
          <w:p w14:paraId="56015B47" w14:textId="4FF31216" w:rsidR="00894862" w:rsidRPr="00573080" w:rsidRDefault="00894862" w:rsidP="00894862">
            <w:pPr>
              <w:spacing w:line="276" w:lineRule="auto"/>
              <w:jc w:val="both"/>
              <w:rPr>
                <w:rFonts w:ascii="Times New Roman" w:hAnsi="Times New Roman" w:cs="Times New Roman"/>
                <w:sz w:val="18"/>
                <w:szCs w:val="18"/>
                <w:highlight w:val="yellow"/>
              </w:rPr>
            </w:pPr>
            <w:r w:rsidRPr="00191633">
              <w:rPr>
                <w:rFonts w:ascii="Times New Roman" w:hAnsi="Times New Roman" w:cs="Times New Roman"/>
                <w:sz w:val="18"/>
                <w:szCs w:val="18"/>
              </w:rPr>
              <w:t>Dutch cost manual</w:t>
            </w:r>
            <w:r w:rsidRPr="00191633">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Pr="00191633">
              <w:rPr>
                <w:rFonts w:ascii="Times New Roman" w:hAnsi="Times New Roman" w:cs="Times New Roman"/>
                <w:sz w:val="18"/>
                <w:szCs w:val="18"/>
              </w:rPr>
              <w:fldChar w:fldCharType="separate"/>
            </w:r>
            <w:r w:rsidRPr="00191633">
              <w:rPr>
                <w:rFonts w:ascii="Times New Roman" w:hAnsi="Times New Roman" w:cs="Times New Roman"/>
                <w:noProof/>
                <w:sz w:val="18"/>
                <w:szCs w:val="18"/>
              </w:rPr>
              <w:t>[12]</w:t>
            </w:r>
            <w:r w:rsidRPr="00191633">
              <w:rPr>
                <w:rFonts w:ascii="Times New Roman" w:hAnsi="Times New Roman" w:cs="Times New Roman"/>
                <w:sz w:val="18"/>
                <w:szCs w:val="18"/>
              </w:rPr>
              <w:fldChar w:fldCharType="end"/>
            </w:r>
          </w:p>
        </w:tc>
      </w:tr>
      <w:tr w:rsidR="00894862" w:rsidRPr="00573080" w14:paraId="3844823B" w14:textId="77777777" w:rsidTr="00147F7A">
        <w:trPr>
          <w:trHeight w:val="213"/>
        </w:trPr>
        <w:tc>
          <w:tcPr>
            <w:tcW w:w="3538" w:type="dxa"/>
          </w:tcPr>
          <w:p w14:paraId="5A614132"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Parking costs (per visit)</w:t>
            </w:r>
          </w:p>
        </w:tc>
        <w:tc>
          <w:tcPr>
            <w:tcW w:w="1135" w:type="dxa"/>
          </w:tcPr>
          <w:p w14:paraId="600F08C8"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3BD0D6E5"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3.00</w:t>
            </w:r>
          </w:p>
        </w:tc>
        <w:tc>
          <w:tcPr>
            <w:tcW w:w="850" w:type="dxa"/>
          </w:tcPr>
          <w:p w14:paraId="55D0DACB"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4.64</w:t>
            </w:r>
          </w:p>
        </w:tc>
        <w:tc>
          <w:tcPr>
            <w:tcW w:w="786" w:type="dxa"/>
          </w:tcPr>
          <w:p w14:paraId="48668226"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1.72</w:t>
            </w:r>
          </w:p>
        </w:tc>
        <w:tc>
          <w:tcPr>
            <w:tcW w:w="1856" w:type="dxa"/>
          </w:tcPr>
          <w:p w14:paraId="1F9BD4EE" w14:textId="2DFE3D75" w:rsidR="00894862" w:rsidRPr="00573080" w:rsidRDefault="00894862" w:rsidP="00894862">
            <w:pPr>
              <w:spacing w:line="276" w:lineRule="auto"/>
              <w:jc w:val="both"/>
              <w:rPr>
                <w:rFonts w:ascii="Times New Roman" w:hAnsi="Times New Roman" w:cs="Times New Roman"/>
                <w:sz w:val="18"/>
                <w:szCs w:val="18"/>
                <w:highlight w:val="yellow"/>
              </w:rPr>
            </w:pPr>
            <w:r w:rsidRPr="00191633">
              <w:rPr>
                <w:rFonts w:ascii="Times New Roman" w:hAnsi="Times New Roman" w:cs="Times New Roman"/>
                <w:sz w:val="18"/>
                <w:szCs w:val="18"/>
              </w:rPr>
              <w:t>Dutch cost manual</w:t>
            </w:r>
            <w:r w:rsidRPr="00191633">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Pr="00191633">
              <w:rPr>
                <w:rFonts w:ascii="Times New Roman" w:hAnsi="Times New Roman" w:cs="Times New Roman"/>
                <w:sz w:val="18"/>
                <w:szCs w:val="18"/>
              </w:rPr>
              <w:fldChar w:fldCharType="separate"/>
            </w:r>
            <w:r w:rsidRPr="00191633">
              <w:rPr>
                <w:rFonts w:ascii="Times New Roman" w:hAnsi="Times New Roman" w:cs="Times New Roman"/>
                <w:noProof/>
                <w:sz w:val="18"/>
                <w:szCs w:val="18"/>
              </w:rPr>
              <w:t>[12]</w:t>
            </w:r>
            <w:r w:rsidRPr="00191633">
              <w:rPr>
                <w:rFonts w:ascii="Times New Roman" w:hAnsi="Times New Roman" w:cs="Times New Roman"/>
                <w:sz w:val="18"/>
                <w:szCs w:val="18"/>
              </w:rPr>
              <w:fldChar w:fldCharType="end"/>
            </w:r>
          </w:p>
        </w:tc>
      </w:tr>
      <w:tr w:rsidR="00894862" w:rsidRPr="00573080" w14:paraId="592C47D2"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3744EE1F"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Cost per kilometer</w:t>
            </w:r>
          </w:p>
        </w:tc>
        <w:tc>
          <w:tcPr>
            <w:tcW w:w="1135" w:type="dxa"/>
          </w:tcPr>
          <w:p w14:paraId="6A6FE92F"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Pr>
          <w:p w14:paraId="6251ACAE"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0.19</w:t>
            </w:r>
          </w:p>
        </w:tc>
        <w:tc>
          <w:tcPr>
            <w:tcW w:w="850" w:type="dxa"/>
          </w:tcPr>
          <w:p w14:paraId="725A6BAB"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0.29</w:t>
            </w:r>
          </w:p>
        </w:tc>
        <w:tc>
          <w:tcPr>
            <w:tcW w:w="786" w:type="dxa"/>
          </w:tcPr>
          <w:p w14:paraId="11E184DF"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0.11</w:t>
            </w:r>
          </w:p>
        </w:tc>
        <w:tc>
          <w:tcPr>
            <w:tcW w:w="1856" w:type="dxa"/>
          </w:tcPr>
          <w:p w14:paraId="13B31B55" w14:textId="146F4D4D" w:rsidR="00894862" w:rsidRPr="00573080" w:rsidRDefault="00894862" w:rsidP="00894862">
            <w:pPr>
              <w:spacing w:line="276" w:lineRule="auto"/>
              <w:jc w:val="both"/>
              <w:rPr>
                <w:rFonts w:ascii="Times New Roman" w:hAnsi="Times New Roman" w:cs="Times New Roman"/>
                <w:sz w:val="18"/>
                <w:szCs w:val="18"/>
                <w:highlight w:val="yellow"/>
              </w:rPr>
            </w:pPr>
            <w:r w:rsidRPr="00191633">
              <w:rPr>
                <w:rFonts w:ascii="Times New Roman" w:hAnsi="Times New Roman" w:cs="Times New Roman"/>
                <w:sz w:val="18"/>
                <w:szCs w:val="18"/>
              </w:rPr>
              <w:t>Dutch cost manual</w:t>
            </w:r>
            <w:r w:rsidRPr="00191633">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Pr="00191633">
              <w:rPr>
                <w:rFonts w:ascii="Times New Roman" w:hAnsi="Times New Roman" w:cs="Times New Roman"/>
                <w:sz w:val="18"/>
                <w:szCs w:val="18"/>
              </w:rPr>
              <w:fldChar w:fldCharType="separate"/>
            </w:r>
            <w:r w:rsidRPr="00191633">
              <w:rPr>
                <w:rFonts w:ascii="Times New Roman" w:hAnsi="Times New Roman" w:cs="Times New Roman"/>
                <w:noProof/>
                <w:sz w:val="18"/>
                <w:szCs w:val="18"/>
              </w:rPr>
              <w:t>[12]</w:t>
            </w:r>
            <w:r w:rsidRPr="00191633">
              <w:rPr>
                <w:rFonts w:ascii="Times New Roman" w:hAnsi="Times New Roman" w:cs="Times New Roman"/>
                <w:sz w:val="18"/>
                <w:szCs w:val="18"/>
              </w:rPr>
              <w:fldChar w:fldCharType="end"/>
            </w:r>
          </w:p>
        </w:tc>
      </w:tr>
      <w:tr w:rsidR="00894862" w:rsidRPr="00573080" w14:paraId="3489C92F" w14:textId="77777777" w:rsidTr="00147F7A">
        <w:trPr>
          <w:trHeight w:val="213"/>
        </w:trPr>
        <w:tc>
          <w:tcPr>
            <w:tcW w:w="3538" w:type="dxa"/>
            <w:tcBorders>
              <w:bottom w:val="single" w:sz="4" w:space="0" w:color="000000"/>
            </w:tcBorders>
          </w:tcPr>
          <w:p w14:paraId="12CC291F"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Cost of productivity (per hour)</w:t>
            </w:r>
          </w:p>
        </w:tc>
        <w:tc>
          <w:tcPr>
            <w:tcW w:w="1135" w:type="dxa"/>
            <w:tcBorders>
              <w:bottom w:val="single" w:sz="4" w:space="0" w:color="000000"/>
            </w:tcBorders>
          </w:tcPr>
          <w:p w14:paraId="3D5237F8"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Gamma</w:t>
            </w:r>
          </w:p>
        </w:tc>
        <w:tc>
          <w:tcPr>
            <w:tcW w:w="851" w:type="dxa"/>
            <w:tcBorders>
              <w:bottom w:val="single" w:sz="4" w:space="0" w:color="000000"/>
            </w:tcBorders>
          </w:tcPr>
          <w:p w14:paraId="1639F74B"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36.88</w:t>
            </w:r>
          </w:p>
        </w:tc>
        <w:tc>
          <w:tcPr>
            <w:tcW w:w="850" w:type="dxa"/>
            <w:tcBorders>
              <w:bottom w:val="single" w:sz="4" w:space="0" w:color="000000"/>
            </w:tcBorders>
          </w:tcPr>
          <w:p w14:paraId="48D0B5B0"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57.02</w:t>
            </w:r>
          </w:p>
        </w:tc>
        <w:tc>
          <w:tcPr>
            <w:tcW w:w="786" w:type="dxa"/>
            <w:tcBorders>
              <w:bottom w:val="single" w:sz="4" w:space="0" w:color="000000"/>
            </w:tcBorders>
          </w:tcPr>
          <w:p w14:paraId="09D6F8AF"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21.08</w:t>
            </w:r>
          </w:p>
        </w:tc>
        <w:tc>
          <w:tcPr>
            <w:tcW w:w="1856" w:type="dxa"/>
          </w:tcPr>
          <w:p w14:paraId="170EF997" w14:textId="476CBC4B" w:rsidR="00894862" w:rsidRPr="00573080" w:rsidRDefault="00894862" w:rsidP="00894862">
            <w:pPr>
              <w:spacing w:line="276" w:lineRule="auto"/>
              <w:jc w:val="both"/>
              <w:rPr>
                <w:rFonts w:ascii="Times New Roman" w:hAnsi="Times New Roman" w:cs="Times New Roman"/>
                <w:sz w:val="18"/>
                <w:szCs w:val="18"/>
                <w:highlight w:val="yellow"/>
              </w:rPr>
            </w:pPr>
            <w:r w:rsidRPr="00191633">
              <w:rPr>
                <w:rFonts w:ascii="Times New Roman" w:hAnsi="Times New Roman" w:cs="Times New Roman"/>
                <w:sz w:val="18"/>
                <w:szCs w:val="18"/>
              </w:rPr>
              <w:t>Dutch cost manual</w:t>
            </w:r>
            <w:r w:rsidRPr="00191633">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Pr="00191633">
              <w:rPr>
                <w:rFonts w:ascii="Times New Roman" w:hAnsi="Times New Roman" w:cs="Times New Roman"/>
                <w:sz w:val="18"/>
                <w:szCs w:val="18"/>
              </w:rPr>
              <w:fldChar w:fldCharType="separate"/>
            </w:r>
            <w:r w:rsidRPr="00191633">
              <w:rPr>
                <w:rFonts w:ascii="Times New Roman" w:hAnsi="Times New Roman" w:cs="Times New Roman"/>
                <w:noProof/>
                <w:sz w:val="18"/>
                <w:szCs w:val="18"/>
              </w:rPr>
              <w:t>[12]</w:t>
            </w:r>
            <w:r w:rsidRPr="00191633">
              <w:rPr>
                <w:rFonts w:ascii="Times New Roman" w:hAnsi="Times New Roman" w:cs="Times New Roman"/>
                <w:sz w:val="18"/>
                <w:szCs w:val="18"/>
              </w:rPr>
              <w:fldChar w:fldCharType="end"/>
            </w:r>
          </w:p>
        </w:tc>
      </w:tr>
      <w:tr w:rsidR="00147F7A" w:rsidRPr="00573080" w14:paraId="52858DD4"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9016" w:type="dxa"/>
            <w:gridSpan w:val="6"/>
            <w:tcBorders>
              <w:top w:val="single" w:sz="4" w:space="0" w:color="000000"/>
              <w:bottom w:val="single" w:sz="4" w:space="0" w:color="000000"/>
            </w:tcBorders>
          </w:tcPr>
          <w:p w14:paraId="24F7D3D0" w14:textId="77777777" w:rsidR="00147F7A" w:rsidRPr="00573080" w:rsidRDefault="00DD486F">
            <w:pPr>
              <w:spacing w:line="276" w:lineRule="auto"/>
              <w:jc w:val="both"/>
              <w:rPr>
                <w:rFonts w:ascii="Times New Roman" w:hAnsi="Times New Roman" w:cs="Times New Roman"/>
                <w:sz w:val="18"/>
                <w:szCs w:val="18"/>
                <w:highlight w:val="yellow"/>
              </w:rPr>
            </w:pPr>
            <w:r w:rsidRPr="00573080">
              <w:rPr>
                <w:rFonts w:ascii="Times New Roman" w:hAnsi="Times New Roman" w:cs="Times New Roman"/>
                <w:b/>
                <w:sz w:val="18"/>
                <w:szCs w:val="18"/>
              </w:rPr>
              <w:t>Other</w:t>
            </w:r>
          </w:p>
        </w:tc>
      </w:tr>
      <w:tr w:rsidR="00894862" w:rsidRPr="00573080" w14:paraId="709F823A" w14:textId="77777777" w:rsidTr="00147F7A">
        <w:trPr>
          <w:trHeight w:val="213"/>
        </w:trPr>
        <w:tc>
          <w:tcPr>
            <w:tcW w:w="3538" w:type="dxa"/>
            <w:tcBorders>
              <w:top w:val="single" w:sz="4" w:space="0" w:color="000000"/>
            </w:tcBorders>
          </w:tcPr>
          <w:p w14:paraId="689EF1DA" w14:textId="77777777" w:rsidR="00894862" w:rsidRPr="00573080" w:rsidRDefault="00894862" w:rsidP="00894862">
            <w:pP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Percentage of patients traveling by personal transport (%)</w:t>
            </w:r>
          </w:p>
        </w:tc>
        <w:tc>
          <w:tcPr>
            <w:tcW w:w="1135" w:type="dxa"/>
            <w:tcBorders>
              <w:top w:val="single" w:sz="4" w:space="0" w:color="000000"/>
            </w:tcBorders>
          </w:tcPr>
          <w:p w14:paraId="34B1315B"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Normal</w:t>
            </w:r>
          </w:p>
        </w:tc>
        <w:tc>
          <w:tcPr>
            <w:tcW w:w="851" w:type="dxa"/>
            <w:tcBorders>
              <w:top w:val="single" w:sz="4" w:space="0" w:color="000000"/>
            </w:tcBorders>
          </w:tcPr>
          <w:p w14:paraId="0CBF3EE3" w14:textId="77777777" w:rsidR="00894862" w:rsidRPr="00573080" w:rsidRDefault="00894862" w:rsidP="00894862">
            <w:pP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50</w:t>
            </w:r>
          </w:p>
        </w:tc>
        <w:tc>
          <w:tcPr>
            <w:tcW w:w="850" w:type="dxa"/>
            <w:tcBorders>
              <w:top w:val="single" w:sz="4" w:space="0" w:color="000000"/>
            </w:tcBorders>
          </w:tcPr>
          <w:p w14:paraId="1FDC413D"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26</w:t>
            </w:r>
          </w:p>
        </w:tc>
        <w:tc>
          <w:tcPr>
            <w:tcW w:w="786" w:type="dxa"/>
            <w:tcBorders>
              <w:top w:val="single" w:sz="4" w:space="0" w:color="000000"/>
            </w:tcBorders>
          </w:tcPr>
          <w:p w14:paraId="5FBF9288"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74</w:t>
            </w:r>
          </w:p>
        </w:tc>
        <w:tc>
          <w:tcPr>
            <w:tcW w:w="1856" w:type="dxa"/>
            <w:tcBorders>
              <w:top w:val="single" w:sz="4" w:space="0" w:color="000000"/>
            </w:tcBorders>
          </w:tcPr>
          <w:p w14:paraId="53654F49" w14:textId="1CD9DDBF" w:rsidR="00894862" w:rsidRPr="00573080" w:rsidRDefault="00894862" w:rsidP="00894862">
            <w:pPr>
              <w:spacing w:line="276" w:lineRule="auto"/>
              <w:jc w:val="both"/>
              <w:rPr>
                <w:rFonts w:ascii="Times New Roman" w:hAnsi="Times New Roman" w:cs="Times New Roman"/>
                <w:sz w:val="18"/>
                <w:szCs w:val="18"/>
                <w:highlight w:val="yellow"/>
              </w:rPr>
            </w:pPr>
            <w:r w:rsidRPr="00A00D31">
              <w:rPr>
                <w:rFonts w:ascii="Times New Roman" w:hAnsi="Times New Roman" w:cs="Times New Roman"/>
                <w:sz w:val="18"/>
                <w:szCs w:val="18"/>
              </w:rPr>
              <w:t>Dutch cost manual</w:t>
            </w:r>
            <w:r w:rsidRPr="00A00D31">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Pr="00A00D31">
              <w:rPr>
                <w:rFonts w:ascii="Times New Roman" w:hAnsi="Times New Roman" w:cs="Times New Roman"/>
                <w:sz w:val="18"/>
                <w:szCs w:val="18"/>
              </w:rPr>
              <w:fldChar w:fldCharType="separate"/>
            </w:r>
            <w:r w:rsidRPr="00A00D31">
              <w:rPr>
                <w:rFonts w:ascii="Times New Roman" w:hAnsi="Times New Roman" w:cs="Times New Roman"/>
                <w:noProof/>
                <w:sz w:val="18"/>
                <w:szCs w:val="18"/>
              </w:rPr>
              <w:t>[12]</w:t>
            </w:r>
            <w:r w:rsidRPr="00A00D31">
              <w:rPr>
                <w:rFonts w:ascii="Times New Roman" w:hAnsi="Times New Roman" w:cs="Times New Roman"/>
                <w:sz w:val="18"/>
                <w:szCs w:val="18"/>
              </w:rPr>
              <w:fldChar w:fldCharType="end"/>
            </w:r>
          </w:p>
        </w:tc>
      </w:tr>
      <w:tr w:rsidR="00894862" w:rsidRPr="00573080" w14:paraId="101604DD"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3253DBB0"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Distance to expert center (to hospital and back) in km</w:t>
            </w:r>
          </w:p>
        </w:tc>
        <w:tc>
          <w:tcPr>
            <w:tcW w:w="1135" w:type="dxa"/>
          </w:tcPr>
          <w:p w14:paraId="561FC913"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Normal</w:t>
            </w:r>
          </w:p>
        </w:tc>
        <w:tc>
          <w:tcPr>
            <w:tcW w:w="851" w:type="dxa"/>
          </w:tcPr>
          <w:p w14:paraId="1C71CB73"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147</w:t>
            </w:r>
          </w:p>
        </w:tc>
        <w:tc>
          <w:tcPr>
            <w:tcW w:w="850" w:type="dxa"/>
          </w:tcPr>
          <w:p w14:paraId="5496C3AF"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75</w:t>
            </w:r>
          </w:p>
        </w:tc>
        <w:tc>
          <w:tcPr>
            <w:tcW w:w="786" w:type="dxa"/>
          </w:tcPr>
          <w:p w14:paraId="36DDE04C"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219</w:t>
            </w:r>
          </w:p>
        </w:tc>
        <w:tc>
          <w:tcPr>
            <w:tcW w:w="1856" w:type="dxa"/>
          </w:tcPr>
          <w:p w14:paraId="78F2A7A3" w14:textId="0FB1904D" w:rsidR="00894862" w:rsidRPr="00573080" w:rsidRDefault="00894862" w:rsidP="00894862">
            <w:pPr>
              <w:spacing w:line="276" w:lineRule="auto"/>
              <w:jc w:val="both"/>
              <w:rPr>
                <w:rFonts w:ascii="Times New Roman" w:hAnsi="Times New Roman" w:cs="Times New Roman"/>
                <w:sz w:val="18"/>
                <w:szCs w:val="18"/>
                <w:highlight w:val="yellow"/>
              </w:rPr>
            </w:pPr>
            <w:r w:rsidRPr="00A00D31">
              <w:rPr>
                <w:rFonts w:ascii="Times New Roman" w:hAnsi="Times New Roman" w:cs="Times New Roman"/>
                <w:sz w:val="18"/>
                <w:szCs w:val="18"/>
              </w:rPr>
              <w:t>Dutch cost manual</w:t>
            </w:r>
            <w:r w:rsidRPr="00A00D31">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Pr="00A00D31">
              <w:rPr>
                <w:rFonts w:ascii="Times New Roman" w:hAnsi="Times New Roman" w:cs="Times New Roman"/>
                <w:sz w:val="18"/>
                <w:szCs w:val="18"/>
              </w:rPr>
              <w:fldChar w:fldCharType="separate"/>
            </w:r>
            <w:r w:rsidRPr="00A00D31">
              <w:rPr>
                <w:rFonts w:ascii="Times New Roman" w:hAnsi="Times New Roman" w:cs="Times New Roman"/>
                <w:noProof/>
                <w:sz w:val="18"/>
                <w:szCs w:val="18"/>
              </w:rPr>
              <w:t>[12]</w:t>
            </w:r>
            <w:r w:rsidRPr="00A00D31">
              <w:rPr>
                <w:rFonts w:ascii="Times New Roman" w:hAnsi="Times New Roman" w:cs="Times New Roman"/>
                <w:sz w:val="18"/>
                <w:szCs w:val="18"/>
              </w:rPr>
              <w:fldChar w:fldCharType="end"/>
            </w:r>
          </w:p>
        </w:tc>
      </w:tr>
      <w:tr w:rsidR="00894862" w:rsidRPr="00573080" w14:paraId="44F766B6" w14:textId="77777777" w:rsidTr="00147F7A">
        <w:trPr>
          <w:trHeight w:val="213"/>
        </w:trPr>
        <w:tc>
          <w:tcPr>
            <w:tcW w:w="3538" w:type="dxa"/>
          </w:tcPr>
          <w:p w14:paraId="37C55473"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Distance to hospital (to hospital and back) in km</w:t>
            </w:r>
          </w:p>
        </w:tc>
        <w:tc>
          <w:tcPr>
            <w:tcW w:w="1135" w:type="dxa"/>
          </w:tcPr>
          <w:p w14:paraId="2845822A"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Normal</w:t>
            </w:r>
          </w:p>
        </w:tc>
        <w:tc>
          <w:tcPr>
            <w:tcW w:w="851" w:type="dxa"/>
          </w:tcPr>
          <w:p w14:paraId="0D9F5C8D"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14</w:t>
            </w:r>
          </w:p>
        </w:tc>
        <w:tc>
          <w:tcPr>
            <w:tcW w:w="850" w:type="dxa"/>
          </w:tcPr>
          <w:p w14:paraId="35AE5827"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7.1</w:t>
            </w:r>
          </w:p>
        </w:tc>
        <w:tc>
          <w:tcPr>
            <w:tcW w:w="786" w:type="dxa"/>
          </w:tcPr>
          <w:p w14:paraId="7C789C38" w14:textId="77777777" w:rsidR="00894862" w:rsidRPr="00573080" w:rsidRDefault="00894862" w:rsidP="00894862">
            <w:pPr>
              <w:spacing w:line="276" w:lineRule="auto"/>
              <w:jc w:val="both"/>
              <w:rPr>
                <w:rFonts w:ascii="Times New Roman" w:hAnsi="Times New Roman" w:cs="Times New Roman"/>
                <w:sz w:val="18"/>
                <w:szCs w:val="18"/>
              </w:rPr>
            </w:pPr>
            <w:r w:rsidRPr="00573080">
              <w:rPr>
                <w:rFonts w:ascii="Times New Roman" w:hAnsi="Times New Roman" w:cs="Times New Roman"/>
                <w:color w:val="000000"/>
                <w:sz w:val="18"/>
                <w:szCs w:val="18"/>
              </w:rPr>
              <w:t>20.9</w:t>
            </w:r>
          </w:p>
        </w:tc>
        <w:tc>
          <w:tcPr>
            <w:tcW w:w="1856" w:type="dxa"/>
          </w:tcPr>
          <w:p w14:paraId="3A0DF832" w14:textId="00C3AD9B" w:rsidR="00894862" w:rsidRPr="00573080" w:rsidRDefault="00894862" w:rsidP="00894862">
            <w:pPr>
              <w:spacing w:line="276" w:lineRule="auto"/>
              <w:jc w:val="both"/>
              <w:rPr>
                <w:rFonts w:ascii="Times New Roman" w:hAnsi="Times New Roman" w:cs="Times New Roman"/>
                <w:sz w:val="18"/>
                <w:szCs w:val="18"/>
                <w:highlight w:val="yellow"/>
              </w:rPr>
            </w:pPr>
            <w:r w:rsidRPr="00A00D31">
              <w:rPr>
                <w:rFonts w:ascii="Times New Roman" w:hAnsi="Times New Roman" w:cs="Times New Roman"/>
                <w:sz w:val="18"/>
                <w:szCs w:val="18"/>
              </w:rPr>
              <w:t>Dutch cost manual</w:t>
            </w:r>
            <w:r w:rsidRPr="00A00D31">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{"citationItems":[{"id":"ITEM-1","itemData":{"PMID":"21614219","abstract":"Methoden en standaard kostprijzen voor economische evaluaties in de gezondheidszorg","author":[{"dropping-particle":"","family":"Hakkaart-van Roijen","given":"Leona","non-dropping-particle":"","parse-names":false,"suffix":""},{"dropping-particle":"","family":"Linden","given":"Naomi","non-dropping-particle":"van der","parse-names":false,"suffix":""},{"dropping-particle":"","family":"Bouwmans","given":"Clazien","non-dropping-particle":"","parse-names":false,"suffix":""},{"dropping-particle":"","family":"Kanters","given":"Tim","non-dropping-particle":"","parse-names":false,"suffix":""},{"dropping-particle":"","family":"Swan Tan","given":"Siok","non-dropping-particle":"","parse-names":false,"suffix":""}],"container-title":"Dutch National Health Care Institute","id":"ITEM-1","issued":{"date-parts":[["2016"]]},"page":"1-73","title":"Cost Manual: Methodology and Reference Prices for Healthcare Economic Evaluations. (Dutch: Kostenhandleiding: Methodologie van kostenonderzoek en referentieprijzen voor economische evaluaties in de gezondheidszorg.","type":"article-journal"},"uris":["http://www.mendeley.com/documents/?uuid=55ad8e10-3bf2-473e-9420-43b0c8f22a52"]}],"mendeley":{"formattedCitation":"[12]","plainTextFormattedCitation":"[12]","previouslyFormattedCitation":"[12]"},"properties":{"noteIndex":0},"schema":"https://github.com/citation-style-language/schema/raw/master/csl-citation.json"}</w:instrText>
            </w:r>
            <w:r w:rsidRPr="00A00D31">
              <w:rPr>
                <w:rFonts w:ascii="Times New Roman" w:hAnsi="Times New Roman" w:cs="Times New Roman"/>
                <w:sz w:val="18"/>
                <w:szCs w:val="18"/>
              </w:rPr>
              <w:fldChar w:fldCharType="separate"/>
            </w:r>
            <w:r w:rsidRPr="00A00D31">
              <w:rPr>
                <w:rFonts w:ascii="Times New Roman" w:hAnsi="Times New Roman" w:cs="Times New Roman"/>
                <w:noProof/>
                <w:sz w:val="18"/>
                <w:szCs w:val="18"/>
              </w:rPr>
              <w:t>[12]</w:t>
            </w:r>
            <w:r w:rsidRPr="00A00D31">
              <w:rPr>
                <w:rFonts w:ascii="Times New Roman" w:hAnsi="Times New Roman" w:cs="Times New Roman"/>
                <w:sz w:val="18"/>
                <w:szCs w:val="18"/>
              </w:rPr>
              <w:fldChar w:fldCharType="end"/>
            </w:r>
          </w:p>
        </w:tc>
      </w:tr>
      <w:tr w:rsidR="00147F7A" w:rsidRPr="00573080" w14:paraId="2BB4EA06" w14:textId="77777777" w:rsidTr="00147F7A">
        <w:trPr>
          <w:cnfStyle w:val="000000100000" w:firstRow="0" w:lastRow="0" w:firstColumn="0" w:lastColumn="0" w:oddVBand="0" w:evenVBand="0" w:oddHBand="1" w:evenHBand="0" w:firstRowFirstColumn="0" w:firstRowLastColumn="0" w:lastRowFirstColumn="0" w:lastRowLastColumn="0"/>
          <w:trHeight w:val="213"/>
        </w:trPr>
        <w:tc>
          <w:tcPr>
            <w:tcW w:w="3538" w:type="dxa"/>
          </w:tcPr>
          <w:p w14:paraId="622C3812"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sz w:val="18"/>
                <w:szCs w:val="18"/>
              </w:rPr>
              <w:t>Average labor participation rate (45-75 years)</w:t>
            </w:r>
          </w:p>
        </w:tc>
        <w:tc>
          <w:tcPr>
            <w:tcW w:w="1135" w:type="dxa"/>
          </w:tcPr>
          <w:p w14:paraId="556FF037" w14:textId="77777777"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Normal</w:t>
            </w:r>
          </w:p>
        </w:tc>
        <w:tc>
          <w:tcPr>
            <w:tcW w:w="851" w:type="dxa"/>
          </w:tcPr>
          <w:p w14:paraId="425F5A7A"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0.55</w:t>
            </w:r>
          </w:p>
        </w:tc>
        <w:tc>
          <w:tcPr>
            <w:tcW w:w="850" w:type="dxa"/>
          </w:tcPr>
          <w:p w14:paraId="5F1ED4C2"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0.3</w:t>
            </w:r>
          </w:p>
        </w:tc>
        <w:tc>
          <w:tcPr>
            <w:tcW w:w="786" w:type="dxa"/>
          </w:tcPr>
          <w:p w14:paraId="3CD4F988" w14:textId="77777777" w:rsidR="00147F7A" w:rsidRPr="00573080" w:rsidRDefault="00DD486F">
            <w:pPr>
              <w:spacing w:line="276" w:lineRule="auto"/>
              <w:jc w:val="both"/>
              <w:rPr>
                <w:rFonts w:ascii="Times New Roman" w:hAnsi="Times New Roman" w:cs="Times New Roman"/>
                <w:color w:val="000000"/>
                <w:sz w:val="18"/>
                <w:szCs w:val="18"/>
              </w:rPr>
            </w:pPr>
            <w:r w:rsidRPr="00573080">
              <w:rPr>
                <w:rFonts w:ascii="Times New Roman" w:hAnsi="Times New Roman" w:cs="Times New Roman"/>
                <w:color w:val="000000"/>
                <w:sz w:val="18"/>
                <w:szCs w:val="18"/>
              </w:rPr>
              <w:t>0.8</w:t>
            </w:r>
          </w:p>
        </w:tc>
        <w:tc>
          <w:tcPr>
            <w:tcW w:w="1856" w:type="dxa"/>
          </w:tcPr>
          <w:p w14:paraId="5175B531" w14:textId="4F36D5B1" w:rsidR="00147F7A" w:rsidRPr="00573080" w:rsidRDefault="00DD486F">
            <w:pPr>
              <w:spacing w:line="276" w:lineRule="auto"/>
              <w:jc w:val="both"/>
              <w:rPr>
                <w:rFonts w:ascii="Times New Roman" w:hAnsi="Times New Roman" w:cs="Times New Roman"/>
                <w:sz w:val="18"/>
                <w:szCs w:val="18"/>
              </w:rPr>
            </w:pPr>
            <w:r w:rsidRPr="00573080">
              <w:rPr>
                <w:rFonts w:ascii="Times New Roman" w:hAnsi="Times New Roman" w:cs="Times New Roman"/>
                <w:sz w:val="18"/>
                <w:szCs w:val="18"/>
              </w:rPr>
              <w:t>CBS</w:t>
            </w:r>
            <w:r w:rsidR="00894862">
              <w:rPr>
                <w:rFonts w:ascii="Times New Roman" w:hAnsi="Times New Roman" w:cs="Times New Roman"/>
                <w:sz w:val="18"/>
                <w:szCs w:val="18"/>
              </w:rPr>
              <w:t xml:space="preserve"> </w:t>
            </w:r>
            <w:r w:rsidR="00894862">
              <w:rPr>
                <w:rFonts w:ascii="Times New Roman" w:hAnsi="Times New Roman" w:cs="Times New Roman"/>
                <w:sz w:val="18"/>
                <w:szCs w:val="18"/>
              </w:rPr>
              <w:fldChar w:fldCharType="begin" w:fldLock="1"/>
            </w:r>
            <w:r w:rsidR="004F0891">
              <w:rPr>
                <w:rFonts w:ascii="Times New Roman" w:hAnsi="Times New Roman" w:cs="Times New Roman"/>
                <w:sz w:val="18"/>
                <w:szCs w:val="18"/>
              </w:rPr>
              <w:instrText>ADDIN CSL_CITATION {"citationItems":[{"id":"ITEM-1","itemData":{"URL":"https://www.cbs.nl/nl-nl/cijfers/detail/37360ned","accessed":{"date-parts":[["2021","5","3"]]},"author":[{"dropping-particle":"","family":"Centraal Bureau voor de Statistiek","given":"","non-dropping-particle":"","parse-names":false,"suffix":""}],"id":"ITEM-1","issued":{"date-parts":[["2020"]]},"title":"StatLine - Life expectancy; sex, age (per year and period of five years) (Dutch: Levensverwachting; geslacht, leeftijd (per jaar en periode van vijf jaren)","type":"webpage"},"uris":["http://www.mendeley.com/documents/?uuid=1077b8d1-3d7c-4505-9e6d-23c3d1e1c35c"]}],"mendeley":{"formattedCitation":"[16]","plainTextFormattedCitation":"[16]","previouslyFormattedCitation":"[16]"},"properties":{"noteIndex":0},"schema":"https://github.com/citation-style-language/schema/raw/master/csl-citation.json"}</w:instrText>
            </w:r>
            <w:r w:rsidR="00894862">
              <w:rPr>
                <w:rFonts w:ascii="Times New Roman" w:hAnsi="Times New Roman" w:cs="Times New Roman"/>
                <w:sz w:val="18"/>
                <w:szCs w:val="18"/>
              </w:rPr>
              <w:fldChar w:fldCharType="separate"/>
            </w:r>
            <w:r w:rsidR="00894862" w:rsidRPr="00894862">
              <w:rPr>
                <w:rFonts w:ascii="Times New Roman" w:hAnsi="Times New Roman" w:cs="Times New Roman"/>
                <w:noProof/>
                <w:sz w:val="18"/>
                <w:szCs w:val="18"/>
              </w:rPr>
              <w:t>[16]</w:t>
            </w:r>
            <w:r w:rsidR="00894862">
              <w:rPr>
                <w:rFonts w:ascii="Times New Roman" w:hAnsi="Times New Roman" w:cs="Times New Roman"/>
                <w:sz w:val="18"/>
                <w:szCs w:val="18"/>
              </w:rPr>
              <w:fldChar w:fldCharType="end"/>
            </w:r>
          </w:p>
        </w:tc>
      </w:tr>
    </w:tbl>
    <w:p w14:paraId="5682BE1F" w14:textId="388FD407" w:rsidR="00147F7A" w:rsidRPr="00573080" w:rsidRDefault="00DD486F">
      <w:pPr>
        <w:spacing w:after="0" w:line="276" w:lineRule="auto"/>
        <w:jc w:val="both"/>
        <w:rPr>
          <w:rFonts w:ascii="Times New Roman" w:hAnsi="Times New Roman" w:cs="Times New Roman"/>
          <w:sz w:val="16"/>
          <w:szCs w:val="16"/>
        </w:rPr>
      </w:pPr>
      <w:r w:rsidRPr="00573080">
        <w:rPr>
          <w:rFonts w:ascii="Times New Roman" w:hAnsi="Times New Roman" w:cs="Times New Roman"/>
          <w:b/>
          <w:sz w:val="16"/>
          <w:szCs w:val="16"/>
        </w:rPr>
        <w:t>Abbreviations</w:t>
      </w:r>
      <w:r w:rsidRPr="00573080">
        <w:rPr>
          <w:rFonts w:ascii="Times New Roman" w:hAnsi="Times New Roman" w:cs="Times New Roman"/>
          <w:sz w:val="16"/>
          <w:szCs w:val="16"/>
        </w:rPr>
        <w:t xml:space="preserve">: BTH: breakthrough hemolysis; CAC: complement amplifying condition; DCE: discrete choice experiment; Hx: history of; IncC5Inhib: incomplete C5 inhibition; </w:t>
      </w:r>
      <w:proofErr w:type="spellStart"/>
      <w:r w:rsidRPr="00573080">
        <w:rPr>
          <w:rFonts w:ascii="Times New Roman" w:hAnsi="Times New Roman" w:cs="Times New Roman"/>
          <w:sz w:val="16"/>
          <w:szCs w:val="16"/>
        </w:rPr>
        <w:t>NZa</w:t>
      </w:r>
      <w:proofErr w:type="spellEnd"/>
      <w:r w:rsidRPr="00573080">
        <w:rPr>
          <w:rFonts w:ascii="Times New Roman" w:hAnsi="Times New Roman" w:cs="Times New Roman"/>
          <w:sz w:val="16"/>
          <w:szCs w:val="16"/>
        </w:rPr>
        <w:t xml:space="preserve">: Dutch Healthcare Authority; </w:t>
      </w:r>
      <w:proofErr w:type="spellStart"/>
      <w:r w:rsidR="00302A7A">
        <w:rPr>
          <w:rFonts w:ascii="Times New Roman" w:hAnsi="Times New Roman" w:cs="Times New Roman"/>
          <w:sz w:val="16"/>
          <w:szCs w:val="16"/>
        </w:rPr>
        <w:t>pRBC</w:t>
      </w:r>
      <w:proofErr w:type="spellEnd"/>
      <w:r w:rsidR="00302A7A">
        <w:rPr>
          <w:rFonts w:ascii="Times New Roman" w:hAnsi="Times New Roman" w:cs="Times New Roman"/>
          <w:sz w:val="16"/>
          <w:szCs w:val="16"/>
        </w:rPr>
        <w:t xml:space="preserve">: packed red blood cell; </w:t>
      </w:r>
      <w:r w:rsidRPr="00573080">
        <w:rPr>
          <w:rFonts w:ascii="Times New Roman" w:hAnsi="Times New Roman" w:cs="Times New Roman"/>
          <w:sz w:val="16"/>
          <w:szCs w:val="16"/>
        </w:rPr>
        <w:t xml:space="preserve">Trans. Prob.: transition probability. </w:t>
      </w:r>
    </w:p>
    <w:p w14:paraId="21EF7240" w14:textId="7157F96D" w:rsidR="00EF3542" w:rsidRPr="00241C53" w:rsidRDefault="00EF3542">
      <w:pPr>
        <w:spacing w:after="0" w:line="276" w:lineRule="auto"/>
        <w:jc w:val="both"/>
        <w:rPr>
          <w:rFonts w:ascii="Times New Roman" w:hAnsi="Times New Roman" w:cs="Times New Roman"/>
          <w:sz w:val="24"/>
          <w:szCs w:val="24"/>
        </w:rPr>
      </w:pPr>
    </w:p>
    <w:p w14:paraId="5708BE36" w14:textId="77777777" w:rsidR="00573080" w:rsidRPr="00241C53" w:rsidRDefault="00573080">
      <w:pPr>
        <w:spacing w:after="0" w:line="276" w:lineRule="auto"/>
        <w:jc w:val="both"/>
        <w:rPr>
          <w:rFonts w:ascii="Times New Roman" w:hAnsi="Times New Roman" w:cs="Times New Roman"/>
          <w:sz w:val="24"/>
          <w:szCs w:val="24"/>
        </w:rPr>
      </w:pPr>
    </w:p>
    <w:p w14:paraId="4432B5D2" w14:textId="2476A40F" w:rsidR="00EF3542" w:rsidRPr="00573080" w:rsidRDefault="00EF3542" w:rsidP="00EF3542">
      <w:pPr>
        <w:pStyle w:val="Caption"/>
        <w:keepNext/>
        <w:spacing w:after="0"/>
        <w:rPr>
          <w:rFonts w:ascii="Times New Roman" w:hAnsi="Times New Roman" w:cs="Times New Roman"/>
          <w:b/>
          <w:bCs/>
          <w:i w:val="0"/>
          <w:iCs w:val="0"/>
          <w:color w:val="auto"/>
        </w:rPr>
      </w:pPr>
      <w:bookmarkStart w:id="6" w:name="_Ref71203985"/>
      <w:r w:rsidRPr="00573080">
        <w:rPr>
          <w:rFonts w:ascii="Times New Roman" w:hAnsi="Times New Roman" w:cs="Times New Roman"/>
          <w:b/>
          <w:bCs/>
          <w:i w:val="0"/>
          <w:iCs w:val="0"/>
          <w:color w:val="auto"/>
        </w:rPr>
        <w:t>Table</w:t>
      </w:r>
      <w:bookmarkEnd w:id="6"/>
      <w:r w:rsidRPr="00573080">
        <w:rPr>
          <w:rFonts w:ascii="Times New Roman" w:hAnsi="Times New Roman" w:cs="Times New Roman"/>
          <w:b/>
          <w:bCs/>
          <w:i w:val="0"/>
          <w:iCs w:val="0"/>
          <w:color w:val="auto"/>
        </w:rPr>
        <w:t xml:space="preserve"> S1</w:t>
      </w:r>
      <w:r w:rsidR="001E3B44">
        <w:rPr>
          <w:rFonts w:ascii="Times New Roman" w:hAnsi="Times New Roman" w:cs="Times New Roman"/>
          <w:b/>
          <w:bCs/>
          <w:i w:val="0"/>
          <w:iCs w:val="0"/>
          <w:color w:val="auto"/>
        </w:rPr>
        <w:t>2</w:t>
      </w:r>
      <w:r w:rsidRPr="00573080">
        <w:rPr>
          <w:rFonts w:ascii="Times New Roman" w:hAnsi="Times New Roman" w:cs="Times New Roman"/>
          <w:b/>
          <w:bCs/>
          <w:i w:val="0"/>
          <w:iCs w:val="0"/>
          <w:color w:val="auto"/>
        </w:rPr>
        <w:t>. Scenarios included in the cost-utility analysis.</w:t>
      </w:r>
    </w:p>
    <w:tbl>
      <w:tblPr>
        <w:tblStyle w:val="PlainTable1"/>
        <w:tblW w:w="9062" w:type="dxa"/>
        <w:tblLayout w:type="fixed"/>
        <w:tblLook w:val="04A0" w:firstRow="1" w:lastRow="0" w:firstColumn="1" w:lastColumn="0" w:noHBand="0" w:noVBand="1"/>
      </w:tblPr>
      <w:tblGrid>
        <w:gridCol w:w="4815"/>
        <w:gridCol w:w="4247"/>
      </w:tblGrid>
      <w:tr w:rsidR="00EF3542" w:rsidRPr="00573080" w14:paraId="555135B7" w14:textId="77777777" w:rsidTr="009800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687622F0" w14:textId="77777777" w:rsidR="00EF3542" w:rsidRPr="00573080" w:rsidRDefault="00EF3542" w:rsidP="009800FC">
            <w:pPr>
              <w:spacing w:line="276" w:lineRule="auto"/>
              <w:jc w:val="both"/>
              <w:rPr>
                <w:rFonts w:ascii="Times New Roman" w:eastAsia="Times New Roman" w:hAnsi="Times New Roman" w:cs="Times New Roman"/>
                <w:sz w:val="24"/>
                <w:szCs w:val="24"/>
              </w:rPr>
            </w:pPr>
            <w:r w:rsidRPr="00573080">
              <w:rPr>
                <w:rFonts w:ascii="Times New Roman" w:hAnsi="Times New Roman" w:cs="Times New Roman"/>
                <w:sz w:val="18"/>
                <w:szCs w:val="18"/>
              </w:rPr>
              <w:t>Scenario</w:t>
            </w:r>
          </w:p>
        </w:tc>
        <w:tc>
          <w:tcPr>
            <w:tcW w:w="4247" w:type="dxa"/>
          </w:tcPr>
          <w:p w14:paraId="17272F60" w14:textId="77777777" w:rsidR="00EF3542" w:rsidRPr="00573080" w:rsidRDefault="00EF3542" w:rsidP="009800F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Base Case</w:t>
            </w:r>
          </w:p>
        </w:tc>
      </w:tr>
      <w:tr w:rsidR="00EF3542" w:rsidRPr="00573080" w14:paraId="566F0BD0"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27867E08"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Time horizon was set to 10 years</w:t>
            </w:r>
          </w:p>
        </w:tc>
        <w:tc>
          <w:tcPr>
            <w:tcW w:w="4247" w:type="dxa"/>
          </w:tcPr>
          <w:p w14:paraId="6D9DB67F"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101 years</w:t>
            </w:r>
          </w:p>
        </w:tc>
      </w:tr>
      <w:tr w:rsidR="00EF3542" w:rsidRPr="00573080" w14:paraId="68C17569"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7D251721"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Time horizon  was set to 20 years</w:t>
            </w:r>
          </w:p>
        </w:tc>
        <w:tc>
          <w:tcPr>
            <w:tcW w:w="4247" w:type="dxa"/>
          </w:tcPr>
          <w:p w14:paraId="12F554C3"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101 years</w:t>
            </w:r>
          </w:p>
        </w:tc>
      </w:tr>
      <w:tr w:rsidR="00EF3542" w:rsidRPr="00573080" w14:paraId="40BC02F8"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60C21C4D"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Discount rate benefits and costs were set to 0%</w:t>
            </w:r>
          </w:p>
        </w:tc>
        <w:tc>
          <w:tcPr>
            <w:tcW w:w="4247" w:type="dxa"/>
          </w:tcPr>
          <w:p w14:paraId="11C4AA0A"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Discount rate costs: 4%, Discount rate benefits: 1.5%</w:t>
            </w:r>
          </w:p>
        </w:tc>
      </w:tr>
      <w:tr w:rsidR="00EF3542" w:rsidRPr="00573080" w14:paraId="2990DAA9"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07CACCEC"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Discount rate benefits and costs were set to 6%</w:t>
            </w:r>
          </w:p>
        </w:tc>
        <w:tc>
          <w:tcPr>
            <w:tcW w:w="4247" w:type="dxa"/>
          </w:tcPr>
          <w:p w14:paraId="0A2431A2"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Discount rate costs: 4%, Discount rate benefits: 1.5%</w:t>
            </w:r>
          </w:p>
        </w:tc>
      </w:tr>
      <w:tr w:rsidR="00EF3542" w:rsidRPr="00573080" w14:paraId="4EDF948E"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352151D3"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IncC5Inhib BTH duration (days) were set to 1 day</w:t>
            </w:r>
          </w:p>
        </w:tc>
        <w:tc>
          <w:tcPr>
            <w:tcW w:w="4247" w:type="dxa"/>
          </w:tcPr>
          <w:p w14:paraId="5A4CC99E"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2 days</w:t>
            </w:r>
          </w:p>
        </w:tc>
      </w:tr>
      <w:tr w:rsidR="00EF3542" w:rsidRPr="00573080" w14:paraId="6678674C"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7252E379"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IncC5Inhib BTH duration (days) were set to 3 days</w:t>
            </w:r>
          </w:p>
        </w:tc>
        <w:tc>
          <w:tcPr>
            <w:tcW w:w="4247" w:type="dxa"/>
          </w:tcPr>
          <w:p w14:paraId="70ED9BA1"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2 days</w:t>
            </w:r>
          </w:p>
        </w:tc>
      </w:tr>
      <w:tr w:rsidR="00EF3542" w:rsidRPr="00573080" w14:paraId="4590053D"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341FB988"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IncC5Inhib BTH duration (days) were set to 7 days</w:t>
            </w:r>
          </w:p>
        </w:tc>
        <w:tc>
          <w:tcPr>
            <w:tcW w:w="4247" w:type="dxa"/>
          </w:tcPr>
          <w:p w14:paraId="401D77F7"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2 days</w:t>
            </w:r>
          </w:p>
        </w:tc>
      </w:tr>
      <w:tr w:rsidR="00EF3542" w:rsidRPr="00573080" w14:paraId="0A9CF224" w14:textId="77777777" w:rsidTr="009800FC">
        <w:trPr>
          <w:trHeight w:val="224"/>
        </w:trPr>
        <w:tc>
          <w:tcPr>
            <w:cnfStyle w:val="001000000000" w:firstRow="0" w:lastRow="0" w:firstColumn="1" w:lastColumn="0" w:oddVBand="0" w:evenVBand="0" w:oddHBand="0" w:evenHBand="0" w:firstRowFirstColumn="0" w:firstRowLastColumn="0" w:lastRowFirstColumn="0" w:lastRowLastColumn="0"/>
            <w:tcW w:w="4815" w:type="dxa"/>
          </w:tcPr>
          <w:p w14:paraId="4125CC14"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sz w:val="18"/>
                <w:szCs w:val="18"/>
              </w:rPr>
              <w:t>Formulation ravulizumab was set to 100 mg/mL</w:t>
            </w:r>
          </w:p>
        </w:tc>
        <w:tc>
          <w:tcPr>
            <w:tcW w:w="4247" w:type="dxa"/>
          </w:tcPr>
          <w:p w14:paraId="6212E9B7"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10mg/mL</w:t>
            </w:r>
          </w:p>
        </w:tc>
      </w:tr>
      <w:tr w:rsidR="00EF3542" w:rsidRPr="00573080" w14:paraId="1BCC66A8"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42020EB1" w14:textId="66D06B3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 xml:space="preserve">Cohort 3 was included in the aggregate population (20% patients started in cohort 3 </w:t>
            </w:r>
            <w:r w:rsidRPr="00573080">
              <w:rPr>
                <w:rFonts w:ascii="Times New Roman" w:hAnsi="Times New Roman" w:cs="Times New Roman"/>
                <w:color w:val="000000"/>
                <w:sz w:val="18"/>
                <w:szCs w:val="18"/>
              </w:rPr>
              <w:fldChar w:fldCharType="begin" w:fldLock="1"/>
            </w:r>
            <w:r w:rsidR="00894862">
              <w:rPr>
                <w:rFonts w:ascii="Times New Roman" w:hAnsi="Times New Roman" w:cs="Times New Roman"/>
                <w:b w:val="0"/>
                <w:bCs w:val="0"/>
                <w:color w:val="000000"/>
                <w:sz w:val="18"/>
                <w:szCs w:val="18"/>
              </w:rPr>
              <w:instrText>ADDIN CSL_CITATION {"citationItems":[{"id":"ITEM-1","itemData":{"DOI":"10.1182/BLOOD.V130.SUPPL_1.3484.3484","ISSN":"0006-4971","author":[{"dropping-particle":"","family":"Newton","given":"Darren J","non-dropping-particle":"","parse-names":false,"suffix":""},{"dropping-particle":"","family":"McKinley","given":"Claire E","non-dropping-particle":"","parse-names":false,"suffix":""},{"dropping-particle":"","family":"Ricardo","given":"Alonso","non-dropping-particle":"","parse-names":false,"suffix":""},{"dropping-particle":"","family":"Hoarty","given":"Michelle D","non-dropping-particle":"","parse-names":false,"suffix":""},{"dropping-particle":"","family":"Arnold","given":"Louise","non-dropping-particle":"","parse-names":false,"suffix":""},{"dropping-particle":"","family":"Riley","given":"Kathryn","non-dropping-particle":"","parse-names":false,"suffix":""},{"dropping-particle":"","family":"Copeland","given":"Nicola","non-dropping-particle":"","parse-names":false,"suffix":""},{"dropping-particle":"","family":"Munir","given":"Talha","non-dropping-particle":"","parse-names":false,"suffix":""},{"dropping-particle":"","family":"Griffin","given":"Morag","non-dropping-particle":"","parse-names":false,"suffix":""},{"dropping-particle":"","family":"Hill","given":"Anita","non-dropping-particle":"","parse-names":false,"suffix":""},{"dropping-particle":"","family":"Hillmen","given":"Peter","non-dropping-particle":"","parse-names":false,"suffix":""}],"container-title":"Blood","id":"ITEM-1","issue":"Supplement 1","issued":{"date-parts":[["2017","12","7"]]},"page":"3484-3484","publisher":"American Society of Hematology","title":"Assessment of Eculizumab and C5 Levels in PNH Treatment: Molar Ratio of Eculizumab to C5 Level Effectively Predicts Ongoing Dosage Changes in a Cohort of 50 Patients Treated with Eculizumab","type":"article-journal","volume":"130"},"uris":["http://www.mendeley.com/documents/?uuid=bd5dc76d-d73f-383e-afb2-4475525f6756"]}],"mendeley":{"formattedCitation":"[17]","plainTextFormattedCitation":"[17]","previouslyFormattedCitation":"[17]"},"properties":{"noteIndex":0},"schema":"https://github.com/citation-style-language/schema/raw/master/csl-citation.json"}</w:instrText>
            </w:r>
            <w:r w:rsidRPr="00573080">
              <w:rPr>
                <w:rFonts w:ascii="Times New Roman" w:hAnsi="Times New Roman" w:cs="Times New Roman"/>
                <w:color w:val="000000"/>
                <w:sz w:val="18"/>
                <w:szCs w:val="18"/>
              </w:rPr>
              <w:fldChar w:fldCharType="separate"/>
            </w:r>
            <w:r w:rsidR="00894862" w:rsidRPr="00894862">
              <w:rPr>
                <w:rFonts w:ascii="Times New Roman" w:hAnsi="Times New Roman" w:cs="Times New Roman"/>
                <w:b w:val="0"/>
                <w:bCs w:val="0"/>
                <w:noProof/>
                <w:color w:val="000000"/>
                <w:sz w:val="18"/>
                <w:szCs w:val="18"/>
              </w:rPr>
              <w:t>[17]</w:t>
            </w:r>
            <w:r w:rsidRPr="00573080">
              <w:rPr>
                <w:rFonts w:ascii="Times New Roman" w:hAnsi="Times New Roman" w:cs="Times New Roman"/>
                <w:color w:val="000000"/>
                <w:sz w:val="18"/>
                <w:szCs w:val="18"/>
              </w:rPr>
              <w:fldChar w:fldCharType="end"/>
            </w:r>
            <w:r w:rsidRPr="00573080">
              <w:rPr>
                <w:rFonts w:ascii="Times New Roman" w:hAnsi="Times New Roman" w:cs="Times New Roman"/>
                <w:b w:val="0"/>
                <w:bCs w:val="0"/>
                <w:color w:val="000000"/>
                <w:sz w:val="18"/>
                <w:szCs w:val="18"/>
              </w:rPr>
              <w:t xml:space="preserve">) </w:t>
            </w:r>
          </w:p>
        </w:tc>
        <w:tc>
          <w:tcPr>
            <w:tcW w:w="4247" w:type="dxa"/>
          </w:tcPr>
          <w:p w14:paraId="63FA7E4E"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vertAlign w:val="superscript"/>
              </w:rPr>
            </w:pPr>
            <w:r w:rsidRPr="00573080">
              <w:rPr>
                <w:rFonts w:ascii="Times New Roman" w:hAnsi="Times New Roman" w:cs="Times New Roman"/>
                <w:sz w:val="18"/>
                <w:szCs w:val="18"/>
              </w:rPr>
              <w:t>0% of the patients started in cohort 3</w:t>
            </w:r>
            <w:r w:rsidRPr="00573080">
              <w:rPr>
                <w:rFonts w:ascii="Times New Roman" w:hAnsi="Times New Roman" w:cs="Times New Roman"/>
                <w:sz w:val="18"/>
                <w:szCs w:val="18"/>
                <w:vertAlign w:val="superscript"/>
              </w:rPr>
              <w:t>a</w:t>
            </w:r>
          </w:p>
        </w:tc>
      </w:tr>
      <w:tr w:rsidR="00EF3542" w:rsidRPr="00573080" w14:paraId="0E52F150"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0B8AF93A"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Utility increment of ravulizumab vs. eculizumab was calculated from studies 301 and 302</w:t>
            </w:r>
          </w:p>
        </w:tc>
        <w:tc>
          <w:tcPr>
            <w:tcW w:w="4247" w:type="dxa"/>
          </w:tcPr>
          <w:p w14:paraId="6D87D067"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Calculated from the DCE</w:t>
            </w:r>
          </w:p>
        </w:tc>
      </w:tr>
      <w:tr w:rsidR="00EF3542" w:rsidRPr="00573080" w14:paraId="239D9AFB"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1F004123"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The general health-utility cap was excluded</w:t>
            </w:r>
          </w:p>
        </w:tc>
        <w:tc>
          <w:tcPr>
            <w:tcW w:w="4247" w:type="dxa"/>
          </w:tcPr>
          <w:p w14:paraId="67CFA298"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Included</w:t>
            </w:r>
          </w:p>
        </w:tc>
      </w:tr>
      <w:tr w:rsidR="00EF3542" w:rsidRPr="00573080" w14:paraId="2EBED159"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704F4907" w14:textId="144DB9C4" w:rsidR="00EF3542" w:rsidRPr="00573080" w:rsidRDefault="00EF3542" w:rsidP="009800FC">
            <w:pPr>
              <w:spacing w:line="276" w:lineRule="auto"/>
              <w:jc w:val="both"/>
              <w:rPr>
                <w:rFonts w:ascii="Times New Roman" w:hAnsi="Times New Roman" w:cs="Times New Roman"/>
                <w:b w:val="0"/>
                <w:bCs w:val="0"/>
                <w:color w:val="000000"/>
                <w:sz w:val="18"/>
                <w:szCs w:val="18"/>
              </w:rPr>
            </w:pPr>
            <w:r w:rsidRPr="00573080">
              <w:rPr>
                <w:rFonts w:ascii="Times New Roman" w:hAnsi="Times New Roman" w:cs="Times New Roman"/>
                <w:b w:val="0"/>
                <w:bCs w:val="0"/>
                <w:color w:val="000000"/>
                <w:sz w:val="18"/>
                <w:szCs w:val="18"/>
              </w:rPr>
              <w:t>EORTC to EQ-5D-3L mapping based on Longworth (2014)</w:t>
            </w:r>
            <w:r w:rsidR="00330BA8">
              <w:rPr>
                <w:rFonts w:ascii="Times New Roman" w:hAnsi="Times New Roman" w:cs="Times New Roman"/>
                <w:b w:val="0"/>
                <w:bCs w:val="0"/>
                <w:color w:val="000000"/>
                <w:sz w:val="18"/>
                <w:szCs w:val="18"/>
              </w:rPr>
              <w:t xml:space="preserve"> [18]</w:t>
            </w:r>
          </w:p>
        </w:tc>
        <w:tc>
          <w:tcPr>
            <w:tcW w:w="4247" w:type="dxa"/>
          </w:tcPr>
          <w:p w14:paraId="2CB17413" w14:textId="403879B4"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573080">
              <w:rPr>
                <w:rFonts w:ascii="Times New Roman" w:hAnsi="Times New Roman" w:cs="Times New Roman"/>
                <w:sz w:val="18"/>
                <w:szCs w:val="18"/>
              </w:rPr>
              <w:t>Versteegh</w:t>
            </w:r>
            <w:proofErr w:type="spellEnd"/>
            <w:r w:rsidRPr="00573080">
              <w:rPr>
                <w:rFonts w:ascii="Times New Roman" w:hAnsi="Times New Roman" w:cs="Times New Roman"/>
                <w:sz w:val="18"/>
                <w:szCs w:val="18"/>
              </w:rPr>
              <w:t xml:space="preserve"> (2012)</w:t>
            </w:r>
            <w:r w:rsidR="00330BA8">
              <w:rPr>
                <w:rFonts w:ascii="Times New Roman" w:hAnsi="Times New Roman" w:cs="Times New Roman"/>
                <w:sz w:val="18"/>
                <w:szCs w:val="18"/>
              </w:rPr>
              <w:t xml:space="preserve"> [19]</w:t>
            </w:r>
          </w:p>
        </w:tc>
      </w:tr>
      <w:tr w:rsidR="00EF3542" w:rsidRPr="00573080" w14:paraId="50CF4EB6"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69721201"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proofErr w:type="spellStart"/>
            <w:r w:rsidRPr="00573080">
              <w:rPr>
                <w:rFonts w:ascii="Times New Roman" w:hAnsi="Times New Roman" w:cs="Times New Roman"/>
                <w:b w:val="0"/>
                <w:bCs w:val="0"/>
                <w:color w:val="000000"/>
                <w:sz w:val="18"/>
                <w:szCs w:val="18"/>
              </w:rPr>
              <w:t>HRQoL</w:t>
            </w:r>
            <w:proofErr w:type="spellEnd"/>
            <w:r w:rsidRPr="00573080">
              <w:rPr>
                <w:rFonts w:ascii="Times New Roman" w:hAnsi="Times New Roman" w:cs="Times New Roman"/>
                <w:b w:val="0"/>
                <w:bCs w:val="0"/>
                <w:color w:val="000000"/>
                <w:sz w:val="18"/>
                <w:szCs w:val="18"/>
              </w:rPr>
              <w:t xml:space="preserve"> regression analysis based on pooled population</w:t>
            </w:r>
          </w:p>
        </w:tc>
        <w:tc>
          <w:tcPr>
            <w:tcW w:w="4247" w:type="dxa"/>
          </w:tcPr>
          <w:p w14:paraId="5829A5ED"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Separate for studies 301 and 302</w:t>
            </w:r>
          </w:p>
        </w:tc>
      </w:tr>
      <w:tr w:rsidR="00EF3542" w:rsidRPr="00573080" w14:paraId="25D055AE"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3C0B7F3F"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 xml:space="preserve">No up-dosing of eculizumab happened after IncC5Inhib BTH events </w:t>
            </w:r>
          </w:p>
        </w:tc>
        <w:tc>
          <w:tcPr>
            <w:tcW w:w="4247" w:type="dxa"/>
          </w:tcPr>
          <w:p w14:paraId="201D79A4"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 xml:space="preserve">Continuous up-dosing after second IncC5Inhib BTH event </w:t>
            </w:r>
          </w:p>
        </w:tc>
      </w:tr>
      <w:tr w:rsidR="00EF3542" w:rsidRPr="00573080" w14:paraId="51A67D38"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4473CA87"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Continuous up-dosing of eculizumab after first IncC5Inhib BTH event</w:t>
            </w:r>
          </w:p>
        </w:tc>
        <w:tc>
          <w:tcPr>
            <w:tcW w:w="4247" w:type="dxa"/>
          </w:tcPr>
          <w:p w14:paraId="292D8079"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Continuous up-dosing after second IncC5Inhib BTH event</w:t>
            </w:r>
          </w:p>
        </w:tc>
      </w:tr>
      <w:tr w:rsidR="00EF3542" w:rsidRPr="00573080" w14:paraId="56F2FA70"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7B1EB052"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BTH excess mortality (HR) vs. background was set to 1.20</w:t>
            </w:r>
          </w:p>
        </w:tc>
        <w:tc>
          <w:tcPr>
            <w:tcW w:w="4247" w:type="dxa"/>
          </w:tcPr>
          <w:p w14:paraId="635F37F7"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4.81</w:t>
            </w:r>
          </w:p>
        </w:tc>
      </w:tr>
      <w:tr w:rsidR="00EF3542" w:rsidRPr="00573080" w14:paraId="6D31221A"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427E7041"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BTH excess mortality (HR) vs. background was set to 0</w:t>
            </w:r>
          </w:p>
        </w:tc>
        <w:tc>
          <w:tcPr>
            <w:tcW w:w="4247" w:type="dxa"/>
          </w:tcPr>
          <w:p w14:paraId="07A55817"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4.81</w:t>
            </w:r>
          </w:p>
        </w:tc>
      </w:tr>
      <w:tr w:rsidR="00EF3542" w:rsidRPr="00573080" w14:paraId="2600F431"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10F61EAF"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Percentage receiving Alexion-funded homecare was set to 100%</w:t>
            </w:r>
          </w:p>
        </w:tc>
        <w:tc>
          <w:tcPr>
            <w:tcW w:w="4247" w:type="dxa"/>
          </w:tcPr>
          <w:p w14:paraId="4D03CDF4"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0%</w:t>
            </w:r>
          </w:p>
        </w:tc>
      </w:tr>
      <w:tr w:rsidR="00EF3542" w:rsidRPr="00573080" w14:paraId="67C4A238"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0DA4BA85"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Extrapolation of initial IncC5Inhib BTH risk after 26 weeks was excluded</w:t>
            </w:r>
          </w:p>
        </w:tc>
        <w:tc>
          <w:tcPr>
            <w:tcW w:w="4247" w:type="dxa"/>
          </w:tcPr>
          <w:p w14:paraId="03943512"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 xml:space="preserve">Included </w:t>
            </w:r>
          </w:p>
        </w:tc>
      </w:tr>
      <w:tr w:rsidR="00EF3542" w:rsidRPr="00573080" w14:paraId="04B791C8"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7D901E66"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Persistence of IncC5Inhib BTH was user defined 25%</w:t>
            </w:r>
          </w:p>
        </w:tc>
        <w:tc>
          <w:tcPr>
            <w:tcW w:w="4247" w:type="dxa"/>
          </w:tcPr>
          <w:p w14:paraId="1CEB2A04"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50%</w:t>
            </w:r>
          </w:p>
        </w:tc>
      </w:tr>
      <w:tr w:rsidR="00EF3542" w:rsidRPr="00573080" w14:paraId="48EADDF4"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11604D39"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Persistence of IncC5Inhib BTH was user defined 75%</w:t>
            </w:r>
          </w:p>
        </w:tc>
        <w:tc>
          <w:tcPr>
            <w:tcW w:w="4247" w:type="dxa"/>
          </w:tcPr>
          <w:p w14:paraId="367F3396"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50%</w:t>
            </w:r>
          </w:p>
        </w:tc>
      </w:tr>
      <w:tr w:rsidR="00EF3542" w:rsidRPr="00573080" w14:paraId="749BE35B"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7551B905"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Days in 2-week cycle with IncC5Inhib BTH symptoms was set to 4</w:t>
            </w:r>
          </w:p>
        </w:tc>
        <w:tc>
          <w:tcPr>
            <w:tcW w:w="4247" w:type="dxa"/>
          </w:tcPr>
          <w:p w14:paraId="5B33FDC9"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2</w:t>
            </w:r>
          </w:p>
        </w:tc>
      </w:tr>
      <w:tr w:rsidR="00EF3542" w:rsidRPr="00573080" w14:paraId="1FFC88B2"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1B6E0403"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CAC BTH up-dosing was included</w:t>
            </w:r>
          </w:p>
        </w:tc>
        <w:tc>
          <w:tcPr>
            <w:tcW w:w="4247" w:type="dxa"/>
          </w:tcPr>
          <w:p w14:paraId="669C9492"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 xml:space="preserve">Excluded </w:t>
            </w:r>
          </w:p>
        </w:tc>
      </w:tr>
      <w:tr w:rsidR="00EF3542" w:rsidRPr="00573080" w14:paraId="08BB8890" w14:textId="77777777" w:rsidTr="009800FC">
        <w:trPr>
          <w:trHeight w:val="20"/>
        </w:trPr>
        <w:tc>
          <w:tcPr>
            <w:cnfStyle w:val="001000000000" w:firstRow="0" w:lastRow="0" w:firstColumn="1" w:lastColumn="0" w:oddVBand="0" w:evenVBand="0" w:oddHBand="0" w:evenHBand="0" w:firstRowFirstColumn="0" w:firstRowLastColumn="0" w:lastRowFirstColumn="0" w:lastRowLastColumn="0"/>
            <w:tcW w:w="4815" w:type="dxa"/>
          </w:tcPr>
          <w:p w14:paraId="3614DE78"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Healthcare payer's perspective was used and  societal costs were excluded</w:t>
            </w:r>
          </w:p>
        </w:tc>
        <w:tc>
          <w:tcPr>
            <w:tcW w:w="4247" w:type="dxa"/>
          </w:tcPr>
          <w:p w14:paraId="59A77836" w14:textId="77777777" w:rsidR="00EF3542" w:rsidRPr="00573080" w:rsidRDefault="00EF3542" w:rsidP="00980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 xml:space="preserve">Societal perspective </w:t>
            </w:r>
          </w:p>
        </w:tc>
      </w:tr>
      <w:tr w:rsidR="00EF3542" w:rsidRPr="00573080" w14:paraId="25159074" w14:textId="77777777" w:rsidTr="009800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tcPr>
          <w:p w14:paraId="1D72A0BB" w14:textId="77777777" w:rsidR="00EF3542" w:rsidRPr="00573080" w:rsidRDefault="00EF3542" w:rsidP="009800FC">
            <w:pPr>
              <w:spacing w:line="276" w:lineRule="auto"/>
              <w:jc w:val="both"/>
              <w:rPr>
                <w:rFonts w:ascii="Times New Roman" w:eastAsia="Times New Roman" w:hAnsi="Times New Roman" w:cs="Times New Roman"/>
                <w:b w:val="0"/>
                <w:bCs w:val="0"/>
                <w:sz w:val="24"/>
                <w:szCs w:val="24"/>
              </w:rPr>
            </w:pPr>
            <w:r w:rsidRPr="00573080">
              <w:rPr>
                <w:rFonts w:ascii="Times New Roman" w:hAnsi="Times New Roman" w:cs="Times New Roman"/>
                <w:b w:val="0"/>
                <w:bCs w:val="0"/>
                <w:color w:val="000000"/>
                <w:sz w:val="18"/>
                <w:szCs w:val="18"/>
              </w:rPr>
              <w:t>Spontaneous remission was excluded</w:t>
            </w:r>
          </w:p>
        </w:tc>
        <w:tc>
          <w:tcPr>
            <w:tcW w:w="4247" w:type="dxa"/>
          </w:tcPr>
          <w:p w14:paraId="518CE40C" w14:textId="77777777" w:rsidR="00EF3542" w:rsidRPr="00573080" w:rsidRDefault="00EF3542" w:rsidP="00980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73080">
              <w:rPr>
                <w:rFonts w:ascii="Times New Roman" w:hAnsi="Times New Roman" w:cs="Times New Roman"/>
                <w:sz w:val="18"/>
                <w:szCs w:val="18"/>
              </w:rPr>
              <w:t>Included and modelled with an annual incidence of 1.59%</w:t>
            </w:r>
          </w:p>
        </w:tc>
      </w:tr>
    </w:tbl>
    <w:p w14:paraId="475381CA" w14:textId="68ECEC65" w:rsidR="00EF3542" w:rsidRPr="00573080" w:rsidRDefault="00EF3542" w:rsidP="00EF3542">
      <w:pPr>
        <w:spacing w:after="0"/>
        <w:jc w:val="both"/>
        <w:rPr>
          <w:rFonts w:ascii="Times New Roman" w:hAnsi="Times New Roman" w:cs="Times New Roman"/>
          <w:color w:val="000000"/>
          <w:sz w:val="16"/>
          <w:szCs w:val="16"/>
        </w:rPr>
      </w:pPr>
      <w:r w:rsidRPr="00573080">
        <w:rPr>
          <w:rFonts w:ascii="Times New Roman" w:hAnsi="Times New Roman" w:cs="Times New Roman"/>
          <w:b/>
          <w:color w:val="000000"/>
          <w:sz w:val="16"/>
          <w:szCs w:val="16"/>
        </w:rPr>
        <w:t>Abbreviations</w:t>
      </w:r>
      <w:r w:rsidRPr="00573080">
        <w:rPr>
          <w:rFonts w:ascii="Times New Roman" w:hAnsi="Times New Roman" w:cs="Times New Roman"/>
          <w:color w:val="000000"/>
          <w:sz w:val="16"/>
          <w:szCs w:val="16"/>
        </w:rPr>
        <w:t xml:space="preserve">: BTH: breakthrough </w:t>
      </w:r>
      <w:r w:rsidR="00573080" w:rsidRPr="00573080">
        <w:rPr>
          <w:rFonts w:ascii="Times New Roman" w:hAnsi="Times New Roman" w:cs="Times New Roman"/>
          <w:color w:val="000000"/>
          <w:sz w:val="16"/>
          <w:szCs w:val="16"/>
        </w:rPr>
        <w:t>hemolysis</w:t>
      </w:r>
      <w:r w:rsidRPr="00573080">
        <w:rPr>
          <w:rFonts w:ascii="Times New Roman" w:hAnsi="Times New Roman" w:cs="Times New Roman"/>
          <w:color w:val="000000"/>
          <w:sz w:val="16"/>
          <w:szCs w:val="16"/>
        </w:rPr>
        <w:t xml:space="preserve">; CAC: complement amplifying condition; DCE: discrete choice experiment; </w:t>
      </w:r>
      <w:r w:rsidR="00C82BC2">
        <w:rPr>
          <w:rFonts w:ascii="Times New Roman" w:hAnsi="Times New Roman" w:cs="Times New Roman"/>
          <w:color w:val="000000"/>
          <w:sz w:val="16"/>
          <w:szCs w:val="16"/>
        </w:rPr>
        <w:t xml:space="preserve">EORTC: </w:t>
      </w:r>
      <w:r w:rsidR="00C82BC2" w:rsidRPr="00C82BC2">
        <w:rPr>
          <w:rFonts w:ascii="Times New Roman" w:hAnsi="Times New Roman" w:cs="Times New Roman"/>
          <w:color w:val="000000"/>
          <w:sz w:val="16"/>
          <w:szCs w:val="16"/>
        </w:rPr>
        <w:t>European Organization for Research and Treatment of Cancer</w:t>
      </w:r>
      <w:r w:rsidR="00C82BC2">
        <w:rPr>
          <w:rFonts w:ascii="Times New Roman" w:hAnsi="Times New Roman" w:cs="Times New Roman"/>
          <w:color w:val="000000"/>
          <w:sz w:val="16"/>
          <w:szCs w:val="16"/>
        </w:rPr>
        <w:t>;</w:t>
      </w:r>
      <w:r w:rsidR="00C82BC2" w:rsidRPr="00C82BC2">
        <w:rPr>
          <w:rFonts w:ascii="Times New Roman" w:hAnsi="Times New Roman" w:cs="Times New Roman"/>
          <w:color w:val="000000"/>
          <w:sz w:val="16"/>
          <w:szCs w:val="16"/>
        </w:rPr>
        <w:t xml:space="preserve"> </w:t>
      </w:r>
      <w:bookmarkStart w:id="7" w:name="_Hlk73952633"/>
      <w:r w:rsidR="00C82BC2" w:rsidRPr="00C82BC2">
        <w:rPr>
          <w:rFonts w:ascii="Times New Roman" w:hAnsi="Times New Roman" w:cs="Times New Roman"/>
          <w:color w:val="000000"/>
          <w:sz w:val="16"/>
          <w:szCs w:val="16"/>
        </w:rPr>
        <w:t xml:space="preserve">EQ-5D-3L: EuroQol-5 dimensions-3 level; </w:t>
      </w:r>
      <w:bookmarkEnd w:id="7"/>
      <w:r w:rsidRPr="00573080">
        <w:rPr>
          <w:rFonts w:ascii="Times New Roman" w:hAnsi="Times New Roman" w:cs="Times New Roman"/>
          <w:color w:val="000000"/>
          <w:sz w:val="16"/>
          <w:szCs w:val="16"/>
        </w:rPr>
        <w:t xml:space="preserve">HR: hazard ratio; </w:t>
      </w:r>
      <w:proofErr w:type="spellStart"/>
      <w:r w:rsidRPr="00573080">
        <w:rPr>
          <w:rFonts w:ascii="Times New Roman" w:hAnsi="Times New Roman" w:cs="Times New Roman"/>
          <w:color w:val="000000"/>
          <w:sz w:val="16"/>
          <w:szCs w:val="16"/>
        </w:rPr>
        <w:t>HRQoL</w:t>
      </w:r>
      <w:proofErr w:type="spellEnd"/>
      <w:r w:rsidRPr="00573080">
        <w:rPr>
          <w:rFonts w:ascii="Times New Roman" w:hAnsi="Times New Roman" w:cs="Times New Roman"/>
          <w:color w:val="000000"/>
          <w:sz w:val="16"/>
          <w:szCs w:val="16"/>
        </w:rPr>
        <w:t>: Health</w:t>
      </w:r>
      <w:r w:rsidR="00C82BC2">
        <w:rPr>
          <w:rFonts w:ascii="Times New Roman" w:hAnsi="Times New Roman" w:cs="Times New Roman"/>
          <w:color w:val="000000"/>
          <w:sz w:val="16"/>
          <w:szCs w:val="16"/>
        </w:rPr>
        <w:t>-R</w:t>
      </w:r>
      <w:r w:rsidRPr="00573080">
        <w:rPr>
          <w:rFonts w:ascii="Times New Roman" w:hAnsi="Times New Roman" w:cs="Times New Roman"/>
          <w:color w:val="000000"/>
          <w:sz w:val="16"/>
          <w:szCs w:val="16"/>
        </w:rPr>
        <w:t xml:space="preserve">elated </w:t>
      </w:r>
      <w:r w:rsidR="00C82BC2">
        <w:rPr>
          <w:rFonts w:ascii="Times New Roman" w:hAnsi="Times New Roman" w:cs="Times New Roman"/>
          <w:color w:val="000000"/>
          <w:sz w:val="16"/>
          <w:szCs w:val="16"/>
        </w:rPr>
        <w:t>Q</w:t>
      </w:r>
      <w:r w:rsidRPr="00573080">
        <w:rPr>
          <w:rFonts w:ascii="Times New Roman" w:hAnsi="Times New Roman" w:cs="Times New Roman"/>
          <w:color w:val="000000"/>
          <w:sz w:val="16"/>
          <w:szCs w:val="16"/>
        </w:rPr>
        <w:t xml:space="preserve">uality of </w:t>
      </w:r>
      <w:r w:rsidR="00C82BC2">
        <w:rPr>
          <w:rFonts w:ascii="Times New Roman" w:hAnsi="Times New Roman" w:cs="Times New Roman"/>
          <w:color w:val="000000"/>
          <w:sz w:val="16"/>
          <w:szCs w:val="16"/>
        </w:rPr>
        <w:t>L</w:t>
      </w:r>
      <w:r w:rsidRPr="00573080">
        <w:rPr>
          <w:rFonts w:ascii="Times New Roman" w:hAnsi="Times New Roman" w:cs="Times New Roman"/>
          <w:color w:val="000000"/>
          <w:sz w:val="16"/>
          <w:szCs w:val="16"/>
        </w:rPr>
        <w:t>ife; Hx: history of; IncC5Inhib: incomplete C5 inhibition.</w:t>
      </w:r>
    </w:p>
    <w:p w14:paraId="69A6FF71" w14:textId="77777777" w:rsidR="00EF3542" w:rsidRPr="00573080" w:rsidRDefault="00EF3542" w:rsidP="00EF3542">
      <w:pPr>
        <w:spacing w:after="0"/>
        <w:jc w:val="both"/>
        <w:rPr>
          <w:rFonts w:ascii="Times New Roman" w:hAnsi="Times New Roman" w:cs="Times New Roman"/>
          <w:color w:val="000000"/>
          <w:sz w:val="16"/>
          <w:szCs w:val="16"/>
        </w:rPr>
      </w:pPr>
      <w:proofErr w:type="gramStart"/>
      <w:r w:rsidRPr="00573080">
        <w:rPr>
          <w:rFonts w:ascii="Times New Roman" w:hAnsi="Times New Roman" w:cs="Times New Roman"/>
          <w:color w:val="000000"/>
          <w:sz w:val="16"/>
          <w:szCs w:val="16"/>
          <w:vertAlign w:val="superscript"/>
        </w:rPr>
        <w:t>a</w:t>
      </w:r>
      <w:proofErr w:type="gramEnd"/>
      <w:r w:rsidRPr="00573080">
        <w:rPr>
          <w:rFonts w:ascii="Times New Roman" w:hAnsi="Times New Roman" w:cs="Times New Roman"/>
          <w:color w:val="000000"/>
          <w:sz w:val="16"/>
          <w:szCs w:val="16"/>
          <w:vertAlign w:val="superscript"/>
        </w:rPr>
        <w:t xml:space="preserve"> </w:t>
      </w:r>
      <w:r w:rsidRPr="00573080">
        <w:rPr>
          <w:rFonts w:ascii="Times New Roman" w:hAnsi="Times New Roman" w:cs="Times New Roman"/>
          <w:color w:val="000000"/>
          <w:sz w:val="16"/>
          <w:szCs w:val="16"/>
        </w:rPr>
        <w:t>Characteristics of patients in cohort 3 were assumed to be the same as those of patients in cohort 2, due to the lack of an clinical trial of up-dosed eculizumab patients switching to ravulizumab.</w:t>
      </w:r>
    </w:p>
    <w:p w14:paraId="4D248AB3" w14:textId="39FBD0D6" w:rsidR="00147F7A" w:rsidRDefault="00DD486F">
      <w:pPr>
        <w:pStyle w:val="Heading1"/>
        <w:rPr>
          <w:rFonts w:ascii="Times New Roman" w:hAnsi="Times New Roman" w:cs="Times New Roman"/>
          <w:b/>
          <w:bCs/>
          <w:color w:val="auto"/>
          <w:sz w:val="28"/>
          <w:szCs w:val="28"/>
        </w:rPr>
      </w:pPr>
      <w:r w:rsidRPr="00172403">
        <w:rPr>
          <w:rFonts w:ascii="Times New Roman" w:hAnsi="Times New Roman" w:cs="Times New Roman"/>
          <w:b/>
          <w:bCs/>
          <w:color w:val="auto"/>
          <w:sz w:val="28"/>
          <w:szCs w:val="28"/>
        </w:rPr>
        <w:t>References</w:t>
      </w:r>
    </w:p>
    <w:p w14:paraId="264B3055" w14:textId="5D3AFAEA" w:rsidR="004F0891" w:rsidRPr="004F0891" w:rsidRDefault="00894862"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94862">
        <w:rPr>
          <w:rFonts w:ascii="Times New Roman" w:hAnsi="Times New Roman" w:cs="Times New Roman"/>
          <w:sz w:val="20"/>
          <w:szCs w:val="20"/>
        </w:rPr>
        <w:fldChar w:fldCharType="begin" w:fldLock="1"/>
      </w:r>
      <w:r w:rsidRPr="00894862">
        <w:rPr>
          <w:rFonts w:ascii="Times New Roman" w:hAnsi="Times New Roman" w:cs="Times New Roman"/>
          <w:sz w:val="20"/>
          <w:szCs w:val="20"/>
        </w:rPr>
        <w:instrText xml:space="preserve">ADDIN Mendeley Bibliography CSL_BIBLIOGRAPHY </w:instrText>
      </w:r>
      <w:r w:rsidRPr="00894862">
        <w:rPr>
          <w:rFonts w:ascii="Times New Roman" w:hAnsi="Times New Roman" w:cs="Times New Roman"/>
          <w:sz w:val="20"/>
          <w:szCs w:val="20"/>
        </w:rPr>
        <w:fldChar w:fldCharType="separate"/>
      </w:r>
      <w:r w:rsidR="004F0891" w:rsidRPr="004F0891">
        <w:rPr>
          <w:rFonts w:ascii="Times New Roman" w:hAnsi="Times New Roman" w:cs="Times New Roman"/>
          <w:noProof/>
          <w:sz w:val="20"/>
          <w:szCs w:val="24"/>
        </w:rPr>
        <w:t xml:space="preserve">1. </w:t>
      </w:r>
      <w:r w:rsidR="004F0891" w:rsidRPr="004F0891">
        <w:rPr>
          <w:rFonts w:ascii="Times New Roman" w:hAnsi="Times New Roman" w:cs="Times New Roman"/>
          <w:noProof/>
          <w:sz w:val="20"/>
          <w:szCs w:val="24"/>
        </w:rPr>
        <w:tab/>
        <w:t>Lee, J.W., de Fontbrune, F.S., Lee, L.W.L., Pessoa, V., Gualandro, S., Füreder, W., Ptushkin, V., Rottinghaus, S.T., Volles, L., Shafner, L., Aguzzi, R., Pradhan, R., Schrezenmeier, H., Hill, A.: Ravulizumab (ALXN1210) vs eculizumab in adult patients with PNH naive to complement inhibitors: The 301 study. Blood. 133, 530–539 (2019). https://doi.org/10.1182/blood-2018-09-876136</w:t>
      </w:r>
    </w:p>
    <w:p w14:paraId="2D8A049F"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2. </w:t>
      </w:r>
      <w:r w:rsidRPr="004F0891">
        <w:rPr>
          <w:rFonts w:ascii="Times New Roman" w:hAnsi="Times New Roman" w:cs="Times New Roman"/>
          <w:noProof/>
          <w:sz w:val="20"/>
          <w:szCs w:val="24"/>
        </w:rPr>
        <w:tab/>
        <w:t>Kulasekararaj, A.G., Hill, A., Rottinghaus, S.T., Langemeijer, S., Wells, R., Gonzalez-Fernandez, F.A., Gaya, A., Lee, J.W., Gutierrez, E.O., Piatek, C.I., Szer, J., Risitano, A., Nakao, S., Bachman, E., Shafner, L., Damokosh, A.I., Ortiz, S., Röth, A., Peffault de Latour, R.: Ravulizumab (ALXN1210) vs eculizumab in C5-inhibitor–experienced adult patients with PNH: The 302 study. Blood. 133, 540–549 (2019). https://doi.org/10.1182/blood-2018-09-876805</w:t>
      </w:r>
    </w:p>
    <w:p w14:paraId="22E01624"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3. </w:t>
      </w:r>
      <w:r w:rsidRPr="004F0891">
        <w:rPr>
          <w:rFonts w:ascii="Times New Roman" w:hAnsi="Times New Roman" w:cs="Times New Roman"/>
          <w:noProof/>
          <w:sz w:val="20"/>
          <w:szCs w:val="24"/>
        </w:rPr>
        <w:tab/>
        <w:t>Kelly, R., Arnold, L., Richards, S., Hill, A., vanBijnen, S., Muus, P., Dorr, D., Brodsky, R., Khursigara, G., Rother, R.P., Hillmen, P.: Modification of the Eculizumab Dose to Successfully Manage Intravascular Breakthrough Hemolysis in Patients with Paroxysmal Nocturnal Hemoglobinuria. Blood. 112, 3441–3441 (2008). https://doi.org/10.1182/blood.v112.11.3441.3441</w:t>
      </w:r>
    </w:p>
    <w:p w14:paraId="09BE1668"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4. </w:t>
      </w:r>
      <w:r w:rsidRPr="004F0891">
        <w:rPr>
          <w:rFonts w:ascii="Times New Roman" w:hAnsi="Times New Roman" w:cs="Times New Roman"/>
          <w:noProof/>
          <w:sz w:val="20"/>
          <w:szCs w:val="24"/>
        </w:rPr>
        <w:tab/>
        <w:t>Brodsky, R.A.: Paroxysmal nocturnal hemoglobinuria. Blood. 124, 2804–2811 (2014). https://doi.org/10.1182/blood-2014-02-522128</w:t>
      </w:r>
    </w:p>
    <w:p w14:paraId="5C6E5784"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5. </w:t>
      </w:r>
      <w:r w:rsidRPr="004F0891">
        <w:rPr>
          <w:rFonts w:ascii="Times New Roman" w:hAnsi="Times New Roman" w:cs="Times New Roman"/>
          <w:noProof/>
          <w:sz w:val="20"/>
          <w:szCs w:val="24"/>
        </w:rPr>
        <w:tab/>
        <w:t>Muus, P., Langemeijer, S., Halkes, S., Zeerleder, S., Schouten, H., Boekhorst te, P., Span, B., Witte de, M., Bartels, M., Jansen, A., Stiene, A., Preijers, F., Pampus van, L., Evers, D., Nijziel, M., Laros, B., Heijden van der, O.: Guideline for Paroxysmal Nocturnal Hemoglobinuria (Dutch: Richtlijn Paroxysmale Nachtelijke Hemoglobinurie). , Nijmegen (2016)</w:t>
      </w:r>
    </w:p>
    <w:p w14:paraId="10204497"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6. </w:t>
      </w:r>
      <w:r w:rsidRPr="004F0891">
        <w:rPr>
          <w:rFonts w:ascii="Times New Roman" w:hAnsi="Times New Roman" w:cs="Times New Roman"/>
          <w:noProof/>
          <w:sz w:val="20"/>
          <w:szCs w:val="24"/>
        </w:rPr>
        <w:tab/>
        <w:t>Rosse, W.F.: The natural history of paroxysmal nocturnal hemoglobinuria. N. Engl. J. Med. 333(19):12, (1995). https://doi.org/10.1056/NEJM199511093331904</w:t>
      </w:r>
    </w:p>
    <w:p w14:paraId="40F3FBF8"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7. </w:t>
      </w:r>
      <w:r w:rsidRPr="004F0891">
        <w:rPr>
          <w:rFonts w:ascii="Times New Roman" w:hAnsi="Times New Roman" w:cs="Times New Roman"/>
          <w:noProof/>
          <w:sz w:val="20"/>
          <w:szCs w:val="24"/>
        </w:rPr>
        <w:tab/>
        <w:t>Dutch Statistics: How much do we use public transport? (Dutch: Hoeveel wordt er met het openbaar vervoer gereisd?), https://www.cbs.nl/nl-nl/visualisaties/verkeer-en-vervoer/personen/openbaar-vervoer#:~:text=In 2019 legden alle inwoners,bus%2C tram of metro gereisd.</w:t>
      </w:r>
    </w:p>
    <w:p w14:paraId="6B162BE3"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8. </w:t>
      </w:r>
      <w:r w:rsidRPr="004F0891">
        <w:rPr>
          <w:rFonts w:ascii="Times New Roman" w:hAnsi="Times New Roman" w:cs="Times New Roman"/>
          <w:noProof/>
          <w:sz w:val="20"/>
          <w:szCs w:val="24"/>
        </w:rPr>
        <w:tab/>
        <w:t>Dutch Statistics: Bevolking; kerncijfers</w:t>
      </w:r>
    </w:p>
    <w:p w14:paraId="4C9E98A7"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9. </w:t>
      </w:r>
      <w:r w:rsidRPr="004F0891">
        <w:rPr>
          <w:rFonts w:ascii="Times New Roman" w:hAnsi="Times New Roman" w:cs="Times New Roman"/>
          <w:noProof/>
          <w:sz w:val="20"/>
          <w:szCs w:val="24"/>
        </w:rPr>
        <w:tab/>
        <w:t>Hill, A., Platts, P.J., Smith, A., Richards, S.J., Cullen, M.J., Hill, Q.A., Roman, E., Hillmen, P.: The Incidence and Prevalence of Paroxysmal Nocturnal Hemoglobinuria (PNH) and Survival of Patients in Yorkshire. Blood. 108, 985–985 (2006). https://doi.org/10.1182/blood.v108.11.985.985</w:t>
      </w:r>
    </w:p>
    <w:p w14:paraId="7B531BCD"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10. </w:t>
      </w:r>
      <w:r w:rsidRPr="004F0891">
        <w:rPr>
          <w:rFonts w:ascii="Times New Roman" w:hAnsi="Times New Roman" w:cs="Times New Roman"/>
          <w:noProof/>
          <w:sz w:val="20"/>
          <w:szCs w:val="24"/>
        </w:rPr>
        <w:tab/>
        <w:t>Alexion internal data PNH register.: No Title.</w:t>
      </w:r>
    </w:p>
    <w:p w14:paraId="3E5E7F35"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11. </w:t>
      </w:r>
      <w:r w:rsidRPr="004F0891">
        <w:rPr>
          <w:rFonts w:ascii="Times New Roman" w:hAnsi="Times New Roman" w:cs="Times New Roman"/>
          <w:noProof/>
          <w:sz w:val="20"/>
          <w:szCs w:val="24"/>
        </w:rPr>
        <w:tab/>
        <w:t>Tomazos, I., Sierra, J.R., Johnston, K.M., Cheung, A., Brodsky, R.A., Weitz, I.C.: Cost burden of breakthrough hemolysis in patients with paroxysmal nocturnal hemoglobinuria receiving ravulizumab versus eculizumab. Hematol. (United Kingdom). 25, 327–334 (2020). https://doi.org/10.1080/16078454.2020.1807226</w:t>
      </w:r>
    </w:p>
    <w:p w14:paraId="4A42F848"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12. </w:t>
      </w:r>
      <w:r w:rsidRPr="004F0891">
        <w:rPr>
          <w:rFonts w:ascii="Times New Roman" w:hAnsi="Times New Roman" w:cs="Times New Roman"/>
          <w:noProof/>
          <w:sz w:val="20"/>
          <w:szCs w:val="24"/>
        </w:rPr>
        <w:tab/>
        <w:t>Hakkaart-van Roijen, L., van der Linden, N., Bouwmans, C., Kanters, T., Swan Tan, S.: Cost Manual: Methodology and Reference Prices for Healthcare Economic Evaluations. (Dutch: Kostenhandleiding: Methodologie van kostenonderzoek en referentieprijzen voor economische evaluaties in de gezondheidszorg. Dutch Natl. Heal. Care Inst. 1–73 (2016)</w:t>
      </w:r>
    </w:p>
    <w:p w14:paraId="063BCECE"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13. </w:t>
      </w:r>
      <w:r w:rsidRPr="004F0891">
        <w:rPr>
          <w:rFonts w:ascii="Times New Roman" w:hAnsi="Times New Roman" w:cs="Times New Roman"/>
          <w:noProof/>
          <w:sz w:val="20"/>
          <w:szCs w:val="24"/>
        </w:rPr>
        <w:tab/>
        <w:t>Dutch Healthcare Authority (Dutch: Nederlandse Zorgautoriteit) (NZa): Open DIS Data - DBC zorgproductenzoeker, https://www.opendisdata.nl/</w:t>
      </w:r>
    </w:p>
    <w:p w14:paraId="3F7976D9"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14. </w:t>
      </w:r>
      <w:r w:rsidRPr="004F0891">
        <w:rPr>
          <w:rFonts w:ascii="Times New Roman" w:hAnsi="Times New Roman" w:cs="Times New Roman"/>
          <w:noProof/>
          <w:sz w:val="20"/>
          <w:szCs w:val="24"/>
        </w:rPr>
        <w:tab/>
        <w:t>Dutch Institute National Health Care (Zorginstituut Nederland): Medicijnkosten, https://www.medicijnkosten.nl/</w:t>
      </w:r>
    </w:p>
    <w:p w14:paraId="31D13DA5"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15. </w:t>
      </w:r>
      <w:r w:rsidRPr="004F0891">
        <w:rPr>
          <w:rFonts w:ascii="Times New Roman" w:hAnsi="Times New Roman" w:cs="Times New Roman"/>
          <w:noProof/>
          <w:sz w:val="20"/>
          <w:szCs w:val="24"/>
        </w:rPr>
        <w:tab/>
        <w:t>Dutch Healthcare Authority (Dutch: Nederlandse Zorgautoriteit) (NZa): Prestatie- en tarieventabel add-on geneesmiddelen (2016-12) -</w:t>
      </w:r>
    </w:p>
    <w:p w14:paraId="4336C27A"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4F0891">
        <w:rPr>
          <w:rFonts w:ascii="Times New Roman" w:hAnsi="Times New Roman" w:cs="Times New Roman"/>
          <w:noProof/>
          <w:sz w:val="20"/>
          <w:szCs w:val="24"/>
        </w:rPr>
        <w:t xml:space="preserve">16. </w:t>
      </w:r>
      <w:r w:rsidRPr="004F0891">
        <w:rPr>
          <w:rFonts w:ascii="Times New Roman" w:hAnsi="Times New Roman" w:cs="Times New Roman"/>
          <w:noProof/>
          <w:sz w:val="20"/>
          <w:szCs w:val="24"/>
        </w:rPr>
        <w:tab/>
        <w:t>Centraal Bureau voor de Statistiek: StatLine - Life expectancy; sex, age (per year and period of five years) (Dutch: Levensverwachting; geslacht, leeftijd (per jaar en periode van vijf jaren), https://www.cbs.nl/nl-nl/cijfers/detail/37360ned</w:t>
      </w:r>
    </w:p>
    <w:p w14:paraId="26CF8C80" w14:textId="77777777" w:rsidR="004F0891" w:rsidRPr="004F0891" w:rsidRDefault="004F0891" w:rsidP="004F0891">
      <w:pPr>
        <w:widowControl w:val="0"/>
        <w:autoSpaceDE w:val="0"/>
        <w:autoSpaceDN w:val="0"/>
        <w:adjustRightInd w:val="0"/>
        <w:spacing w:after="0" w:line="240" w:lineRule="auto"/>
        <w:ind w:left="640" w:hanging="640"/>
        <w:rPr>
          <w:rFonts w:ascii="Times New Roman" w:hAnsi="Times New Roman" w:cs="Times New Roman"/>
          <w:noProof/>
          <w:sz w:val="20"/>
        </w:rPr>
      </w:pPr>
      <w:r w:rsidRPr="004F0891">
        <w:rPr>
          <w:rFonts w:ascii="Times New Roman" w:hAnsi="Times New Roman" w:cs="Times New Roman"/>
          <w:noProof/>
          <w:sz w:val="20"/>
          <w:szCs w:val="24"/>
        </w:rPr>
        <w:t xml:space="preserve">17. </w:t>
      </w:r>
      <w:r w:rsidRPr="004F0891">
        <w:rPr>
          <w:rFonts w:ascii="Times New Roman" w:hAnsi="Times New Roman" w:cs="Times New Roman"/>
          <w:noProof/>
          <w:sz w:val="20"/>
          <w:szCs w:val="24"/>
        </w:rPr>
        <w:tab/>
        <w:t>Newton, D.J., McKinley, C.E., Ricardo, A., Hoarty, M.D., Arnold, L., Riley, K., Copeland, N., Munir, T., Griffin, M., Hill, A., Hillmen, P.: Assessment of Eculizumab and C5 Levels in PNH Treatment: Molar Ratio of Eculizumab to C5 Level Effectively Predicts Ongoing Dosage Changes in a Cohort of 50 Patients Treated with Eculizumab. Blood. 130, 3484–3484 (2017). https://doi.org/10.1182/BLOOD.V130.SUPPL_1.3484.3484</w:t>
      </w:r>
    </w:p>
    <w:p w14:paraId="296572F1" w14:textId="7C2CC98B" w:rsidR="00147F7A" w:rsidRPr="00894862" w:rsidRDefault="00894862" w:rsidP="00894862">
      <w:pPr>
        <w:pStyle w:val="NoSpacing"/>
        <w:rPr>
          <w:rFonts w:ascii="Times New Roman" w:hAnsi="Times New Roman" w:cs="Times New Roman"/>
          <w:sz w:val="20"/>
          <w:szCs w:val="20"/>
        </w:rPr>
      </w:pPr>
      <w:r w:rsidRPr="00894862">
        <w:rPr>
          <w:rFonts w:ascii="Times New Roman" w:hAnsi="Times New Roman" w:cs="Times New Roman"/>
          <w:sz w:val="20"/>
          <w:szCs w:val="20"/>
        </w:rPr>
        <w:fldChar w:fldCharType="end"/>
      </w:r>
      <w:r w:rsidR="00DD486F" w:rsidRPr="00894862">
        <w:rPr>
          <w:rFonts w:ascii="Times New Roman" w:hAnsi="Times New Roman" w:cs="Times New Roman"/>
          <w:sz w:val="20"/>
          <w:szCs w:val="20"/>
        </w:rPr>
        <w:t xml:space="preserve"> </w:t>
      </w:r>
    </w:p>
    <w:p w14:paraId="33F7522E" w14:textId="77777777" w:rsidR="00147F7A" w:rsidRPr="00172403" w:rsidRDefault="00147F7A" w:rsidP="00894862">
      <w:pPr>
        <w:pStyle w:val="NoSpacing"/>
      </w:pPr>
    </w:p>
    <w:sectPr w:rsidR="00147F7A" w:rsidRPr="00172403" w:rsidSect="00327208">
      <w:pgSz w:w="11906" w:h="16838"/>
      <w:pgMar w:top="1440" w:right="1440" w:bottom="1440" w:left="144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3660"/>
    <w:multiLevelType w:val="multilevel"/>
    <w:tmpl w:val="7AE04DD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3A03D9"/>
    <w:multiLevelType w:val="multilevel"/>
    <w:tmpl w:val="A0F44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wNDI2MzQ3NTYwsLRQ0lEKTi0uzszPAykwqgUAeyQl7ywAAAA="/>
  </w:docVars>
  <w:rsids>
    <w:rsidRoot w:val="00147F7A"/>
    <w:rsid w:val="000018F0"/>
    <w:rsid w:val="000340B9"/>
    <w:rsid w:val="000F1B86"/>
    <w:rsid w:val="00147F7A"/>
    <w:rsid w:val="00172403"/>
    <w:rsid w:val="001A0D21"/>
    <w:rsid w:val="001E3B44"/>
    <w:rsid w:val="00241C53"/>
    <w:rsid w:val="002B6DBC"/>
    <w:rsid w:val="00302A7A"/>
    <w:rsid w:val="00302DDC"/>
    <w:rsid w:val="00327208"/>
    <w:rsid w:val="003278C4"/>
    <w:rsid w:val="00330BA8"/>
    <w:rsid w:val="00445F50"/>
    <w:rsid w:val="004F0891"/>
    <w:rsid w:val="00535599"/>
    <w:rsid w:val="00540801"/>
    <w:rsid w:val="00564153"/>
    <w:rsid w:val="00573080"/>
    <w:rsid w:val="00576051"/>
    <w:rsid w:val="006B2670"/>
    <w:rsid w:val="00747AA8"/>
    <w:rsid w:val="008036C9"/>
    <w:rsid w:val="00894862"/>
    <w:rsid w:val="008D0A74"/>
    <w:rsid w:val="00906CD5"/>
    <w:rsid w:val="009D4A63"/>
    <w:rsid w:val="009D5B16"/>
    <w:rsid w:val="00A26502"/>
    <w:rsid w:val="00A9111B"/>
    <w:rsid w:val="00A92437"/>
    <w:rsid w:val="00B3607C"/>
    <w:rsid w:val="00BD1C72"/>
    <w:rsid w:val="00C3390D"/>
    <w:rsid w:val="00C82BC2"/>
    <w:rsid w:val="00CE3BB8"/>
    <w:rsid w:val="00D54521"/>
    <w:rsid w:val="00D859E3"/>
    <w:rsid w:val="00DD486F"/>
    <w:rsid w:val="00DE3612"/>
    <w:rsid w:val="00E23CBA"/>
    <w:rsid w:val="00EF3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DF51"/>
  <w15:docId w15:val="{F65E3B86-ECD0-4185-B26C-5AD586EC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E34D1"/>
    <w:pPr>
      <w:keepNext/>
      <w:keepLines/>
      <w:spacing w:before="240" w:after="0"/>
      <w:outlineLvl w:val="0"/>
    </w:pPr>
    <w:rPr>
      <w:rFonts w:asciiTheme="majorHAnsi" w:eastAsiaTheme="majorEastAsia" w:hAnsiTheme="majorHAnsi" w:cstheme="majorBidi"/>
      <w:color w:val="2F5496" w:themeColor="accent1" w:themeShade="BF"/>
      <w:sz w:val="32"/>
      <w:szCs w:val="32"/>
      <w:lang w:val="nl-NL"/>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Asc-acadamicstablestyle">
    <w:name w:val="Asc- acadamics table style"/>
    <w:basedOn w:val="TableTheme"/>
    <w:uiPriority w:val="99"/>
    <w:rsid w:val="00317CE6"/>
    <w:pPr>
      <w:spacing w:after="0" w:line="240" w:lineRule="auto"/>
    </w:pPr>
    <w:rPr>
      <w:sz w:val="24"/>
      <w:szCs w:val="24"/>
      <w:lang w:val="en-GB" w:eastAsia="aa-ET"/>
    </w:rPr>
    <w:tblPr>
      <w:tblStyleRowBandSize w:val="1"/>
    </w:tblPr>
    <w:tcPr>
      <w:shd w:val="clear" w:color="auto" w:fill="FFFFFF" w:themeFill="background1"/>
    </w:tcPr>
    <w:tblStylePr w:type="firstRow">
      <w:tblPr/>
      <w:tcPr>
        <w:shd w:val="clear" w:color="auto" w:fill="002060"/>
      </w:tcPr>
    </w:tblStylePr>
    <w:tblStylePr w:type="band1Horz">
      <w:tblPr/>
      <w:tcPr>
        <w:shd w:val="clear" w:color="auto" w:fill="D9E2F3" w:themeFill="accent1" w:themeFillTint="33"/>
      </w:tcPr>
    </w:tblStylePr>
  </w:style>
  <w:style w:type="table" w:styleId="TableTheme">
    <w:name w:val="Table Theme"/>
    <w:basedOn w:val="TableNormal"/>
    <w:uiPriority w:val="99"/>
    <w:semiHidden/>
    <w:unhideWhenUsed/>
    <w:rsid w:val="0031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317CE6"/>
    <w:pPr>
      <w:spacing w:after="0" w:line="240" w:lineRule="auto"/>
    </w:pPr>
    <w:tblPr/>
  </w:style>
  <w:style w:type="table" w:styleId="TableGrid">
    <w:name w:val="Table Grid"/>
    <w:aliases w:val="Asc Acadamics"/>
    <w:basedOn w:val="TableNormal"/>
    <w:uiPriority w:val="39"/>
    <w:rsid w:val="00317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aliases w:val="X"/>
    <w:basedOn w:val="TableNormal"/>
    <w:uiPriority w:val="49"/>
    <w:rsid w:val="00262744"/>
    <w:pPr>
      <w:spacing w:after="0" w:line="240" w:lineRule="auto"/>
    </w:pPr>
    <w:rPr>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0D42EC"/>
    <w:pPr>
      <w:ind w:left="720"/>
      <w:contextualSpacing/>
    </w:pPr>
  </w:style>
  <w:style w:type="paragraph" w:styleId="Caption">
    <w:name w:val="caption"/>
    <w:basedOn w:val="Normal"/>
    <w:next w:val="Normal"/>
    <w:uiPriority w:val="35"/>
    <w:unhideWhenUsed/>
    <w:qFormat/>
    <w:rsid w:val="00F60B14"/>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9A6780"/>
    <w:rPr>
      <w:sz w:val="16"/>
      <w:szCs w:val="16"/>
    </w:rPr>
  </w:style>
  <w:style w:type="paragraph" w:styleId="CommentText">
    <w:name w:val="annotation text"/>
    <w:basedOn w:val="Normal"/>
    <w:link w:val="CommentTextChar"/>
    <w:uiPriority w:val="99"/>
    <w:unhideWhenUsed/>
    <w:rsid w:val="009A6780"/>
    <w:pPr>
      <w:spacing w:line="240" w:lineRule="auto"/>
    </w:pPr>
    <w:rPr>
      <w:sz w:val="20"/>
      <w:szCs w:val="20"/>
    </w:rPr>
  </w:style>
  <w:style w:type="character" w:customStyle="1" w:styleId="CommentTextChar">
    <w:name w:val="Comment Text Char"/>
    <w:basedOn w:val="DefaultParagraphFont"/>
    <w:link w:val="CommentText"/>
    <w:uiPriority w:val="99"/>
    <w:rsid w:val="009A6780"/>
    <w:rPr>
      <w:sz w:val="20"/>
      <w:szCs w:val="20"/>
    </w:rPr>
  </w:style>
  <w:style w:type="paragraph" w:styleId="CommentSubject">
    <w:name w:val="annotation subject"/>
    <w:basedOn w:val="CommentText"/>
    <w:next w:val="CommentText"/>
    <w:link w:val="CommentSubjectChar"/>
    <w:uiPriority w:val="99"/>
    <w:semiHidden/>
    <w:unhideWhenUsed/>
    <w:rsid w:val="009A6780"/>
    <w:rPr>
      <w:b/>
      <w:bCs/>
    </w:rPr>
  </w:style>
  <w:style w:type="character" w:customStyle="1" w:styleId="CommentSubjectChar">
    <w:name w:val="Comment Subject Char"/>
    <w:basedOn w:val="CommentTextChar"/>
    <w:link w:val="CommentSubject"/>
    <w:uiPriority w:val="99"/>
    <w:semiHidden/>
    <w:rsid w:val="009A6780"/>
    <w:rPr>
      <w:b/>
      <w:bCs/>
      <w:sz w:val="20"/>
      <w:szCs w:val="20"/>
    </w:rPr>
  </w:style>
  <w:style w:type="table" w:styleId="PlainTable1">
    <w:name w:val="Plain Table 1"/>
    <w:basedOn w:val="TableNormal"/>
    <w:uiPriority w:val="41"/>
    <w:rsid w:val="009A67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uiPriority w:val="99"/>
    <w:unhideWhenUsed/>
    <w:rsid w:val="00352217"/>
    <w:rPr>
      <w:vertAlign w:val="superscript"/>
    </w:rPr>
  </w:style>
  <w:style w:type="character" w:customStyle="1" w:styleId="Heading1Char">
    <w:name w:val="Heading 1 Char"/>
    <w:basedOn w:val="DefaultParagraphFont"/>
    <w:link w:val="Heading1"/>
    <w:uiPriority w:val="9"/>
    <w:rsid w:val="00BE34D1"/>
    <w:rPr>
      <w:rFonts w:asciiTheme="majorHAnsi" w:eastAsiaTheme="majorEastAsia" w:hAnsiTheme="majorHAnsi" w:cstheme="majorBidi"/>
      <w:color w:val="2F5496" w:themeColor="accent1" w:themeShade="BF"/>
      <w:sz w:val="32"/>
      <w:szCs w:val="32"/>
      <w:lang w:val="nl-NL"/>
    </w:rPr>
  </w:style>
  <w:style w:type="paragraph" w:styleId="NormalWeb">
    <w:name w:val="Normal (Web)"/>
    <w:basedOn w:val="Normal"/>
    <w:link w:val="NormalWebChar"/>
    <w:uiPriority w:val="99"/>
    <w:rsid w:val="00BE34D1"/>
    <w:pPr>
      <w:spacing w:before="100" w:beforeAutospacing="1" w:after="100" w:afterAutospacing="1" w:line="240" w:lineRule="auto"/>
    </w:pPr>
    <w:rPr>
      <w:rFonts w:ascii="Times New Roman" w:eastAsia="SimSun" w:hAnsi="Times New Roman" w:cs="Times New Roman"/>
      <w:sz w:val="24"/>
      <w:szCs w:val="24"/>
      <w:lang w:val="nl-NL" w:eastAsia="zh-CN"/>
    </w:rPr>
  </w:style>
  <w:style w:type="character" w:customStyle="1" w:styleId="NormalWebChar">
    <w:name w:val="Normal (Web) Char"/>
    <w:link w:val="NormalWeb"/>
    <w:uiPriority w:val="99"/>
    <w:rsid w:val="00BE34D1"/>
    <w:rPr>
      <w:rFonts w:ascii="Times New Roman" w:eastAsia="SimSun" w:hAnsi="Times New Roman" w:cs="Times New Roman"/>
      <w:sz w:val="24"/>
      <w:szCs w:val="24"/>
      <w:lang w:val="nl-NL" w:eastAsia="zh-CN"/>
    </w:rPr>
  </w:style>
  <w:style w:type="character" w:styleId="Strong">
    <w:name w:val="Strong"/>
    <w:basedOn w:val="DefaultParagraphFont"/>
    <w:uiPriority w:val="22"/>
    <w:qFormat/>
    <w:rsid w:val="000625DB"/>
    <w:rPr>
      <w:b/>
      <w:bCs/>
    </w:rPr>
  </w:style>
  <w:style w:type="paragraph" w:styleId="Revision">
    <w:name w:val="Revision"/>
    <w:hidden/>
    <w:uiPriority w:val="99"/>
    <w:semiHidden/>
    <w:rsid w:val="00CF5E6E"/>
    <w:pPr>
      <w:spacing w:after="0" w:line="240" w:lineRule="auto"/>
    </w:pPr>
  </w:style>
  <w:style w:type="paragraph" w:styleId="NoSpacing">
    <w:name w:val="No Spacing"/>
    <w:uiPriority w:val="1"/>
    <w:qFormat/>
    <w:rsid w:val="00B11E6E"/>
    <w:pPr>
      <w:spacing w:after="0" w:line="240" w:lineRule="auto"/>
    </w:pPr>
    <w:rPr>
      <w:lang w:val="nl-N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style>
  <w:style w:type="table" w:customStyle="1" w:styleId="a2">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style>
  <w:style w:type="table" w:customStyle="1" w:styleId="a3">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style>
  <w:style w:type="table" w:customStyle="1" w:styleId="a4">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style>
  <w:style w:type="table" w:customStyle="1" w:styleId="a6">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FFFFFF"/>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arexHFQuNyEJUEeFI+7fJIblOA==">AMUW2mWG01Y5Np1oxD06RQWb1fhtJaZo9jDAK04FVboKMTHKuxpaAmgrZumjWhdUd8lnCDtM9mTjlkQscWHdhVVBF78iidvtmhZkyLwlS1/j+w3jWXoun6ZStcvJKc94PLJ//TMZyquH9aQo2tzGHUOhKYRtGjOWApospZkDjOyXI9+lfiVErKw=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E56C02-1CEA-42B7-B928-9EB0F495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79898</Words>
  <Characters>455419</Characters>
  <Application>Microsoft Office Word</Application>
  <DocSecurity>0</DocSecurity>
  <Lines>3795</Lines>
  <Paragraphs>1068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asccomputer19@outlook.com</dc:creator>
  <cp:lastModifiedBy>Lavanya Ganesan</cp:lastModifiedBy>
  <cp:revision>3</cp:revision>
  <dcterms:created xsi:type="dcterms:W3CDTF">2021-08-18T14:45:00Z</dcterms:created>
  <dcterms:modified xsi:type="dcterms:W3CDTF">2022-11-24T11:07:00Z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http://www.zotero.org/styles/graefes-archive-for-clinical-and-experimental-ophthalmology</vt:lpwstr>
  </property>
  <property fmtid="{D5CDD505-2E9C-101B-9397-08002B2CF9AE}" pid="15" name="Mendeley Recent Style Name 6_1">
    <vt:lpwstr>Graefe's Archive for Clinical and Experimental Ophthalmology</vt:lpwstr>
  </property>
  <property fmtid="{D5CDD505-2E9C-101B-9397-08002B2CF9AE}" pid="16" name="Mendeley Recent Style Id 7_1">
    <vt:lpwstr>http://www.zotero.org/styles/the-european-journal-of-health-economics</vt:lpwstr>
  </property>
  <property fmtid="{D5CDD505-2E9C-101B-9397-08002B2CF9AE}" pid="17" name="Mendeley Recent Style Name 7_1">
    <vt:lpwstr>The European Journal of Health Economics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546427ff-37ba-3ea7-8b8c-ef431805f2ae</vt:lpwstr>
  </property>
  <property fmtid="{D5CDD505-2E9C-101B-9397-08002B2CF9AE}" pid="24" name="Mendeley Citation Style_1">
    <vt:lpwstr>http://www.zotero.org/styles/the-european-journal-of-health-economics</vt:lpwstr>
  </property>
</Properties>
</file>