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74686D" w14:textId="0FA03B1C" w:rsidR="008365F0" w:rsidRDefault="008365F0" w:rsidP="008365F0">
      <w:pPr>
        <w:pStyle w:val="Title"/>
        <w:jc w:val="center"/>
        <w:rPr>
          <w:rFonts w:ascii="Times New Roman" w:hAnsi="Times New Roman" w:cs="Times New Roman"/>
          <w:b/>
          <w:sz w:val="30"/>
          <w:szCs w:val="32"/>
        </w:rPr>
      </w:pPr>
      <w:r>
        <w:rPr>
          <w:rFonts w:ascii="Times New Roman" w:hAnsi="Times New Roman" w:cs="Times New Roman"/>
          <w:b/>
          <w:sz w:val="30"/>
          <w:szCs w:val="32"/>
        </w:rPr>
        <w:t>SUPPLEMENTARY MATERIALS</w:t>
      </w:r>
    </w:p>
    <w:p w14:paraId="16ABEEB6" w14:textId="77777777" w:rsidR="008365F0" w:rsidRDefault="008365F0" w:rsidP="00780693">
      <w:pPr>
        <w:pStyle w:val="Title"/>
        <w:rPr>
          <w:rFonts w:ascii="Times New Roman" w:hAnsi="Times New Roman" w:cs="Times New Roman"/>
          <w:b/>
          <w:sz w:val="30"/>
          <w:szCs w:val="32"/>
        </w:rPr>
      </w:pPr>
    </w:p>
    <w:p w14:paraId="60EC5645" w14:textId="77777777" w:rsidR="005E408A" w:rsidRDefault="005E408A" w:rsidP="00780693">
      <w:pPr>
        <w:pStyle w:val="Title"/>
        <w:rPr>
          <w:rFonts w:ascii="Times New Roman" w:hAnsi="Times New Roman" w:cs="Times New Roman"/>
          <w:b/>
          <w:sz w:val="30"/>
          <w:szCs w:val="32"/>
        </w:rPr>
      </w:pPr>
    </w:p>
    <w:p w14:paraId="09F7BF87" w14:textId="3A7CCDB4" w:rsidR="00780693" w:rsidRPr="00AE0F97" w:rsidRDefault="00780693" w:rsidP="00780693">
      <w:pPr>
        <w:pStyle w:val="Title"/>
        <w:rPr>
          <w:rFonts w:ascii="Times New Roman" w:hAnsi="Times New Roman" w:cs="Times New Roman"/>
          <w:b/>
          <w:sz w:val="30"/>
          <w:szCs w:val="32"/>
        </w:rPr>
      </w:pPr>
      <w:r w:rsidRPr="00AE0F97">
        <w:rPr>
          <w:rFonts w:ascii="Times New Roman" w:hAnsi="Times New Roman" w:cs="Times New Roman"/>
          <w:b/>
          <w:sz w:val="30"/>
          <w:szCs w:val="32"/>
        </w:rPr>
        <w:t>Cost-effectiveness of Transcatheter Aortic Valve Implantation in Patients at Low Surgical Risk in France:</w:t>
      </w:r>
      <w:r>
        <w:rPr>
          <w:rFonts w:ascii="Times New Roman" w:hAnsi="Times New Roman" w:cs="Times New Roman"/>
          <w:b/>
          <w:sz w:val="30"/>
          <w:szCs w:val="32"/>
        </w:rPr>
        <w:t xml:space="preserve"> </w:t>
      </w:r>
      <w:r w:rsidRPr="00AE0F97">
        <w:rPr>
          <w:rFonts w:ascii="Times New Roman" w:hAnsi="Times New Roman" w:cs="Times New Roman"/>
          <w:b/>
          <w:sz w:val="30"/>
          <w:szCs w:val="32"/>
        </w:rPr>
        <w:t xml:space="preserve">A Model-based Analysis of the </w:t>
      </w:r>
      <w:proofErr w:type="spellStart"/>
      <w:r w:rsidRPr="00AE0F97">
        <w:rPr>
          <w:rFonts w:ascii="Times New Roman" w:hAnsi="Times New Roman" w:cs="Times New Roman"/>
          <w:b/>
          <w:sz w:val="30"/>
          <w:szCs w:val="32"/>
        </w:rPr>
        <w:t>Evolut</w:t>
      </w:r>
      <w:proofErr w:type="spellEnd"/>
      <w:r w:rsidRPr="00AE0F97">
        <w:rPr>
          <w:rFonts w:ascii="Times New Roman" w:hAnsi="Times New Roman" w:cs="Times New Roman"/>
          <w:b/>
          <w:sz w:val="30"/>
          <w:szCs w:val="32"/>
        </w:rPr>
        <w:t xml:space="preserve"> LR Trial</w:t>
      </w:r>
    </w:p>
    <w:p w14:paraId="007B4922" w14:textId="77777777" w:rsidR="00780693" w:rsidRDefault="00780693" w:rsidP="00780693"/>
    <w:p w14:paraId="724F559F" w14:textId="77777777" w:rsidR="008365F0" w:rsidRDefault="008365F0">
      <w:pPr>
        <w:rPr>
          <w:b/>
          <w:bCs/>
          <w:sz w:val="32"/>
          <w:szCs w:val="32"/>
        </w:rPr>
      </w:pPr>
    </w:p>
    <w:p w14:paraId="2384638D" w14:textId="77777777" w:rsidR="005E408A" w:rsidRDefault="005E408A">
      <w:pPr>
        <w:rPr>
          <w:b/>
          <w:bCs/>
          <w:sz w:val="32"/>
          <w:szCs w:val="32"/>
        </w:rPr>
      </w:pPr>
      <w:r>
        <w:rPr>
          <w:b/>
          <w:bCs/>
          <w:sz w:val="32"/>
          <w:szCs w:val="32"/>
        </w:rPr>
        <w:br w:type="page"/>
      </w:r>
    </w:p>
    <w:p w14:paraId="415274B7" w14:textId="0425AA67" w:rsidR="000138F8" w:rsidRPr="005E408A" w:rsidRDefault="000138F8" w:rsidP="000138F8">
      <w:pPr>
        <w:rPr>
          <w:b/>
          <w:bCs/>
          <w:sz w:val="28"/>
          <w:szCs w:val="28"/>
        </w:rPr>
      </w:pPr>
      <w:r w:rsidRPr="005E408A">
        <w:rPr>
          <w:b/>
          <w:bCs/>
          <w:sz w:val="28"/>
          <w:szCs w:val="28"/>
        </w:rPr>
        <w:lastRenderedPageBreak/>
        <w:t xml:space="preserve">S.1 </w:t>
      </w:r>
      <w:r>
        <w:rPr>
          <w:b/>
          <w:bCs/>
          <w:sz w:val="28"/>
          <w:szCs w:val="28"/>
        </w:rPr>
        <w:t>Model Structure</w:t>
      </w:r>
    </w:p>
    <w:p w14:paraId="5AEC5804" w14:textId="7C7410B7" w:rsidR="000138F8" w:rsidRDefault="000138F8" w:rsidP="000138F8">
      <w:pPr>
        <w:spacing w:line="240" w:lineRule="auto"/>
        <w:jc w:val="both"/>
        <w:rPr>
          <w:lang w:val="en-GB"/>
        </w:rPr>
      </w:pPr>
      <w:r>
        <w:rPr>
          <w:lang w:val="en-GB"/>
        </w:rPr>
        <w:t>Shown below is a simplified graphical representation of the analysis model. The Markov structure is the same for both strategies. The primary health state stratification is survival without stroke, survival post stroke, and death. All other adverse events may occur in every cycle, and are accounted for cost-wise and, where applicable, disutility-wise. The health-related quality of life for the model states is derived directly from the trial data, with a strategy-specific EQ-5D value for the non-stroke states, and a combined utility estimate for the post-stroke state.</w:t>
      </w:r>
    </w:p>
    <w:p w14:paraId="2C20FF23" w14:textId="53159CF7" w:rsidR="000138F8" w:rsidRDefault="000138F8" w:rsidP="000138F8">
      <w:pPr>
        <w:spacing w:line="240" w:lineRule="auto"/>
        <w:jc w:val="both"/>
        <w:rPr>
          <w:lang w:val="en-GB"/>
        </w:rPr>
      </w:pPr>
    </w:p>
    <w:p w14:paraId="7F339149" w14:textId="4B264658" w:rsidR="000138F8" w:rsidRDefault="000138F8" w:rsidP="000138F8">
      <w:pPr>
        <w:spacing w:line="240" w:lineRule="auto"/>
        <w:jc w:val="both"/>
        <w:rPr>
          <w:lang w:val="en-GB"/>
        </w:rPr>
      </w:pPr>
      <w:r w:rsidRPr="000138F8">
        <w:rPr>
          <w:noProof/>
          <w:lang w:eastAsia="en-US"/>
        </w:rPr>
        <w:drawing>
          <wp:inline distT="0" distB="0" distL="0" distR="0" wp14:anchorId="16658A65" wp14:editId="62A7730E">
            <wp:extent cx="5943600" cy="3152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152775"/>
                    </a:xfrm>
                    <a:prstGeom prst="rect">
                      <a:avLst/>
                    </a:prstGeom>
                  </pic:spPr>
                </pic:pic>
              </a:graphicData>
            </a:graphic>
          </wp:inline>
        </w:drawing>
      </w:r>
    </w:p>
    <w:p w14:paraId="3FC22475" w14:textId="32079570" w:rsidR="000138F8" w:rsidRDefault="000138F8" w:rsidP="000138F8">
      <w:pPr>
        <w:rPr>
          <w:rFonts w:cs="Times New Roman"/>
          <w:b/>
          <w:szCs w:val="20"/>
        </w:rPr>
      </w:pPr>
      <w:r>
        <w:rPr>
          <w:rFonts w:cs="Times New Roman"/>
          <w:b/>
          <w:szCs w:val="20"/>
        </w:rPr>
        <w:t xml:space="preserve">Figure S.1.1. </w:t>
      </w:r>
      <w:r>
        <w:rPr>
          <w:rFonts w:cs="Times New Roman"/>
          <w:bCs/>
          <w:szCs w:val="20"/>
        </w:rPr>
        <w:t>Model schematic</w:t>
      </w:r>
    </w:p>
    <w:p w14:paraId="24718614" w14:textId="77777777" w:rsidR="000138F8" w:rsidRPr="0058001A" w:rsidRDefault="000138F8" w:rsidP="000138F8">
      <w:pPr>
        <w:spacing w:line="240" w:lineRule="auto"/>
        <w:jc w:val="both"/>
      </w:pPr>
    </w:p>
    <w:p w14:paraId="59CD2B90" w14:textId="77777777" w:rsidR="000138F8" w:rsidRDefault="000138F8">
      <w:pPr>
        <w:rPr>
          <w:b/>
          <w:bCs/>
          <w:sz w:val="28"/>
          <w:szCs w:val="28"/>
        </w:rPr>
      </w:pPr>
      <w:r>
        <w:rPr>
          <w:b/>
          <w:bCs/>
          <w:sz w:val="28"/>
          <w:szCs w:val="28"/>
        </w:rPr>
        <w:br w:type="page"/>
      </w:r>
    </w:p>
    <w:p w14:paraId="5559CC91" w14:textId="076FD47A" w:rsidR="00B30DDC" w:rsidRPr="005E408A" w:rsidRDefault="008365F0">
      <w:pPr>
        <w:rPr>
          <w:b/>
          <w:bCs/>
          <w:sz w:val="28"/>
          <w:szCs w:val="28"/>
        </w:rPr>
      </w:pPr>
      <w:r w:rsidRPr="005E408A">
        <w:rPr>
          <w:b/>
          <w:bCs/>
          <w:sz w:val="28"/>
          <w:szCs w:val="28"/>
        </w:rPr>
        <w:lastRenderedPageBreak/>
        <w:t>S.</w:t>
      </w:r>
      <w:r w:rsidR="000138F8">
        <w:rPr>
          <w:b/>
          <w:bCs/>
          <w:sz w:val="28"/>
          <w:szCs w:val="28"/>
        </w:rPr>
        <w:t>2</w:t>
      </w:r>
      <w:r w:rsidR="000138F8" w:rsidRPr="005E408A">
        <w:rPr>
          <w:b/>
          <w:bCs/>
          <w:sz w:val="28"/>
          <w:szCs w:val="28"/>
        </w:rPr>
        <w:t xml:space="preserve"> </w:t>
      </w:r>
      <w:r w:rsidRPr="005E408A">
        <w:rPr>
          <w:b/>
          <w:bCs/>
          <w:sz w:val="28"/>
          <w:szCs w:val="28"/>
        </w:rPr>
        <w:t>Fu</w:t>
      </w:r>
      <w:r w:rsidR="00A9576B">
        <w:rPr>
          <w:b/>
          <w:bCs/>
          <w:sz w:val="28"/>
          <w:szCs w:val="28"/>
        </w:rPr>
        <w:t>rther detail on</w:t>
      </w:r>
      <w:r w:rsidRPr="005E408A">
        <w:rPr>
          <w:b/>
          <w:bCs/>
          <w:sz w:val="28"/>
          <w:szCs w:val="28"/>
        </w:rPr>
        <w:t xml:space="preserve"> parameter inputs</w:t>
      </w:r>
    </w:p>
    <w:p w14:paraId="3AE8C92F" w14:textId="77777777" w:rsidR="00A9576B" w:rsidRDefault="00A9576B" w:rsidP="00780693">
      <w:pPr>
        <w:rPr>
          <w:rFonts w:cs="Times New Roman"/>
          <w:b/>
          <w:szCs w:val="20"/>
        </w:rPr>
      </w:pPr>
    </w:p>
    <w:p w14:paraId="0690F22C" w14:textId="5839F66E" w:rsidR="00A9576B" w:rsidRPr="00AF7747" w:rsidRDefault="00A9576B" w:rsidP="00780693">
      <w:pPr>
        <w:rPr>
          <w:rFonts w:cs="Times New Roman"/>
          <w:b/>
          <w:szCs w:val="20"/>
        </w:rPr>
      </w:pPr>
      <w:r w:rsidRPr="00AF7747">
        <w:rPr>
          <w:rFonts w:cs="Times New Roman"/>
          <w:b/>
          <w:szCs w:val="20"/>
        </w:rPr>
        <w:t>Clinical input parameters</w:t>
      </w:r>
    </w:p>
    <w:p w14:paraId="3598D048" w14:textId="5BF97178" w:rsidR="00532F73" w:rsidRDefault="00A9576B" w:rsidP="00A9576B">
      <w:pPr>
        <w:spacing w:line="240" w:lineRule="auto"/>
        <w:jc w:val="both"/>
        <w:rPr>
          <w:lang w:val="en-GB"/>
        </w:rPr>
      </w:pPr>
      <w:r>
        <w:rPr>
          <w:lang w:val="en-GB"/>
        </w:rPr>
        <w:t xml:space="preserve">Clinical input parameters are shown in Table 1 of the manuscript. Note that parameters were informed by the most recent data set </w:t>
      </w:r>
      <w:r w:rsidR="008F487A">
        <w:rPr>
          <w:lang w:val="en-GB"/>
        </w:rPr>
        <w:t xml:space="preserve">from the </w:t>
      </w:r>
      <w:proofErr w:type="spellStart"/>
      <w:r w:rsidR="008F487A">
        <w:rPr>
          <w:lang w:val="en-GB"/>
        </w:rPr>
        <w:t>Evolut</w:t>
      </w:r>
      <w:proofErr w:type="spellEnd"/>
      <w:r w:rsidR="008F487A">
        <w:rPr>
          <w:lang w:val="en-GB"/>
        </w:rPr>
        <w:t xml:space="preserve"> LR trial available at the time of analysis. While the </w:t>
      </w:r>
      <w:proofErr w:type="spellStart"/>
      <w:r w:rsidR="008F487A">
        <w:rPr>
          <w:lang w:val="en-GB"/>
        </w:rPr>
        <w:t>Popma</w:t>
      </w:r>
      <w:proofErr w:type="spellEnd"/>
      <w:r w:rsidR="008F487A">
        <w:rPr>
          <w:lang w:val="en-GB"/>
        </w:rPr>
        <w:t xml:space="preserve"> et al. 2019 publication provides 2-year data, the current analysis relies on additional follow-up data that have </w:t>
      </w:r>
      <w:r w:rsidR="001A2FC3">
        <w:rPr>
          <w:lang w:val="en-GB"/>
        </w:rPr>
        <w:t xml:space="preserve">also </w:t>
      </w:r>
      <w:r w:rsidR="008F487A">
        <w:rPr>
          <w:lang w:val="en-GB"/>
        </w:rPr>
        <w:t>formed the basis for the reimbursement submission to the French Government</w:t>
      </w:r>
      <w:r w:rsidR="00532F73">
        <w:rPr>
          <w:lang w:val="en-GB"/>
        </w:rPr>
        <w:t xml:space="preserve"> (see </w:t>
      </w:r>
      <w:r w:rsidR="00532F73" w:rsidRPr="00532F73">
        <w:rPr>
          <w:lang w:val="en-GB"/>
        </w:rPr>
        <w:t xml:space="preserve">Haute </w:t>
      </w:r>
      <w:proofErr w:type="spellStart"/>
      <w:r w:rsidR="00532F73" w:rsidRPr="00532F73">
        <w:rPr>
          <w:lang w:val="en-GB"/>
        </w:rPr>
        <w:t>Autorité</w:t>
      </w:r>
      <w:proofErr w:type="spellEnd"/>
      <w:r w:rsidR="00532F73" w:rsidRPr="00532F73">
        <w:rPr>
          <w:lang w:val="en-GB"/>
        </w:rPr>
        <w:t xml:space="preserve"> de santé (HAS)</w:t>
      </w:r>
      <w:r w:rsidR="00532F73">
        <w:rPr>
          <w:lang w:val="en-GB"/>
        </w:rPr>
        <w:t xml:space="preserve"> assessment report “Avis </w:t>
      </w:r>
      <w:proofErr w:type="spellStart"/>
      <w:r w:rsidR="00532F73">
        <w:rPr>
          <w:lang w:val="en-GB"/>
        </w:rPr>
        <w:t>Economique</w:t>
      </w:r>
      <w:proofErr w:type="spellEnd"/>
      <w:r w:rsidR="00532F73">
        <w:rPr>
          <w:lang w:val="en-GB"/>
        </w:rPr>
        <w:t xml:space="preserve"> – Medtronic </w:t>
      </w:r>
      <w:proofErr w:type="spellStart"/>
      <w:r w:rsidR="00532F73">
        <w:rPr>
          <w:lang w:val="en-GB"/>
        </w:rPr>
        <w:t>CoreValve</w:t>
      </w:r>
      <w:proofErr w:type="spellEnd"/>
      <w:r w:rsidR="00532F73">
        <w:rPr>
          <w:lang w:val="en-GB"/>
        </w:rPr>
        <w:t xml:space="preserve"> </w:t>
      </w:r>
      <w:proofErr w:type="spellStart"/>
      <w:r w:rsidR="00532F73">
        <w:rPr>
          <w:lang w:val="en-GB"/>
        </w:rPr>
        <w:t>Evolut</w:t>
      </w:r>
      <w:proofErr w:type="spellEnd"/>
      <w:r w:rsidR="00532F73">
        <w:rPr>
          <w:lang w:val="en-GB"/>
        </w:rPr>
        <w:t xml:space="preserve"> R et </w:t>
      </w:r>
      <w:proofErr w:type="spellStart"/>
      <w:r w:rsidR="00532F73">
        <w:rPr>
          <w:lang w:val="en-GB"/>
        </w:rPr>
        <w:t>Evolut</w:t>
      </w:r>
      <w:proofErr w:type="spellEnd"/>
      <w:r w:rsidR="00532F73">
        <w:rPr>
          <w:lang w:val="en-GB"/>
        </w:rPr>
        <w:t xml:space="preserve"> Pro“, published </w:t>
      </w:r>
      <w:r w:rsidR="001A2FC3">
        <w:rPr>
          <w:lang w:val="en-GB"/>
        </w:rPr>
        <w:t xml:space="preserve">May </w:t>
      </w:r>
      <w:r w:rsidR="00532F73">
        <w:rPr>
          <w:lang w:val="en-GB"/>
        </w:rPr>
        <w:t>2021</w:t>
      </w:r>
      <w:r w:rsidR="001A2FC3">
        <w:rPr>
          <w:rStyle w:val="FootnoteReference"/>
          <w:lang w:val="en-GB"/>
        </w:rPr>
        <w:footnoteReference w:id="1"/>
      </w:r>
      <w:r w:rsidR="00532F73">
        <w:rPr>
          <w:lang w:val="en-GB"/>
        </w:rPr>
        <w:t>).</w:t>
      </w:r>
      <w:r w:rsidR="001A2FC3">
        <w:rPr>
          <w:lang w:val="en-GB"/>
        </w:rPr>
        <w:t xml:space="preserve"> Differences between the </w:t>
      </w:r>
      <w:proofErr w:type="spellStart"/>
      <w:r w:rsidR="001A2FC3">
        <w:rPr>
          <w:lang w:val="en-GB"/>
        </w:rPr>
        <w:t>Popma</w:t>
      </w:r>
      <w:proofErr w:type="spellEnd"/>
      <w:r w:rsidR="001A2FC3">
        <w:rPr>
          <w:lang w:val="en-GB"/>
        </w:rPr>
        <w:t xml:space="preserve"> et al. and the more recent dataset are minimal.</w:t>
      </w:r>
    </w:p>
    <w:p w14:paraId="04ACC5B5" w14:textId="77777777" w:rsidR="00A9576B" w:rsidRDefault="00A9576B" w:rsidP="00A9576B">
      <w:pPr>
        <w:rPr>
          <w:rFonts w:cs="Times New Roman"/>
          <w:b/>
          <w:szCs w:val="20"/>
        </w:rPr>
      </w:pPr>
      <w:bookmarkStart w:id="0" w:name="_GoBack"/>
      <w:bookmarkEnd w:id="0"/>
    </w:p>
    <w:p w14:paraId="36CA5901" w14:textId="6263E751" w:rsidR="00A9576B" w:rsidRDefault="002B03E5" w:rsidP="00A9576B">
      <w:pPr>
        <w:rPr>
          <w:rFonts w:cs="Times New Roman"/>
          <w:b/>
          <w:szCs w:val="20"/>
        </w:rPr>
      </w:pPr>
      <w:r>
        <w:rPr>
          <w:rFonts w:cs="Times New Roman"/>
          <w:b/>
          <w:szCs w:val="20"/>
        </w:rPr>
        <w:t>Cost</w:t>
      </w:r>
      <w:r w:rsidR="00A9576B">
        <w:rPr>
          <w:rFonts w:cs="Times New Roman"/>
          <w:b/>
          <w:szCs w:val="20"/>
        </w:rPr>
        <w:t xml:space="preserve"> input parameters:</w:t>
      </w:r>
    </w:p>
    <w:p w14:paraId="6A4C0ACC" w14:textId="625AB0F9" w:rsidR="00780693" w:rsidRDefault="00780693" w:rsidP="00780693">
      <w:pPr>
        <w:rPr>
          <w:rFonts w:cs="Times New Roman"/>
          <w:b/>
          <w:szCs w:val="20"/>
        </w:rPr>
      </w:pPr>
      <w:r>
        <w:rPr>
          <w:rFonts w:cs="Times New Roman"/>
          <w:b/>
          <w:szCs w:val="20"/>
        </w:rPr>
        <w:t>Table S.</w:t>
      </w:r>
      <w:r w:rsidR="000138F8">
        <w:rPr>
          <w:rFonts w:cs="Times New Roman"/>
          <w:b/>
          <w:szCs w:val="20"/>
        </w:rPr>
        <w:t>2</w:t>
      </w:r>
      <w:r w:rsidR="00301DE8">
        <w:rPr>
          <w:rFonts w:cs="Times New Roman"/>
          <w:b/>
          <w:szCs w:val="20"/>
        </w:rPr>
        <w:t>.1</w:t>
      </w:r>
      <w:r>
        <w:rPr>
          <w:rFonts w:cs="Times New Roman"/>
          <w:b/>
          <w:szCs w:val="20"/>
        </w:rPr>
        <w:t xml:space="preserve">. </w:t>
      </w:r>
      <w:r>
        <w:rPr>
          <w:rFonts w:cs="Times New Roman"/>
          <w:bCs/>
          <w:szCs w:val="20"/>
        </w:rPr>
        <w:t xml:space="preserve">Cost inputs considered in the base case analysis: source used for methods and main assumptions </w:t>
      </w:r>
      <w:r>
        <w:rPr>
          <w:rFonts w:cs="Times New Roman"/>
          <w:b/>
          <w:szCs w:val="20"/>
        </w:rPr>
        <w:t xml:space="preserve"> </w:t>
      </w:r>
    </w:p>
    <w:tbl>
      <w:tblPr>
        <w:tblStyle w:val="PlainTable3"/>
        <w:tblW w:w="0" w:type="auto"/>
        <w:tblInd w:w="0" w:type="dxa"/>
        <w:tblLook w:val="04A0" w:firstRow="1" w:lastRow="0" w:firstColumn="1" w:lastColumn="0" w:noHBand="0" w:noVBand="1"/>
      </w:tblPr>
      <w:tblGrid>
        <w:gridCol w:w="2495"/>
        <w:gridCol w:w="1026"/>
        <w:gridCol w:w="1047"/>
        <w:gridCol w:w="1790"/>
        <w:gridCol w:w="2469"/>
        <w:gridCol w:w="533"/>
      </w:tblGrid>
      <w:tr w:rsidR="00780693" w14:paraId="558E236A" w14:textId="77777777" w:rsidTr="00DE26B4">
        <w:trPr>
          <w:cnfStyle w:val="100000000000" w:firstRow="1" w:lastRow="0" w:firstColumn="0" w:lastColumn="0" w:oddVBand="0" w:evenVBand="0" w:oddHBand="0" w:evenHBand="0" w:firstRowFirstColumn="0" w:firstRowLastColumn="0" w:lastRowFirstColumn="0" w:lastRowLastColumn="0"/>
          <w:trHeight w:val="372"/>
        </w:trPr>
        <w:tc>
          <w:tcPr>
            <w:cnfStyle w:val="001000000100" w:firstRow="0" w:lastRow="0" w:firstColumn="1" w:lastColumn="0" w:oddVBand="0" w:evenVBand="0" w:oddHBand="0" w:evenHBand="0" w:firstRowFirstColumn="1" w:firstRowLastColumn="0" w:lastRowFirstColumn="0" w:lastRowLastColumn="0"/>
            <w:tcW w:w="2520" w:type="dxa"/>
            <w:vMerge w:val="restart"/>
            <w:vAlign w:val="bottom"/>
            <w:hideMark/>
          </w:tcPr>
          <w:p w14:paraId="0247143F" w14:textId="77777777" w:rsidR="00780693" w:rsidRDefault="00780693">
            <w:pPr>
              <w:pStyle w:val="NoSpacing"/>
              <w:jc w:val="center"/>
              <w:rPr>
                <w:sz w:val="18"/>
                <w:szCs w:val="20"/>
              </w:rPr>
            </w:pPr>
            <w:r>
              <w:rPr>
                <w:caps w:val="0"/>
                <w:sz w:val="18"/>
                <w:szCs w:val="20"/>
              </w:rPr>
              <w:t>Cost items</w:t>
            </w:r>
          </w:p>
        </w:tc>
        <w:tc>
          <w:tcPr>
            <w:tcW w:w="2000" w:type="dxa"/>
            <w:gridSpan w:val="2"/>
            <w:vAlign w:val="bottom"/>
            <w:hideMark/>
          </w:tcPr>
          <w:p w14:paraId="7BE06A15" w14:textId="77777777" w:rsidR="00780693" w:rsidRDefault="00780693">
            <w:pPr>
              <w:pStyle w:val="NoSpacing"/>
              <w:jc w:val="center"/>
              <w:cnfStyle w:val="100000000000" w:firstRow="1" w:lastRow="0" w:firstColumn="0" w:lastColumn="0" w:oddVBand="0" w:evenVBand="0" w:oddHBand="0" w:evenHBand="0" w:firstRowFirstColumn="0" w:firstRowLastColumn="0" w:lastRowFirstColumn="0" w:lastRowLastColumn="0"/>
              <w:rPr>
                <w:sz w:val="18"/>
                <w:szCs w:val="20"/>
              </w:rPr>
            </w:pPr>
            <w:r>
              <w:rPr>
                <w:sz w:val="18"/>
                <w:szCs w:val="20"/>
              </w:rPr>
              <w:t>U</w:t>
            </w:r>
            <w:r>
              <w:rPr>
                <w:caps w:val="0"/>
                <w:sz w:val="18"/>
                <w:szCs w:val="20"/>
              </w:rPr>
              <w:t>nit costs</w:t>
            </w:r>
          </w:p>
        </w:tc>
        <w:tc>
          <w:tcPr>
            <w:tcW w:w="1804" w:type="dxa"/>
            <w:vMerge w:val="restart"/>
            <w:vAlign w:val="bottom"/>
            <w:hideMark/>
          </w:tcPr>
          <w:p w14:paraId="6B52A67C" w14:textId="77777777" w:rsidR="00780693" w:rsidRDefault="00780693">
            <w:pPr>
              <w:pStyle w:val="NoSpacing"/>
              <w:jc w:val="center"/>
              <w:cnfStyle w:val="100000000000" w:firstRow="1" w:lastRow="0" w:firstColumn="0" w:lastColumn="0" w:oddVBand="0" w:evenVBand="0" w:oddHBand="0" w:evenHBand="0" w:firstRowFirstColumn="0" w:firstRowLastColumn="0" w:lastRowFirstColumn="0" w:lastRowLastColumn="0"/>
              <w:rPr>
                <w:sz w:val="18"/>
                <w:szCs w:val="20"/>
              </w:rPr>
            </w:pPr>
            <w:r>
              <w:rPr>
                <w:sz w:val="18"/>
                <w:szCs w:val="20"/>
              </w:rPr>
              <w:t>S</w:t>
            </w:r>
            <w:r>
              <w:rPr>
                <w:caps w:val="0"/>
                <w:sz w:val="18"/>
                <w:szCs w:val="20"/>
              </w:rPr>
              <w:t>ources of information</w:t>
            </w:r>
          </w:p>
        </w:tc>
        <w:tc>
          <w:tcPr>
            <w:tcW w:w="2495" w:type="dxa"/>
            <w:vMerge w:val="restart"/>
            <w:vAlign w:val="bottom"/>
            <w:hideMark/>
          </w:tcPr>
          <w:p w14:paraId="5CC9C161" w14:textId="77777777" w:rsidR="00780693" w:rsidRDefault="00780693">
            <w:pPr>
              <w:pStyle w:val="NoSpacing"/>
              <w:jc w:val="center"/>
              <w:cnfStyle w:val="100000000000" w:firstRow="1" w:lastRow="0" w:firstColumn="0" w:lastColumn="0" w:oddVBand="0" w:evenVBand="0" w:oddHBand="0" w:evenHBand="0" w:firstRowFirstColumn="0" w:firstRowLastColumn="0" w:lastRowFirstColumn="0" w:lastRowLastColumn="0"/>
              <w:rPr>
                <w:sz w:val="18"/>
                <w:szCs w:val="20"/>
              </w:rPr>
            </w:pPr>
            <w:r>
              <w:rPr>
                <w:caps w:val="0"/>
                <w:sz w:val="18"/>
                <w:szCs w:val="20"/>
              </w:rPr>
              <w:t>Main assumptions &amp; external validity</w:t>
            </w:r>
          </w:p>
        </w:tc>
        <w:tc>
          <w:tcPr>
            <w:tcW w:w="541" w:type="dxa"/>
            <w:vMerge w:val="restart"/>
            <w:vAlign w:val="bottom"/>
            <w:hideMark/>
          </w:tcPr>
          <w:p w14:paraId="430C9A74" w14:textId="5C022445" w:rsidR="00780693" w:rsidRDefault="00780693">
            <w:pPr>
              <w:pStyle w:val="NoSpacing"/>
              <w:jc w:val="center"/>
              <w:cnfStyle w:val="100000000000" w:firstRow="1" w:lastRow="0" w:firstColumn="0" w:lastColumn="0" w:oddVBand="0" w:evenVBand="0" w:oddHBand="0" w:evenHBand="0" w:firstRowFirstColumn="0" w:firstRowLastColumn="0" w:lastRowFirstColumn="0" w:lastRowLastColumn="0"/>
              <w:rPr>
                <w:sz w:val="18"/>
                <w:szCs w:val="20"/>
              </w:rPr>
            </w:pPr>
          </w:p>
        </w:tc>
      </w:tr>
      <w:tr w:rsidR="00780693" w14:paraId="093AE3EF"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Merge/>
            <w:vAlign w:val="center"/>
            <w:hideMark/>
          </w:tcPr>
          <w:p w14:paraId="48F17A17" w14:textId="77777777" w:rsidR="00780693" w:rsidRDefault="00780693">
            <w:pPr>
              <w:rPr>
                <w:rFonts w:ascii="Times New Roman" w:hAnsi="Times New Roman"/>
                <w:sz w:val="18"/>
                <w:szCs w:val="20"/>
              </w:rPr>
            </w:pPr>
          </w:p>
        </w:tc>
        <w:tc>
          <w:tcPr>
            <w:tcW w:w="952" w:type="dxa"/>
            <w:shd w:val="clear" w:color="auto" w:fill="FFFFFF" w:themeFill="background1"/>
            <w:hideMark/>
          </w:tcPr>
          <w:p w14:paraId="72E5A35D"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SAVR</w:t>
            </w:r>
          </w:p>
        </w:tc>
        <w:tc>
          <w:tcPr>
            <w:tcW w:w="1048" w:type="dxa"/>
            <w:shd w:val="clear" w:color="auto" w:fill="FFFFFF" w:themeFill="background1"/>
            <w:hideMark/>
          </w:tcPr>
          <w:p w14:paraId="6EB90CE9"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TAVI</w:t>
            </w:r>
          </w:p>
        </w:tc>
        <w:tc>
          <w:tcPr>
            <w:tcW w:w="0" w:type="auto"/>
            <w:vMerge/>
            <w:vAlign w:val="center"/>
            <w:hideMark/>
          </w:tcPr>
          <w:p w14:paraId="4C3136A9"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b/>
                <w:bCs/>
                <w:caps/>
                <w:sz w:val="18"/>
                <w:szCs w:val="20"/>
              </w:rPr>
            </w:pPr>
          </w:p>
        </w:tc>
        <w:tc>
          <w:tcPr>
            <w:tcW w:w="2495" w:type="dxa"/>
            <w:vMerge/>
            <w:vAlign w:val="center"/>
            <w:hideMark/>
          </w:tcPr>
          <w:p w14:paraId="170AE084"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b/>
                <w:bCs/>
                <w:caps/>
                <w:sz w:val="18"/>
                <w:szCs w:val="20"/>
              </w:rPr>
            </w:pPr>
          </w:p>
        </w:tc>
        <w:tc>
          <w:tcPr>
            <w:tcW w:w="541" w:type="dxa"/>
            <w:vMerge/>
            <w:vAlign w:val="center"/>
            <w:hideMark/>
          </w:tcPr>
          <w:p w14:paraId="1753E9BE"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b/>
                <w:bCs/>
                <w:caps/>
                <w:sz w:val="18"/>
                <w:szCs w:val="20"/>
              </w:rPr>
            </w:pPr>
          </w:p>
        </w:tc>
      </w:tr>
      <w:tr w:rsidR="00780693" w14:paraId="47D84B7A" w14:textId="77777777" w:rsidTr="00DE26B4">
        <w:tc>
          <w:tcPr>
            <w:cnfStyle w:val="001000000000" w:firstRow="0" w:lastRow="0" w:firstColumn="1" w:lastColumn="0" w:oddVBand="0" w:evenVBand="0" w:oddHBand="0" w:evenHBand="0" w:firstRowFirstColumn="0" w:firstRowLastColumn="0" w:lastRowFirstColumn="0" w:lastRowLastColumn="0"/>
            <w:tcW w:w="9360" w:type="dxa"/>
            <w:gridSpan w:val="6"/>
            <w:tcBorders>
              <w:top w:val="nil"/>
              <w:left w:val="nil"/>
              <w:bottom w:val="nil"/>
            </w:tcBorders>
            <w:shd w:val="clear" w:color="auto" w:fill="D9D9D9" w:themeFill="background1" w:themeFillShade="D9"/>
            <w:hideMark/>
          </w:tcPr>
          <w:p w14:paraId="33470D5C" w14:textId="77777777" w:rsidR="00780693" w:rsidRDefault="00780693">
            <w:pPr>
              <w:pStyle w:val="NoSpacing"/>
              <w:rPr>
                <w:sz w:val="18"/>
                <w:szCs w:val="20"/>
              </w:rPr>
            </w:pPr>
            <w:r>
              <w:rPr>
                <w:caps w:val="0"/>
                <w:sz w:val="18"/>
                <w:szCs w:val="20"/>
              </w:rPr>
              <w:t xml:space="preserve">Index procedure </w:t>
            </w:r>
          </w:p>
        </w:tc>
      </w:tr>
      <w:tr w:rsidR="00DE26B4" w14:paraId="31F6DCDF"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4FD464FB" w14:textId="77777777" w:rsidR="00780693" w:rsidRDefault="00780693">
            <w:pPr>
              <w:pStyle w:val="NoSpacing"/>
              <w:rPr>
                <w:b w:val="0"/>
                <w:bCs w:val="0"/>
                <w:sz w:val="18"/>
                <w:szCs w:val="20"/>
              </w:rPr>
            </w:pPr>
            <w:r>
              <w:rPr>
                <w:b w:val="0"/>
                <w:bCs w:val="0"/>
                <w:caps w:val="0"/>
                <w:sz w:val="18"/>
                <w:szCs w:val="20"/>
              </w:rPr>
              <w:t>Preoperative care</w:t>
            </w:r>
            <w:r>
              <w:rPr>
                <w:b w:val="0"/>
                <w:bCs w:val="0"/>
                <w:sz w:val="18"/>
                <w:szCs w:val="20"/>
              </w:rPr>
              <w:t xml:space="preserve"> </w:t>
            </w:r>
          </w:p>
        </w:tc>
        <w:tc>
          <w:tcPr>
            <w:tcW w:w="952" w:type="dxa"/>
            <w:hideMark/>
          </w:tcPr>
          <w:p w14:paraId="2232CCF9"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€3,111.60</w:t>
            </w:r>
          </w:p>
        </w:tc>
        <w:tc>
          <w:tcPr>
            <w:tcW w:w="1048" w:type="dxa"/>
            <w:hideMark/>
          </w:tcPr>
          <w:p w14:paraId="11EE337E"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€3,140.86</w:t>
            </w:r>
          </w:p>
        </w:tc>
        <w:tc>
          <w:tcPr>
            <w:tcW w:w="1804" w:type="dxa"/>
            <w:hideMark/>
          </w:tcPr>
          <w:p w14:paraId="7A3A23BD"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lang w:val="en-GB"/>
              </w:rPr>
            </w:pPr>
            <w:r>
              <w:rPr>
                <w:sz w:val="18"/>
                <w:szCs w:val="20"/>
                <w:lang w:val="en-GB"/>
              </w:rPr>
              <w:t xml:space="preserve">HAS Report on aortic valve (2011), HAS opinion on </w:t>
            </w:r>
            <w:proofErr w:type="spellStart"/>
            <w:r>
              <w:rPr>
                <w:sz w:val="18"/>
                <w:szCs w:val="20"/>
                <w:lang w:val="en-GB"/>
              </w:rPr>
              <w:t>Sapien</w:t>
            </w:r>
            <w:proofErr w:type="spellEnd"/>
            <w:r>
              <w:rPr>
                <w:sz w:val="18"/>
                <w:szCs w:val="20"/>
                <w:lang w:val="en-GB"/>
              </w:rPr>
              <w:t xml:space="preserve"> 3, (2020), experts’ opinion, Assurance </w:t>
            </w:r>
            <w:proofErr w:type="spellStart"/>
            <w:r>
              <w:rPr>
                <w:sz w:val="18"/>
                <w:szCs w:val="20"/>
                <w:lang w:val="en-GB"/>
              </w:rPr>
              <w:t>Maladie</w:t>
            </w:r>
            <w:proofErr w:type="spellEnd"/>
            <w:r>
              <w:rPr>
                <w:sz w:val="18"/>
                <w:szCs w:val="20"/>
                <w:lang w:val="en-GB"/>
              </w:rPr>
              <w:t xml:space="preserve">, TNB, CCAM, </w:t>
            </w:r>
            <w:proofErr w:type="spellStart"/>
            <w:r>
              <w:rPr>
                <w:sz w:val="18"/>
                <w:szCs w:val="20"/>
                <w:lang w:val="en-GB"/>
              </w:rPr>
              <w:t>Launois</w:t>
            </w:r>
            <w:proofErr w:type="spellEnd"/>
            <w:r>
              <w:rPr>
                <w:sz w:val="18"/>
                <w:szCs w:val="20"/>
                <w:lang w:val="en-GB"/>
              </w:rPr>
              <w:t xml:space="preserve"> Report (2014)</w:t>
            </w:r>
          </w:p>
        </w:tc>
        <w:tc>
          <w:tcPr>
            <w:tcW w:w="2495" w:type="dxa"/>
            <w:hideMark/>
          </w:tcPr>
          <w:p w14:paraId="237A07FE"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Consideration of pulmonary function tests and dental and sinus scans as part of the preoperative examinations performed prior to TAVI surgery: conservative assumption, consistent with clinical guidelines and majority of experts opinion.</w:t>
            </w:r>
          </w:p>
        </w:tc>
        <w:tc>
          <w:tcPr>
            <w:tcW w:w="541" w:type="dxa"/>
          </w:tcPr>
          <w:p w14:paraId="1B915858" w14:textId="5936583C"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rPr>
            </w:pPr>
          </w:p>
        </w:tc>
      </w:tr>
      <w:tr w:rsidR="00780693" w14:paraId="315E8180" w14:textId="77777777" w:rsidTr="00DE26B4">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668413A0" w14:textId="77777777" w:rsidR="00780693" w:rsidRDefault="00780693">
            <w:pPr>
              <w:pStyle w:val="NoSpacing"/>
              <w:rPr>
                <w:b w:val="0"/>
                <w:bCs w:val="0"/>
                <w:sz w:val="18"/>
                <w:szCs w:val="20"/>
              </w:rPr>
            </w:pPr>
            <w:r>
              <w:rPr>
                <w:b w:val="0"/>
                <w:bCs w:val="0"/>
                <w:caps w:val="0"/>
                <w:sz w:val="18"/>
                <w:szCs w:val="20"/>
              </w:rPr>
              <w:t>Procedure &amp; index hospitalization</w:t>
            </w:r>
          </w:p>
        </w:tc>
        <w:tc>
          <w:tcPr>
            <w:tcW w:w="952" w:type="dxa"/>
            <w:hideMark/>
          </w:tcPr>
          <w:p w14:paraId="73F1DF4D"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€23,323.97</w:t>
            </w:r>
          </w:p>
        </w:tc>
        <w:tc>
          <w:tcPr>
            <w:tcW w:w="1048" w:type="dxa"/>
            <w:hideMark/>
          </w:tcPr>
          <w:p w14:paraId="211088AE"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€23,743.05</w:t>
            </w:r>
          </w:p>
        </w:tc>
        <w:tc>
          <w:tcPr>
            <w:tcW w:w="1804" w:type="dxa"/>
            <w:hideMark/>
          </w:tcPr>
          <w:p w14:paraId="125850DB" w14:textId="77777777" w:rsidR="00780693" w:rsidRDefault="00780693">
            <w:pPr>
              <w:pStyle w:val="NoSpacing"/>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ENC-MCO 2017, </w:t>
            </w:r>
            <w:proofErr w:type="spellStart"/>
            <w:r>
              <w:rPr>
                <w:sz w:val="18"/>
                <w:szCs w:val="20"/>
              </w:rPr>
              <w:t>ScanSanté</w:t>
            </w:r>
            <w:proofErr w:type="spellEnd"/>
            <w:r>
              <w:rPr>
                <w:sz w:val="18"/>
                <w:szCs w:val="20"/>
              </w:rPr>
              <w:t xml:space="preserve">, CEPS, </w:t>
            </w:r>
            <w:proofErr w:type="spellStart"/>
            <w:r>
              <w:rPr>
                <w:sz w:val="18"/>
                <w:szCs w:val="20"/>
              </w:rPr>
              <w:t>Evolut</w:t>
            </w:r>
            <w:proofErr w:type="spellEnd"/>
            <w:r>
              <w:rPr>
                <w:sz w:val="18"/>
                <w:szCs w:val="20"/>
              </w:rPr>
              <w:t xml:space="preserve"> LR study, LPPR </w:t>
            </w:r>
          </w:p>
        </w:tc>
        <w:tc>
          <w:tcPr>
            <w:tcW w:w="2495" w:type="dxa"/>
            <w:hideMark/>
          </w:tcPr>
          <w:p w14:paraId="6122ACA3" w14:textId="77777777" w:rsidR="00780693" w:rsidRDefault="00780693">
            <w:pPr>
              <w:pStyle w:val="NoSpacing"/>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Cost estimations from ENC-MCO 2017 are considered representative of LR population. Cost estimations account for pacemaker implantation occurring during procedure &amp; index hospitalization. </w:t>
            </w:r>
          </w:p>
        </w:tc>
        <w:tc>
          <w:tcPr>
            <w:tcW w:w="541" w:type="dxa"/>
          </w:tcPr>
          <w:p w14:paraId="0A45C335" w14:textId="14E3E897" w:rsidR="00780693" w:rsidRDefault="00780693">
            <w:pPr>
              <w:pStyle w:val="NoSpacing"/>
              <w:cnfStyle w:val="000000000000" w:firstRow="0" w:lastRow="0" w:firstColumn="0" w:lastColumn="0" w:oddVBand="0" w:evenVBand="0" w:oddHBand="0" w:evenHBand="0" w:firstRowFirstColumn="0" w:firstRowLastColumn="0" w:lastRowFirstColumn="0" w:lastRowLastColumn="0"/>
              <w:rPr>
                <w:sz w:val="18"/>
                <w:szCs w:val="20"/>
              </w:rPr>
            </w:pPr>
          </w:p>
        </w:tc>
      </w:tr>
      <w:tr w:rsidR="00DE26B4" w14:paraId="76625C06"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119ADCA7" w14:textId="77777777" w:rsidR="00780693" w:rsidRDefault="00780693">
            <w:pPr>
              <w:pStyle w:val="NoSpacing"/>
              <w:rPr>
                <w:b w:val="0"/>
                <w:bCs w:val="0"/>
                <w:sz w:val="18"/>
                <w:szCs w:val="20"/>
              </w:rPr>
            </w:pPr>
            <w:r>
              <w:rPr>
                <w:b w:val="0"/>
                <w:bCs w:val="0"/>
                <w:caps w:val="0"/>
                <w:sz w:val="18"/>
                <w:szCs w:val="20"/>
              </w:rPr>
              <w:t>Rehabilitation costs</w:t>
            </w:r>
          </w:p>
        </w:tc>
        <w:tc>
          <w:tcPr>
            <w:tcW w:w="952" w:type="dxa"/>
            <w:hideMark/>
          </w:tcPr>
          <w:p w14:paraId="7D0F9B47"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€652.27</w:t>
            </w:r>
          </w:p>
        </w:tc>
        <w:tc>
          <w:tcPr>
            <w:tcW w:w="1048" w:type="dxa"/>
            <w:hideMark/>
          </w:tcPr>
          <w:p w14:paraId="5AC4DDDD"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€74.24</w:t>
            </w:r>
          </w:p>
        </w:tc>
        <w:tc>
          <w:tcPr>
            <w:tcW w:w="1804" w:type="dxa"/>
            <w:hideMark/>
          </w:tcPr>
          <w:p w14:paraId="4D8056DA"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rPr>
            </w:pPr>
            <w:proofErr w:type="spellStart"/>
            <w:r>
              <w:rPr>
                <w:sz w:val="18"/>
                <w:szCs w:val="20"/>
                <w:lang w:val="en-GB"/>
              </w:rPr>
              <w:t>Evolut</w:t>
            </w:r>
            <w:proofErr w:type="spellEnd"/>
            <w:r>
              <w:rPr>
                <w:sz w:val="18"/>
                <w:szCs w:val="20"/>
                <w:lang w:val="en-GB"/>
              </w:rPr>
              <w:t xml:space="preserve"> LR study, ENC-SSR 2018, experts’ opinion</w:t>
            </w:r>
          </w:p>
        </w:tc>
        <w:tc>
          <w:tcPr>
            <w:tcW w:w="2495" w:type="dxa"/>
            <w:hideMark/>
          </w:tcPr>
          <w:p w14:paraId="4F90D4CB"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Same type of rehabilitation stay is considered regardless of the procedure (SAVR or TAVI): conservative assumption. However, proportion of rehabilitation stays is specific for either SAVR or TAVI: consistent with experts’ opinion and trial data.</w:t>
            </w:r>
          </w:p>
        </w:tc>
        <w:tc>
          <w:tcPr>
            <w:tcW w:w="541" w:type="dxa"/>
          </w:tcPr>
          <w:p w14:paraId="0240434C" w14:textId="065EA6D3"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rPr>
            </w:pPr>
          </w:p>
        </w:tc>
      </w:tr>
      <w:tr w:rsidR="00780693" w14:paraId="3483A180" w14:textId="77777777" w:rsidTr="00DE26B4">
        <w:tc>
          <w:tcPr>
            <w:cnfStyle w:val="001000000000" w:firstRow="0" w:lastRow="0" w:firstColumn="1" w:lastColumn="0" w:oddVBand="0" w:evenVBand="0" w:oddHBand="0" w:evenHBand="0" w:firstRowFirstColumn="0" w:firstRowLastColumn="0" w:lastRowFirstColumn="0" w:lastRowLastColumn="0"/>
            <w:tcW w:w="9360" w:type="dxa"/>
            <w:gridSpan w:val="6"/>
            <w:tcBorders>
              <w:top w:val="nil"/>
              <w:left w:val="nil"/>
              <w:bottom w:val="nil"/>
            </w:tcBorders>
            <w:shd w:val="clear" w:color="auto" w:fill="D9D9D9" w:themeFill="background1" w:themeFillShade="D9"/>
            <w:hideMark/>
          </w:tcPr>
          <w:p w14:paraId="367152D6" w14:textId="77777777" w:rsidR="00780693" w:rsidRDefault="00780693">
            <w:pPr>
              <w:pStyle w:val="NoSpacing"/>
              <w:rPr>
                <w:sz w:val="18"/>
                <w:szCs w:val="20"/>
              </w:rPr>
            </w:pPr>
            <w:r>
              <w:rPr>
                <w:caps w:val="0"/>
                <w:sz w:val="18"/>
                <w:szCs w:val="20"/>
              </w:rPr>
              <w:t xml:space="preserve">Outpatient follow-up </w:t>
            </w:r>
          </w:p>
        </w:tc>
      </w:tr>
      <w:tr w:rsidR="00780693" w14:paraId="08EB8A47"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38D78976" w14:textId="77777777" w:rsidR="00780693" w:rsidRDefault="00780693">
            <w:pPr>
              <w:pStyle w:val="NoSpacing"/>
              <w:rPr>
                <w:b w:val="0"/>
                <w:bCs w:val="0"/>
                <w:sz w:val="18"/>
                <w:szCs w:val="20"/>
              </w:rPr>
            </w:pPr>
            <w:r>
              <w:rPr>
                <w:b w:val="0"/>
                <w:bCs w:val="0"/>
                <w:caps w:val="0"/>
                <w:sz w:val="18"/>
                <w:szCs w:val="20"/>
              </w:rPr>
              <w:t xml:space="preserve">Month 1 </w:t>
            </w:r>
          </w:p>
        </w:tc>
        <w:tc>
          <w:tcPr>
            <w:tcW w:w="2000" w:type="dxa"/>
            <w:gridSpan w:val="2"/>
            <w:hideMark/>
          </w:tcPr>
          <w:p w14:paraId="3FC1452A"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€237.01</w:t>
            </w:r>
          </w:p>
        </w:tc>
        <w:tc>
          <w:tcPr>
            <w:tcW w:w="1804" w:type="dxa"/>
            <w:vMerge w:val="restart"/>
            <w:hideMark/>
          </w:tcPr>
          <w:p w14:paraId="7487392A"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lang w:val="en-GB"/>
              </w:rPr>
            </w:pPr>
            <w:r>
              <w:rPr>
                <w:sz w:val="18"/>
                <w:szCs w:val="20"/>
                <w:lang w:val="en-GB"/>
              </w:rPr>
              <w:t>French payer tariffs (</w:t>
            </w:r>
            <w:r>
              <w:rPr>
                <w:i/>
                <w:iCs/>
                <w:sz w:val="18"/>
                <w:szCs w:val="20"/>
                <w:lang w:val="en-GB"/>
              </w:rPr>
              <w:t xml:space="preserve">Assurance </w:t>
            </w:r>
            <w:proofErr w:type="spellStart"/>
            <w:r>
              <w:rPr>
                <w:i/>
                <w:iCs/>
                <w:sz w:val="18"/>
                <w:szCs w:val="20"/>
                <w:lang w:val="en-GB"/>
              </w:rPr>
              <w:t>Maladie</w:t>
            </w:r>
            <w:proofErr w:type="spellEnd"/>
            <w:r>
              <w:rPr>
                <w:sz w:val="18"/>
                <w:szCs w:val="20"/>
                <w:lang w:val="en-GB"/>
              </w:rPr>
              <w:t xml:space="preserve">), </w:t>
            </w:r>
            <w:r>
              <w:rPr>
                <w:sz w:val="18"/>
                <w:szCs w:val="20"/>
                <w:lang w:val="en-GB"/>
              </w:rPr>
              <w:lastRenderedPageBreak/>
              <w:t xml:space="preserve">TNB, CCAM, </w:t>
            </w:r>
            <w:proofErr w:type="spellStart"/>
            <w:r>
              <w:rPr>
                <w:sz w:val="18"/>
                <w:szCs w:val="20"/>
                <w:lang w:val="en-GB"/>
              </w:rPr>
              <w:t>BdM_IT</w:t>
            </w:r>
            <w:proofErr w:type="spellEnd"/>
          </w:p>
        </w:tc>
        <w:tc>
          <w:tcPr>
            <w:tcW w:w="2495" w:type="dxa"/>
            <w:vMerge w:val="restart"/>
            <w:hideMark/>
          </w:tcPr>
          <w:p w14:paraId="02A90975"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lang w:val="en-GB"/>
              </w:rPr>
            </w:pPr>
            <w:r>
              <w:rPr>
                <w:sz w:val="18"/>
                <w:szCs w:val="20"/>
                <w:lang w:val="en-GB"/>
              </w:rPr>
              <w:lastRenderedPageBreak/>
              <w:t xml:space="preserve">Post-operative follow-up is considered the same for SAVR </w:t>
            </w:r>
            <w:r>
              <w:rPr>
                <w:sz w:val="18"/>
                <w:szCs w:val="20"/>
                <w:lang w:val="en-GB"/>
              </w:rPr>
              <w:lastRenderedPageBreak/>
              <w:t xml:space="preserve">and TAVI, based on experts’ opinion. </w:t>
            </w:r>
          </w:p>
        </w:tc>
        <w:tc>
          <w:tcPr>
            <w:tcW w:w="541" w:type="dxa"/>
            <w:vMerge w:val="restart"/>
            <w:hideMark/>
          </w:tcPr>
          <w:p w14:paraId="29DC7119" w14:textId="7832A871"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lang w:val="en-GB"/>
              </w:rPr>
            </w:pPr>
          </w:p>
        </w:tc>
      </w:tr>
      <w:tr w:rsidR="00780693" w14:paraId="2EFE1F86" w14:textId="77777777" w:rsidTr="00DE26B4">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4F248721" w14:textId="77777777" w:rsidR="00780693" w:rsidRDefault="00780693">
            <w:pPr>
              <w:pStyle w:val="NoSpacing"/>
              <w:rPr>
                <w:b w:val="0"/>
                <w:bCs w:val="0"/>
                <w:sz w:val="18"/>
                <w:szCs w:val="20"/>
              </w:rPr>
            </w:pPr>
            <w:r>
              <w:rPr>
                <w:b w:val="0"/>
                <w:bCs w:val="0"/>
                <w:caps w:val="0"/>
                <w:sz w:val="18"/>
                <w:szCs w:val="20"/>
              </w:rPr>
              <w:t xml:space="preserve">Month </w:t>
            </w:r>
            <w:r>
              <w:rPr>
                <w:b w:val="0"/>
                <w:bCs w:val="0"/>
                <w:sz w:val="18"/>
                <w:szCs w:val="20"/>
              </w:rPr>
              <w:t>6</w:t>
            </w:r>
          </w:p>
        </w:tc>
        <w:tc>
          <w:tcPr>
            <w:tcW w:w="2000" w:type="dxa"/>
            <w:gridSpan w:val="2"/>
            <w:hideMark/>
          </w:tcPr>
          <w:p w14:paraId="4760E5D0"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€60.00</w:t>
            </w:r>
          </w:p>
        </w:tc>
        <w:tc>
          <w:tcPr>
            <w:tcW w:w="0" w:type="auto"/>
            <w:vMerge/>
            <w:vAlign w:val="center"/>
            <w:hideMark/>
          </w:tcPr>
          <w:p w14:paraId="6B5D3AD2"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lang w:val="en-GB"/>
              </w:rPr>
            </w:pPr>
          </w:p>
        </w:tc>
        <w:tc>
          <w:tcPr>
            <w:tcW w:w="2495" w:type="dxa"/>
            <w:vMerge/>
            <w:vAlign w:val="center"/>
            <w:hideMark/>
          </w:tcPr>
          <w:p w14:paraId="72A67775"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lang w:val="en-GB"/>
              </w:rPr>
            </w:pPr>
          </w:p>
        </w:tc>
        <w:tc>
          <w:tcPr>
            <w:tcW w:w="541" w:type="dxa"/>
            <w:vMerge/>
            <w:vAlign w:val="center"/>
            <w:hideMark/>
          </w:tcPr>
          <w:p w14:paraId="7741B65E"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lang w:val="en-GB"/>
              </w:rPr>
            </w:pPr>
          </w:p>
        </w:tc>
      </w:tr>
      <w:tr w:rsidR="00780693" w14:paraId="461546E5"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660C1665" w14:textId="77777777" w:rsidR="00780693" w:rsidRDefault="00780693">
            <w:pPr>
              <w:pStyle w:val="NoSpacing"/>
              <w:rPr>
                <w:b w:val="0"/>
                <w:bCs w:val="0"/>
                <w:sz w:val="18"/>
                <w:szCs w:val="20"/>
              </w:rPr>
            </w:pPr>
            <w:r>
              <w:rPr>
                <w:b w:val="0"/>
                <w:bCs w:val="0"/>
                <w:caps w:val="0"/>
                <w:sz w:val="18"/>
                <w:szCs w:val="20"/>
              </w:rPr>
              <w:t xml:space="preserve">Month 12 </w:t>
            </w:r>
          </w:p>
        </w:tc>
        <w:tc>
          <w:tcPr>
            <w:tcW w:w="2000" w:type="dxa"/>
            <w:gridSpan w:val="2"/>
            <w:hideMark/>
          </w:tcPr>
          <w:p w14:paraId="78C3FBCD"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€18.42</w:t>
            </w:r>
          </w:p>
        </w:tc>
        <w:tc>
          <w:tcPr>
            <w:tcW w:w="0" w:type="auto"/>
            <w:vMerge/>
            <w:vAlign w:val="center"/>
            <w:hideMark/>
          </w:tcPr>
          <w:p w14:paraId="119FE2E2"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lang w:val="en-GB"/>
              </w:rPr>
            </w:pPr>
          </w:p>
        </w:tc>
        <w:tc>
          <w:tcPr>
            <w:tcW w:w="2495" w:type="dxa"/>
            <w:vMerge/>
            <w:vAlign w:val="center"/>
            <w:hideMark/>
          </w:tcPr>
          <w:p w14:paraId="3DCFB1DF"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lang w:val="en-GB"/>
              </w:rPr>
            </w:pPr>
          </w:p>
        </w:tc>
        <w:tc>
          <w:tcPr>
            <w:tcW w:w="541" w:type="dxa"/>
            <w:vMerge/>
            <w:vAlign w:val="center"/>
            <w:hideMark/>
          </w:tcPr>
          <w:p w14:paraId="63E79392"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lang w:val="en-GB"/>
              </w:rPr>
            </w:pPr>
          </w:p>
        </w:tc>
      </w:tr>
      <w:tr w:rsidR="00780693" w14:paraId="73E6C74C" w14:textId="77777777" w:rsidTr="00DE26B4">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394D8686" w14:textId="77777777" w:rsidR="00780693" w:rsidRDefault="00780693">
            <w:pPr>
              <w:pStyle w:val="NoSpacing"/>
              <w:rPr>
                <w:b w:val="0"/>
                <w:bCs w:val="0"/>
                <w:sz w:val="18"/>
                <w:szCs w:val="20"/>
              </w:rPr>
            </w:pPr>
            <w:r>
              <w:rPr>
                <w:b w:val="0"/>
                <w:bCs w:val="0"/>
                <w:caps w:val="0"/>
                <w:sz w:val="18"/>
                <w:szCs w:val="20"/>
              </w:rPr>
              <w:lastRenderedPageBreak/>
              <w:t>Annually beyond 12 months</w:t>
            </w:r>
          </w:p>
        </w:tc>
        <w:tc>
          <w:tcPr>
            <w:tcW w:w="2000" w:type="dxa"/>
            <w:gridSpan w:val="2"/>
            <w:hideMark/>
          </w:tcPr>
          <w:p w14:paraId="6E2E9985"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€261.85</w:t>
            </w:r>
          </w:p>
        </w:tc>
        <w:tc>
          <w:tcPr>
            <w:tcW w:w="0" w:type="auto"/>
            <w:vMerge/>
            <w:vAlign w:val="center"/>
            <w:hideMark/>
          </w:tcPr>
          <w:p w14:paraId="0CC4712A"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lang w:val="en-GB"/>
              </w:rPr>
            </w:pPr>
          </w:p>
        </w:tc>
        <w:tc>
          <w:tcPr>
            <w:tcW w:w="2495" w:type="dxa"/>
            <w:vMerge/>
            <w:vAlign w:val="center"/>
            <w:hideMark/>
          </w:tcPr>
          <w:p w14:paraId="673616D2"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lang w:val="en-GB"/>
              </w:rPr>
            </w:pPr>
          </w:p>
        </w:tc>
        <w:tc>
          <w:tcPr>
            <w:tcW w:w="541" w:type="dxa"/>
            <w:vMerge/>
            <w:vAlign w:val="center"/>
            <w:hideMark/>
          </w:tcPr>
          <w:p w14:paraId="211669D5"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lang w:val="en-GB"/>
              </w:rPr>
            </w:pPr>
          </w:p>
        </w:tc>
      </w:tr>
      <w:tr w:rsidR="00780693" w14:paraId="6CA909CB"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tcBorders>
              <w:top w:val="nil"/>
              <w:left w:val="nil"/>
              <w:bottom w:val="nil"/>
            </w:tcBorders>
            <w:shd w:val="clear" w:color="auto" w:fill="D9D9D9" w:themeFill="background1" w:themeFillShade="D9"/>
            <w:hideMark/>
          </w:tcPr>
          <w:p w14:paraId="7778B447" w14:textId="77777777" w:rsidR="00780693" w:rsidRDefault="00780693">
            <w:pPr>
              <w:pStyle w:val="NoSpacing"/>
              <w:rPr>
                <w:sz w:val="18"/>
                <w:szCs w:val="20"/>
              </w:rPr>
            </w:pPr>
            <w:r>
              <w:rPr>
                <w:sz w:val="18"/>
                <w:szCs w:val="20"/>
              </w:rPr>
              <w:t>A</w:t>
            </w:r>
            <w:r>
              <w:rPr>
                <w:caps w:val="0"/>
                <w:sz w:val="18"/>
                <w:szCs w:val="20"/>
              </w:rPr>
              <w:t>dverse events</w:t>
            </w:r>
            <w:r>
              <w:rPr>
                <w:sz w:val="18"/>
                <w:szCs w:val="20"/>
              </w:rPr>
              <w:t xml:space="preserve"> </w:t>
            </w:r>
          </w:p>
        </w:tc>
      </w:tr>
      <w:tr w:rsidR="00780693" w14:paraId="10B8BF8B" w14:textId="77777777" w:rsidTr="00DE26B4">
        <w:trPr>
          <w:trHeight w:val="58"/>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2BE99048" w14:textId="77777777" w:rsidR="00780693" w:rsidRDefault="00780693">
            <w:pPr>
              <w:pStyle w:val="NoSpacing"/>
              <w:rPr>
                <w:b w:val="0"/>
                <w:bCs w:val="0"/>
                <w:sz w:val="18"/>
                <w:szCs w:val="20"/>
              </w:rPr>
            </w:pPr>
            <w:r>
              <w:rPr>
                <w:b w:val="0"/>
                <w:bCs w:val="0"/>
                <w:caps w:val="0"/>
                <w:sz w:val="18"/>
                <w:szCs w:val="20"/>
              </w:rPr>
              <w:t>Stroke</w:t>
            </w:r>
          </w:p>
        </w:tc>
        <w:tc>
          <w:tcPr>
            <w:tcW w:w="2000" w:type="dxa"/>
            <w:gridSpan w:val="2"/>
            <w:hideMark/>
          </w:tcPr>
          <w:p w14:paraId="3A50E469"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€5,857.48</w:t>
            </w:r>
          </w:p>
        </w:tc>
        <w:tc>
          <w:tcPr>
            <w:tcW w:w="1804" w:type="dxa"/>
            <w:vMerge w:val="restart"/>
            <w:hideMark/>
          </w:tcPr>
          <w:p w14:paraId="4C576A35" w14:textId="77777777" w:rsidR="00780693" w:rsidRDefault="00780693">
            <w:pPr>
              <w:pStyle w:val="NoSpacing"/>
              <w:cnfStyle w:val="000000000000" w:firstRow="0" w:lastRow="0" w:firstColumn="0" w:lastColumn="0" w:oddVBand="0" w:evenVBand="0" w:oddHBand="0" w:evenHBand="0" w:firstRowFirstColumn="0" w:firstRowLastColumn="0" w:lastRowFirstColumn="0" w:lastRowLastColumn="0"/>
              <w:rPr>
                <w:sz w:val="18"/>
                <w:szCs w:val="20"/>
              </w:rPr>
            </w:pPr>
            <w:proofErr w:type="spellStart"/>
            <w:r>
              <w:rPr>
                <w:sz w:val="18"/>
                <w:szCs w:val="20"/>
                <w:lang w:val="en-GB"/>
              </w:rPr>
              <w:t>Evolut</w:t>
            </w:r>
            <w:proofErr w:type="spellEnd"/>
            <w:r>
              <w:rPr>
                <w:sz w:val="18"/>
                <w:szCs w:val="20"/>
                <w:lang w:val="en-GB"/>
              </w:rPr>
              <w:t xml:space="preserve"> LR study, ENC-MCO 2017</w:t>
            </w:r>
          </w:p>
        </w:tc>
        <w:tc>
          <w:tcPr>
            <w:tcW w:w="2495" w:type="dxa"/>
            <w:vMerge w:val="restart"/>
            <w:hideMark/>
          </w:tcPr>
          <w:p w14:paraId="509259D4" w14:textId="77777777" w:rsidR="00780693" w:rsidRDefault="00780693">
            <w:pPr>
              <w:pStyle w:val="NoSpacing"/>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Cost of AE (excluding stroke and mortality) is considered only in the first two years in the analysis.</w:t>
            </w:r>
          </w:p>
          <w:p w14:paraId="198D0D68" w14:textId="77777777" w:rsidR="00780693" w:rsidRDefault="00780693">
            <w:pPr>
              <w:pStyle w:val="NoSpacing"/>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Except from aortic valve rehospitalization and part of pacemaker implantation, costs of AE observed at 30-day timepoint in the trial are considered to be covered within procedure &amp; index hospitalization cost. </w:t>
            </w:r>
          </w:p>
        </w:tc>
        <w:tc>
          <w:tcPr>
            <w:tcW w:w="541" w:type="dxa"/>
            <w:vMerge w:val="restart"/>
            <w:hideMark/>
          </w:tcPr>
          <w:p w14:paraId="53481E21" w14:textId="4A74F54E" w:rsidR="00780693" w:rsidRDefault="00780693">
            <w:pPr>
              <w:pStyle w:val="NoSpacing"/>
              <w:cnfStyle w:val="000000000000" w:firstRow="0" w:lastRow="0" w:firstColumn="0" w:lastColumn="0" w:oddVBand="0" w:evenVBand="0" w:oddHBand="0" w:evenHBand="0" w:firstRowFirstColumn="0" w:firstRowLastColumn="0" w:lastRowFirstColumn="0" w:lastRowLastColumn="0"/>
              <w:rPr>
                <w:sz w:val="18"/>
                <w:szCs w:val="20"/>
              </w:rPr>
            </w:pPr>
          </w:p>
        </w:tc>
      </w:tr>
      <w:tr w:rsidR="00780693" w14:paraId="1B986C1C"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1A98EC06" w14:textId="77777777" w:rsidR="00780693" w:rsidRDefault="00780693">
            <w:pPr>
              <w:pStyle w:val="NoSpacing"/>
              <w:rPr>
                <w:b w:val="0"/>
                <w:bCs w:val="0"/>
                <w:sz w:val="18"/>
                <w:szCs w:val="20"/>
              </w:rPr>
            </w:pPr>
            <w:r>
              <w:rPr>
                <w:b w:val="0"/>
                <w:bCs w:val="0"/>
                <w:caps w:val="0"/>
                <w:sz w:val="18"/>
                <w:szCs w:val="20"/>
              </w:rPr>
              <w:t>Myocardial infarction</w:t>
            </w:r>
          </w:p>
        </w:tc>
        <w:tc>
          <w:tcPr>
            <w:tcW w:w="2000" w:type="dxa"/>
            <w:gridSpan w:val="2"/>
            <w:hideMark/>
          </w:tcPr>
          <w:p w14:paraId="77A36251"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€5,776.16</w:t>
            </w:r>
          </w:p>
        </w:tc>
        <w:tc>
          <w:tcPr>
            <w:tcW w:w="0" w:type="auto"/>
            <w:vMerge/>
            <w:vAlign w:val="center"/>
            <w:hideMark/>
          </w:tcPr>
          <w:p w14:paraId="51FFA9D9"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2495" w:type="dxa"/>
            <w:vMerge/>
            <w:vAlign w:val="center"/>
            <w:hideMark/>
          </w:tcPr>
          <w:p w14:paraId="5823BD60"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541" w:type="dxa"/>
            <w:vMerge/>
            <w:vAlign w:val="center"/>
            <w:hideMark/>
          </w:tcPr>
          <w:p w14:paraId="6E24FA04"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r>
      <w:tr w:rsidR="00780693" w14:paraId="2E58CF7D" w14:textId="77777777" w:rsidTr="00DE26B4">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41781D01" w14:textId="77777777" w:rsidR="00780693" w:rsidRDefault="00780693">
            <w:pPr>
              <w:pStyle w:val="NoSpacing"/>
              <w:rPr>
                <w:b w:val="0"/>
                <w:bCs w:val="0"/>
                <w:sz w:val="18"/>
                <w:szCs w:val="20"/>
              </w:rPr>
            </w:pPr>
            <w:r>
              <w:rPr>
                <w:b w:val="0"/>
                <w:bCs w:val="0"/>
                <w:caps w:val="0"/>
                <w:sz w:val="18"/>
                <w:szCs w:val="20"/>
              </w:rPr>
              <w:t>Permanent pacemaker implantation</w:t>
            </w:r>
          </w:p>
        </w:tc>
        <w:tc>
          <w:tcPr>
            <w:tcW w:w="2000" w:type="dxa"/>
            <w:gridSpan w:val="2"/>
            <w:hideMark/>
          </w:tcPr>
          <w:p w14:paraId="37FD76FF"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€6,734.30</w:t>
            </w:r>
          </w:p>
        </w:tc>
        <w:tc>
          <w:tcPr>
            <w:tcW w:w="0" w:type="auto"/>
            <w:vMerge/>
            <w:vAlign w:val="center"/>
            <w:hideMark/>
          </w:tcPr>
          <w:p w14:paraId="11CAE0FE"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2495" w:type="dxa"/>
            <w:vMerge/>
            <w:vAlign w:val="center"/>
            <w:hideMark/>
          </w:tcPr>
          <w:p w14:paraId="2F262746"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541" w:type="dxa"/>
            <w:vMerge/>
            <w:vAlign w:val="center"/>
            <w:hideMark/>
          </w:tcPr>
          <w:p w14:paraId="65BD6857"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r>
      <w:tr w:rsidR="00780693" w14:paraId="69FF70BF"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201CA7E2" w14:textId="77777777" w:rsidR="00780693" w:rsidRDefault="00780693">
            <w:pPr>
              <w:pStyle w:val="NoSpacing"/>
              <w:rPr>
                <w:b w:val="0"/>
                <w:bCs w:val="0"/>
                <w:sz w:val="18"/>
                <w:szCs w:val="20"/>
              </w:rPr>
            </w:pPr>
            <w:r>
              <w:rPr>
                <w:b w:val="0"/>
                <w:bCs w:val="0"/>
                <w:caps w:val="0"/>
                <w:sz w:val="18"/>
                <w:szCs w:val="20"/>
              </w:rPr>
              <w:t>Bleeding event</w:t>
            </w:r>
          </w:p>
        </w:tc>
        <w:tc>
          <w:tcPr>
            <w:tcW w:w="2000" w:type="dxa"/>
            <w:gridSpan w:val="2"/>
            <w:hideMark/>
          </w:tcPr>
          <w:p w14:paraId="066148CB"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€11,282.45</w:t>
            </w:r>
          </w:p>
        </w:tc>
        <w:tc>
          <w:tcPr>
            <w:tcW w:w="0" w:type="auto"/>
            <w:vMerge/>
            <w:vAlign w:val="center"/>
            <w:hideMark/>
          </w:tcPr>
          <w:p w14:paraId="5D32565B"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2495" w:type="dxa"/>
            <w:vMerge/>
            <w:vAlign w:val="center"/>
            <w:hideMark/>
          </w:tcPr>
          <w:p w14:paraId="6F27CD41"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541" w:type="dxa"/>
            <w:vMerge/>
            <w:vAlign w:val="center"/>
            <w:hideMark/>
          </w:tcPr>
          <w:p w14:paraId="64FA1B8A"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r>
      <w:tr w:rsidR="00780693" w14:paraId="7F1E83FD" w14:textId="77777777" w:rsidTr="00DE26B4">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079533A5" w14:textId="77777777" w:rsidR="00780693" w:rsidRDefault="00780693">
            <w:pPr>
              <w:pStyle w:val="NoSpacing"/>
              <w:rPr>
                <w:b w:val="0"/>
                <w:bCs w:val="0"/>
                <w:sz w:val="18"/>
                <w:szCs w:val="20"/>
              </w:rPr>
            </w:pPr>
            <w:r>
              <w:rPr>
                <w:b w:val="0"/>
                <w:bCs w:val="0"/>
                <w:caps w:val="0"/>
                <w:sz w:val="18"/>
                <w:szCs w:val="20"/>
              </w:rPr>
              <w:t>Cardiogenic shock</w:t>
            </w:r>
          </w:p>
        </w:tc>
        <w:tc>
          <w:tcPr>
            <w:tcW w:w="2000" w:type="dxa"/>
            <w:gridSpan w:val="2"/>
            <w:hideMark/>
          </w:tcPr>
          <w:p w14:paraId="01EAF5C5"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€4,788.74</w:t>
            </w:r>
          </w:p>
        </w:tc>
        <w:tc>
          <w:tcPr>
            <w:tcW w:w="0" w:type="auto"/>
            <w:vMerge/>
            <w:vAlign w:val="center"/>
            <w:hideMark/>
          </w:tcPr>
          <w:p w14:paraId="2DE33C37"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2495" w:type="dxa"/>
            <w:vMerge/>
            <w:vAlign w:val="center"/>
            <w:hideMark/>
          </w:tcPr>
          <w:p w14:paraId="0189E5ED"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541" w:type="dxa"/>
            <w:vMerge/>
            <w:vAlign w:val="center"/>
            <w:hideMark/>
          </w:tcPr>
          <w:p w14:paraId="22465458"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r>
      <w:tr w:rsidR="00780693" w14:paraId="01361E6C"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50BA8C50" w14:textId="77777777" w:rsidR="00780693" w:rsidRDefault="00780693">
            <w:pPr>
              <w:pStyle w:val="NoSpacing"/>
              <w:rPr>
                <w:b w:val="0"/>
                <w:bCs w:val="0"/>
                <w:sz w:val="18"/>
                <w:szCs w:val="20"/>
              </w:rPr>
            </w:pPr>
            <w:r>
              <w:rPr>
                <w:b w:val="0"/>
                <w:bCs w:val="0"/>
                <w:caps w:val="0"/>
                <w:sz w:val="18"/>
                <w:szCs w:val="20"/>
              </w:rPr>
              <w:t>Acute kidney injury</w:t>
            </w:r>
          </w:p>
        </w:tc>
        <w:tc>
          <w:tcPr>
            <w:tcW w:w="2000" w:type="dxa"/>
            <w:gridSpan w:val="2"/>
            <w:hideMark/>
          </w:tcPr>
          <w:p w14:paraId="1FA5C3FD"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€4,588.56</w:t>
            </w:r>
          </w:p>
        </w:tc>
        <w:tc>
          <w:tcPr>
            <w:tcW w:w="0" w:type="auto"/>
            <w:vMerge/>
            <w:vAlign w:val="center"/>
            <w:hideMark/>
          </w:tcPr>
          <w:p w14:paraId="355C7C1B"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2495" w:type="dxa"/>
            <w:vMerge/>
            <w:vAlign w:val="center"/>
            <w:hideMark/>
          </w:tcPr>
          <w:p w14:paraId="3811DE51"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541" w:type="dxa"/>
            <w:vMerge/>
            <w:vAlign w:val="center"/>
            <w:hideMark/>
          </w:tcPr>
          <w:p w14:paraId="208AA058"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r>
      <w:tr w:rsidR="00780693" w14:paraId="1E91BD0C" w14:textId="77777777" w:rsidTr="00DE26B4">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1439CF88" w14:textId="77777777" w:rsidR="00780693" w:rsidRDefault="00780693">
            <w:pPr>
              <w:pStyle w:val="NoSpacing"/>
              <w:rPr>
                <w:b w:val="0"/>
                <w:bCs w:val="0"/>
                <w:sz w:val="18"/>
                <w:szCs w:val="20"/>
              </w:rPr>
            </w:pPr>
            <w:r>
              <w:rPr>
                <w:b w:val="0"/>
                <w:bCs w:val="0"/>
                <w:caps w:val="0"/>
                <w:sz w:val="18"/>
                <w:szCs w:val="20"/>
              </w:rPr>
              <w:t xml:space="preserve">Major vascular complication </w:t>
            </w:r>
          </w:p>
        </w:tc>
        <w:tc>
          <w:tcPr>
            <w:tcW w:w="2000" w:type="dxa"/>
            <w:gridSpan w:val="2"/>
            <w:hideMark/>
          </w:tcPr>
          <w:p w14:paraId="08DB5406"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€7,511.48</w:t>
            </w:r>
          </w:p>
        </w:tc>
        <w:tc>
          <w:tcPr>
            <w:tcW w:w="0" w:type="auto"/>
            <w:vMerge/>
            <w:vAlign w:val="center"/>
            <w:hideMark/>
          </w:tcPr>
          <w:p w14:paraId="61333153"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2495" w:type="dxa"/>
            <w:vMerge/>
            <w:vAlign w:val="center"/>
            <w:hideMark/>
          </w:tcPr>
          <w:p w14:paraId="03F815C2"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541" w:type="dxa"/>
            <w:vMerge/>
            <w:vAlign w:val="center"/>
            <w:hideMark/>
          </w:tcPr>
          <w:p w14:paraId="5F67721D"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r>
      <w:tr w:rsidR="00780693" w14:paraId="545090F7"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580E2829" w14:textId="77777777" w:rsidR="00780693" w:rsidRDefault="00780693">
            <w:pPr>
              <w:pStyle w:val="NoSpacing"/>
              <w:rPr>
                <w:b w:val="0"/>
                <w:bCs w:val="0"/>
                <w:sz w:val="18"/>
                <w:szCs w:val="20"/>
              </w:rPr>
            </w:pPr>
            <w:r>
              <w:rPr>
                <w:b w:val="0"/>
                <w:bCs w:val="0"/>
                <w:sz w:val="18"/>
                <w:szCs w:val="20"/>
              </w:rPr>
              <w:t>A</w:t>
            </w:r>
            <w:r>
              <w:rPr>
                <w:b w:val="0"/>
                <w:bCs w:val="0"/>
                <w:caps w:val="0"/>
                <w:sz w:val="18"/>
                <w:szCs w:val="20"/>
              </w:rPr>
              <w:t xml:space="preserve">trial fibrillation </w:t>
            </w:r>
          </w:p>
        </w:tc>
        <w:tc>
          <w:tcPr>
            <w:tcW w:w="2000" w:type="dxa"/>
            <w:gridSpan w:val="2"/>
            <w:hideMark/>
          </w:tcPr>
          <w:p w14:paraId="32278C94"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€3,607.76</w:t>
            </w:r>
          </w:p>
        </w:tc>
        <w:tc>
          <w:tcPr>
            <w:tcW w:w="0" w:type="auto"/>
            <w:vMerge/>
            <w:vAlign w:val="center"/>
            <w:hideMark/>
          </w:tcPr>
          <w:p w14:paraId="3248E1E2"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2495" w:type="dxa"/>
            <w:vMerge/>
            <w:vAlign w:val="center"/>
            <w:hideMark/>
          </w:tcPr>
          <w:p w14:paraId="310E65F5"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541" w:type="dxa"/>
            <w:vMerge/>
            <w:vAlign w:val="center"/>
            <w:hideMark/>
          </w:tcPr>
          <w:p w14:paraId="106A2D17"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r>
      <w:tr w:rsidR="00780693" w14:paraId="25900B36" w14:textId="77777777" w:rsidTr="00DE26B4">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31D623C1" w14:textId="77777777" w:rsidR="00780693" w:rsidRDefault="00780693">
            <w:pPr>
              <w:pStyle w:val="NoSpacing"/>
              <w:rPr>
                <w:b w:val="0"/>
                <w:bCs w:val="0"/>
                <w:sz w:val="18"/>
                <w:szCs w:val="20"/>
              </w:rPr>
            </w:pPr>
            <w:r>
              <w:rPr>
                <w:b w:val="0"/>
                <w:bCs w:val="0"/>
                <w:caps w:val="0"/>
                <w:sz w:val="18"/>
                <w:szCs w:val="20"/>
              </w:rPr>
              <w:t xml:space="preserve">Aortic valve rehospitalization </w:t>
            </w:r>
          </w:p>
        </w:tc>
        <w:tc>
          <w:tcPr>
            <w:tcW w:w="2000" w:type="dxa"/>
            <w:gridSpan w:val="2"/>
            <w:hideMark/>
          </w:tcPr>
          <w:p w14:paraId="7F267CA6"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€4,788.74</w:t>
            </w:r>
          </w:p>
        </w:tc>
        <w:tc>
          <w:tcPr>
            <w:tcW w:w="0" w:type="auto"/>
            <w:vMerge/>
            <w:vAlign w:val="center"/>
            <w:hideMark/>
          </w:tcPr>
          <w:p w14:paraId="0288EED5"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2495" w:type="dxa"/>
            <w:vMerge/>
            <w:vAlign w:val="center"/>
            <w:hideMark/>
          </w:tcPr>
          <w:p w14:paraId="5A3F250A"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c>
          <w:tcPr>
            <w:tcW w:w="541" w:type="dxa"/>
            <w:vMerge/>
            <w:vAlign w:val="center"/>
            <w:hideMark/>
          </w:tcPr>
          <w:p w14:paraId="437CCB4C"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rPr>
            </w:pPr>
          </w:p>
        </w:tc>
      </w:tr>
      <w:tr w:rsidR="00780693" w14:paraId="56B6FDE7"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220ADFF9" w14:textId="77777777" w:rsidR="00780693" w:rsidRDefault="00780693">
            <w:pPr>
              <w:pStyle w:val="NoSpacing"/>
              <w:rPr>
                <w:b w:val="0"/>
                <w:bCs w:val="0"/>
                <w:sz w:val="18"/>
                <w:szCs w:val="20"/>
              </w:rPr>
            </w:pPr>
            <w:r>
              <w:rPr>
                <w:b w:val="0"/>
                <w:bCs w:val="0"/>
                <w:caps w:val="0"/>
                <w:sz w:val="18"/>
                <w:szCs w:val="20"/>
              </w:rPr>
              <w:t>Reintervention (surgical)</w:t>
            </w:r>
          </w:p>
        </w:tc>
        <w:tc>
          <w:tcPr>
            <w:tcW w:w="2000" w:type="dxa"/>
            <w:gridSpan w:val="2"/>
            <w:hideMark/>
          </w:tcPr>
          <w:p w14:paraId="163F26A1"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€23,323.97</w:t>
            </w:r>
          </w:p>
        </w:tc>
        <w:tc>
          <w:tcPr>
            <w:tcW w:w="0" w:type="auto"/>
            <w:vMerge/>
            <w:vAlign w:val="center"/>
            <w:hideMark/>
          </w:tcPr>
          <w:p w14:paraId="0FB9B9CB"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2495" w:type="dxa"/>
            <w:vMerge/>
            <w:vAlign w:val="center"/>
            <w:hideMark/>
          </w:tcPr>
          <w:p w14:paraId="63196946"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541" w:type="dxa"/>
            <w:vMerge/>
            <w:vAlign w:val="center"/>
            <w:hideMark/>
          </w:tcPr>
          <w:p w14:paraId="60E89C09"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r>
      <w:tr w:rsidR="00780693" w14:paraId="7B1166EB" w14:textId="77777777" w:rsidTr="00DE26B4">
        <w:tc>
          <w:tcPr>
            <w:cnfStyle w:val="001000000000" w:firstRow="0" w:lastRow="0" w:firstColumn="1" w:lastColumn="0" w:oddVBand="0" w:evenVBand="0" w:oddHBand="0" w:evenHBand="0" w:firstRowFirstColumn="0" w:firstRowLastColumn="0" w:lastRowFirstColumn="0" w:lastRowLastColumn="0"/>
            <w:tcW w:w="9360" w:type="dxa"/>
            <w:gridSpan w:val="6"/>
            <w:tcBorders>
              <w:top w:val="nil"/>
              <w:left w:val="nil"/>
              <w:bottom w:val="nil"/>
            </w:tcBorders>
            <w:shd w:val="clear" w:color="auto" w:fill="D9D9D9" w:themeFill="background1" w:themeFillShade="D9"/>
            <w:hideMark/>
          </w:tcPr>
          <w:p w14:paraId="453771B1" w14:textId="77777777" w:rsidR="00780693" w:rsidRDefault="00780693">
            <w:pPr>
              <w:pStyle w:val="NoSpacing"/>
              <w:rPr>
                <w:sz w:val="18"/>
                <w:szCs w:val="20"/>
              </w:rPr>
            </w:pPr>
            <w:r>
              <w:rPr>
                <w:caps w:val="0"/>
                <w:sz w:val="18"/>
                <w:szCs w:val="20"/>
              </w:rPr>
              <w:t xml:space="preserve">Adverse event follow-up </w:t>
            </w:r>
          </w:p>
        </w:tc>
      </w:tr>
      <w:tr w:rsidR="00780693" w14:paraId="5BD15B41"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65A63A7B" w14:textId="77777777" w:rsidR="00780693" w:rsidRDefault="00780693">
            <w:pPr>
              <w:pStyle w:val="NoSpacing"/>
              <w:rPr>
                <w:b w:val="0"/>
                <w:bCs w:val="0"/>
                <w:sz w:val="18"/>
                <w:szCs w:val="20"/>
              </w:rPr>
            </w:pPr>
            <w:r>
              <w:rPr>
                <w:b w:val="0"/>
                <w:bCs w:val="0"/>
                <w:caps w:val="0"/>
                <w:sz w:val="18"/>
                <w:szCs w:val="20"/>
              </w:rPr>
              <w:t>Stroke (monthly</w:t>
            </w:r>
            <w:r>
              <w:rPr>
                <w:b w:val="0"/>
                <w:bCs w:val="0"/>
                <w:sz w:val="18"/>
                <w:szCs w:val="20"/>
              </w:rPr>
              <w:t>)</w:t>
            </w:r>
          </w:p>
        </w:tc>
        <w:tc>
          <w:tcPr>
            <w:tcW w:w="2000" w:type="dxa"/>
            <w:gridSpan w:val="2"/>
            <w:hideMark/>
          </w:tcPr>
          <w:p w14:paraId="351E7D4A"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€710.82</w:t>
            </w:r>
          </w:p>
        </w:tc>
        <w:tc>
          <w:tcPr>
            <w:tcW w:w="1804" w:type="dxa"/>
            <w:hideMark/>
          </w:tcPr>
          <w:p w14:paraId="6DB95C58"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 xml:space="preserve">De </w:t>
            </w:r>
            <w:proofErr w:type="spellStart"/>
            <w:r>
              <w:rPr>
                <w:sz w:val="18"/>
                <w:szCs w:val="20"/>
              </w:rPr>
              <w:t>Pouvourville</w:t>
            </w:r>
            <w:proofErr w:type="spellEnd"/>
            <w:r>
              <w:rPr>
                <w:sz w:val="18"/>
                <w:szCs w:val="20"/>
              </w:rPr>
              <w:t xml:space="preserve"> (2016)</w:t>
            </w:r>
          </w:p>
        </w:tc>
        <w:tc>
          <w:tcPr>
            <w:tcW w:w="2495" w:type="dxa"/>
            <w:vMerge w:val="restart"/>
            <w:hideMark/>
          </w:tcPr>
          <w:p w14:paraId="7B187B59"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lang w:val="en-GB"/>
              </w:rPr>
            </w:pPr>
            <w:r>
              <w:rPr>
                <w:sz w:val="18"/>
                <w:szCs w:val="20"/>
                <w:lang w:val="en-GB"/>
              </w:rPr>
              <w:t>Only AE which have extensive impact in terms of long-term costs and utilities were considered in the AE follow-up cost item (stroke and pacemaker implantation).</w:t>
            </w:r>
          </w:p>
        </w:tc>
        <w:tc>
          <w:tcPr>
            <w:tcW w:w="541" w:type="dxa"/>
            <w:vMerge w:val="restart"/>
            <w:hideMark/>
          </w:tcPr>
          <w:p w14:paraId="75410E5F" w14:textId="03F38DBA" w:rsidR="00780693" w:rsidRPr="00D55F37"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rPr>
            </w:pPr>
          </w:p>
        </w:tc>
      </w:tr>
      <w:tr w:rsidR="00780693" w14:paraId="1B2FA0A2" w14:textId="77777777" w:rsidTr="00DE26B4">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09A6B97D" w14:textId="77777777" w:rsidR="00780693" w:rsidRDefault="00780693">
            <w:pPr>
              <w:pStyle w:val="NoSpacing"/>
              <w:rPr>
                <w:b w:val="0"/>
                <w:bCs w:val="0"/>
                <w:sz w:val="18"/>
                <w:szCs w:val="20"/>
              </w:rPr>
            </w:pPr>
            <w:r>
              <w:rPr>
                <w:b w:val="0"/>
                <w:bCs w:val="0"/>
                <w:caps w:val="0"/>
                <w:sz w:val="18"/>
                <w:szCs w:val="20"/>
              </w:rPr>
              <w:t xml:space="preserve">Pacemaker implantation </w:t>
            </w:r>
            <w:r>
              <w:rPr>
                <w:b w:val="0"/>
                <w:bCs w:val="0"/>
                <w:sz w:val="18"/>
                <w:szCs w:val="20"/>
              </w:rPr>
              <w:t xml:space="preserve">– </w:t>
            </w:r>
            <w:r>
              <w:rPr>
                <w:b w:val="0"/>
                <w:bCs w:val="0"/>
                <w:caps w:val="0"/>
                <w:sz w:val="18"/>
                <w:szCs w:val="20"/>
              </w:rPr>
              <w:t>year 1 (annually)</w:t>
            </w:r>
          </w:p>
        </w:tc>
        <w:tc>
          <w:tcPr>
            <w:tcW w:w="2000" w:type="dxa"/>
            <w:gridSpan w:val="2"/>
            <w:hideMark/>
          </w:tcPr>
          <w:p w14:paraId="5C26A0F6"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€545.16</w:t>
            </w:r>
          </w:p>
        </w:tc>
        <w:tc>
          <w:tcPr>
            <w:tcW w:w="1804" w:type="dxa"/>
            <w:vMerge w:val="restart"/>
            <w:hideMark/>
          </w:tcPr>
          <w:p w14:paraId="50F9F22E" w14:textId="77777777" w:rsidR="00780693" w:rsidRDefault="00780693">
            <w:pPr>
              <w:pStyle w:val="NoSpacing"/>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HAS, experts’ opinion</w:t>
            </w:r>
          </w:p>
        </w:tc>
        <w:tc>
          <w:tcPr>
            <w:tcW w:w="2495" w:type="dxa"/>
            <w:vMerge/>
            <w:vAlign w:val="center"/>
            <w:hideMark/>
          </w:tcPr>
          <w:p w14:paraId="1FCCAF5F"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lang w:val="en-GB"/>
              </w:rPr>
            </w:pPr>
          </w:p>
        </w:tc>
        <w:tc>
          <w:tcPr>
            <w:tcW w:w="541" w:type="dxa"/>
            <w:vMerge/>
            <w:vAlign w:val="center"/>
            <w:hideMark/>
          </w:tcPr>
          <w:p w14:paraId="0A708F21" w14:textId="77777777" w:rsidR="00780693" w:rsidRDefault="00780693">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20"/>
                <w:lang w:val="fr-FR"/>
              </w:rPr>
            </w:pPr>
          </w:p>
        </w:tc>
      </w:tr>
      <w:tr w:rsidR="00780693" w14:paraId="71026CB3"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0D3230CF" w14:textId="77777777" w:rsidR="00780693" w:rsidRDefault="00780693">
            <w:pPr>
              <w:pStyle w:val="NoSpacing"/>
              <w:rPr>
                <w:b w:val="0"/>
                <w:bCs w:val="0"/>
                <w:sz w:val="18"/>
                <w:szCs w:val="20"/>
              </w:rPr>
            </w:pPr>
            <w:r>
              <w:rPr>
                <w:b w:val="0"/>
                <w:bCs w:val="0"/>
                <w:caps w:val="0"/>
                <w:sz w:val="18"/>
                <w:szCs w:val="20"/>
              </w:rPr>
              <w:t xml:space="preserve">Pacemaker implantation </w:t>
            </w:r>
            <w:r>
              <w:rPr>
                <w:b w:val="0"/>
                <w:bCs w:val="0"/>
                <w:sz w:val="18"/>
                <w:szCs w:val="20"/>
              </w:rPr>
              <w:t xml:space="preserve">– </w:t>
            </w:r>
            <w:r>
              <w:rPr>
                <w:b w:val="0"/>
                <w:bCs w:val="0"/>
                <w:caps w:val="0"/>
                <w:sz w:val="18"/>
                <w:szCs w:val="20"/>
              </w:rPr>
              <w:t>year 2+ (annually)</w:t>
            </w:r>
          </w:p>
        </w:tc>
        <w:tc>
          <w:tcPr>
            <w:tcW w:w="2000" w:type="dxa"/>
            <w:gridSpan w:val="2"/>
            <w:hideMark/>
          </w:tcPr>
          <w:p w14:paraId="59873363"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€272.58</w:t>
            </w:r>
          </w:p>
        </w:tc>
        <w:tc>
          <w:tcPr>
            <w:tcW w:w="0" w:type="auto"/>
            <w:vMerge/>
            <w:vAlign w:val="center"/>
            <w:hideMark/>
          </w:tcPr>
          <w:p w14:paraId="32CB5407" w14:textId="77777777" w:rsidR="00780693" w:rsidRDefault="00780693">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20"/>
              </w:rPr>
            </w:pPr>
          </w:p>
        </w:tc>
        <w:tc>
          <w:tcPr>
            <w:tcW w:w="2495" w:type="dxa"/>
          </w:tcPr>
          <w:p w14:paraId="3D635C12"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rPr>
            </w:pPr>
          </w:p>
        </w:tc>
        <w:tc>
          <w:tcPr>
            <w:tcW w:w="541" w:type="dxa"/>
          </w:tcPr>
          <w:p w14:paraId="27CFFBFA"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rPr>
            </w:pPr>
          </w:p>
        </w:tc>
      </w:tr>
      <w:tr w:rsidR="00780693" w14:paraId="798AE74D" w14:textId="77777777" w:rsidTr="00DE26B4">
        <w:tc>
          <w:tcPr>
            <w:cnfStyle w:val="001000000000" w:firstRow="0" w:lastRow="0" w:firstColumn="1" w:lastColumn="0" w:oddVBand="0" w:evenVBand="0" w:oddHBand="0" w:evenHBand="0" w:firstRowFirstColumn="0" w:firstRowLastColumn="0" w:lastRowFirstColumn="0" w:lastRowLastColumn="0"/>
            <w:tcW w:w="9360" w:type="dxa"/>
            <w:gridSpan w:val="6"/>
            <w:tcBorders>
              <w:top w:val="nil"/>
              <w:left w:val="nil"/>
              <w:bottom w:val="nil"/>
            </w:tcBorders>
            <w:shd w:val="clear" w:color="auto" w:fill="D9D9D9" w:themeFill="background1" w:themeFillShade="D9"/>
            <w:hideMark/>
          </w:tcPr>
          <w:p w14:paraId="051108CA" w14:textId="77777777" w:rsidR="00780693" w:rsidRDefault="00780693">
            <w:pPr>
              <w:pStyle w:val="NoSpacing"/>
              <w:rPr>
                <w:sz w:val="18"/>
                <w:szCs w:val="20"/>
              </w:rPr>
            </w:pPr>
            <w:r>
              <w:rPr>
                <w:caps w:val="0"/>
                <w:sz w:val="18"/>
                <w:szCs w:val="20"/>
              </w:rPr>
              <w:t>Other cost items</w:t>
            </w:r>
          </w:p>
        </w:tc>
      </w:tr>
      <w:tr w:rsidR="00780693" w14:paraId="5C5D2AE2" w14:textId="77777777" w:rsidTr="00DE2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60D85E78" w14:textId="77777777" w:rsidR="00780693" w:rsidRDefault="00780693">
            <w:pPr>
              <w:pStyle w:val="NoSpacing"/>
              <w:rPr>
                <w:b w:val="0"/>
                <w:bCs w:val="0"/>
                <w:sz w:val="18"/>
                <w:szCs w:val="20"/>
              </w:rPr>
            </w:pPr>
            <w:r>
              <w:rPr>
                <w:b w:val="0"/>
                <w:bCs w:val="0"/>
                <w:caps w:val="0"/>
                <w:sz w:val="18"/>
                <w:szCs w:val="20"/>
              </w:rPr>
              <w:t xml:space="preserve">Transportation </w:t>
            </w:r>
          </w:p>
        </w:tc>
        <w:tc>
          <w:tcPr>
            <w:tcW w:w="2000" w:type="dxa"/>
            <w:gridSpan w:val="2"/>
            <w:hideMark/>
          </w:tcPr>
          <w:p w14:paraId="67AD1834" w14:textId="77777777" w:rsidR="00780693" w:rsidRDefault="00780693">
            <w:pPr>
              <w:pStyle w:val="NoSpacing"/>
              <w:jc w:val="cente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€73.43</w:t>
            </w:r>
          </w:p>
        </w:tc>
        <w:tc>
          <w:tcPr>
            <w:tcW w:w="1804" w:type="dxa"/>
            <w:hideMark/>
          </w:tcPr>
          <w:p w14:paraId="76867155"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lang w:val="fr-FR"/>
              </w:rPr>
            </w:pPr>
            <w:r>
              <w:rPr>
                <w:sz w:val="18"/>
                <w:szCs w:val="20"/>
                <w:lang w:val="fr-FR"/>
              </w:rPr>
              <w:t xml:space="preserve">Cour des comptes (2011, 2019), </w:t>
            </w:r>
            <w:proofErr w:type="spellStart"/>
            <w:r>
              <w:rPr>
                <w:sz w:val="18"/>
                <w:szCs w:val="20"/>
                <w:lang w:val="fr-FR"/>
              </w:rPr>
              <w:t>LegiFrance</w:t>
            </w:r>
            <w:proofErr w:type="spellEnd"/>
            <w:r>
              <w:rPr>
                <w:sz w:val="18"/>
                <w:szCs w:val="20"/>
                <w:lang w:val="fr-FR"/>
              </w:rPr>
              <w:t xml:space="preserve"> (26/02/2020), Commission des comptes de la sécurité sociale (07/2016)</w:t>
            </w:r>
          </w:p>
        </w:tc>
        <w:tc>
          <w:tcPr>
            <w:tcW w:w="2495" w:type="dxa"/>
            <w:hideMark/>
          </w:tcPr>
          <w:p w14:paraId="1EB6C00B" w14:textId="77777777"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lang w:val="en-GB"/>
              </w:rPr>
            </w:pPr>
            <w:r>
              <w:rPr>
                <w:sz w:val="18"/>
                <w:szCs w:val="20"/>
                <w:lang w:val="en-GB"/>
              </w:rPr>
              <w:t xml:space="preserve">Only transportation to hospital in case of AE and index procedure is accounted for in the analysis </w:t>
            </w:r>
          </w:p>
        </w:tc>
        <w:tc>
          <w:tcPr>
            <w:tcW w:w="541" w:type="dxa"/>
            <w:hideMark/>
          </w:tcPr>
          <w:p w14:paraId="63F22AB4" w14:textId="63571F5C" w:rsidR="00780693" w:rsidRDefault="00780693">
            <w:pPr>
              <w:pStyle w:val="NoSpacing"/>
              <w:cnfStyle w:val="000000100000" w:firstRow="0" w:lastRow="0" w:firstColumn="0" w:lastColumn="0" w:oddVBand="0" w:evenVBand="0" w:oddHBand="1" w:evenHBand="0" w:firstRowFirstColumn="0" w:firstRowLastColumn="0" w:lastRowFirstColumn="0" w:lastRowLastColumn="0"/>
              <w:rPr>
                <w:sz w:val="18"/>
                <w:szCs w:val="20"/>
                <w:lang w:val="en-GB"/>
              </w:rPr>
            </w:pPr>
          </w:p>
        </w:tc>
      </w:tr>
      <w:tr w:rsidR="00780693" w14:paraId="56D6980D" w14:textId="77777777" w:rsidTr="00DE26B4">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tcBorders>
            <w:hideMark/>
          </w:tcPr>
          <w:p w14:paraId="7D4304BA" w14:textId="77777777" w:rsidR="00780693" w:rsidRDefault="00780693">
            <w:pPr>
              <w:pStyle w:val="NoSpacing"/>
              <w:rPr>
                <w:b w:val="0"/>
                <w:bCs w:val="0"/>
                <w:sz w:val="18"/>
                <w:szCs w:val="20"/>
              </w:rPr>
            </w:pPr>
            <w:r>
              <w:rPr>
                <w:b w:val="0"/>
                <w:bCs w:val="0"/>
                <w:caps w:val="0"/>
                <w:sz w:val="18"/>
                <w:szCs w:val="20"/>
              </w:rPr>
              <w:t>End-of-life</w:t>
            </w:r>
          </w:p>
        </w:tc>
        <w:tc>
          <w:tcPr>
            <w:tcW w:w="2000" w:type="dxa"/>
            <w:gridSpan w:val="2"/>
            <w:hideMark/>
          </w:tcPr>
          <w:p w14:paraId="0F19519A" w14:textId="77777777" w:rsidR="00780693" w:rsidRDefault="00780693">
            <w:pPr>
              <w:pStyle w:val="NoSpacing"/>
              <w:jc w:val="cente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€7,202.04</w:t>
            </w:r>
          </w:p>
        </w:tc>
        <w:tc>
          <w:tcPr>
            <w:tcW w:w="1804" w:type="dxa"/>
            <w:hideMark/>
          </w:tcPr>
          <w:p w14:paraId="595C4880" w14:textId="77777777" w:rsidR="00780693" w:rsidRDefault="00780693">
            <w:pPr>
              <w:pStyle w:val="NoSpacing"/>
              <w:cnfStyle w:val="000000000000" w:firstRow="0" w:lastRow="0" w:firstColumn="0" w:lastColumn="0" w:oddVBand="0" w:evenVBand="0" w:oddHBand="0" w:evenHBand="0" w:firstRowFirstColumn="0" w:firstRowLastColumn="0" w:lastRowFirstColumn="0" w:lastRowLastColumn="0"/>
              <w:rPr>
                <w:sz w:val="18"/>
                <w:szCs w:val="20"/>
                <w:lang w:val="fr-FR"/>
              </w:rPr>
            </w:pPr>
            <w:proofErr w:type="spellStart"/>
            <w:r>
              <w:rPr>
                <w:sz w:val="18"/>
                <w:szCs w:val="20"/>
                <w:lang w:val="fr-FR"/>
              </w:rPr>
              <w:t>Poulalhon</w:t>
            </w:r>
            <w:proofErr w:type="spellEnd"/>
            <w:r>
              <w:rPr>
                <w:sz w:val="18"/>
                <w:szCs w:val="20"/>
                <w:lang w:val="fr-FR"/>
              </w:rPr>
              <w:t xml:space="preserve"> et al. (2017), ENC-MCO 2017, ENC-SSR 2018, ENC-HAD 2018</w:t>
            </w:r>
          </w:p>
        </w:tc>
        <w:tc>
          <w:tcPr>
            <w:tcW w:w="2495" w:type="dxa"/>
            <w:hideMark/>
          </w:tcPr>
          <w:p w14:paraId="4456423F" w14:textId="77777777" w:rsidR="00780693" w:rsidRDefault="00780693">
            <w:pPr>
              <w:pStyle w:val="NoSpacing"/>
              <w:cnfStyle w:val="000000000000" w:firstRow="0" w:lastRow="0" w:firstColumn="0" w:lastColumn="0" w:oddVBand="0" w:evenVBand="0" w:oddHBand="0" w:evenHBand="0" w:firstRowFirstColumn="0" w:firstRowLastColumn="0" w:lastRowFirstColumn="0" w:lastRowLastColumn="0"/>
              <w:rPr>
                <w:sz w:val="18"/>
                <w:szCs w:val="20"/>
                <w:lang w:val="en-GB"/>
              </w:rPr>
            </w:pPr>
            <w:r>
              <w:rPr>
                <w:sz w:val="18"/>
                <w:szCs w:val="20"/>
                <w:lang w:val="en-GB"/>
              </w:rPr>
              <w:t>The analysis considers deaths in MCO, SSR and HAD</w:t>
            </w:r>
          </w:p>
        </w:tc>
        <w:tc>
          <w:tcPr>
            <w:tcW w:w="541" w:type="dxa"/>
            <w:hideMark/>
          </w:tcPr>
          <w:p w14:paraId="3C384C5E" w14:textId="5911225D" w:rsidR="00780693" w:rsidRDefault="00780693">
            <w:pPr>
              <w:pStyle w:val="NoSpacing"/>
              <w:ind w:left="105"/>
              <w:cnfStyle w:val="000000000000" w:firstRow="0" w:lastRow="0" w:firstColumn="0" w:lastColumn="0" w:oddVBand="0" w:evenVBand="0" w:oddHBand="0" w:evenHBand="0" w:firstRowFirstColumn="0" w:firstRowLastColumn="0" w:lastRowFirstColumn="0" w:lastRowLastColumn="0"/>
              <w:rPr>
                <w:sz w:val="18"/>
                <w:szCs w:val="20"/>
                <w:lang w:val="en-GB"/>
              </w:rPr>
            </w:pPr>
          </w:p>
        </w:tc>
      </w:tr>
    </w:tbl>
    <w:p w14:paraId="26ADD7EB" w14:textId="07948E10" w:rsidR="00780693" w:rsidRDefault="00780693" w:rsidP="00780693">
      <w:pPr>
        <w:spacing w:line="240" w:lineRule="auto"/>
        <w:jc w:val="both"/>
        <w:rPr>
          <w:b/>
          <w:bCs/>
          <w:lang w:val="en-GB"/>
        </w:rPr>
      </w:pPr>
      <w:r>
        <w:rPr>
          <w:lang w:val="en-GB"/>
        </w:rPr>
        <w:t>AE: adverse event</w:t>
      </w:r>
      <w:r w:rsidR="00A01C46">
        <w:t>;</w:t>
      </w:r>
      <w:r>
        <w:rPr>
          <w:lang w:val="en-GB"/>
        </w:rPr>
        <w:t xml:space="preserve"> </w:t>
      </w:r>
      <w:proofErr w:type="spellStart"/>
      <w:r>
        <w:rPr>
          <w:lang w:val="en-GB"/>
        </w:rPr>
        <w:t>BdM_IT</w:t>
      </w:r>
      <w:proofErr w:type="spellEnd"/>
      <w:r>
        <w:rPr>
          <w:lang w:val="en-GB"/>
        </w:rPr>
        <w:t>: French database reporting medicines public price (</w:t>
      </w:r>
      <w:r>
        <w:rPr>
          <w:i/>
          <w:iCs/>
          <w:lang w:val="en-GB"/>
        </w:rPr>
        <w:t xml:space="preserve">Base des </w:t>
      </w:r>
      <w:proofErr w:type="spellStart"/>
      <w:r>
        <w:rPr>
          <w:i/>
          <w:iCs/>
          <w:lang w:val="en-GB"/>
        </w:rPr>
        <w:t>médicaments</w:t>
      </w:r>
      <w:proofErr w:type="spellEnd"/>
      <w:r>
        <w:rPr>
          <w:i/>
          <w:iCs/>
          <w:lang w:val="en-GB"/>
        </w:rPr>
        <w:t xml:space="preserve"> et </w:t>
      </w:r>
      <w:proofErr w:type="spellStart"/>
      <w:r>
        <w:rPr>
          <w:i/>
          <w:iCs/>
          <w:lang w:val="en-GB"/>
        </w:rPr>
        <w:t>informations</w:t>
      </w:r>
      <w:proofErr w:type="spellEnd"/>
      <w:r>
        <w:rPr>
          <w:i/>
          <w:iCs/>
          <w:lang w:val="en-GB"/>
        </w:rPr>
        <w:t xml:space="preserve"> </w:t>
      </w:r>
      <w:proofErr w:type="spellStart"/>
      <w:r>
        <w:rPr>
          <w:i/>
          <w:iCs/>
          <w:lang w:val="en-GB"/>
        </w:rPr>
        <w:t>tarifaires</w:t>
      </w:r>
      <w:proofErr w:type="spellEnd"/>
      <w:r>
        <w:rPr>
          <w:lang w:val="en-GB"/>
        </w:rPr>
        <w:t>)</w:t>
      </w:r>
      <w:r w:rsidR="00A01C46">
        <w:t>;</w:t>
      </w:r>
      <w:r>
        <w:rPr>
          <w:lang w:val="en-GB"/>
        </w:rPr>
        <w:t xml:space="preserve"> CCAM: tariffs and classification of medical acts (</w:t>
      </w:r>
      <w:r>
        <w:rPr>
          <w:i/>
          <w:iCs/>
          <w:lang w:val="en-GB"/>
        </w:rPr>
        <w:t xml:space="preserve">Classification commune des </w:t>
      </w:r>
      <w:proofErr w:type="spellStart"/>
      <w:r>
        <w:rPr>
          <w:i/>
          <w:iCs/>
          <w:lang w:val="en-GB"/>
        </w:rPr>
        <w:t>actes</w:t>
      </w:r>
      <w:proofErr w:type="spellEnd"/>
      <w:r>
        <w:rPr>
          <w:i/>
          <w:iCs/>
          <w:lang w:val="en-GB"/>
        </w:rPr>
        <w:t xml:space="preserve"> </w:t>
      </w:r>
      <w:proofErr w:type="spellStart"/>
      <w:r>
        <w:rPr>
          <w:i/>
          <w:iCs/>
          <w:lang w:val="en-GB"/>
        </w:rPr>
        <w:t>médicaux</w:t>
      </w:r>
      <w:proofErr w:type="spellEnd"/>
      <w:r>
        <w:rPr>
          <w:lang w:val="en-GB"/>
        </w:rPr>
        <w:t>)</w:t>
      </w:r>
      <w:r w:rsidR="00A01C46">
        <w:t>;</w:t>
      </w:r>
      <w:r>
        <w:rPr>
          <w:lang w:val="en-GB"/>
        </w:rPr>
        <w:t xml:space="preserve"> CEPS: French payer (</w:t>
      </w:r>
      <w:proofErr w:type="spellStart"/>
      <w:r>
        <w:rPr>
          <w:i/>
          <w:iCs/>
          <w:lang w:val="en-GB"/>
        </w:rPr>
        <w:t>Comité</w:t>
      </w:r>
      <w:proofErr w:type="spellEnd"/>
      <w:r>
        <w:rPr>
          <w:i/>
          <w:iCs/>
          <w:lang w:val="en-GB"/>
        </w:rPr>
        <w:t xml:space="preserve"> </w:t>
      </w:r>
      <w:proofErr w:type="spellStart"/>
      <w:r>
        <w:rPr>
          <w:i/>
          <w:iCs/>
          <w:lang w:val="en-GB"/>
        </w:rPr>
        <w:t>Économique</w:t>
      </w:r>
      <w:proofErr w:type="spellEnd"/>
      <w:r>
        <w:rPr>
          <w:i/>
          <w:iCs/>
          <w:lang w:val="en-GB"/>
        </w:rPr>
        <w:t xml:space="preserve"> des </w:t>
      </w:r>
      <w:proofErr w:type="spellStart"/>
      <w:r>
        <w:rPr>
          <w:i/>
          <w:iCs/>
          <w:lang w:val="en-GB"/>
        </w:rPr>
        <w:t>Produits</w:t>
      </w:r>
      <w:proofErr w:type="spellEnd"/>
      <w:r>
        <w:rPr>
          <w:i/>
          <w:iCs/>
          <w:lang w:val="en-GB"/>
        </w:rPr>
        <w:t xml:space="preserve"> de Santé</w:t>
      </w:r>
      <w:r>
        <w:rPr>
          <w:lang w:val="en-GB"/>
        </w:rPr>
        <w:t>)</w:t>
      </w:r>
      <w:r w:rsidR="00A01C46">
        <w:t>;</w:t>
      </w:r>
      <w:r>
        <w:rPr>
          <w:lang w:val="en-GB"/>
        </w:rPr>
        <w:t xml:space="preserve"> DRG: diagnostic related group, ENC: French national cost study (</w:t>
      </w:r>
      <w:r>
        <w:rPr>
          <w:i/>
          <w:iCs/>
          <w:lang w:val="en-GB"/>
        </w:rPr>
        <w:t xml:space="preserve">Etude </w:t>
      </w:r>
      <w:proofErr w:type="spellStart"/>
      <w:r>
        <w:rPr>
          <w:i/>
          <w:iCs/>
          <w:lang w:val="en-GB"/>
        </w:rPr>
        <w:t>Nationale</w:t>
      </w:r>
      <w:proofErr w:type="spellEnd"/>
      <w:r>
        <w:rPr>
          <w:i/>
          <w:iCs/>
          <w:lang w:val="en-GB"/>
        </w:rPr>
        <w:t xml:space="preserve"> des </w:t>
      </w:r>
      <w:proofErr w:type="spellStart"/>
      <w:r>
        <w:rPr>
          <w:i/>
          <w:iCs/>
          <w:lang w:val="en-GB"/>
        </w:rPr>
        <w:t>Coûts</w:t>
      </w:r>
      <w:proofErr w:type="spellEnd"/>
      <w:r>
        <w:rPr>
          <w:lang w:val="en-GB"/>
        </w:rPr>
        <w:t>)</w:t>
      </w:r>
      <w:r w:rsidR="00F57672">
        <w:t xml:space="preserve"> </w:t>
      </w:r>
      <w:r w:rsidR="00B80A84" w:rsidRPr="00B80A84">
        <w:t>which provides cost data per diagnosis-related group (DRG) from a representative sample of public and private hospitals</w:t>
      </w:r>
      <w:r w:rsidR="00A01C46">
        <w:t>;</w:t>
      </w:r>
      <w:r>
        <w:rPr>
          <w:lang w:val="en-GB"/>
        </w:rPr>
        <w:t xml:space="preserve"> HAD: home-based hospitalization (</w:t>
      </w:r>
      <w:r>
        <w:rPr>
          <w:i/>
          <w:iCs/>
          <w:lang w:val="en-GB"/>
        </w:rPr>
        <w:t>Hospitalisation à domicile</w:t>
      </w:r>
      <w:r>
        <w:rPr>
          <w:lang w:val="en-GB"/>
        </w:rPr>
        <w:t>)</w:t>
      </w:r>
      <w:r w:rsidR="00A01C46">
        <w:t>;</w:t>
      </w:r>
      <w:r>
        <w:rPr>
          <w:lang w:val="en-GB"/>
        </w:rPr>
        <w:t xml:space="preserve"> HAS: French health technology assessment body (</w:t>
      </w:r>
      <w:r>
        <w:rPr>
          <w:i/>
          <w:iCs/>
          <w:lang w:val="en-GB"/>
        </w:rPr>
        <w:t xml:space="preserve">Haute </w:t>
      </w:r>
      <w:proofErr w:type="spellStart"/>
      <w:r>
        <w:rPr>
          <w:i/>
          <w:iCs/>
          <w:lang w:val="en-GB"/>
        </w:rPr>
        <w:t>Autorité</w:t>
      </w:r>
      <w:proofErr w:type="spellEnd"/>
      <w:r>
        <w:rPr>
          <w:i/>
          <w:iCs/>
          <w:lang w:val="en-GB"/>
        </w:rPr>
        <w:t xml:space="preserve"> de Santé</w:t>
      </w:r>
      <w:r>
        <w:rPr>
          <w:lang w:val="en-GB"/>
        </w:rPr>
        <w:t>), LPPR: French database reporting medical devices public price (</w:t>
      </w:r>
      <w:proofErr w:type="spellStart"/>
      <w:r>
        <w:rPr>
          <w:i/>
          <w:iCs/>
          <w:lang w:val="en-GB"/>
        </w:rPr>
        <w:t>Liste</w:t>
      </w:r>
      <w:proofErr w:type="spellEnd"/>
      <w:r>
        <w:rPr>
          <w:i/>
          <w:iCs/>
          <w:lang w:val="en-GB"/>
        </w:rPr>
        <w:t xml:space="preserve"> des </w:t>
      </w:r>
      <w:proofErr w:type="spellStart"/>
      <w:r>
        <w:rPr>
          <w:i/>
          <w:iCs/>
          <w:lang w:val="en-GB"/>
        </w:rPr>
        <w:t>produits</w:t>
      </w:r>
      <w:proofErr w:type="spellEnd"/>
      <w:r>
        <w:rPr>
          <w:i/>
          <w:iCs/>
          <w:lang w:val="en-GB"/>
        </w:rPr>
        <w:t xml:space="preserve"> et </w:t>
      </w:r>
      <w:proofErr w:type="spellStart"/>
      <w:r>
        <w:rPr>
          <w:i/>
          <w:iCs/>
          <w:lang w:val="en-GB"/>
        </w:rPr>
        <w:t>prestations</w:t>
      </w:r>
      <w:proofErr w:type="spellEnd"/>
      <w:r>
        <w:rPr>
          <w:i/>
          <w:iCs/>
          <w:lang w:val="en-GB"/>
        </w:rPr>
        <w:t xml:space="preserve"> </w:t>
      </w:r>
      <w:proofErr w:type="spellStart"/>
      <w:r>
        <w:rPr>
          <w:i/>
          <w:iCs/>
          <w:lang w:val="en-GB"/>
        </w:rPr>
        <w:t>remboursables</w:t>
      </w:r>
      <w:proofErr w:type="spellEnd"/>
      <w:r>
        <w:rPr>
          <w:lang w:val="en-GB"/>
        </w:rPr>
        <w:t>)</w:t>
      </w:r>
      <w:r w:rsidR="00A01C46">
        <w:t>;</w:t>
      </w:r>
      <w:r>
        <w:rPr>
          <w:lang w:val="en-GB"/>
        </w:rPr>
        <w:t xml:space="preserve"> LR: low risk, MCO: medicine-surgery-obstetrics</w:t>
      </w:r>
      <w:r w:rsidR="00B40B08">
        <w:t xml:space="preserve"> </w:t>
      </w:r>
      <w:r w:rsidR="00B40B08" w:rsidRPr="001639D7">
        <w:rPr>
          <w:i/>
          <w:iCs/>
        </w:rPr>
        <w:t>(</w:t>
      </w:r>
      <w:proofErr w:type="spellStart"/>
      <w:r w:rsidR="001C78EE">
        <w:rPr>
          <w:i/>
          <w:iCs/>
        </w:rPr>
        <w:t>mé</w:t>
      </w:r>
      <w:r w:rsidR="00B40B08" w:rsidRPr="001639D7">
        <w:rPr>
          <w:i/>
          <w:iCs/>
        </w:rPr>
        <w:t>decine</w:t>
      </w:r>
      <w:r w:rsidR="00FA2ACF" w:rsidRPr="001639D7">
        <w:rPr>
          <w:i/>
          <w:iCs/>
        </w:rPr>
        <w:t>-</w:t>
      </w:r>
      <w:r w:rsidR="001C78EE">
        <w:rPr>
          <w:i/>
          <w:iCs/>
        </w:rPr>
        <w:t>c</w:t>
      </w:r>
      <w:r w:rsidR="00FA2ACF" w:rsidRPr="001639D7">
        <w:rPr>
          <w:i/>
          <w:iCs/>
        </w:rPr>
        <w:t>hirurgie-</w:t>
      </w:r>
      <w:r w:rsidR="001C78EE">
        <w:rPr>
          <w:i/>
          <w:iCs/>
        </w:rPr>
        <w:t>o</w:t>
      </w:r>
      <w:r w:rsidR="00FA2ACF" w:rsidRPr="001639D7">
        <w:rPr>
          <w:i/>
          <w:iCs/>
        </w:rPr>
        <w:t>bstétrique</w:t>
      </w:r>
      <w:proofErr w:type="spellEnd"/>
      <w:r w:rsidR="00FA2ACF" w:rsidRPr="001639D7">
        <w:rPr>
          <w:i/>
          <w:iCs/>
        </w:rPr>
        <w:t>)</w:t>
      </w:r>
      <w:r w:rsidR="00A01C46">
        <w:rPr>
          <w:i/>
          <w:iCs/>
        </w:rPr>
        <w:t>;</w:t>
      </w:r>
      <w:r>
        <w:rPr>
          <w:lang w:val="en-GB"/>
        </w:rPr>
        <w:t xml:space="preserve"> SAVR: surgical aortic valve replacement</w:t>
      </w:r>
      <w:r w:rsidR="00A01C46">
        <w:t>;</w:t>
      </w:r>
      <w:r>
        <w:rPr>
          <w:lang w:val="en-GB"/>
        </w:rPr>
        <w:t xml:space="preserve"> SSR: rehabilitation (</w:t>
      </w:r>
      <w:proofErr w:type="spellStart"/>
      <w:r>
        <w:rPr>
          <w:i/>
          <w:iCs/>
          <w:lang w:val="en-GB"/>
        </w:rPr>
        <w:t>soins</w:t>
      </w:r>
      <w:proofErr w:type="spellEnd"/>
      <w:r>
        <w:rPr>
          <w:i/>
          <w:iCs/>
          <w:lang w:val="en-GB"/>
        </w:rPr>
        <w:t xml:space="preserve"> de suites et de </w:t>
      </w:r>
      <w:proofErr w:type="spellStart"/>
      <w:r>
        <w:rPr>
          <w:i/>
          <w:iCs/>
          <w:lang w:val="en-GB"/>
        </w:rPr>
        <w:t>réadaptation</w:t>
      </w:r>
      <w:proofErr w:type="spellEnd"/>
      <w:r>
        <w:rPr>
          <w:lang w:val="en-GB"/>
        </w:rPr>
        <w:t>)</w:t>
      </w:r>
      <w:r w:rsidR="00A01C46">
        <w:t>;</w:t>
      </w:r>
      <w:r>
        <w:rPr>
          <w:lang w:val="en-GB"/>
        </w:rPr>
        <w:t xml:space="preserve"> TAVI: transcatheter aortic valve implantation</w:t>
      </w:r>
      <w:r w:rsidR="00A01C46">
        <w:t>;</w:t>
      </w:r>
      <w:r>
        <w:rPr>
          <w:lang w:val="en-GB"/>
        </w:rPr>
        <w:t xml:space="preserve"> TNB: French database reporting biological act tariffs (</w:t>
      </w:r>
      <w:r>
        <w:rPr>
          <w:i/>
          <w:iCs/>
          <w:lang w:val="en-GB"/>
        </w:rPr>
        <w:t xml:space="preserve">Table </w:t>
      </w:r>
      <w:proofErr w:type="spellStart"/>
      <w:r>
        <w:rPr>
          <w:i/>
          <w:iCs/>
          <w:lang w:val="en-GB"/>
        </w:rPr>
        <w:t>Nationale</w:t>
      </w:r>
      <w:proofErr w:type="spellEnd"/>
      <w:r>
        <w:rPr>
          <w:i/>
          <w:iCs/>
          <w:lang w:val="en-GB"/>
        </w:rPr>
        <w:t xml:space="preserve"> de </w:t>
      </w:r>
      <w:proofErr w:type="spellStart"/>
      <w:r>
        <w:rPr>
          <w:i/>
          <w:iCs/>
          <w:lang w:val="en-GB"/>
        </w:rPr>
        <w:t>Biologie</w:t>
      </w:r>
      <w:proofErr w:type="spellEnd"/>
      <w:r>
        <w:rPr>
          <w:lang w:val="en-GB"/>
        </w:rPr>
        <w:t>).</w:t>
      </w:r>
    </w:p>
    <w:p w14:paraId="2CDCBB57" w14:textId="2B0BCCE7" w:rsidR="00B30DDC" w:rsidRPr="00780693" w:rsidRDefault="00B30DDC">
      <w:pPr>
        <w:rPr>
          <w:lang w:val="en-GB"/>
        </w:rPr>
      </w:pPr>
    </w:p>
    <w:p w14:paraId="78FB034F" w14:textId="4C2ABC07" w:rsidR="005E408A" w:rsidRDefault="00B36A82" w:rsidP="007B6602">
      <w:pPr>
        <w:rPr>
          <w:rFonts w:cs="Times New Roman"/>
          <w:b/>
          <w:szCs w:val="20"/>
        </w:rPr>
      </w:pPr>
      <w:r w:rsidRPr="005D4923">
        <w:rPr>
          <w:lang w:val="en-GB"/>
        </w:rPr>
        <w:t xml:space="preserve">Note: Pacemaker implantations observed at 30 days and having occurred within the hospitalization stay in </w:t>
      </w:r>
      <w:proofErr w:type="spellStart"/>
      <w:r w:rsidRPr="005D4923">
        <w:rPr>
          <w:lang w:val="en-GB"/>
        </w:rPr>
        <w:t>Evolut</w:t>
      </w:r>
      <w:proofErr w:type="spellEnd"/>
      <w:r w:rsidRPr="005D4923">
        <w:rPr>
          <w:lang w:val="en-GB"/>
        </w:rPr>
        <w:t xml:space="preserve"> LR trial were valued through the TAVI implantation DRG (as per French </w:t>
      </w:r>
      <w:r w:rsidR="005D4923" w:rsidRPr="005D4923">
        <w:rPr>
          <w:lang w:val="en-GB"/>
        </w:rPr>
        <w:t>tariffication</w:t>
      </w:r>
      <w:r w:rsidRPr="005D4923">
        <w:rPr>
          <w:lang w:val="en-GB"/>
        </w:rPr>
        <w:t xml:space="preserve"> rules), considering the additional pacemaker acquisition cost. Pacemaker implantations occurring outside the hospitalization stay in </w:t>
      </w:r>
      <w:proofErr w:type="spellStart"/>
      <w:r w:rsidRPr="005D4923">
        <w:rPr>
          <w:lang w:val="en-GB"/>
        </w:rPr>
        <w:t>Evolut</w:t>
      </w:r>
      <w:proofErr w:type="spellEnd"/>
      <w:r w:rsidRPr="005D4923">
        <w:rPr>
          <w:lang w:val="en-GB"/>
        </w:rPr>
        <w:t xml:space="preserve"> LR were valued separately, through a dedicated DRG.</w:t>
      </w:r>
      <w:r w:rsidR="005E408A">
        <w:rPr>
          <w:rFonts w:cs="Times New Roman"/>
          <w:b/>
          <w:szCs w:val="20"/>
        </w:rPr>
        <w:br w:type="page"/>
      </w:r>
    </w:p>
    <w:p w14:paraId="79EB18B4" w14:textId="4C442C5A" w:rsidR="00B30DDC" w:rsidRPr="008365F0" w:rsidRDefault="00780693">
      <w:pPr>
        <w:rPr>
          <w:rFonts w:cs="Times New Roman"/>
          <w:b/>
          <w:szCs w:val="20"/>
        </w:rPr>
      </w:pPr>
      <w:r>
        <w:rPr>
          <w:rFonts w:cs="Times New Roman"/>
          <w:b/>
          <w:szCs w:val="20"/>
        </w:rPr>
        <w:lastRenderedPageBreak/>
        <w:t>Table S.</w:t>
      </w:r>
      <w:r w:rsidR="000138F8">
        <w:rPr>
          <w:rFonts w:cs="Times New Roman"/>
          <w:b/>
          <w:szCs w:val="20"/>
        </w:rPr>
        <w:t>2</w:t>
      </w:r>
      <w:r w:rsidR="008365F0">
        <w:rPr>
          <w:rFonts w:cs="Times New Roman"/>
          <w:b/>
          <w:szCs w:val="20"/>
        </w:rPr>
        <w:t>.</w:t>
      </w:r>
      <w:r>
        <w:rPr>
          <w:rFonts w:cs="Times New Roman"/>
          <w:b/>
          <w:szCs w:val="20"/>
        </w:rPr>
        <w:t xml:space="preserve">2. </w:t>
      </w:r>
      <w:r>
        <w:rPr>
          <w:rFonts w:cs="Times New Roman"/>
          <w:bCs/>
          <w:szCs w:val="20"/>
        </w:rPr>
        <w:t xml:space="preserve">Full listing of </w:t>
      </w:r>
      <w:r w:rsidR="008365F0">
        <w:rPr>
          <w:rFonts w:cs="Times New Roman"/>
          <w:bCs/>
          <w:szCs w:val="20"/>
        </w:rPr>
        <w:t xml:space="preserve">all </w:t>
      </w:r>
      <w:r>
        <w:rPr>
          <w:rFonts w:cs="Times New Roman"/>
          <w:bCs/>
          <w:szCs w:val="20"/>
        </w:rPr>
        <w:t>model parameters</w:t>
      </w:r>
      <w:r w:rsidR="008365F0">
        <w:rPr>
          <w:rFonts w:cs="Times New Roman"/>
          <w:bCs/>
          <w:szCs w:val="20"/>
        </w:rPr>
        <w:t>, including base case value, lower and upper bound, and distributional information for probabilistic sensitivity analysis</w:t>
      </w:r>
    </w:p>
    <w:tbl>
      <w:tblPr>
        <w:tblW w:w="5000" w:type="pct"/>
        <w:tblLayout w:type="fixed"/>
        <w:tblLook w:val="04A0" w:firstRow="1" w:lastRow="0" w:firstColumn="1" w:lastColumn="0" w:noHBand="0" w:noVBand="1"/>
      </w:tblPr>
      <w:tblGrid>
        <w:gridCol w:w="2700"/>
        <w:gridCol w:w="1260"/>
        <w:gridCol w:w="1080"/>
        <w:gridCol w:w="1080"/>
        <w:gridCol w:w="990"/>
        <w:gridCol w:w="1170"/>
        <w:gridCol w:w="1080"/>
      </w:tblGrid>
      <w:tr w:rsidR="00B30DDC" w:rsidRPr="00B30DDC" w14:paraId="226520CD" w14:textId="77777777" w:rsidTr="00B30DDC">
        <w:trPr>
          <w:trHeight w:val="255"/>
        </w:trPr>
        <w:tc>
          <w:tcPr>
            <w:tcW w:w="1442" w:type="pct"/>
            <w:tcBorders>
              <w:top w:val="nil"/>
              <w:left w:val="nil"/>
              <w:bottom w:val="nil"/>
              <w:right w:val="nil"/>
            </w:tcBorders>
            <w:shd w:val="clear" w:color="000000" w:fill="002060"/>
            <w:noWrap/>
            <w:vAlign w:val="bottom"/>
            <w:hideMark/>
          </w:tcPr>
          <w:p w14:paraId="6836034E" w14:textId="77777777" w:rsidR="00B30DDC" w:rsidRPr="00B30DDC" w:rsidRDefault="00B30DDC" w:rsidP="00B30DDC">
            <w:pPr>
              <w:spacing w:after="0" w:line="240" w:lineRule="auto"/>
              <w:jc w:val="center"/>
              <w:rPr>
                <w:rFonts w:ascii="Arial Narrow" w:eastAsia="Times New Roman" w:hAnsi="Arial Narrow" w:cs="Arial"/>
                <w:color w:val="FFFFFF"/>
                <w:sz w:val="18"/>
                <w:szCs w:val="18"/>
              </w:rPr>
            </w:pPr>
            <w:r w:rsidRPr="00B30DDC">
              <w:rPr>
                <w:rFonts w:ascii="Arial Narrow" w:eastAsia="Times New Roman" w:hAnsi="Arial Narrow" w:cs="Arial"/>
                <w:color w:val="FFFFFF"/>
                <w:sz w:val="18"/>
                <w:szCs w:val="18"/>
              </w:rPr>
              <w:t>Parameter Name</w:t>
            </w:r>
          </w:p>
        </w:tc>
        <w:tc>
          <w:tcPr>
            <w:tcW w:w="673" w:type="pct"/>
            <w:tcBorders>
              <w:top w:val="nil"/>
              <w:left w:val="nil"/>
              <w:bottom w:val="nil"/>
              <w:right w:val="nil"/>
            </w:tcBorders>
            <w:shd w:val="clear" w:color="000000" w:fill="002060"/>
            <w:noWrap/>
            <w:vAlign w:val="bottom"/>
            <w:hideMark/>
          </w:tcPr>
          <w:p w14:paraId="7B29AEF5" w14:textId="77777777" w:rsidR="00B30DDC" w:rsidRPr="00B30DDC" w:rsidRDefault="00B30DDC" w:rsidP="00B30DDC">
            <w:pPr>
              <w:spacing w:after="0" w:line="240" w:lineRule="auto"/>
              <w:jc w:val="center"/>
              <w:rPr>
                <w:rFonts w:ascii="Arial Narrow" w:eastAsia="Times New Roman" w:hAnsi="Arial Narrow" w:cs="Arial"/>
                <w:color w:val="FFFFFF"/>
                <w:sz w:val="18"/>
                <w:szCs w:val="18"/>
              </w:rPr>
            </w:pPr>
            <w:proofErr w:type="spellStart"/>
            <w:r w:rsidRPr="00B30DDC">
              <w:rPr>
                <w:rFonts w:ascii="Arial Narrow" w:eastAsia="Times New Roman" w:hAnsi="Arial Narrow" w:cs="Arial"/>
                <w:color w:val="FFFFFF"/>
                <w:sz w:val="18"/>
                <w:szCs w:val="18"/>
              </w:rPr>
              <w:t>Basecase</w:t>
            </w:r>
            <w:proofErr w:type="spellEnd"/>
            <w:r w:rsidRPr="00B30DDC">
              <w:rPr>
                <w:rFonts w:ascii="Arial Narrow" w:eastAsia="Times New Roman" w:hAnsi="Arial Narrow" w:cs="Arial"/>
                <w:color w:val="FFFFFF"/>
                <w:sz w:val="18"/>
                <w:szCs w:val="18"/>
              </w:rPr>
              <w:t xml:space="preserve"> value</w:t>
            </w:r>
          </w:p>
        </w:tc>
        <w:tc>
          <w:tcPr>
            <w:tcW w:w="577" w:type="pct"/>
            <w:tcBorders>
              <w:top w:val="nil"/>
              <w:left w:val="nil"/>
              <w:bottom w:val="nil"/>
              <w:right w:val="nil"/>
            </w:tcBorders>
            <w:shd w:val="clear" w:color="000000" w:fill="002060"/>
            <w:noWrap/>
            <w:vAlign w:val="bottom"/>
            <w:hideMark/>
          </w:tcPr>
          <w:p w14:paraId="0929F53A" w14:textId="77777777" w:rsidR="00B30DDC" w:rsidRPr="00B30DDC" w:rsidRDefault="00B30DDC" w:rsidP="00B30DDC">
            <w:pPr>
              <w:spacing w:after="0" w:line="240" w:lineRule="auto"/>
              <w:jc w:val="center"/>
              <w:rPr>
                <w:rFonts w:ascii="Arial Narrow" w:eastAsia="Times New Roman" w:hAnsi="Arial Narrow" w:cs="Arial"/>
                <w:color w:val="FFFFFF"/>
                <w:sz w:val="18"/>
                <w:szCs w:val="18"/>
              </w:rPr>
            </w:pPr>
            <w:r w:rsidRPr="00B30DDC">
              <w:rPr>
                <w:rFonts w:ascii="Arial Narrow" w:eastAsia="Times New Roman" w:hAnsi="Arial Narrow" w:cs="Arial"/>
                <w:color w:val="FFFFFF"/>
                <w:sz w:val="18"/>
                <w:szCs w:val="18"/>
              </w:rPr>
              <w:t>Lower Bound</w:t>
            </w:r>
          </w:p>
        </w:tc>
        <w:tc>
          <w:tcPr>
            <w:tcW w:w="577" w:type="pct"/>
            <w:tcBorders>
              <w:top w:val="nil"/>
              <w:left w:val="nil"/>
              <w:bottom w:val="nil"/>
              <w:right w:val="nil"/>
            </w:tcBorders>
            <w:shd w:val="clear" w:color="000000" w:fill="002060"/>
            <w:noWrap/>
            <w:vAlign w:val="bottom"/>
            <w:hideMark/>
          </w:tcPr>
          <w:p w14:paraId="29B16E3D" w14:textId="77777777" w:rsidR="00B30DDC" w:rsidRPr="00B30DDC" w:rsidRDefault="00B30DDC" w:rsidP="00B30DDC">
            <w:pPr>
              <w:spacing w:after="0" w:line="240" w:lineRule="auto"/>
              <w:jc w:val="center"/>
              <w:rPr>
                <w:rFonts w:ascii="Arial Narrow" w:eastAsia="Times New Roman" w:hAnsi="Arial Narrow" w:cs="Arial"/>
                <w:color w:val="FFFFFF"/>
                <w:sz w:val="18"/>
                <w:szCs w:val="18"/>
              </w:rPr>
            </w:pPr>
            <w:r w:rsidRPr="00B30DDC">
              <w:rPr>
                <w:rFonts w:ascii="Arial Narrow" w:eastAsia="Times New Roman" w:hAnsi="Arial Narrow" w:cs="Arial"/>
                <w:color w:val="FFFFFF"/>
                <w:sz w:val="18"/>
                <w:szCs w:val="18"/>
              </w:rPr>
              <w:t>Upper Bound</w:t>
            </w:r>
          </w:p>
        </w:tc>
        <w:tc>
          <w:tcPr>
            <w:tcW w:w="529" w:type="pct"/>
            <w:tcBorders>
              <w:top w:val="nil"/>
              <w:left w:val="nil"/>
              <w:bottom w:val="nil"/>
              <w:right w:val="nil"/>
            </w:tcBorders>
            <w:shd w:val="clear" w:color="000000" w:fill="002060"/>
            <w:noWrap/>
            <w:vAlign w:val="bottom"/>
            <w:hideMark/>
          </w:tcPr>
          <w:p w14:paraId="16DEEE88" w14:textId="77777777" w:rsidR="00B30DDC" w:rsidRPr="00B30DDC" w:rsidRDefault="00B30DDC" w:rsidP="00B30DDC">
            <w:pPr>
              <w:spacing w:after="0" w:line="240" w:lineRule="auto"/>
              <w:jc w:val="center"/>
              <w:rPr>
                <w:rFonts w:ascii="Arial Narrow" w:eastAsia="Times New Roman" w:hAnsi="Arial Narrow" w:cs="Arial"/>
                <w:color w:val="FFFFFF"/>
                <w:sz w:val="18"/>
                <w:szCs w:val="18"/>
              </w:rPr>
            </w:pPr>
            <w:r w:rsidRPr="00B30DDC">
              <w:rPr>
                <w:rFonts w:ascii="Arial Narrow" w:eastAsia="Times New Roman" w:hAnsi="Arial Narrow" w:cs="Arial"/>
                <w:color w:val="FFFFFF"/>
                <w:sz w:val="18"/>
                <w:szCs w:val="18"/>
              </w:rPr>
              <w:t>Distribution</w:t>
            </w:r>
          </w:p>
        </w:tc>
        <w:tc>
          <w:tcPr>
            <w:tcW w:w="625" w:type="pct"/>
            <w:tcBorders>
              <w:top w:val="nil"/>
              <w:left w:val="nil"/>
              <w:bottom w:val="nil"/>
              <w:right w:val="nil"/>
            </w:tcBorders>
            <w:shd w:val="clear" w:color="000000" w:fill="002060"/>
            <w:noWrap/>
            <w:vAlign w:val="bottom"/>
            <w:hideMark/>
          </w:tcPr>
          <w:p w14:paraId="01719F1E" w14:textId="77777777" w:rsidR="00B30DDC" w:rsidRPr="00B30DDC" w:rsidRDefault="00B30DDC" w:rsidP="00B30DDC">
            <w:pPr>
              <w:spacing w:after="0" w:line="240" w:lineRule="auto"/>
              <w:jc w:val="center"/>
              <w:rPr>
                <w:rFonts w:ascii="Arial Narrow" w:eastAsia="Times New Roman" w:hAnsi="Arial Narrow" w:cs="Arial"/>
                <w:color w:val="FFFFFF"/>
                <w:sz w:val="18"/>
                <w:szCs w:val="18"/>
              </w:rPr>
            </w:pPr>
            <w:r w:rsidRPr="00B30DDC">
              <w:rPr>
                <w:rFonts w:ascii="Arial Narrow" w:eastAsia="Times New Roman" w:hAnsi="Arial Narrow" w:cs="Arial"/>
                <w:color w:val="FFFFFF"/>
                <w:sz w:val="18"/>
                <w:szCs w:val="18"/>
              </w:rPr>
              <w:t>Parameter A</w:t>
            </w:r>
          </w:p>
        </w:tc>
        <w:tc>
          <w:tcPr>
            <w:tcW w:w="577" w:type="pct"/>
            <w:tcBorders>
              <w:top w:val="nil"/>
              <w:left w:val="nil"/>
              <w:bottom w:val="nil"/>
              <w:right w:val="nil"/>
            </w:tcBorders>
            <w:shd w:val="clear" w:color="000000" w:fill="002060"/>
            <w:noWrap/>
            <w:vAlign w:val="bottom"/>
            <w:hideMark/>
          </w:tcPr>
          <w:p w14:paraId="7EF1EEDA" w14:textId="77777777" w:rsidR="00B30DDC" w:rsidRPr="00B30DDC" w:rsidRDefault="00B30DDC" w:rsidP="00B30DDC">
            <w:pPr>
              <w:spacing w:after="0" w:line="240" w:lineRule="auto"/>
              <w:jc w:val="center"/>
              <w:rPr>
                <w:rFonts w:ascii="Arial Narrow" w:eastAsia="Times New Roman" w:hAnsi="Arial Narrow" w:cs="Arial"/>
                <w:color w:val="FFFFFF"/>
                <w:sz w:val="18"/>
                <w:szCs w:val="18"/>
              </w:rPr>
            </w:pPr>
            <w:r w:rsidRPr="00B30DDC">
              <w:rPr>
                <w:rFonts w:ascii="Arial Narrow" w:eastAsia="Times New Roman" w:hAnsi="Arial Narrow" w:cs="Arial"/>
                <w:color w:val="FFFFFF"/>
                <w:sz w:val="18"/>
                <w:szCs w:val="18"/>
              </w:rPr>
              <w:t>Parameter B</w:t>
            </w:r>
          </w:p>
        </w:tc>
      </w:tr>
      <w:tr w:rsidR="00B30DDC" w:rsidRPr="00B30DDC" w14:paraId="13CC81D9" w14:textId="77777777" w:rsidTr="00B30DDC">
        <w:trPr>
          <w:trHeight w:val="255"/>
        </w:trPr>
        <w:tc>
          <w:tcPr>
            <w:tcW w:w="14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CA8246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Pre-op costs TAVI </w:t>
            </w:r>
          </w:p>
        </w:tc>
        <w:tc>
          <w:tcPr>
            <w:tcW w:w="673" w:type="pct"/>
            <w:tcBorders>
              <w:top w:val="single" w:sz="4" w:space="0" w:color="auto"/>
              <w:left w:val="nil"/>
              <w:bottom w:val="single" w:sz="4" w:space="0" w:color="auto"/>
              <w:right w:val="single" w:sz="4" w:space="0" w:color="auto"/>
            </w:tcBorders>
            <w:shd w:val="clear" w:color="auto" w:fill="auto"/>
            <w:noWrap/>
            <w:vAlign w:val="bottom"/>
            <w:hideMark/>
          </w:tcPr>
          <w:p w14:paraId="798850C9" w14:textId="20262229"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3,140.86 </w:t>
            </w:r>
          </w:p>
        </w:tc>
        <w:tc>
          <w:tcPr>
            <w:tcW w:w="577" w:type="pct"/>
            <w:tcBorders>
              <w:top w:val="single" w:sz="4" w:space="0" w:color="auto"/>
              <w:left w:val="nil"/>
              <w:bottom w:val="single" w:sz="4" w:space="0" w:color="auto"/>
              <w:right w:val="single" w:sz="4" w:space="0" w:color="auto"/>
            </w:tcBorders>
            <w:shd w:val="clear" w:color="auto" w:fill="auto"/>
            <w:noWrap/>
            <w:vAlign w:val="bottom"/>
            <w:hideMark/>
          </w:tcPr>
          <w:p w14:paraId="7D902E0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2,895.71 </w:t>
            </w:r>
          </w:p>
        </w:tc>
        <w:tc>
          <w:tcPr>
            <w:tcW w:w="577" w:type="pct"/>
            <w:tcBorders>
              <w:top w:val="single" w:sz="4" w:space="0" w:color="auto"/>
              <w:left w:val="nil"/>
              <w:bottom w:val="single" w:sz="4" w:space="0" w:color="auto"/>
              <w:right w:val="single" w:sz="4" w:space="0" w:color="auto"/>
            </w:tcBorders>
            <w:shd w:val="clear" w:color="auto" w:fill="auto"/>
            <w:noWrap/>
            <w:vAlign w:val="bottom"/>
            <w:hideMark/>
          </w:tcPr>
          <w:p w14:paraId="1F42718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3,252.90 </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14:paraId="5309F752"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single" w:sz="4" w:space="0" w:color="auto"/>
              <w:left w:val="nil"/>
              <w:bottom w:val="single" w:sz="4" w:space="0" w:color="auto"/>
              <w:right w:val="single" w:sz="4" w:space="0" w:color="auto"/>
            </w:tcBorders>
            <w:shd w:val="clear" w:color="auto" w:fill="auto"/>
            <w:noWrap/>
            <w:vAlign w:val="bottom"/>
            <w:hideMark/>
          </w:tcPr>
          <w:p w14:paraId="4061F63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309.29 </w:t>
            </w:r>
          </w:p>
        </w:tc>
        <w:tc>
          <w:tcPr>
            <w:tcW w:w="577" w:type="pct"/>
            <w:tcBorders>
              <w:top w:val="single" w:sz="4" w:space="0" w:color="auto"/>
              <w:left w:val="nil"/>
              <w:bottom w:val="single" w:sz="4" w:space="0" w:color="auto"/>
              <w:right w:val="single" w:sz="4" w:space="0" w:color="auto"/>
            </w:tcBorders>
            <w:shd w:val="clear" w:color="auto" w:fill="auto"/>
            <w:noWrap/>
            <w:vAlign w:val="bottom"/>
            <w:hideMark/>
          </w:tcPr>
          <w:p w14:paraId="09300F6D"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10.16 </w:t>
            </w:r>
          </w:p>
        </w:tc>
      </w:tr>
      <w:tr w:rsidR="00B30DDC" w:rsidRPr="00B30DDC" w14:paraId="3481CA2D"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279E0C9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Pre-op costs SAVR </w:t>
            </w:r>
          </w:p>
        </w:tc>
        <w:tc>
          <w:tcPr>
            <w:tcW w:w="673" w:type="pct"/>
            <w:tcBorders>
              <w:top w:val="nil"/>
              <w:left w:val="nil"/>
              <w:bottom w:val="single" w:sz="4" w:space="0" w:color="auto"/>
              <w:right w:val="single" w:sz="4" w:space="0" w:color="auto"/>
            </w:tcBorders>
            <w:shd w:val="clear" w:color="auto" w:fill="auto"/>
            <w:noWrap/>
            <w:vAlign w:val="bottom"/>
            <w:hideMark/>
          </w:tcPr>
          <w:p w14:paraId="7556D85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3,111.60 </w:t>
            </w:r>
          </w:p>
        </w:tc>
        <w:tc>
          <w:tcPr>
            <w:tcW w:w="577" w:type="pct"/>
            <w:tcBorders>
              <w:top w:val="nil"/>
              <w:left w:val="nil"/>
              <w:bottom w:val="single" w:sz="4" w:space="0" w:color="auto"/>
              <w:right w:val="single" w:sz="4" w:space="0" w:color="auto"/>
            </w:tcBorders>
            <w:shd w:val="clear" w:color="auto" w:fill="auto"/>
            <w:noWrap/>
            <w:vAlign w:val="bottom"/>
            <w:hideMark/>
          </w:tcPr>
          <w:p w14:paraId="1FB79F9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2,933.65 </w:t>
            </w:r>
          </w:p>
        </w:tc>
        <w:tc>
          <w:tcPr>
            <w:tcW w:w="577" w:type="pct"/>
            <w:tcBorders>
              <w:top w:val="nil"/>
              <w:left w:val="nil"/>
              <w:bottom w:val="single" w:sz="4" w:space="0" w:color="auto"/>
              <w:right w:val="single" w:sz="4" w:space="0" w:color="auto"/>
            </w:tcBorders>
            <w:shd w:val="clear" w:color="auto" w:fill="auto"/>
            <w:noWrap/>
            <w:vAlign w:val="bottom"/>
            <w:hideMark/>
          </w:tcPr>
          <w:p w14:paraId="627206B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3,290.84 </w:t>
            </w:r>
          </w:p>
        </w:tc>
        <w:tc>
          <w:tcPr>
            <w:tcW w:w="529" w:type="pct"/>
            <w:tcBorders>
              <w:top w:val="nil"/>
              <w:left w:val="nil"/>
              <w:bottom w:val="single" w:sz="4" w:space="0" w:color="auto"/>
              <w:right w:val="single" w:sz="4" w:space="0" w:color="auto"/>
            </w:tcBorders>
            <w:shd w:val="clear" w:color="auto" w:fill="auto"/>
            <w:noWrap/>
            <w:vAlign w:val="bottom"/>
            <w:hideMark/>
          </w:tcPr>
          <w:p w14:paraId="4B77C643"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4CFDCBE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303.55 </w:t>
            </w:r>
          </w:p>
        </w:tc>
        <w:tc>
          <w:tcPr>
            <w:tcW w:w="577" w:type="pct"/>
            <w:tcBorders>
              <w:top w:val="nil"/>
              <w:left w:val="nil"/>
              <w:bottom w:val="single" w:sz="4" w:space="0" w:color="auto"/>
              <w:right w:val="single" w:sz="4" w:space="0" w:color="auto"/>
            </w:tcBorders>
            <w:shd w:val="clear" w:color="auto" w:fill="auto"/>
            <w:noWrap/>
            <w:vAlign w:val="bottom"/>
            <w:hideMark/>
          </w:tcPr>
          <w:p w14:paraId="3F838B3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10.25 </w:t>
            </w:r>
          </w:p>
        </w:tc>
      </w:tr>
      <w:tr w:rsidR="00B30DDC" w:rsidRPr="00B30DDC" w14:paraId="781D3817"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7235F57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Administration costs TAVI  </w:t>
            </w:r>
          </w:p>
        </w:tc>
        <w:tc>
          <w:tcPr>
            <w:tcW w:w="673" w:type="pct"/>
            <w:tcBorders>
              <w:top w:val="nil"/>
              <w:left w:val="nil"/>
              <w:bottom w:val="single" w:sz="4" w:space="0" w:color="auto"/>
              <w:right w:val="single" w:sz="4" w:space="0" w:color="auto"/>
            </w:tcBorders>
            <w:shd w:val="clear" w:color="auto" w:fill="auto"/>
            <w:noWrap/>
            <w:vAlign w:val="bottom"/>
            <w:hideMark/>
          </w:tcPr>
          <w:p w14:paraId="1B16BD4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23,743.05 </w:t>
            </w:r>
          </w:p>
        </w:tc>
        <w:tc>
          <w:tcPr>
            <w:tcW w:w="577" w:type="pct"/>
            <w:tcBorders>
              <w:top w:val="nil"/>
              <w:left w:val="nil"/>
              <w:bottom w:val="single" w:sz="4" w:space="0" w:color="auto"/>
              <w:right w:val="single" w:sz="4" w:space="0" w:color="auto"/>
            </w:tcBorders>
            <w:shd w:val="clear" w:color="auto" w:fill="auto"/>
            <w:noWrap/>
            <w:vAlign w:val="bottom"/>
            <w:hideMark/>
          </w:tcPr>
          <w:p w14:paraId="52675D8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21,368.75 </w:t>
            </w:r>
          </w:p>
        </w:tc>
        <w:tc>
          <w:tcPr>
            <w:tcW w:w="577" w:type="pct"/>
            <w:tcBorders>
              <w:top w:val="nil"/>
              <w:left w:val="nil"/>
              <w:bottom w:val="single" w:sz="4" w:space="0" w:color="auto"/>
              <w:right w:val="single" w:sz="4" w:space="0" w:color="auto"/>
            </w:tcBorders>
            <w:shd w:val="clear" w:color="auto" w:fill="auto"/>
            <w:noWrap/>
            <w:vAlign w:val="bottom"/>
            <w:hideMark/>
          </w:tcPr>
          <w:p w14:paraId="627BC1A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€ 26,117.36 </w:t>
            </w:r>
          </w:p>
        </w:tc>
        <w:tc>
          <w:tcPr>
            <w:tcW w:w="529" w:type="pct"/>
            <w:tcBorders>
              <w:top w:val="nil"/>
              <w:left w:val="nil"/>
              <w:bottom w:val="single" w:sz="4" w:space="0" w:color="auto"/>
              <w:right w:val="single" w:sz="4" w:space="0" w:color="auto"/>
            </w:tcBorders>
            <w:shd w:val="clear" w:color="auto" w:fill="auto"/>
            <w:noWrap/>
            <w:vAlign w:val="bottom"/>
            <w:hideMark/>
          </w:tcPr>
          <w:p w14:paraId="40C04988"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2BD1AC8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25D5049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237.43 </w:t>
            </w:r>
          </w:p>
        </w:tc>
      </w:tr>
      <w:tr w:rsidR="00B30DDC" w:rsidRPr="00B30DDC" w14:paraId="2F701526"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13FDCF8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Administration costs SAVR  </w:t>
            </w:r>
          </w:p>
        </w:tc>
        <w:tc>
          <w:tcPr>
            <w:tcW w:w="673" w:type="pct"/>
            <w:tcBorders>
              <w:top w:val="nil"/>
              <w:left w:val="nil"/>
              <w:bottom w:val="single" w:sz="4" w:space="0" w:color="auto"/>
              <w:right w:val="single" w:sz="4" w:space="0" w:color="auto"/>
            </w:tcBorders>
            <w:shd w:val="clear" w:color="auto" w:fill="auto"/>
            <w:noWrap/>
            <w:vAlign w:val="bottom"/>
            <w:hideMark/>
          </w:tcPr>
          <w:p w14:paraId="0B0E592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23,323.97 </w:t>
            </w:r>
          </w:p>
        </w:tc>
        <w:tc>
          <w:tcPr>
            <w:tcW w:w="577" w:type="pct"/>
            <w:tcBorders>
              <w:top w:val="nil"/>
              <w:left w:val="nil"/>
              <w:bottom w:val="single" w:sz="4" w:space="0" w:color="auto"/>
              <w:right w:val="single" w:sz="4" w:space="0" w:color="auto"/>
            </w:tcBorders>
            <w:shd w:val="clear" w:color="auto" w:fill="auto"/>
            <w:noWrap/>
            <w:vAlign w:val="bottom"/>
            <w:hideMark/>
          </w:tcPr>
          <w:p w14:paraId="407F56C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20,991.58 </w:t>
            </w:r>
          </w:p>
        </w:tc>
        <w:tc>
          <w:tcPr>
            <w:tcW w:w="577" w:type="pct"/>
            <w:tcBorders>
              <w:top w:val="nil"/>
              <w:left w:val="nil"/>
              <w:bottom w:val="single" w:sz="4" w:space="0" w:color="auto"/>
              <w:right w:val="single" w:sz="4" w:space="0" w:color="auto"/>
            </w:tcBorders>
            <w:shd w:val="clear" w:color="auto" w:fill="auto"/>
            <w:noWrap/>
            <w:vAlign w:val="bottom"/>
            <w:hideMark/>
          </w:tcPr>
          <w:p w14:paraId="7031FFA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€ 25,656.37 </w:t>
            </w:r>
          </w:p>
        </w:tc>
        <w:tc>
          <w:tcPr>
            <w:tcW w:w="529" w:type="pct"/>
            <w:tcBorders>
              <w:top w:val="nil"/>
              <w:left w:val="nil"/>
              <w:bottom w:val="single" w:sz="4" w:space="0" w:color="auto"/>
              <w:right w:val="single" w:sz="4" w:space="0" w:color="auto"/>
            </w:tcBorders>
            <w:shd w:val="clear" w:color="auto" w:fill="auto"/>
            <w:noWrap/>
            <w:vAlign w:val="bottom"/>
            <w:hideMark/>
          </w:tcPr>
          <w:p w14:paraId="492A0D00"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6D4196BC"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08408D0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233.24 </w:t>
            </w:r>
          </w:p>
        </w:tc>
      </w:tr>
      <w:tr w:rsidR="00B30DDC" w:rsidRPr="00B30DDC" w14:paraId="3B20BCEB"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79E81C1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Rehab cost TAVI</w:t>
            </w:r>
          </w:p>
        </w:tc>
        <w:tc>
          <w:tcPr>
            <w:tcW w:w="673" w:type="pct"/>
            <w:tcBorders>
              <w:top w:val="nil"/>
              <w:left w:val="nil"/>
              <w:bottom w:val="single" w:sz="4" w:space="0" w:color="auto"/>
              <w:right w:val="single" w:sz="4" w:space="0" w:color="auto"/>
            </w:tcBorders>
            <w:shd w:val="clear" w:color="auto" w:fill="auto"/>
            <w:noWrap/>
            <w:vAlign w:val="bottom"/>
            <w:hideMark/>
          </w:tcPr>
          <w:p w14:paraId="588A443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74.24 </w:t>
            </w:r>
          </w:p>
        </w:tc>
        <w:tc>
          <w:tcPr>
            <w:tcW w:w="577" w:type="pct"/>
            <w:tcBorders>
              <w:top w:val="nil"/>
              <w:left w:val="nil"/>
              <w:bottom w:val="single" w:sz="4" w:space="0" w:color="auto"/>
              <w:right w:val="single" w:sz="4" w:space="0" w:color="auto"/>
            </w:tcBorders>
            <w:shd w:val="clear" w:color="auto" w:fill="auto"/>
            <w:noWrap/>
            <w:vAlign w:val="bottom"/>
            <w:hideMark/>
          </w:tcPr>
          <w:p w14:paraId="4B6701A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71.23 </w:t>
            </w:r>
          </w:p>
        </w:tc>
        <w:tc>
          <w:tcPr>
            <w:tcW w:w="577" w:type="pct"/>
            <w:tcBorders>
              <w:top w:val="nil"/>
              <w:left w:val="nil"/>
              <w:bottom w:val="single" w:sz="4" w:space="0" w:color="auto"/>
              <w:right w:val="single" w:sz="4" w:space="0" w:color="auto"/>
            </w:tcBorders>
            <w:shd w:val="clear" w:color="auto" w:fill="auto"/>
            <w:noWrap/>
            <w:vAlign w:val="bottom"/>
            <w:hideMark/>
          </w:tcPr>
          <w:p w14:paraId="49B7A5E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77.26 </w:t>
            </w:r>
          </w:p>
        </w:tc>
        <w:tc>
          <w:tcPr>
            <w:tcW w:w="529" w:type="pct"/>
            <w:tcBorders>
              <w:top w:val="nil"/>
              <w:left w:val="nil"/>
              <w:bottom w:val="single" w:sz="4" w:space="0" w:color="auto"/>
              <w:right w:val="single" w:sz="4" w:space="0" w:color="auto"/>
            </w:tcBorders>
            <w:shd w:val="clear" w:color="auto" w:fill="auto"/>
            <w:noWrap/>
            <w:vAlign w:val="bottom"/>
            <w:hideMark/>
          </w:tcPr>
          <w:p w14:paraId="2563A1C0"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7A4103A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606.11 </w:t>
            </w:r>
          </w:p>
        </w:tc>
        <w:tc>
          <w:tcPr>
            <w:tcW w:w="577" w:type="pct"/>
            <w:tcBorders>
              <w:top w:val="nil"/>
              <w:left w:val="nil"/>
              <w:bottom w:val="single" w:sz="4" w:space="0" w:color="auto"/>
              <w:right w:val="single" w:sz="4" w:space="0" w:color="auto"/>
            </w:tcBorders>
            <w:shd w:val="clear" w:color="auto" w:fill="auto"/>
            <w:noWrap/>
            <w:vAlign w:val="bottom"/>
            <w:hideMark/>
          </w:tcPr>
          <w:p w14:paraId="2B356998"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0.12 </w:t>
            </w:r>
          </w:p>
        </w:tc>
      </w:tr>
      <w:tr w:rsidR="00B30DDC" w:rsidRPr="00B30DDC" w14:paraId="2708E301"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71FC4EE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Rehab cost SAVR</w:t>
            </w:r>
          </w:p>
        </w:tc>
        <w:tc>
          <w:tcPr>
            <w:tcW w:w="673" w:type="pct"/>
            <w:tcBorders>
              <w:top w:val="nil"/>
              <w:left w:val="nil"/>
              <w:bottom w:val="single" w:sz="4" w:space="0" w:color="auto"/>
              <w:right w:val="single" w:sz="4" w:space="0" w:color="auto"/>
            </w:tcBorders>
            <w:shd w:val="clear" w:color="auto" w:fill="auto"/>
            <w:noWrap/>
            <w:vAlign w:val="bottom"/>
            <w:hideMark/>
          </w:tcPr>
          <w:p w14:paraId="776BAAFD"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652.27 </w:t>
            </w:r>
          </w:p>
        </w:tc>
        <w:tc>
          <w:tcPr>
            <w:tcW w:w="577" w:type="pct"/>
            <w:tcBorders>
              <w:top w:val="nil"/>
              <w:left w:val="nil"/>
              <w:bottom w:val="single" w:sz="4" w:space="0" w:color="auto"/>
              <w:right w:val="single" w:sz="4" w:space="0" w:color="auto"/>
            </w:tcBorders>
            <w:shd w:val="clear" w:color="auto" w:fill="auto"/>
            <w:noWrap/>
            <w:vAlign w:val="bottom"/>
            <w:hideMark/>
          </w:tcPr>
          <w:p w14:paraId="788B993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625.77 </w:t>
            </w:r>
          </w:p>
        </w:tc>
        <w:tc>
          <w:tcPr>
            <w:tcW w:w="577" w:type="pct"/>
            <w:tcBorders>
              <w:top w:val="nil"/>
              <w:left w:val="nil"/>
              <w:bottom w:val="single" w:sz="4" w:space="0" w:color="auto"/>
              <w:right w:val="single" w:sz="4" w:space="0" w:color="auto"/>
            </w:tcBorders>
            <w:shd w:val="clear" w:color="auto" w:fill="auto"/>
            <w:noWrap/>
            <w:vAlign w:val="bottom"/>
            <w:hideMark/>
          </w:tcPr>
          <w:p w14:paraId="1E8246E0"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678.76 </w:t>
            </w:r>
          </w:p>
        </w:tc>
        <w:tc>
          <w:tcPr>
            <w:tcW w:w="529" w:type="pct"/>
            <w:tcBorders>
              <w:top w:val="nil"/>
              <w:left w:val="nil"/>
              <w:bottom w:val="single" w:sz="4" w:space="0" w:color="auto"/>
              <w:right w:val="single" w:sz="4" w:space="0" w:color="auto"/>
            </w:tcBorders>
            <w:shd w:val="clear" w:color="auto" w:fill="auto"/>
            <w:noWrap/>
            <w:vAlign w:val="bottom"/>
            <w:hideMark/>
          </w:tcPr>
          <w:p w14:paraId="06E5BC25"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366F96D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606.11 </w:t>
            </w:r>
          </w:p>
        </w:tc>
        <w:tc>
          <w:tcPr>
            <w:tcW w:w="577" w:type="pct"/>
            <w:tcBorders>
              <w:top w:val="nil"/>
              <w:left w:val="nil"/>
              <w:bottom w:val="single" w:sz="4" w:space="0" w:color="auto"/>
              <w:right w:val="single" w:sz="4" w:space="0" w:color="auto"/>
            </w:tcBorders>
            <w:shd w:val="clear" w:color="auto" w:fill="auto"/>
            <w:noWrap/>
            <w:vAlign w:val="bottom"/>
            <w:hideMark/>
          </w:tcPr>
          <w:p w14:paraId="71FA367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1.08 </w:t>
            </w:r>
          </w:p>
        </w:tc>
      </w:tr>
      <w:tr w:rsidR="00B30DDC" w:rsidRPr="00B30DDC" w14:paraId="69505570"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1AF95A6F" w14:textId="77777777" w:rsidR="00B30DDC" w:rsidRPr="00B30DDC" w:rsidRDefault="00B30DDC" w:rsidP="00B30DDC">
            <w:pPr>
              <w:spacing w:after="0" w:line="240" w:lineRule="auto"/>
              <w:rPr>
                <w:rFonts w:ascii="Arial Narrow" w:eastAsia="Times New Roman" w:hAnsi="Arial Narrow" w:cs="Arial"/>
                <w:color w:val="000000"/>
                <w:sz w:val="18"/>
                <w:szCs w:val="18"/>
              </w:rPr>
            </w:pPr>
            <w:proofErr w:type="spellStart"/>
            <w:r w:rsidRPr="00B30DDC">
              <w:rPr>
                <w:rFonts w:ascii="Arial Narrow" w:eastAsia="Times New Roman" w:hAnsi="Arial Narrow" w:cs="Arial"/>
                <w:color w:val="000000"/>
                <w:sz w:val="18"/>
                <w:szCs w:val="18"/>
              </w:rPr>
              <w:t>Folllow</w:t>
            </w:r>
            <w:proofErr w:type="spellEnd"/>
            <w:r w:rsidRPr="00B30DDC">
              <w:rPr>
                <w:rFonts w:ascii="Arial Narrow" w:eastAsia="Times New Roman" w:hAnsi="Arial Narrow" w:cs="Arial"/>
                <w:color w:val="000000"/>
                <w:sz w:val="18"/>
                <w:szCs w:val="18"/>
              </w:rPr>
              <w:t xml:space="preserve">-up cost TAVI &amp; SAVR, 30d </w:t>
            </w:r>
          </w:p>
        </w:tc>
        <w:tc>
          <w:tcPr>
            <w:tcW w:w="673" w:type="pct"/>
            <w:tcBorders>
              <w:top w:val="nil"/>
              <w:left w:val="nil"/>
              <w:bottom w:val="single" w:sz="4" w:space="0" w:color="auto"/>
              <w:right w:val="single" w:sz="4" w:space="0" w:color="auto"/>
            </w:tcBorders>
            <w:shd w:val="clear" w:color="auto" w:fill="auto"/>
            <w:noWrap/>
            <w:vAlign w:val="bottom"/>
            <w:hideMark/>
          </w:tcPr>
          <w:p w14:paraId="6B0F093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237.01 </w:t>
            </w:r>
          </w:p>
        </w:tc>
        <w:tc>
          <w:tcPr>
            <w:tcW w:w="577" w:type="pct"/>
            <w:tcBorders>
              <w:top w:val="nil"/>
              <w:left w:val="nil"/>
              <w:bottom w:val="single" w:sz="4" w:space="0" w:color="auto"/>
              <w:right w:val="single" w:sz="4" w:space="0" w:color="auto"/>
            </w:tcBorders>
            <w:shd w:val="clear" w:color="auto" w:fill="auto"/>
            <w:noWrap/>
            <w:vAlign w:val="bottom"/>
            <w:hideMark/>
          </w:tcPr>
          <w:p w14:paraId="3AE1B2B0"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213.31 </w:t>
            </w:r>
          </w:p>
        </w:tc>
        <w:tc>
          <w:tcPr>
            <w:tcW w:w="577" w:type="pct"/>
            <w:tcBorders>
              <w:top w:val="nil"/>
              <w:left w:val="nil"/>
              <w:bottom w:val="single" w:sz="4" w:space="0" w:color="auto"/>
              <w:right w:val="single" w:sz="4" w:space="0" w:color="auto"/>
            </w:tcBorders>
            <w:shd w:val="clear" w:color="auto" w:fill="auto"/>
            <w:noWrap/>
            <w:vAlign w:val="bottom"/>
            <w:hideMark/>
          </w:tcPr>
          <w:p w14:paraId="7F90E1D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260.71 </w:t>
            </w:r>
          </w:p>
        </w:tc>
        <w:tc>
          <w:tcPr>
            <w:tcW w:w="529" w:type="pct"/>
            <w:tcBorders>
              <w:top w:val="nil"/>
              <w:left w:val="nil"/>
              <w:bottom w:val="single" w:sz="4" w:space="0" w:color="auto"/>
              <w:right w:val="single" w:sz="4" w:space="0" w:color="auto"/>
            </w:tcBorders>
            <w:shd w:val="clear" w:color="auto" w:fill="auto"/>
            <w:noWrap/>
            <w:vAlign w:val="bottom"/>
            <w:hideMark/>
          </w:tcPr>
          <w:p w14:paraId="74345E53"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18138DF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413A014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2.37 </w:t>
            </w:r>
          </w:p>
        </w:tc>
      </w:tr>
      <w:tr w:rsidR="00B30DDC" w:rsidRPr="00B30DDC" w14:paraId="2688FF2A"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9EA968F" w14:textId="77777777" w:rsidR="00B30DDC" w:rsidRPr="00B30DDC" w:rsidRDefault="00B30DDC" w:rsidP="00B30DDC">
            <w:pPr>
              <w:spacing w:after="0" w:line="240" w:lineRule="auto"/>
              <w:rPr>
                <w:rFonts w:ascii="Arial Narrow" w:eastAsia="Times New Roman" w:hAnsi="Arial Narrow" w:cs="Arial"/>
                <w:color w:val="000000"/>
                <w:sz w:val="18"/>
                <w:szCs w:val="18"/>
              </w:rPr>
            </w:pPr>
            <w:proofErr w:type="spellStart"/>
            <w:r w:rsidRPr="00B30DDC">
              <w:rPr>
                <w:rFonts w:ascii="Arial Narrow" w:eastAsia="Times New Roman" w:hAnsi="Arial Narrow" w:cs="Arial"/>
                <w:color w:val="000000"/>
                <w:sz w:val="18"/>
                <w:szCs w:val="18"/>
              </w:rPr>
              <w:t>Folllow</w:t>
            </w:r>
            <w:proofErr w:type="spellEnd"/>
            <w:r w:rsidRPr="00B30DDC">
              <w:rPr>
                <w:rFonts w:ascii="Arial Narrow" w:eastAsia="Times New Roman" w:hAnsi="Arial Narrow" w:cs="Arial"/>
                <w:color w:val="000000"/>
                <w:sz w:val="18"/>
                <w:szCs w:val="18"/>
              </w:rPr>
              <w:t xml:space="preserve">-up cost TAVI &amp; SAVR, 6M </w:t>
            </w:r>
          </w:p>
        </w:tc>
        <w:tc>
          <w:tcPr>
            <w:tcW w:w="673" w:type="pct"/>
            <w:tcBorders>
              <w:top w:val="nil"/>
              <w:left w:val="nil"/>
              <w:bottom w:val="single" w:sz="4" w:space="0" w:color="auto"/>
              <w:right w:val="single" w:sz="4" w:space="0" w:color="auto"/>
            </w:tcBorders>
            <w:shd w:val="clear" w:color="auto" w:fill="auto"/>
            <w:noWrap/>
            <w:vAlign w:val="bottom"/>
            <w:hideMark/>
          </w:tcPr>
          <w:p w14:paraId="479EC2D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60.00 </w:t>
            </w:r>
          </w:p>
        </w:tc>
        <w:tc>
          <w:tcPr>
            <w:tcW w:w="577" w:type="pct"/>
            <w:tcBorders>
              <w:top w:val="nil"/>
              <w:left w:val="nil"/>
              <w:bottom w:val="single" w:sz="4" w:space="0" w:color="auto"/>
              <w:right w:val="single" w:sz="4" w:space="0" w:color="auto"/>
            </w:tcBorders>
            <w:shd w:val="clear" w:color="auto" w:fill="auto"/>
            <w:noWrap/>
            <w:vAlign w:val="bottom"/>
            <w:hideMark/>
          </w:tcPr>
          <w:p w14:paraId="30A68D1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54.00 </w:t>
            </w:r>
          </w:p>
        </w:tc>
        <w:tc>
          <w:tcPr>
            <w:tcW w:w="577" w:type="pct"/>
            <w:tcBorders>
              <w:top w:val="nil"/>
              <w:left w:val="nil"/>
              <w:bottom w:val="single" w:sz="4" w:space="0" w:color="auto"/>
              <w:right w:val="single" w:sz="4" w:space="0" w:color="auto"/>
            </w:tcBorders>
            <w:shd w:val="clear" w:color="auto" w:fill="auto"/>
            <w:noWrap/>
            <w:vAlign w:val="bottom"/>
            <w:hideMark/>
          </w:tcPr>
          <w:p w14:paraId="007FD8B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66.00 </w:t>
            </w:r>
          </w:p>
        </w:tc>
        <w:tc>
          <w:tcPr>
            <w:tcW w:w="529" w:type="pct"/>
            <w:tcBorders>
              <w:top w:val="nil"/>
              <w:left w:val="nil"/>
              <w:bottom w:val="single" w:sz="4" w:space="0" w:color="auto"/>
              <w:right w:val="single" w:sz="4" w:space="0" w:color="auto"/>
            </w:tcBorders>
            <w:shd w:val="clear" w:color="auto" w:fill="auto"/>
            <w:noWrap/>
            <w:vAlign w:val="bottom"/>
            <w:hideMark/>
          </w:tcPr>
          <w:p w14:paraId="43AAB0A3"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06473F3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7651431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0.60 </w:t>
            </w:r>
          </w:p>
        </w:tc>
      </w:tr>
      <w:tr w:rsidR="00B30DDC" w:rsidRPr="00B30DDC" w14:paraId="3D224E17"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70B1AE52" w14:textId="77777777" w:rsidR="00B30DDC" w:rsidRPr="00B30DDC" w:rsidRDefault="00B30DDC" w:rsidP="00B30DDC">
            <w:pPr>
              <w:spacing w:after="0" w:line="240" w:lineRule="auto"/>
              <w:rPr>
                <w:rFonts w:ascii="Arial Narrow" w:eastAsia="Times New Roman" w:hAnsi="Arial Narrow" w:cs="Arial"/>
                <w:color w:val="000000"/>
                <w:sz w:val="18"/>
                <w:szCs w:val="18"/>
              </w:rPr>
            </w:pPr>
            <w:proofErr w:type="spellStart"/>
            <w:r w:rsidRPr="00B30DDC">
              <w:rPr>
                <w:rFonts w:ascii="Arial Narrow" w:eastAsia="Times New Roman" w:hAnsi="Arial Narrow" w:cs="Arial"/>
                <w:color w:val="000000"/>
                <w:sz w:val="18"/>
                <w:szCs w:val="18"/>
              </w:rPr>
              <w:t>Folllow</w:t>
            </w:r>
            <w:proofErr w:type="spellEnd"/>
            <w:r w:rsidRPr="00B30DDC">
              <w:rPr>
                <w:rFonts w:ascii="Arial Narrow" w:eastAsia="Times New Roman" w:hAnsi="Arial Narrow" w:cs="Arial"/>
                <w:color w:val="000000"/>
                <w:sz w:val="18"/>
                <w:szCs w:val="18"/>
              </w:rPr>
              <w:t xml:space="preserve">-up cost TAVI &amp; SAVR, 1 yr. </w:t>
            </w:r>
          </w:p>
        </w:tc>
        <w:tc>
          <w:tcPr>
            <w:tcW w:w="673" w:type="pct"/>
            <w:tcBorders>
              <w:top w:val="nil"/>
              <w:left w:val="nil"/>
              <w:bottom w:val="single" w:sz="4" w:space="0" w:color="auto"/>
              <w:right w:val="single" w:sz="4" w:space="0" w:color="auto"/>
            </w:tcBorders>
            <w:shd w:val="clear" w:color="auto" w:fill="auto"/>
            <w:noWrap/>
            <w:vAlign w:val="bottom"/>
            <w:hideMark/>
          </w:tcPr>
          <w:p w14:paraId="6B79653D"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18.42 </w:t>
            </w:r>
          </w:p>
        </w:tc>
        <w:tc>
          <w:tcPr>
            <w:tcW w:w="577" w:type="pct"/>
            <w:tcBorders>
              <w:top w:val="nil"/>
              <w:left w:val="nil"/>
              <w:bottom w:val="single" w:sz="4" w:space="0" w:color="auto"/>
              <w:right w:val="single" w:sz="4" w:space="0" w:color="auto"/>
            </w:tcBorders>
            <w:shd w:val="clear" w:color="auto" w:fill="auto"/>
            <w:noWrap/>
            <w:vAlign w:val="bottom"/>
            <w:hideMark/>
          </w:tcPr>
          <w:p w14:paraId="2B2DD344"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16.58 </w:t>
            </w:r>
          </w:p>
        </w:tc>
        <w:tc>
          <w:tcPr>
            <w:tcW w:w="577" w:type="pct"/>
            <w:tcBorders>
              <w:top w:val="nil"/>
              <w:left w:val="nil"/>
              <w:bottom w:val="single" w:sz="4" w:space="0" w:color="auto"/>
              <w:right w:val="single" w:sz="4" w:space="0" w:color="auto"/>
            </w:tcBorders>
            <w:shd w:val="clear" w:color="auto" w:fill="auto"/>
            <w:noWrap/>
            <w:vAlign w:val="bottom"/>
            <w:hideMark/>
          </w:tcPr>
          <w:p w14:paraId="180EA628"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20.26 </w:t>
            </w:r>
          </w:p>
        </w:tc>
        <w:tc>
          <w:tcPr>
            <w:tcW w:w="529" w:type="pct"/>
            <w:tcBorders>
              <w:top w:val="nil"/>
              <w:left w:val="nil"/>
              <w:bottom w:val="single" w:sz="4" w:space="0" w:color="auto"/>
              <w:right w:val="single" w:sz="4" w:space="0" w:color="auto"/>
            </w:tcBorders>
            <w:shd w:val="clear" w:color="auto" w:fill="auto"/>
            <w:noWrap/>
            <w:vAlign w:val="bottom"/>
            <w:hideMark/>
          </w:tcPr>
          <w:p w14:paraId="050906D4"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4657B2A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2D6CAC7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0.18 </w:t>
            </w:r>
          </w:p>
        </w:tc>
      </w:tr>
      <w:tr w:rsidR="00B30DDC" w:rsidRPr="00B30DDC" w14:paraId="24EE8183"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81AACE8" w14:textId="77777777" w:rsidR="00B30DDC" w:rsidRPr="00B30DDC" w:rsidRDefault="00B30DDC" w:rsidP="00B30DDC">
            <w:pPr>
              <w:spacing w:after="0" w:line="240" w:lineRule="auto"/>
              <w:rPr>
                <w:rFonts w:ascii="Arial Narrow" w:eastAsia="Times New Roman" w:hAnsi="Arial Narrow" w:cs="Arial"/>
                <w:color w:val="000000"/>
                <w:sz w:val="18"/>
                <w:szCs w:val="18"/>
              </w:rPr>
            </w:pPr>
            <w:proofErr w:type="spellStart"/>
            <w:r w:rsidRPr="00B30DDC">
              <w:rPr>
                <w:rFonts w:ascii="Arial Narrow" w:eastAsia="Times New Roman" w:hAnsi="Arial Narrow" w:cs="Arial"/>
                <w:color w:val="000000"/>
                <w:sz w:val="18"/>
                <w:szCs w:val="18"/>
              </w:rPr>
              <w:t>Folllow</w:t>
            </w:r>
            <w:proofErr w:type="spellEnd"/>
            <w:r w:rsidRPr="00B30DDC">
              <w:rPr>
                <w:rFonts w:ascii="Arial Narrow" w:eastAsia="Times New Roman" w:hAnsi="Arial Narrow" w:cs="Arial"/>
                <w:color w:val="000000"/>
                <w:sz w:val="18"/>
                <w:szCs w:val="18"/>
              </w:rPr>
              <w:t xml:space="preserve">-up cost TAVI &amp; SAVR, annually yr. 2+ </w:t>
            </w:r>
          </w:p>
        </w:tc>
        <w:tc>
          <w:tcPr>
            <w:tcW w:w="673" w:type="pct"/>
            <w:tcBorders>
              <w:top w:val="nil"/>
              <w:left w:val="nil"/>
              <w:bottom w:val="single" w:sz="4" w:space="0" w:color="auto"/>
              <w:right w:val="single" w:sz="4" w:space="0" w:color="auto"/>
            </w:tcBorders>
            <w:shd w:val="clear" w:color="auto" w:fill="auto"/>
            <w:noWrap/>
            <w:vAlign w:val="bottom"/>
            <w:hideMark/>
          </w:tcPr>
          <w:p w14:paraId="6268375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261.85 </w:t>
            </w:r>
          </w:p>
        </w:tc>
        <w:tc>
          <w:tcPr>
            <w:tcW w:w="577" w:type="pct"/>
            <w:tcBorders>
              <w:top w:val="nil"/>
              <w:left w:val="nil"/>
              <w:bottom w:val="single" w:sz="4" w:space="0" w:color="auto"/>
              <w:right w:val="single" w:sz="4" w:space="0" w:color="auto"/>
            </w:tcBorders>
            <w:shd w:val="clear" w:color="auto" w:fill="auto"/>
            <w:noWrap/>
            <w:vAlign w:val="bottom"/>
            <w:hideMark/>
          </w:tcPr>
          <w:p w14:paraId="531FF67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235.67 </w:t>
            </w:r>
          </w:p>
        </w:tc>
        <w:tc>
          <w:tcPr>
            <w:tcW w:w="577" w:type="pct"/>
            <w:tcBorders>
              <w:top w:val="nil"/>
              <w:left w:val="nil"/>
              <w:bottom w:val="single" w:sz="4" w:space="0" w:color="auto"/>
              <w:right w:val="single" w:sz="4" w:space="0" w:color="auto"/>
            </w:tcBorders>
            <w:shd w:val="clear" w:color="auto" w:fill="auto"/>
            <w:noWrap/>
            <w:vAlign w:val="bottom"/>
            <w:hideMark/>
          </w:tcPr>
          <w:p w14:paraId="0C40439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288.04 </w:t>
            </w:r>
          </w:p>
        </w:tc>
        <w:tc>
          <w:tcPr>
            <w:tcW w:w="529" w:type="pct"/>
            <w:tcBorders>
              <w:top w:val="nil"/>
              <w:left w:val="nil"/>
              <w:bottom w:val="single" w:sz="4" w:space="0" w:color="auto"/>
              <w:right w:val="single" w:sz="4" w:space="0" w:color="auto"/>
            </w:tcBorders>
            <w:shd w:val="clear" w:color="auto" w:fill="auto"/>
            <w:noWrap/>
            <w:vAlign w:val="bottom"/>
            <w:hideMark/>
          </w:tcPr>
          <w:p w14:paraId="186D254A"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2E3C34E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56C6D53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2.62 </w:t>
            </w:r>
          </w:p>
        </w:tc>
      </w:tr>
      <w:tr w:rsidR="00B30DDC" w:rsidRPr="00B30DDC" w14:paraId="0DBCBDFE"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CEB52F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Monthly stroke follow-up costs, TAVI  &amp; SAVR</w:t>
            </w:r>
          </w:p>
        </w:tc>
        <w:tc>
          <w:tcPr>
            <w:tcW w:w="673" w:type="pct"/>
            <w:tcBorders>
              <w:top w:val="nil"/>
              <w:left w:val="nil"/>
              <w:bottom w:val="single" w:sz="4" w:space="0" w:color="auto"/>
              <w:right w:val="single" w:sz="4" w:space="0" w:color="auto"/>
            </w:tcBorders>
            <w:shd w:val="clear" w:color="auto" w:fill="auto"/>
            <w:noWrap/>
            <w:vAlign w:val="bottom"/>
            <w:hideMark/>
          </w:tcPr>
          <w:p w14:paraId="1ADA6F1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710.82 </w:t>
            </w:r>
          </w:p>
        </w:tc>
        <w:tc>
          <w:tcPr>
            <w:tcW w:w="577" w:type="pct"/>
            <w:tcBorders>
              <w:top w:val="nil"/>
              <w:left w:val="nil"/>
              <w:bottom w:val="single" w:sz="4" w:space="0" w:color="auto"/>
              <w:right w:val="single" w:sz="4" w:space="0" w:color="auto"/>
            </w:tcBorders>
            <w:shd w:val="clear" w:color="auto" w:fill="auto"/>
            <w:noWrap/>
            <w:vAlign w:val="bottom"/>
            <w:hideMark/>
          </w:tcPr>
          <w:p w14:paraId="48E3FF4C"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497.57 </w:t>
            </w:r>
          </w:p>
        </w:tc>
        <w:tc>
          <w:tcPr>
            <w:tcW w:w="577" w:type="pct"/>
            <w:tcBorders>
              <w:top w:val="nil"/>
              <w:left w:val="nil"/>
              <w:bottom w:val="single" w:sz="4" w:space="0" w:color="auto"/>
              <w:right w:val="single" w:sz="4" w:space="0" w:color="auto"/>
            </w:tcBorders>
            <w:shd w:val="clear" w:color="auto" w:fill="auto"/>
            <w:noWrap/>
            <w:vAlign w:val="bottom"/>
            <w:hideMark/>
          </w:tcPr>
          <w:p w14:paraId="6DC5E6D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924.18 </w:t>
            </w:r>
          </w:p>
        </w:tc>
        <w:tc>
          <w:tcPr>
            <w:tcW w:w="529" w:type="pct"/>
            <w:tcBorders>
              <w:top w:val="nil"/>
              <w:left w:val="nil"/>
              <w:bottom w:val="single" w:sz="4" w:space="0" w:color="auto"/>
              <w:right w:val="single" w:sz="4" w:space="0" w:color="auto"/>
            </w:tcBorders>
            <w:shd w:val="clear" w:color="auto" w:fill="auto"/>
            <w:noWrap/>
            <w:vAlign w:val="bottom"/>
            <w:hideMark/>
          </w:tcPr>
          <w:p w14:paraId="5C34C275"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6F14D6F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11.10 </w:t>
            </w:r>
          </w:p>
        </w:tc>
        <w:tc>
          <w:tcPr>
            <w:tcW w:w="577" w:type="pct"/>
            <w:tcBorders>
              <w:top w:val="nil"/>
              <w:left w:val="nil"/>
              <w:bottom w:val="single" w:sz="4" w:space="0" w:color="auto"/>
              <w:right w:val="single" w:sz="4" w:space="0" w:color="auto"/>
            </w:tcBorders>
            <w:shd w:val="clear" w:color="auto" w:fill="auto"/>
            <w:noWrap/>
            <w:vAlign w:val="bottom"/>
            <w:hideMark/>
          </w:tcPr>
          <w:p w14:paraId="0D86F6F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64.01 </w:t>
            </w:r>
          </w:p>
        </w:tc>
      </w:tr>
      <w:tr w:rsidR="00B30DDC" w:rsidRPr="00B30DDC" w14:paraId="219B3232"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1CD17A7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Pacemaker follow-up costs, first year</w:t>
            </w:r>
          </w:p>
        </w:tc>
        <w:tc>
          <w:tcPr>
            <w:tcW w:w="673" w:type="pct"/>
            <w:tcBorders>
              <w:top w:val="nil"/>
              <w:left w:val="nil"/>
              <w:bottom w:val="single" w:sz="4" w:space="0" w:color="auto"/>
              <w:right w:val="single" w:sz="4" w:space="0" w:color="auto"/>
            </w:tcBorders>
            <w:shd w:val="clear" w:color="auto" w:fill="auto"/>
            <w:noWrap/>
            <w:vAlign w:val="bottom"/>
            <w:hideMark/>
          </w:tcPr>
          <w:p w14:paraId="2B53DBC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545.16 </w:t>
            </w:r>
          </w:p>
        </w:tc>
        <w:tc>
          <w:tcPr>
            <w:tcW w:w="577" w:type="pct"/>
            <w:tcBorders>
              <w:top w:val="nil"/>
              <w:left w:val="nil"/>
              <w:bottom w:val="single" w:sz="4" w:space="0" w:color="auto"/>
              <w:right w:val="single" w:sz="4" w:space="0" w:color="auto"/>
            </w:tcBorders>
            <w:shd w:val="clear" w:color="auto" w:fill="auto"/>
            <w:noWrap/>
            <w:vAlign w:val="bottom"/>
            <w:hideMark/>
          </w:tcPr>
          <w:p w14:paraId="4B22619D"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490.64 </w:t>
            </w:r>
          </w:p>
        </w:tc>
        <w:tc>
          <w:tcPr>
            <w:tcW w:w="577" w:type="pct"/>
            <w:tcBorders>
              <w:top w:val="nil"/>
              <w:left w:val="nil"/>
              <w:bottom w:val="single" w:sz="4" w:space="0" w:color="auto"/>
              <w:right w:val="single" w:sz="4" w:space="0" w:color="auto"/>
            </w:tcBorders>
            <w:shd w:val="clear" w:color="auto" w:fill="auto"/>
            <w:noWrap/>
            <w:vAlign w:val="bottom"/>
            <w:hideMark/>
          </w:tcPr>
          <w:p w14:paraId="0107B07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599.68 </w:t>
            </w:r>
          </w:p>
        </w:tc>
        <w:tc>
          <w:tcPr>
            <w:tcW w:w="529" w:type="pct"/>
            <w:tcBorders>
              <w:top w:val="nil"/>
              <w:left w:val="nil"/>
              <w:bottom w:val="single" w:sz="4" w:space="0" w:color="auto"/>
              <w:right w:val="single" w:sz="4" w:space="0" w:color="auto"/>
            </w:tcBorders>
            <w:shd w:val="clear" w:color="auto" w:fill="auto"/>
            <w:noWrap/>
            <w:vAlign w:val="bottom"/>
            <w:hideMark/>
          </w:tcPr>
          <w:p w14:paraId="1F094BFA"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42B476A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20380EC4"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5.45 </w:t>
            </w:r>
          </w:p>
        </w:tc>
      </w:tr>
      <w:tr w:rsidR="00B30DDC" w:rsidRPr="00B30DDC" w14:paraId="47862A2E"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9E17C7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Pacemaker follow-up costs, year 2+</w:t>
            </w:r>
          </w:p>
        </w:tc>
        <w:tc>
          <w:tcPr>
            <w:tcW w:w="673" w:type="pct"/>
            <w:tcBorders>
              <w:top w:val="nil"/>
              <w:left w:val="nil"/>
              <w:bottom w:val="single" w:sz="4" w:space="0" w:color="auto"/>
              <w:right w:val="single" w:sz="4" w:space="0" w:color="auto"/>
            </w:tcBorders>
            <w:shd w:val="clear" w:color="auto" w:fill="auto"/>
            <w:noWrap/>
            <w:vAlign w:val="bottom"/>
            <w:hideMark/>
          </w:tcPr>
          <w:p w14:paraId="3A707B9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272.58 </w:t>
            </w:r>
          </w:p>
        </w:tc>
        <w:tc>
          <w:tcPr>
            <w:tcW w:w="577" w:type="pct"/>
            <w:tcBorders>
              <w:top w:val="nil"/>
              <w:left w:val="nil"/>
              <w:bottom w:val="single" w:sz="4" w:space="0" w:color="auto"/>
              <w:right w:val="single" w:sz="4" w:space="0" w:color="auto"/>
            </w:tcBorders>
            <w:shd w:val="clear" w:color="auto" w:fill="auto"/>
            <w:noWrap/>
            <w:vAlign w:val="bottom"/>
            <w:hideMark/>
          </w:tcPr>
          <w:p w14:paraId="0842C0C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245.32 </w:t>
            </w:r>
          </w:p>
        </w:tc>
        <w:tc>
          <w:tcPr>
            <w:tcW w:w="577" w:type="pct"/>
            <w:tcBorders>
              <w:top w:val="nil"/>
              <w:left w:val="nil"/>
              <w:bottom w:val="single" w:sz="4" w:space="0" w:color="auto"/>
              <w:right w:val="single" w:sz="4" w:space="0" w:color="auto"/>
            </w:tcBorders>
            <w:shd w:val="clear" w:color="auto" w:fill="auto"/>
            <w:noWrap/>
            <w:vAlign w:val="bottom"/>
            <w:hideMark/>
          </w:tcPr>
          <w:p w14:paraId="03E95E9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299.84 </w:t>
            </w:r>
          </w:p>
        </w:tc>
        <w:tc>
          <w:tcPr>
            <w:tcW w:w="529" w:type="pct"/>
            <w:tcBorders>
              <w:top w:val="nil"/>
              <w:left w:val="nil"/>
              <w:bottom w:val="single" w:sz="4" w:space="0" w:color="auto"/>
              <w:right w:val="single" w:sz="4" w:space="0" w:color="auto"/>
            </w:tcBorders>
            <w:shd w:val="clear" w:color="auto" w:fill="auto"/>
            <w:noWrap/>
            <w:vAlign w:val="bottom"/>
            <w:hideMark/>
          </w:tcPr>
          <w:p w14:paraId="2ADF9736"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5EB8B4D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6EFEFEE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2.73 </w:t>
            </w:r>
          </w:p>
        </w:tc>
      </w:tr>
      <w:tr w:rsidR="00B30DDC" w:rsidRPr="00B30DDC" w14:paraId="790BC231"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010CF22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stroke AE (beyond index)  </w:t>
            </w:r>
          </w:p>
        </w:tc>
        <w:tc>
          <w:tcPr>
            <w:tcW w:w="673" w:type="pct"/>
            <w:tcBorders>
              <w:top w:val="nil"/>
              <w:left w:val="nil"/>
              <w:bottom w:val="single" w:sz="4" w:space="0" w:color="auto"/>
              <w:right w:val="single" w:sz="4" w:space="0" w:color="auto"/>
            </w:tcBorders>
            <w:shd w:val="clear" w:color="auto" w:fill="auto"/>
            <w:noWrap/>
            <w:vAlign w:val="bottom"/>
            <w:hideMark/>
          </w:tcPr>
          <w:p w14:paraId="68B30BB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5,857.48 </w:t>
            </w:r>
          </w:p>
        </w:tc>
        <w:tc>
          <w:tcPr>
            <w:tcW w:w="577" w:type="pct"/>
            <w:tcBorders>
              <w:top w:val="nil"/>
              <w:left w:val="nil"/>
              <w:bottom w:val="single" w:sz="4" w:space="0" w:color="auto"/>
              <w:right w:val="single" w:sz="4" w:space="0" w:color="auto"/>
            </w:tcBorders>
            <w:shd w:val="clear" w:color="auto" w:fill="auto"/>
            <w:noWrap/>
            <w:vAlign w:val="bottom"/>
            <w:hideMark/>
          </w:tcPr>
          <w:p w14:paraId="37D5A99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5,514.48 </w:t>
            </w:r>
          </w:p>
        </w:tc>
        <w:tc>
          <w:tcPr>
            <w:tcW w:w="577" w:type="pct"/>
            <w:tcBorders>
              <w:top w:val="nil"/>
              <w:left w:val="nil"/>
              <w:bottom w:val="single" w:sz="4" w:space="0" w:color="auto"/>
              <w:right w:val="single" w:sz="4" w:space="0" w:color="auto"/>
            </w:tcBorders>
            <w:shd w:val="clear" w:color="auto" w:fill="auto"/>
            <w:noWrap/>
            <w:vAlign w:val="bottom"/>
            <w:hideMark/>
          </w:tcPr>
          <w:p w14:paraId="1AD74AE4"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6,202.57 </w:t>
            </w:r>
          </w:p>
        </w:tc>
        <w:tc>
          <w:tcPr>
            <w:tcW w:w="529" w:type="pct"/>
            <w:tcBorders>
              <w:top w:val="nil"/>
              <w:left w:val="nil"/>
              <w:bottom w:val="single" w:sz="4" w:space="0" w:color="auto"/>
              <w:right w:val="single" w:sz="4" w:space="0" w:color="auto"/>
            </w:tcBorders>
            <w:shd w:val="clear" w:color="auto" w:fill="auto"/>
            <w:noWrap/>
            <w:vAlign w:val="bottom"/>
            <w:hideMark/>
          </w:tcPr>
          <w:p w14:paraId="5060C22D"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2B061EC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289.86 </w:t>
            </w:r>
          </w:p>
        </w:tc>
        <w:tc>
          <w:tcPr>
            <w:tcW w:w="577" w:type="pct"/>
            <w:tcBorders>
              <w:top w:val="nil"/>
              <w:left w:val="nil"/>
              <w:bottom w:val="single" w:sz="4" w:space="0" w:color="auto"/>
              <w:right w:val="single" w:sz="4" w:space="0" w:color="auto"/>
            </w:tcBorders>
            <w:shd w:val="clear" w:color="auto" w:fill="auto"/>
            <w:noWrap/>
            <w:vAlign w:val="bottom"/>
            <w:hideMark/>
          </w:tcPr>
          <w:p w14:paraId="24D7776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20.21 </w:t>
            </w:r>
          </w:p>
        </w:tc>
      </w:tr>
      <w:tr w:rsidR="00B30DDC" w:rsidRPr="00B30DDC" w14:paraId="1B96B98F"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325B89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MI AE (beyond index)  </w:t>
            </w:r>
          </w:p>
        </w:tc>
        <w:tc>
          <w:tcPr>
            <w:tcW w:w="673" w:type="pct"/>
            <w:tcBorders>
              <w:top w:val="nil"/>
              <w:left w:val="nil"/>
              <w:bottom w:val="single" w:sz="4" w:space="0" w:color="auto"/>
              <w:right w:val="single" w:sz="4" w:space="0" w:color="auto"/>
            </w:tcBorders>
            <w:shd w:val="clear" w:color="auto" w:fill="auto"/>
            <w:noWrap/>
            <w:vAlign w:val="bottom"/>
            <w:hideMark/>
          </w:tcPr>
          <w:p w14:paraId="6927CDE0"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5,776.16 </w:t>
            </w:r>
          </w:p>
        </w:tc>
        <w:tc>
          <w:tcPr>
            <w:tcW w:w="577" w:type="pct"/>
            <w:tcBorders>
              <w:top w:val="nil"/>
              <w:left w:val="nil"/>
              <w:bottom w:val="single" w:sz="4" w:space="0" w:color="auto"/>
              <w:right w:val="single" w:sz="4" w:space="0" w:color="auto"/>
            </w:tcBorders>
            <w:shd w:val="clear" w:color="auto" w:fill="auto"/>
            <w:noWrap/>
            <w:vAlign w:val="bottom"/>
            <w:hideMark/>
          </w:tcPr>
          <w:p w14:paraId="3711F3B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5,395.85 </w:t>
            </w:r>
          </w:p>
        </w:tc>
        <w:tc>
          <w:tcPr>
            <w:tcW w:w="577" w:type="pct"/>
            <w:tcBorders>
              <w:top w:val="nil"/>
              <w:left w:val="nil"/>
              <w:bottom w:val="single" w:sz="4" w:space="0" w:color="auto"/>
              <w:right w:val="single" w:sz="4" w:space="0" w:color="auto"/>
            </w:tcBorders>
            <w:shd w:val="clear" w:color="auto" w:fill="auto"/>
            <w:noWrap/>
            <w:vAlign w:val="bottom"/>
            <w:hideMark/>
          </w:tcPr>
          <w:p w14:paraId="46BFE8E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6,156.96 </w:t>
            </w:r>
          </w:p>
        </w:tc>
        <w:tc>
          <w:tcPr>
            <w:tcW w:w="529" w:type="pct"/>
            <w:tcBorders>
              <w:top w:val="nil"/>
              <w:left w:val="nil"/>
              <w:bottom w:val="single" w:sz="4" w:space="0" w:color="auto"/>
              <w:right w:val="single" w:sz="4" w:space="0" w:color="auto"/>
            </w:tcBorders>
            <w:shd w:val="clear" w:color="auto" w:fill="auto"/>
            <w:noWrap/>
            <w:vAlign w:val="bottom"/>
            <w:hideMark/>
          </w:tcPr>
          <w:p w14:paraId="4B55F66D"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3BDB82A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230.37 </w:t>
            </w:r>
          </w:p>
        </w:tc>
        <w:tc>
          <w:tcPr>
            <w:tcW w:w="577" w:type="pct"/>
            <w:tcBorders>
              <w:top w:val="nil"/>
              <w:left w:val="nil"/>
              <w:bottom w:val="single" w:sz="4" w:space="0" w:color="auto"/>
              <w:right w:val="single" w:sz="4" w:space="0" w:color="auto"/>
            </w:tcBorders>
            <w:shd w:val="clear" w:color="auto" w:fill="auto"/>
            <w:noWrap/>
            <w:vAlign w:val="bottom"/>
            <w:hideMark/>
          </w:tcPr>
          <w:p w14:paraId="6F2FE5F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25.07 </w:t>
            </w:r>
          </w:p>
        </w:tc>
      </w:tr>
      <w:tr w:rsidR="00B30DDC" w:rsidRPr="00B30DDC" w14:paraId="39F39853"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005961A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permanent pacemaker implantation (beyond index)  </w:t>
            </w:r>
          </w:p>
        </w:tc>
        <w:tc>
          <w:tcPr>
            <w:tcW w:w="673" w:type="pct"/>
            <w:tcBorders>
              <w:top w:val="nil"/>
              <w:left w:val="nil"/>
              <w:bottom w:val="single" w:sz="4" w:space="0" w:color="auto"/>
              <w:right w:val="single" w:sz="4" w:space="0" w:color="auto"/>
            </w:tcBorders>
            <w:shd w:val="clear" w:color="auto" w:fill="auto"/>
            <w:noWrap/>
            <w:vAlign w:val="bottom"/>
            <w:hideMark/>
          </w:tcPr>
          <w:p w14:paraId="000491E0"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6,734.30 </w:t>
            </w:r>
          </w:p>
        </w:tc>
        <w:tc>
          <w:tcPr>
            <w:tcW w:w="577" w:type="pct"/>
            <w:tcBorders>
              <w:top w:val="nil"/>
              <w:left w:val="nil"/>
              <w:bottom w:val="single" w:sz="4" w:space="0" w:color="auto"/>
              <w:right w:val="single" w:sz="4" w:space="0" w:color="auto"/>
            </w:tcBorders>
            <w:shd w:val="clear" w:color="auto" w:fill="auto"/>
            <w:noWrap/>
            <w:vAlign w:val="bottom"/>
            <w:hideMark/>
          </w:tcPr>
          <w:p w14:paraId="4A5CED0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6,060.87 </w:t>
            </w:r>
          </w:p>
        </w:tc>
        <w:tc>
          <w:tcPr>
            <w:tcW w:w="577" w:type="pct"/>
            <w:tcBorders>
              <w:top w:val="nil"/>
              <w:left w:val="nil"/>
              <w:bottom w:val="single" w:sz="4" w:space="0" w:color="auto"/>
              <w:right w:val="single" w:sz="4" w:space="0" w:color="auto"/>
            </w:tcBorders>
            <w:shd w:val="clear" w:color="auto" w:fill="auto"/>
            <w:noWrap/>
            <w:vAlign w:val="bottom"/>
            <w:hideMark/>
          </w:tcPr>
          <w:p w14:paraId="69FF2084"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7,407.73 </w:t>
            </w:r>
          </w:p>
        </w:tc>
        <w:tc>
          <w:tcPr>
            <w:tcW w:w="529" w:type="pct"/>
            <w:tcBorders>
              <w:top w:val="nil"/>
              <w:left w:val="nil"/>
              <w:bottom w:val="single" w:sz="4" w:space="0" w:color="auto"/>
              <w:right w:val="single" w:sz="4" w:space="0" w:color="auto"/>
            </w:tcBorders>
            <w:shd w:val="clear" w:color="auto" w:fill="auto"/>
            <w:noWrap/>
            <w:vAlign w:val="bottom"/>
            <w:hideMark/>
          </w:tcPr>
          <w:p w14:paraId="7B8F57F8"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452EB42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2BC1840C"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67.34 </w:t>
            </w:r>
          </w:p>
        </w:tc>
      </w:tr>
      <w:tr w:rsidR="00B30DDC" w:rsidRPr="00B30DDC" w14:paraId="4A35E72A"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1278B6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bleeding event (beyond index)  </w:t>
            </w:r>
          </w:p>
        </w:tc>
        <w:tc>
          <w:tcPr>
            <w:tcW w:w="673" w:type="pct"/>
            <w:tcBorders>
              <w:top w:val="nil"/>
              <w:left w:val="nil"/>
              <w:bottom w:val="single" w:sz="4" w:space="0" w:color="auto"/>
              <w:right w:val="single" w:sz="4" w:space="0" w:color="auto"/>
            </w:tcBorders>
            <w:shd w:val="clear" w:color="auto" w:fill="auto"/>
            <w:noWrap/>
            <w:vAlign w:val="bottom"/>
            <w:hideMark/>
          </w:tcPr>
          <w:p w14:paraId="751CEEA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11,282.45 </w:t>
            </w:r>
          </w:p>
        </w:tc>
        <w:tc>
          <w:tcPr>
            <w:tcW w:w="577" w:type="pct"/>
            <w:tcBorders>
              <w:top w:val="nil"/>
              <w:left w:val="nil"/>
              <w:bottom w:val="single" w:sz="4" w:space="0" w:color="auto"/>
              <w:right w:val="single" w:sz="4" w:space="0" w:color="auto"/>
            </w:tcBorders>
            <w:shd w:val="clear" w:color="auto" w:fill="auto"/>
            <w:noWrap/>
            <w:vAlign w:val="bottom"/>
            <w:hideMark/>
          </w:tcPr>
          <w:p w14:paraId="71FC418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10,152.74 </w:t>
            </w:r>
          </w:p>
        </w:tc>
        <w:tc>
          <w:tcPr>
            <w:tcW w:w="577" w:type="pct"/>
            <w:tcBorders>
              <w:top w:val="nil"/>
              <w:left w:val="nil"/>
              <w:bottom w:val="single" w:sz="4" w:space="0" w:color="auto"/>
              <w:right w:val="single" w:sz="4" w:space="0" w:color="auto"/>
            </w:tcBorders>
            <w:shd w:val="clear" w:color="auto" w:fill="auto"/>
            <w:noWrap/>
            <w:vAlign w:val="bottom"/>
            <w:hideMark/>
          </w:tcPr>
          <w:p w14:paraId="756AAF2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€ 12,412.16 </w:t>
            </w:r>
          </w:p>
        </w:tc>
        <w:tc>
          <w:tcPr>
            <w:tcW w:w="529" w:type="pct"/>
            <w:tcBorders>
              <w:top w:val="nil"/>
              <w:left w:val="nil"/>
              <w:bottom w:val="single" w:sz="4" w:space="0" w:color="auto"/>
              <w:right w:val="single" w:sz="4" w:space="0" w:color="auto"/>
            </w:tcBorders>
            <w:shd w:val="clear" w:color="auto" w:fill="auto"/>
            <w:noWrap/>
            <w:vAlign w:val="bottom"/>
            <w:hideMark/>
          </w:tcPr>
          <w:p w14:paraId="18CF8182"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6BA80D3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99.74 </w:t>
            </w:r>
          </w:p>
        </w:tc>
        <w:tc>
          <w:tcPr>
            <w:tcW w:w="577" w:type="pct"/>
            <w:tcBorders>
              <w:top w:val="nil"/>
              <w:left w:val="nil"/>
              <w:bottom w:val="single" w:sz="4" w:space="0" w:color="auto"/>
              <w:right w:val="single" w:sz="4" w:space="0" w:color="auto"/>
            </w:tcBorders>
            <w:shd w:val="clear" w:color="auto" w:fill="auto"/>
            <w:noWrap/>
            <w:vAlign w:val="bottom"/>
            <w:hideMark/>
          </w:tcPr>
          <w:p w14:paraId="290F477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113.12 </w:t>
            </w:r>
          </w:p>
        </w:tc>
      </w:tr>
      <w:tr w:rsidR="00B30DDC" w:rsidRPr="00B30DDC" w14:paraId="6748B362"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10F219E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cardiogenic shock (beyond index)  </w:t>
            </w:r>
          </w:p>
        </w:tc>
        <w:tc>
          <w:tcPr>
            <w:tcW w:w="673" w:type="pct"/>
            <w:tcBorders>
              <w:top w:val="nil"/>
              <w:left w:val="nil"/>
              <w:bottom w:val="single" w:sz="4" w:space="0" w:color="auto"/>
              <w:right w:val="single" w:sz="4" w:space="0" w:color="auto"/>
            </w:tcBorders>
            <w:shd w:val="clear" w:color="auto" w:fill="auto"/>
            <w:noWrap/>
            <w:vAlign w:val="bottom"/>
            <w:hideMark/>
          </w:tcPr>
          <w:p w14:paraId="32D8EFD0"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4,788.74 </w:t>
            </w:r>
          </w:p>
        </w:tc>
        <w:tc>
          <w:tcPr>
            <w:tcW w:w="577" w:type="pct"/>
            <w:tcBorders>
              <w:top w:val="nil"/>
              <w:left w:val="nil"/>
              <w:bottom w:val="single" w:sz="4" w:space="0" w:color="auto"/>
              <w:right w:val="single" w:sz="4" w:space="0" w:color="auto"/>
            </w:tcBorders>
            <w:shd w:val="clear" w:color="auto" w:fill="auto"/>
            <w:noWrap/>
            <w:vAlign w:val="bottom"/>
            <w:hideMark/>
          </w:tcPr>
          <w:p w14:paraId="4774D52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4,550.90 </w:t>
            </w:r>
          </w:p>
        </w:tc>
        <w:tc>
          <w:tcPr>
            <w:tcW w:w="577" w:type="pct"/>
            <w:tcBorders>
              <w:top w:val="nil"/>
              <w:left w:val="nil"/>
              <w:bottom w:val="single" w:sz="4" w:space="0" w:color="auto"/>
              <w:right w:val="single" w:sz="4" w:space="0" w:color="auto"/>
            </w:tcBorders>
            <w:shd w:val="clear" w:color="auto" w:fill="auto"/>
            <w:noWrap/>
            <w:vAlign w:val="bottom"/>
            <w:hideMark/>
          </w:tcPr>
          <w:p w14:paraId="68231EA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5,026.59 </w:t>
            </w:r>
          </w:p>
        </w:tc>
        <w:tc>
          <w:tcPr>
            <w:tcW w:w="529" w:type="pct"/>
            <w:tcBorders>
              <w:top w:val="nil"/>
              <w:left w:val="nil"/>
              <w:bottom w:val="single" w:sz="4" w:space="0" w:color="auto"/>
              <w:right w:val="single" w:sz="4" w:space="0" w:color="auto"/>
            </w:tcBorders>
            <w:shd w:val="clear" w:color="auto" w:fill="auto"/>
            <w:noWrap/>
            <w:vAlign w:val="bottom"/>
            <w:hideMark/>
          </w:tcPr>
          <w:p w14:paraId="265BB773"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279974E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405.37 </w:t>
            </w:r>
          </w:p>
        </w:tc>
        <w:tc>
          <w:tcPr>
            <w:tcW w:w="577" w:type="pct"/>
            <w:tcBorders>
              <w:top w:val="nil"/>
              <w:left w:val="nil"/>
              <w:bottom w:val="single" w:sz="4" w:space="0" w:color="auto"/>
              <w:right w:val="single" w:sz="4" w:space="0" w:color="auto"/>
            </w:tcBorders>
            <w:shd w:val="clear" w:color="auto" w:fill="auto"/>
            <w:noWrap/>
            <w:vAlign w:val="bottom"/>
            <w:hideMark/>
          </w:tcPr>
          <w:p w14:paraId="45263EEC"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11.81 </w:t>
            </w:r>
          </w:p>
        </w:tc>
      </w:tr>
      <w:tr w:rsidR="00B30DDC" w:rsidRPr="00B30DDC" w14:paraId="3D2B9E2B"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B1693A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AKI (beyond index)  </w:t>
            </w:r>
          </w:p>
        </w:tc>
        <w:tc>
          <w:tcPr>
            <w:tcW w:w="673" w:type="pct"/>
            <w:tcBorders>
              <w:top w:val="nil"/>
              <w:left w:val="nil"/>
              <w:bottom w:val="single" w:sz="4" w:space="0" w:color="auto"/>
              <w:right w:val="single" w:sz="4" w:space="0" w:color="auto"/>
            </w:tcBorders>
            <w:shd w:val="clear" w:color="auto" w:fill="auto"/>
            <w:noWrap/>
            <w:vAlign w:val="bottom"/>
            <w:hideMark/>
          </w:tcPr>
          <w:p w14:paraId="5C2BAB2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4,588.56 </w:t>
            </w:r>
          </w:p>
        </w:tc>
        <w:tc>
          <w:tcPr>
            <w:tcW w:w="577" w:type="pct"/>
            <w:tcBorders>
              <w:top w:val="nil"/>
              <w:left w:val="nil"/>
              <w:bottom w:val="single" w:sz="4" w:space="0" w:color="auto"/>
              <w:right w:val="single" w:sz="4" w:space="0" w:color="auto"/>
            </w:tcBorders>
            <w:shd w:val="clear" w:color="auto" w:fill="auto"/>
            <w:noWrap/>
            <w:vAlign w:val="bottom"/>
            <w:hideMark/>
          </w:tcPr>
          <w:p w14:paraId="12522BF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4,156.00 </w:t>
            </w:r>
          </w:p>
        </w:tc>
        <w:tc>
          <w:tcPr>
            <w:tcW w:w="577" w:type="pct"/>
            <w:tcBorders>
              <w:top w:val="nil"/>
              <w:left w:val="nil"/>
              <w:bottom w:val="single" w:sz="4" w:space="0" w:color="auto"/>
              <w:right w:val="single" w:sz="4" w:space="0" w:color="auto"/>
            </w:tcBorders>
            <w:shd w:val="clear" w:color="auto" w:fill="auto"/>
            <w:noWrap/>
            <w:vAlign w:val="bottom"/>
            <w:hideMark/>
          </w:tcPr>
          <w:p w14:paraId="756DAE6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5,025.53 </w:t>
            </w:r>
          </w:p>
        </w:tc>
        <w:tc>
          <w:tcPr>
            <w:tcW w:w="529" w:type="pct"/>
            <w:tcBorders>
              <w:top w:val="nil"/>
              <w:left w:val="nil"/>
              <w:bottom w:val="single" w:sz="4" w:space="0" w:color="auto"/>
              <w:right w:val="single" w:sz="4" w:space="0" w:color="auto"/>
            </w:tcBorders>
            <w:shd w:val="clear" w:color="auto" w:fill="auto"/>
            <w:noWrap/>
            <w:vAlign w:val="bottom"/>
            <w:hideMark/>
          </w:tcPr>
          <w:p w14:paraId="0BC848B6"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1D9A36E0"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111.39 </w:t>
            </w:r>
          </w:p>
        </w:tc>
        <w:tc>
          <w:tcPr>
            <w:tcW w:w="577" w:type="pct"/>
            <w:tcBorders>
              <w:top w:val="nil"/>
              <w:left w:val="nil"/>
              <w:bottom w:val="single" w:sz="4" w:space="0" w:color="auto"/>
              <w:right w:val="single" w:sz="4" w:space="0" w:color="auto"/>
            </w:tcBorders>
            <w:shd w:val="clear" w:color="auto" w:fill="auto"/>
            <w:noWrap/>
            <w:vAlign w:val="bottom"/>
            <w:hideMark/>
          </w:tcPr>
          <w:p w14:paraId="4037F12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41.19 </w:t>
            </w:r>
          </w:p>
        </w:tc>
      </w:tr>
      <w:tr w:rsidR="00B30DDC" w:rsidRPr="00B30DDC" w14:paraId="65F517EC"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D5F9D2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major vascular complication (beyond index)   </w:t>
            </w:r>
          </w:p>
        </w:tc>
        <w:tc>
          <w:tcPr>
            <w:tcW w:w="673" w:type="pct"/>
            <w:tcBorders>
              <w:top w:val="nil"/>
              <w:left w:val="nil"/>
              <w:bottom w:val="single" w:sz="4" w:space="0" w:color="auto"/>
              <w:right w:val="single" w:sz="4" w:space="0" w:color="auto"/>
            </w:tcBorders>
            <w:shd w:val="clear" w:color="auto" w:fill="auto"/>
            <w:noWrap/>
            <w:vAlign w:val="bottom"/>
            <w:hideMark/>
          </w:tcPr>
          <w:p w14:paraId="681CD09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7,511.48 </w:t>
            </w:r>
          </w:p>
        </w:tc>
        <w:tc>
          <w:tcPr>
            <w:tcW w:w="577" w:type="pct"/>
            <w:tcBorders>
              <w:top w:val="nil"/>
              <w:left w:val="nil"/>
              <w:bottom w:val="single" w:sz="4" w:space="0" w:color="auto"/>
              <w:right w:val="single" w:sz="4" w:space="0" w:color="auto"/>
            </w:tcBorders>
            <w:shd w:val="clear" w:color="auto" w:fill="auto"/>
            <w:noWrap/>
            <w:vAlign w:val="bottom"/>
            <w:hideMark/>
          </w:tcPr>
          <w:p w14:paraId="347AE82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6,932.37 </w:t>
            </w:r>
          </w:p>
        </w:tc>
        <w:tc>
          <w:tcPr>
            <w:tcW w:w="577" w:type="pct"/>
            <w:tcBorders>
              <w:top w:val="nil"/>
              <w:left w:val="nil"/>
              <w:bottom w:val="single" w:sz="4" w:space="0" w:color="auto"/>
              <w:right w:val="single" w:sz="4" w:space="0" w:color="auto"/>
            </w:tcBorders>
            <w:shd w:val="clear" w:color="auto" w:fill="auto"/>
            <w:noWrap/>
            <w:vAlign w:val="bottom"/>
            <w:hideMark/>
          </w:tcPr>
          <w:p w14:paraId="6A28FBF4"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8,091.93 </w:t>
            </w:r>
          </w:p>
        </w:tc>
        <w:tc>
          <w:tcPr>
            <w:tcW w:w="529" w:type="pct"/>
            <w:tcBorders>
              <w:top w:val="nil"/>
              <w:left w:val="nil"/>
              <w:bottom w:val="single" w:sz="4" w:space="0" w:color="auto"/>
              <w:right w:val="single" w:sz="4" w:space="0" w:color="auto"/>
            </w:tcBorders>
            <w:shd w:val="clear" w:color="auto" w:fill="auto"/>
            <w:noWrap/>
            <w:vAlign w:val="bottom"/>
            <w:hideMark/>
          </w:tcPr>
          <w:p w14:paraId="4156AD09"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3539139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167.85 </w:t>
            </w:r>
          </w:p>
        </w:tc>
        <w:tc>
          <w:tcPr>
            <w:tcW w:w="577" w:type="pct"/>
            <w:tcBorders>
              <w:top w:val="nil"/>
              <w:left w:val="nil"/>
              <w:bottom w:val="single" w:sz="4" w:space="0" w:color="auto"/>
              <w:right w:val="single" w:sz="4" w:space="0" w:color="auto"/>
            </w:tcBorders>
            <w:shd w:val="clear" w:color="auto" w:fill="auto"/>
            <w:noWrap/>
            <w:vAlign w:val="bottom"/>
            <w:hideMark/>
          </w:tcPr>
          <w:p w14:paraId="69B1D2E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44.75 </w:t>
            </w:r>
          </w:p>
        </w:tc>
      </w:tr>
      <w:tr w:rsidR="00B30DDC" w:rsidRPr="00B30DDC" w14:paraId="5C369AEF"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06A3AC6D"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atrial fibrillation (beyond index)   </w:t>
            </w:r>
          </w:p>
        </w:tc>
        <w:tc>
          <w:tcPr>
            <w:tcW w:w="673" w:type="pct"/>
            <w:tcBorders>
              <w:top w:val="nil"/>
              <w:left w:val="nil"/>
              <w:bottom w:val="single" w:sz="4" w:space="0" w:color="auto"/>
              <w:right w:val="single" w:sz="4" w:space="0" w:color="auto"/>
            </w:tcBorders>
            <w:shd w:val="clear" w:color="auto" w:fill="auto"/>
            <w:noWrap/>
            <w:vAlign w:val="bottom"/>
            <w:hideMark/>
          </w:tcPr>
          <w:p w14:paraId="501A967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3,607.76 </w:t>
            </w:r>
          </w:p>
        </w:tc>
        <w:tc>
          <w:tcPr>
            <w:tcW w:w="577" w:type="pct"/>
            <w:tcBorders>
              <w:top w:val="nil"/>
              <w:left w:val="nil"/>
              <w:bottom w:val="single" w:sz="4" w:space="0" w:color="auto"/>
              <w:right w:val="single" w:sz="4" w:space="0" w:color="auto"/>
            </w:tcBorders>
            <w:shd w:val="clear" w:color="auto" w:fill="auto"/>
            <w:noWrap/>
            <w:vAlign w:val="bottom"/>
            <w:hideMark/>
          </w:tcPr>
          <w:p w14:paraId="270ADD9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3,109.91 </w:t>
            </w:r>
          </w:p>
        </w:tc>
        <w:tc>
          <w:tcPr>
            <w:tcW w:w="577" w:type="pct"/>
            <w:tcBorders>
              <w:top w:val="nil"/>
              <w:left w:val="nil"/>
              <w:bottom w:val="single" w:sz="4" w:space="0" w:color="auto"/>
              <w:right w:val="single" w:sz="4" w:space="0" w:color="auto"/>
            </w:tcBorders>
            <w:shd w:val="clear" w:color="auto" w:fill="auto"/>
            <w:noWrap/>
            <w:vAlign w:val="bottom"/>
            <w:hideMark/>
          </w:tcPr>
          <w:p w14:paraId="66E3066C"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4,113.29 </w:t>
            </w:r>
          </w:p>
        </w:tc>
        <w:tc>
          <w:tcPr>
            <w:tcW w:w="529" w:type="pct"/>
            <w:tcBorders>
              <w:top w:val="nil"/>
              <w:left w:val="nil"/>
              <w:bottom w:val="single" w:sz="4" w:space="0" w:color="auto"/>
              <w:right w:val="single" w:sz="4" w:space="0" w:color="auto"/>
            </w:tcBorders>
            <w:shd w:val="clear" w:color="auto" w:fill="auto"/>
            <w:noWrap/>
            <w:vAlign w:val="bottom"/>
            <w:hideMark/>
          </w:tcPr>
          <w:p w14:paraId="2E7A5C04"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2728C5D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51.71 </w:t>
            </w:r>
          </w:p>
        </w:tc>
        <w:tc>
          <w:tcPr>
            <w:tcW w:w="577" w:type="pct"/>
            <w:tcBorders>
              <w:top w:val="nil"/>
              <w:left w:val="nil"/>
              <w:bottom w:val="single" w:sz="4" w:space="0" w:color="auto"/>
              <w:right w:val="single" w:sz="4" w:space="0" w:color="auto"/>
            </w:tcBorders>
            <w:shd w:val="clear" w:color="auto" w:fill="auto"/>
            <w:noWrap/>
            <w:vAlign w:val="bottom"/>
            <w:hideMark/>
          </w:tcPr>
          <w:p w14:paraId="6239BDE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69.76 </w:t>
            </w:r>
          </w:p>
        </w:tc>
      </w:tr>
      <w:tr w:rsidR="00B30DDC" w:rsidRPr="00B30DDC" w14:paraId="5D2353CE"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5E2AB20"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aortic valve rehospitalization (beyond index)   </w:t>
            </w:r>
          </w:p>
        </w:tc>
        <w:tc>
          <w:tcPr>
            <w:tcW w:w="673" w:type="pct"/>
            <w:tcBorders>
              <w:top w:val="nil"/>
              <w:left w:val="nil"/>
              <w:bottom w:val="single" w:sz="4" w:space="0" w:color="auto"/>
              <w:right w:val="single" w:sz="4" w:space="0" w:color="auto"/>
            </w:tcBorders>
            <w:shd w:val="clear" w:color="auto" w:fill="auto"/>
            <w:noWrap/>
            <w:vAlign w:val="bottom"/>
            <w:hideMark/>
          </w:tcPr>
          <w:p w14:paraId="53CBBE78"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4,788.74 </w:t>
            </w:r>
          </w:p>
        </w:tc>
        <w:tc>
          <w:tcPr>
            <w:tcW w:w="577" w:type="pct"/>
            <w:tcBorders>
              <w:top w:val="nil"/>
              <w:left w:val="nil"/>
              <w:bottom w:val="single" w:sz="4" w:space="0" w:color="auto"/>
              <w:right w:val="single" w:sz="4" w:space="0" w:color="auto"/>
            </w:tcBorders>
            <w:shd w:val="clear" w:color="auto" w:fill="auto"/>
            <w:noWrap/>
            <w:vAlign w:val="bottom"/>
            <w:hideMark/>
          </w:tcPr>
          <w:p w14:paraId="4A56E540"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4,550.90 </w:t>
            </w:r>
          </w:p>
        </w:tc>
        <w:tc>
          <w:tcPr>
            <w:tcW w:w="577" w:type="pct"/>
            <w:tcBorders>
              <w:top w:val="nil"/>
              <w:left w:val="nil"/>
              <w:bottom w:val="single" w:sz="4" w:space="0" w:color="auto"/>
              <w:right w:val="single" w:sz="4" w:space="0" w:color="auto"/>
            </w:tcBorders>
            <w:shd w:val="clear" w:color="auto" w:fill="auto"/>
            <w:noWrap/>
            <w:vAlign w:val="bottom"/>
            <w:hideMark/>
          </w:tcPr>
          <w:p w14:paraId="02A5920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5,026.59 </w:t>
            </w:r>
          </w:p>
        </w:tc>
        <w:tc>
          <w:tcPr>
            <w:tcW w:w="529" w:type="pct"/>
            <w:tcBorders>
              <w:top w:val="nil"/>
              <w:left w:val="nil"/>
              <w:bottom w:val="single" w:sz="4" w:space="0" w:color="auto"/>
              <w:right w:val="single" w:sz="4" w:space="0" w:color="auto"/>
            </w:tcBorders>
            <w:shd w:val="clear" w:color="auto" w:fill="auto"/>
            <w:noWrap/>
            <w:vAlign w:val="bottom"/>
            <w:hideMark/>
          </w:tcPr>
          <w:p w14:paraId="24E0F9B4"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65D8475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405.37 </w:t>
            </w:r>
          </w:p>
        </w:tc>
        <w:tc>
          <w:tcPr>
            <w:tcW w:w="577" w:type="pct"/>
            <w:tcBorders>
              <w:top w:val="nil"/>
              <w:left w:val="nil"/>
              <w:bottom w:val="single" w:sz="4" w:space="0" w:color="auto"/>
              <w:right w:val="single" w:sz="4" w:space="0" w:color="auto"/>
            </w:tcBorders>
            <w:shd w:val="clear" w:color="auto" w:fill="auto"/>
            <w:noWrap/>
            <w:vAlign w:val="bottom"/>
            <w:hideMark/>
          </w:tcPr>
          <w:p w14:paraId="353569A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11.81 </w:t>
            </w:r>
          </w:p>
        </w:tc>
      </w:tr>
      <w:tr w:rsidR="00B30DDC" w:rsidRPr="00B30DDC" w14:paraId="17655FCE"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2F52F6C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reintervention (surgical) (beyond index)   </w:t>
            </w:r>
          </w:p>
        </w:tc>
        <w:tc>
          <w:tcPr>
            <w:tcW w:w="673" w:type="pct"/>
            <w:tcBorders>
              <w:top w:val="nil"/>
              <w:left w:val="nil"/>
              <w:bottom w:val="single" w:sz="4" w:space="0" w:color="auto"/>
              <w:right w:val="single" w:sz="4" w:space="0" w:color="auto"/>
            </w:tcBorders>
            <w:shd w:val="clear" w:color="auto" w:fill="auto"/>
            <w:noWrap/>
            <w:vAlign w:val="bottom"/>
            <w:hideMark/>
          </w:tcPr>
          <w:p w14:paraId="1CD119B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23,323.97 </w:t>
            </w:r>
          </w:p>
        </w:tc>
        <w:tc>
          <w:tcPr>
            <w:tcW w:w="577" w:type="pct"/>
            <w:tcBorders>
              <w:top w:val="nil"/>
              <w:left w:val="nil"/>
              <w:bottom w:val="single" w:sz="4" w:space="0" w:color="auto"/>
              <w:right w:val="single" w:sz="4" w:space="0" w:color="auto"/>
            </w:tcBorders>
            <w:shd w:val="clear" w:color="auto" w:fill="auto"/>
            <w:noWrap/>
            <w:vAlign w:val="bottom"/>
            <w:hideMark/>
          </w:tcPr>
          <w:p w14:paraId="1CD34B08"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20,991.58 </w:t>
            </w:r>
          </w:p>
        </w:tc>
        <w:tc>
          <w:tcPr>
            <w:tcW w:w="577" w:type="pct"/>
            <w:tcBorders>
              <w:top w:val="nil"/>
              <w:left w:val="nil"/>
              <w:bottom w:val="single" w:sz="4" w:space="0" w:color="auto"/>
              <w:right w:val="single" w:sz="4" w:space="0" w:color="auto"/>
            </w:tcBorders>
            <w:shd w:val="clear" w:color="auto" w:fill="auto"/>
            <w:noWrap/>
            <w:vAlign w:val="bottom"/>
            <w:hideMark/>
          </w:tcPr>
          <w:p w14:paraId="70F2406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€ 25,656.37 </w:t>
            </w:r>
          </w:p>
        </w:tc>
        <w:tc>
          <w:tcPr>
            <w:tcW w:w="529" w:type="pct"/>
            <w:tcBorders>
              <w:top w:val="nil"/>
              <w:left w:val="nil"/>
              <w:bottom w:val="single" w:sz="4" w:space="0" w:color="auto"/>
              <w:right w:val="single" w:sz="4" w:space="0" w:color="auto"/>
            </w:tcBorders>
            <w:shd w:val="clear" w:color="auto" w:fill="auto"/>
            <w:noWrap/>
            <w:vAlign w:val="bottom"/>
            <w:hideMark/>
          </w:tcPr>
          <w:p w14:paraId="189EA397"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18F6936D"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46827F9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233.24 </w:t>
            </w:r>
          </w:p>
        </w:tc>
      </w:tr>
      <w:tr w:rsidR="00B30DDC" w:rsidRPr="00B30DDC" w14:paraId="27288C3C"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2719322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End-of-life costs  </w:t>
            </w:r>
          </w:p>
        </w:tc>
        <w:tc>
          <w:tcPr>
            <w:tcW w:w="673" w:type="pct"/>
            <w:tcBorders>
              <w:top w:val="nil"/>
              <w:left w:val="nil"/>
              <w:bottom w:val="single" w:sz="4" w:space="0" w:color="auto"/>
              <w:right w:val="single" w:sz="4" w:space="0" w:color="auto"/>
            </w:tcBorders>
            <w:shd w:val="clear" w:color="auto" w:fill="auto"/>
            <w:noWrap/>
            <w:vAlign w:val="bottom"/>
            <w:hideMark/>
          </w:tcPr>
          <w:p w14:paraId="0CA61DF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7,202.04 </w:t>
            </w:r>
          </w:p>
        </w:tc>
        <w:tc>
          <w:tcPr>
            <w:tcW w:w="577" w:type="pct"/>
            <w:tcBorders>
              <w:top w:val="nil"/>
              <w:left w:val="nil"/>
              <w:bottom w:val="single" w:sz="4" w:space="0" w:color="auto"/>
              <w:right w:val="single" w:sz="4" w:space="0" w:color="auto"/>
            </w:tcBorders>
            <w:shd w:val="clear" w:color="auto" w:fill="auto"/>
            <w:noWrap/>
            <w:vAlign w:val="bottom"/>
            <w:hideMark/>
          </w:tcPr>
          <w:p w14:paraId="5BD7989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6,725.14 </w:t>
            </w:r>
          </w:p>
        </w:tc>
        <w:tc>
          <w:tcPr>
            <w:tcW w:w="577" w:type="pct"/>
            <w:tcBorders>
              <w:top w:val="nil"/>
              <w:left w:val="nil"/>
              <w:bottom w:val="single" w:sz="4" w:space="0" w:color="auto"/>
              <w:right w:val="single" w:sz="4" w:space="0" w:color="auto"/>
            </w:tcBorders>
            <w:shd w:val="clear" w:color="auto" w:fill="auto"/>
            <w:noWrap/>
            <w:vAlign w:val="bottom"/>
            <w:hideMark/>
          </w:tcPr>
          <w:p w14:paraId="7905C43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7,678.93 </w:t>
            </w:r>
          </w:p>
        </w:tc>
        <w:tc>
          <w:tcPr>
            <w:tcW w:w="529" w:type="pct"/>
            <w:tcBorders>
              <w:top w:val="nil"/>
              <w:left w:val="nil"/>
              <w:bottom w:val="single" w:sz="4" w:space="0" w:color="auto"/>
              <w:right w:val="single" w:sz="4" w:space="0" w:color="auto"/>
            </w:tcBorders>
            <w:shd w:val="clear" w:color="auto" w:fill="auto"/>
            <w:noWrap/>
            <w:vAlign w:val="bottom"/>
            <w:hideMark/>
          </w:tcPr>
          <w:p w14:paraId="6D45CA12"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29660F0C"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228.07 </w:t>
            </w:r>
          </w:p>
        </w:tc>
        <w:tc>
          <w:tcPr>
            <w:tcW w:w="577" w:type="pct"/>
            <w:tcBorders>
              <w:top w:val="nil"/>
              <w:left w:val="nil"/>
              <w:bottom w:val="single" w:sz="4" w:space="0" w:color="auto"/>
              <w:right w:val="single" w:sz="4" w:space="0" w:color="auto"/>
            </w:tcBorders>
            <w:shd w:val="clear" w:color="auto" w:fill="auto"/>
            <w:noWrap/>
            <w:vAlign w:val="bottom"/>
            <w:hideMark/>
          </w:tcPr>
          <w:p w14:paraId="4B5C189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31.58 </w:t>
            </w:r>
          </w:p>
        </w:tc>
      </w:tr>
      <w:tr w:rsidR="00B30DDC" w:rsidRPr="00B30DDC" w14:paraId="609F86C6"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998ADC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Cost of transportation  </w:t>
            </w:r>
          </w:p>
        </w:tc>
        <w:tc>
          <w:tcPr>
            <w:tcW w:w="673" w:type="pct"/>
            <w:tcBorders>
              <w:top w:val="nil"/>
              <w:left w:val="nil"/>
              <w:bottom w:val="single" w:sz="4" w:space="0" w:color="auto"/>
              <w:right w:val="single" w:sz="4" w:space="0" w:color="auto"/>
            </w:tcBorders>
            <w:shd w:val="clear" w:color="auto" w:fill="auto"/>
            <w:noWrap/>
            <w:vAlign w:val="bottom"/>
            <w:hideMark/>
          </w:tcPr>
          <w:p w14:paraId="51500FF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73.43 </w:t>
            </w:r>
          </w:p>
        </w:tc>
        <w:tc>
          <w:tcPr>
            <w:tcW w:w="577" w:type="pct"/>
            <w:tcBorders>
              <w:top w:val="nil"/>
              <w:left w:val="nil"/>
              <w:bottom w:val="single" w:sz="4" w:space="0" w:color="auto"/>
              <w:right w:val="single" w:sz="4" w:space="0" w:color="auto"/>
            </w:tcBorders>
            <w:shd w:val="clear" w:color="auto" w:fill="auto"/>
            <w:noWrap/>
            <w:vAlign w:val="bottom"/>
            <w:hideMark/>
          </w:tcPr>
          <w:p w14:paraId="0781AB6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66.09 </w:t>
            </w:r>
          </w:p>
        </w:tc>
        <w:tc>
          <w:tcPr>
            <w:tcW w:w="577" w:type="pct"/>
            <w:tcBorders>
              <w:top w:val="nil"/>
              <w:left w:val="nil"/>
              <w:bottom w:val="single" w:sz="4" w:space="0" w:color="auto"/>
              <w:right w:val="single" w:sz="4" w:space="0" w:color="auto"/>
            </w:tcBorders>
            <w:shd w:val="clear" w:color="auto" w:fill="auto"/>
            <w:noWrap/>
            <w:vAlign w:val="bottom"/>
            <w:hideMark/>
          </w:tcPr>
          <w:p w14:paraId="1498A5F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        80.78 </w:t>
            </w:r>
          </w:p>
        </w:tc>
        <w:tc>
          <w:tcPr>
            <w:tcW w:w="529" w:type="pct"/>
            <w:tcBorders>
              <w:top w:val="nil"/>
              <w:left w:val="nil"/>
              <w:bottom w:val="single" w:sz="4" w:space="0" w:color="auto"/>
              <w:right w:val="single" w:sz="4" w:space="0" w:color="auto"/>
            </w:tcBorders>
            <w:shd w:val="clear" w:color="auto" w:fill="auto"/>
            <w:noWrap/>
            <w:vAlign w:val="bottom"/>
            <w:hideMark/>
          </w:tcPr>
          <w:p w14:paraId="3F23ECFE"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60479434"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350D771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0.73 </w:t>
            </w:r>
          </w:p>
        </w:tc>
      </w:tr>
      <w:tr w:rsidR="00B30DDC" w:rsidRPr="00B30DDC" w14:paraId="1FFBDB57"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30241B4"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Cohort age</w:t>
            </w:r>
          </w:p>
        </w:tc>
        <w:tc>
          <w:tcPr>
            <w:tcW w:w="673" w:type="pct"/>
            <w:tcBorders>
              <w:top w:val="nil"/>
              <w:left w:val="nil"/>
              <w:bottom w:val="single" w:sz="4" w:space="0" w:color="auto"/>
              <w:right w:val="single" w:sz="4" w:space="0" w:color="auto"/>
            </w:tcBorders>
            <w:shd w:val="clear" w:color="auto" w:fill="auto"/>
            <w:noWrap/>
            <w:vAlign w:val="bottom"/>
            <w:hideMark/>
          </w:tcPr>
          <w:p w14:paraId="689F862E"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73.9</w:t>
            </w:r>
          </w:p>
        </w:tc>
        <w:tc>
          <w:tcPr>
            <w:tcW w:w="577" w:type="pct"/>
            <w:tcBorders>
              <w:top w:val="nil"/>
              <w:left w:val="nil"/>
              <w:bottom w:val="single" w:sz="4" w:space="0" w:color="auto"/>
              <w:right w:val="single" w:sz="4" w:space="0" w:color="auto"/>
            </w:tcBorders>
            <w:shd w:val="clear" w:color="auto" w:fill="auto"/>
            <w:noWrap/>
            <w:vAlign w:val="bottom"/>
            <w:hideMark/>
          </w:tcPr>
          <w:p w14:paraId="4AEB9336"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66</w:t>
            </w:r>
          </w:p>
        </w:tc>
        <w:tc>
          <w:tcPr>
            <w:tcW w:w="577" w:type="pct"/>
            <w:tcBorders>
              <w:top w:val="nil"/>
              <w:left w:val="nil"/>
              <w:bottom w:val="single" w:sz="4" w:space="0" w:color="auto"/>
              <w:right w:val="single" w:sz="4" w:space="0" w:color="auto"/>
            </w:tcBorders>
            <w:shd w:val="clear" w:color="auto" w:fill="auto"/>
            <w:noWrap/>
            <w:vAlign w:val="bottom"/>
            <w:hideMark/>
          </w:tcPr>
          <w:p w14:paraId="4A7B6C29"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81</w:t>
            </w:r>
          </w:p>
        </w:tc>
        <w:tc>
          <w:tcPr>
            <w:tcW w:w="529" w:type="pct"/>
            <w:tcBorders>
              <w:top w:val="nil"/>
              <w:left w:val="nil"/>
              <w:bottom w:val="single" w:sz="4" w:space="0" w:color="auto"/>
              <w:right w:val="single" w:sz="4" w:space="0" w:color="auto"/>
            </w:tcBorders>
            <w:shd w:val="clear" w:color="auto" w:fill="auto"/>
            <w:noWrap/>
            <w:vAlign w:val="bottom"/>
            <w:hideMark/>
          </w:tcPr>
          <w:p w14:paraId="7BF15029"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Normal</w:t>
            </w:r>
          </w:p>
        </w:tc>
        <w:tc>
          <w:tcPr>
            <w:tcW w:w="625" w:type="pct"/>
            <w:tcBorders>
              <w:top w:val="nil"/>
              <w:left w:val="nil"/>
              <w:bottom w:val="single" w:sz="4" w:space="0" w:color="auto"/>
              <w:right w:val="single" w:sz="4" w:space="0" w:color="auto"/>
            </w:tcBorders>
            <w:shd w:val="clear" w:color="auto" w:fill="auto"/>
            <w:noWrap/>
            <w:vAlign w:val="bottom"/>
            <w:hideMark/>
          </w:tcPr>
          <w:p w14:paraId="739D2AF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100.00 </w:t>
            </w:r>
          </w:p>
        </w:tc>
        <w:tc>
          <w:tcPr>
            <w:tcW w:w="577" w:type="pct"/>
            <w:tcBorders>
              <w:top w:val="nil"/>
              <w:left w:val="nil"/>
              <w:bottom w:val="single" w:sz="4" w:space="0" w:color="auto"/>
              <w:right w:val="single" w:sz="4" w:space="0" w:color="auto"/>
            </w:tcBorders>
            <w:shd w:val="clear" w:color="auto" w:fill="auto"/>
            <w:noWrap/>
            <w:vAlign w:val="bottom"/>
            <w:hideMark/>
          </w:tcPr>
          <w:p w14:paraId="6F86C33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0.74 </w:t>
            </w:r>
          </w:p>
        </w:tc>
      </w:tr>
      <w:tr w:rsidR="00B30DDC" w:rsidRPr="00B30DDC" w14:paraId="1EB56FFC"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1C1A61A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Gender (% female)</w:t>
            </w:r>
          </w:p>
        </w:tc>
        <w:tc>
          <w:tcPr>
            <w:tcW w:w="673" w:type="pct"/>
            <w:tcBorders>
              <w:top w:val="nil"/>
              <w:left w:val="nil"/>
              <w:bottom w:val="single" w:sz="4" w:space="0" w:color="auto"/>
              <w:right w:val="single" w:sz="4" w:space="0" w:color="auto"/>
            </w:tcBorders>
            <w:shd w:val="clear" w:color="auto" w:fill="auto"/>
            <w:noWrap/>
            <w:vAlign w:val="bottom"/>
            <w:hideMark/>
          </w:tcPr>
          <w:p w14:paraId="3B216E0E"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0.353</w:t>
            </w:r>
          </w:p>
        </w:tc>
        <w:tc>
          <w:tcPr>
            <w:tcW w:w="577" w:type="pct"/>
            <w:tcBorders>
              <w:top w:val="nil"/>
              <w:left w:val="nil"/>
              <w:bottom w:val="single" w:sz="4" w:space="0" w:color="auto"/>
              <w:right w:val="single" w:sz="4" w:space="0" w:color="auto"/>
            </w:tcBorders>
            <w:shd w:val="clear" w:color="auto" w:fill="auto"/>
            <w:noWrap/>
            <w:vAlign w:val="bottom"/>
            <w:hideMark/>
          </w:tcPr>
          <w:p w14:paraId="0C87EAE0"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554A5A68"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1.0000</w:t>
            </w:r>
          </w:p>
        </w:tc>
        <w:tc>
          <w:tcPr>
            <w:tcW w:w="529" w:type="pct"/>
            <w:tcBorders>
              <w:top w:val="nil"/>
              <w:left w:val="nil"/>
              <w:bottom w:val="single" w:sz="4" w:space="0" w:color="auto"/>
              <w:right w:val="single" w:sz="4" w:space="0" w:color="auto"/>
            </w:tcBorders>
            <w:shd w:val="clear" w:color="auto" w:fill="auto"/>
            <w:noWrap/>
            <w:vAlign w:val="bottom"/>
            <w:hideMark/>
          </w:tcPr>
          <w:p w14:paraId="207B291E"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2FE5158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805.87 </w:t>
            </w:r>
          </w:p>
        </w:tc>
        <w:tc>
          <w:tcPr>
            <w:tcW w:w="577" w:type="pct"/>
            <w:tcBorders>
              <w:top w:val="nil"/>
              <w:left w:val="nil"/>
              <w:bottom w:val="single" w:sz="4" w:space="0" w:color="auto"/>
              <w:right w:val="single" w:sz="4" w:space="0" w:color="auto"/>
            </w:tcBorders>
            <w:shd w:val="clear" w:color="auto" w:fill="auto"/>
            <w:noWrap/>
            <w:vAlign w:val="bottom"/>
            <w:hideMark/>
          </w:tcPr>
          <w:p w14:paraId="0276B2C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1,477.04 </w:t>
            </w:r>
          </w:p>
        </w:tc>
      </w:tr>
      <w:tr w:rsidR="00B30DDC" w:rsidRPr="00B30DDC" w14:paraId="3DA8BF7A"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195DB6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Stroke 30d - SAVR</w:t>
            </w:r>
          </w:p>
        </w:tc>
        <w:tc>
          <w:tcPr>
            <w:tcW w:w="673" w:type="pct"/>
            <w:tcBorders>
              <w:top w:val="nil"/>
              <w:left w:val="nil"/>
              <w:bottom w:val="single" w:sz="4" w:space="0" w:color="auto"/>
              <w:right w:val="single" w:sz="4" w:space="0" w:color="auto"/>
            </w:tcBorders>
            <w:shd w:val="clear" w:color="auto" w:fill="auto"/>
            <w:noWrap/>
            <w:vAlign w:val="bottom"/>
            <w:hideMark/>
          </w:tcPr>
          <w:p w14:paraId="5D0F12D9"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0.032</w:t>
            </w:r>
          </w:p>
        </w:tc>
        <w:tc>
          <w:tcPr>
            <w:tcW w:w="577" w:type="pct"/>
            <w:tcBorders>
              <w:top w:val="nil"/>
              <w:left w:val="nil"/>
              <w:bottom w:val="single" w:sz="4" w:space="0" w:color="auto"/>
              <w:right w:val="single" w:sz="4" w:space="0" w:color="auto"/>
            </w:tcBorders>
            <w:shd w:val="clear" w:color="auto" w:fill="auto"/>
            <w:noWrap/>
            <w:vAlign w:val="bottom"/>
            <w:hideMark/>
          </w:tcPr>
          <w:p w14:paraId="26530884"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0.0191</w:t>
            </w:r>
          </w:p>
        </w:tc>
        <w:tc>
          <w:tcPr>
            <w:tcW w:w="577" w:type="pct"/>
            <w:tcBorders>
              <w:top w:val="nil"/>
              <w:left w:val="nil"/>
              <w:bottom w:val="single" w:sz="4" w:space="0" w:color="auto"/>
              <w:right w:val="single" w:sz="4" w:space="0" w:color="auto"/>
            </w:tcBorders>
            <w:shd w:val="clear" w:color="auto" w:fill="auto"/>
            <w:noWrap/>
            <w:vAlign w:val="bottom"/>
            <w:hideMark/>
          </w:tcPr>
          <w:p w14:paraId="5A7A8931"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0.0483</w:t>
            </w:r>
          </w:p>
        </w:tc>
        <w:tc>
          <w:tcPr>
            <w:tcW w:w="529" w:type="pct"/>
            <w:tcBorders>
              <w:top w:val="nil"/>
              <w:left w:val="nil"/>
              <w:bottom w:val="single" w:sz="4" w:space="0" w:color="auto"/>
              <w:right w:val="single" w:sz="4" w:space="0" w:color="auto"/>
            </w:tcBorders>
            <w:shd w:val="clear" w:color="auto" w:fill="auto"/>
            <w:noWrap/>
            <w:vAlign w:val="bottom"/>
            <w:hideMark/>
          </w:tcPr>
          <w:p w14:paraId="29EE0374"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2B074D2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17.59 </w:t>
            </w:r>
          </w:p>
        </w:tc>
        <w:tc>
          <w:tcPr>
            <w:tcW w:w="577" w:type="pct"/>
            <w:tcBorders>
              <w:top w:val="nil"/>
              <w:left w:val="nil"/>
              <w:bottom w:val="single" w:sz="4" w:space="0" w:color="auto"/>
              <w:right w:val="single" w:sz="4" w:space="0" w:color="auto"/>
            </w:tcBorders>
            <w:shd w:val="clear" w:color="auto" w:fill="auto"/>
            <w:noWrap/>
            <w:vAlign w:val="bottom"/>
            <w:hideMark/>
          </w:tcPr>
          <w:p w14:paraId="522702F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532.09 </w:t>
            </w:r>
          </w:p>
        </w:tc>
      </w:tr>
      <w:tr w:rsidR="00B30DDC" w:rsidRPr="00B30DDC" w14:paraId="135B2A09"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0DC682B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Stroke 30d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13906BD6"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0.034</w:t>
            </w:r>
          </w:p>
        </w:tc>
        <w:tc>
          <w:tcPr>
            <w:tcW w:w="577" w:type="pct"/>
            <w:tcBorders>
              <w:top w:val="nil"/>
              <w:left w:val="nil"/>
              <w:bottom w:val="single" w:sz="4" w:space="0" w:color="auto"/>
              <w:right w:val="single" w:sz="4" w:space="0" w:color="auto"/>
            </w:tcBorders>
            <w:shd w:val="clear" w:color="auto" w:fill="auto"/>
            <w:noWrap/>
            <w:vAlign w:val="bottom"/>
            <w:hideMark/>
          </w:tcPr>
          <w:p w14:paraId="2685B8AD"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0.0212</w:t>
            </w:r>
          </w:p>
        </w:tc>
        <w:tc>
          <w:tcPr>
            <w:tcW w:w="577" w:type="pct"/>
            <w:tcBorders>
              <w:top w:val="nil"/>
              <w:left w:val="nil"/>
              <w:bottom w:val="single" w:sz="4" w:space="0" w:color="auto"/>
              <w:right w:val="single" w:sz="4" w:space="0" w:color="auto"/>
            </w:tcBorders>
            <w:shd w:val="clear" w:color="auto" w:fill="auto"/>
            <w:noWrap/>
            <w:vAlign w:val="bottom"/>
            <w:hideMark/>
          </w:tcPr>
          <w:p w14:paraId="730A86B5"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0.0500</w:t>
            </w:r>
          </w:p>
        </w:tc>
        <w:tc>
          <w:tcPr>
            <w:tcW w:w="529" w:type="pct"/>
            <w:tcBorders>
              <w:top w:val="nil"/>
              <w:left w:val="nil"/>
              <w:bottom w:val="single" w:sz="4" w:space="0" w:color="auto"/>
              <w:right w:val="single" w:sz="4" w:space="0" w:color="auto"/>
            </w:tcBorders>
            <w:shd w:val="clear" w:color="auto" w:fill="auto"/>
            <w:noWrap/>
            <w:vAlign w:val="bottom"/>
            <w:hideMark/>
          </w:tcPr>
          <w:p w14:paraId="75DEC0FE"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7D9EB83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19.82 </w:t>
            </w:r>
          </w:p>
        </w:tc>
        <w:tc>
          <w:tcPr>
            <w:tcW w:w="577" w:type="pct"/>
            <w:tcBorders>
              <w:top w:val="nil"/>
              <w:left w:val="nil"/>
              <w:bottom w:val="single" w:sz="4" w:space="0" w:color="auto"/>
              <w:right w:val="single" w:sz="4" w:space="0" w:color="auto"/>
            </w:tcBorders>
            <w:shd w:val="clear" w:color="auto" w:fill="auto"/>
            <w:noWrap/>
            <w:vAlign w:val="bottom"/>
            <w:hideMark/>
          </w:tcPr>
          <w:p w14:paraId="4D0D53F8"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563.07 </w:t>
            </w:r>
          </w:p>
        </w:tc>
      </w:tr>
      <w:tr w:rsidR="00B30DDC" w:rsidRPr="00B30DDC" w14:paraId="4056A729"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2B68660D"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Myocardial infarction 30d - SAVR</w:t>
            </w:r>
          </w:p>
        </w:tc>
        <w:tc>
          <w:tcPr>
            <w:tcW w:w="673" w:type="pct"/>
            <w:tcBorders>
              <w:top w:val="nil"/>
              <w:left w:val="nil"/>
              <w:bottom w:val="single" w:sz="4" w:space="0" w:color="auto"/>
              <w:right w:val="single" w:sz="4" w:space="0" w:color="auto"/>
            </w:tcBorders>
            <w:shd w:val="clear" w:color="auto" w:fill="auto"/>
            <w:noWrap/>
            <w:vAlign w:val="bottom"/>
            <w:hideMark/>
          </w:tcPr>
          <w:p w14:paraId="5F1FBED6"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0.0132</w:t>
            </w:r>
          </w:p>
        </w:tc>
        <w:tc>
          <w:tcPr>
            <w:tcW w:w="577" w:type="pct"/>
            <w:tcBorders>
              <w:top w:val="nil"/>
              <w:left w:val="nil"/>
              <w:bottom w:val="single" w:sz="4" w:space="0" w:color="auto"/>
              <w:right w:val="single" w:sz="4" w:space="0" w:color="auto"/>
            </w:tcBorders>
            <w:shd w:val="clear" w:color="auto" w:fill="auto"/>
            <w:noWrap/>
            <w:vAlign w:val="bottom"/>
            <w:hideMark/>
          </w:tcPr>
          <w:p w14:paraId="5FE907D5"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77" w:type="pct"/>
            <w:tcBorders>
              <w:top w:val="nil"/>
              <w:left w:val="nil"/>
              <w:bottom w:val="single" w:sz="4" w:space="0" w:color="auto"/>
              <w:right w:val="single" w:sz="4" w:space="0" w:color="auto"/>
            </w:tcBorders>
            <w:shd w:val="clear" w:color="auto" w:fill="auto"/>
            <w:noWrap/>
            <w:vAlign w:val="bottom"/>
            <w:hideMark/>
          </w:tcPr>
          <w:p w14:paraId="09DE6C65"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0.0245</w:t>
            </w:r>
          </w:p>
        </w:tc>
        <w:tc>
          <w:tcPr>
            <w:tcW w:w="529" w:type="pct"/>
            <w:tcBorders>
              <w:top w:val="nil"/>
              <w:left w:val="nil"/>
              <w:bottom w:val="single" w:sz="4" w:space="0" w:color="auto"/>
              <w:right w:val="single" w:sz="4" w:space="0" w:color="auto"/>
            </w:tcBorders>
            <w:shd w:val="clear" w:color="auto" w:fill="auto"/>
            <w:noWrap/>
            <w:vAlign w:val="bottom"/>
            <w:hideMark/>
          </w:tcPr>
          <w:p w14:paraId="34F11564"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FCE67BC"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6.86 </w:t>
            </w:r>
          </w:p>
        </w:tc>
        <w:tc>
          <w:tcPr>
            <w:tcW w:w="577" w:type="pct"/>
            <w:tcBorders>
              <w:top w:val="nil"/>
              <w:left w:val="nil"/>
              <w:bottom w:val="single" w:sz="4" w:space="0" w:color="auto"/>
              <w:right w:val="single" w:sz="4" w:space="0" w:color="auto"/>
            </w:tcBorders>
            <w:shd w:val="clear" w:color="auto" w:fill="auto"/>
            <w:noWrap/>
            <w:vAlign w:val="bottom"/>
            <w:hideMark/>
          </w:tcPr>
          <w:p w14:paraId="4C6E58E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513.17 </w:t>
            </w:r>
          </w:p>
        </w:tc>
      </w:tr>
      <w:tr w:rsidR="00B30DDC" w:rsidRPr="00B30DDC" w14:paraId="56A65D35"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7579DA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Myocardial infarction 30d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574897CA"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0.0082</w:t>
            </w:r>
          </w:p>
        </w:tc>
        <w:tc>
          <w:tcPr>
            <w:tcW w:w="577" w:type="pct"/>
            <w:tcBorders>
              <w:top w:val="nil"/>
              <w:left w:val="nil"/>
              <w:bottom w:val="single" w:sz="4" w:space="0" w:color="auto"/>
              <w:right w:val="single" w:sz="4" w:space="0" w:color="auto"/>
            </w:tcBorders>
            <w:shd w:val="clear" w:color="auto" w:fill="auto"/>
            <w:noWrap/>
            <w:vAlign w:val="bottom"/>
            <w:hideMark/>
          </w:tcPr>
          <w:p w14:paraId="16F40517"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0.0022</w:t>
            </w:r>
          </w:p>
        </w:tc>
        <w:tc>
          <w:tcPr>
            <w:tcW w:w="577" w:type="pct"/>
            <w:tcBorders>
              <w:top w:val="nil"/>
              <w:left w:val="nil"/>
              <w:bottom w:val="single" w:sz="4" w:space="0" w:color="auto"/>
              <w:right w:val="single" w:sz="4" w:space="0" w:color="auto"/>
            </w:tcBorders>
            <w:shd w:val="clear" w:color="auto" w:fill="auto"/>
            <w:noWrap/>
            <w:vAlign w:val="bottom"/>
            <w:hideMark/>
          </w:tcPr>
          <w:p w14:paraId="2A73FBA1"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0.0172</w:t>
            </w:r>
          </w:p>
        </w:tc>
        <w:tc>
          <w:tcPr>
            <w:tcW w:w="529" w:type="pct"/>
            <w:tcBorders>
              <w:top w:val="nil"/>
              <w:left w:val="nil"/>
              <w:bottom w:val="single" w:sz="4" w:space="0" w:color="auto"/>
              <w:right w:val="single" w:sz="4" w:space="0" w:color="auto"/>
            </w:tcBorders>
            <w:shd w:val="clear" w:color="auto" w:fill="auto"/>
            <w:noWrap/>
            <w:vAlign w:val="bottom"/>
            <w:hideMark/>
          </w:tcPr>
          <w:p w14:paraId="3E8912C6"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2BA2141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4.16 </w:t>
            </w:r>
          </w:p>
        </w:tc>
        <w:tc>
          <w:tcPr>
            <w:tcW w:w="577" w:type="pct"/>
            <w:tcBorders>
              <w:top w:val="nil"/>
              <w:left w:val="nil"/>
              <w:bottom w:val="single" w:sz="4" w:space="0" w:color="auto"/>
              <w:right w:val="single" w:sz="4" w:space="0" w:color="auto"/>
            </w:tcBorders>
            <w:shd w:val="clear" w:color="auto" w:fill="auto"/>
            <w:noWrap/>
            <w:vAlign w:val="bottom"/>
            <w:hideMark/>
          </w:tcPr>
          <w:p w14:paraId="03EA82B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503.14 </w:t>
            </w:r>
          </w:p>
        </w:tc>
      </w:tr>
      <w:tr w:rsidR="00B30DDC" w:rsidRPr="00B30DDC" w14:paraId="28ADEBFF"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7529E35" w14:textId="77777777" w:rsidR="00B30DDC" w:rsidRPr="00361E70" w:rsidRDefault="00B30DDC" w:rsidP="00B30DDC">
            <w:pPr>
              <w:spacing w:after="0" w:line="240" w:lineRule="auto"/>
              <w:rPr>
                <w:rFonts w:ascii="Arial Narrow" w:eastAsia="Times New Roman" w:hAnsi="Arial Narrow" w:cs="Arial"/>
                <w:color w:val="000000"/>
                <w:sz w:val="18"/>
                <w:szCs w:val="18"/>
                <w:lang w:val="fr-FR"/>
              </w:rPr>
            </w:pPr>
            <w:r w:rsidRPr="00361E70">
              <w:rPr>
                <w:rFonts w:ascii="Arial Narrow" w:eastAsia="Times New Roman" w:hAnsi="Arial Narrow" w:cs="Arial"/>
                <w:color w:val="000000"/>
                <w:sz w:val="18"/>
                <w:szCs w:val="18"/>
                <w:lang w:val="fr-FR"/>
              </w:rPr>
              <w:t>Permanent pacemaker implantation 30d - SAVR</w:t>
            </w:r>
          </w:p>
        </w:tc>
        <w:tc>
          <w:tcPr>
            <w:tcW w:w="673" w:type="pct"/>
            <w:tcBorders>
              <w:top w:val="nil"/>
              <w:left w:val="nil"/>
              <w:bottom w:val="single" w:sz="4" w:space="0" w:color="auto"/>
              <w:right w:val="single" w:sz="4" w:space="0" w:color="auto"/>
            </w:tcBorders>
            <w:shd w:val="clear" w:color="auto" w:fill="auto"/>
            <w:noWrap/>
            <w:vAlign w:val="bottom"/>
            <w:hideMark/>
          </w:tcPr>
          <w:p w14:paraId="478C3CEE"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0.0599</w:t>
            </w:r>
          </w:p>
        </w:tc>
        <w:tc>
          <w:tcPr>
            <w:tcW w:w="577" w:type="pct"/>
            <w:tcBorders>
              <w:top w:val="nil"/>
              <w:left w:val="nil"/>
              <w:bottom w:val="single" w:sz="4" w:space="0" w:color="auto"/>
              <w:right w:val="single" w:sz="4" w:space="0" w:color="auto"/>
            </w:tcBorders>
            <w:shd w:val="clear" w:color="auto" w:fill="auto"/>
            <w:noWrap/>
            <w:vAlign w:val="bottom"/>
            <w:hideMark/>
          </w:tcPr>
          <w:p w14:paraId="6A0A62F4"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0.0418</w:t>
            </w:r>
          </w:p>
        </w:tc>
        <w:tc>
          <w:tcPr>
            <w:tcW w:w="577" w:type="pct"/>
            <w:tcBorders>
              <w:top w:val="nil"/>
              <w:left w:val="nil"/>
              <w:bottom w:val="single" w:sz="4" w:space="0" w:color="auto"/>
              <w:right w:val="single" w:sz="4" w:space="0" w:color="auto"/>
            </w:tcBorders>
            <w:shd w:val="clear" w:color="auto" w:fill="auto"/>
            <w:noWrap/>
            <w:vAlign w:val="bottom"/>
            <w:hideMark/>
          </w:tcPr>
          <w:p w14:paraId="2B832B72"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0.0810</w:t>
            </w:r>
          </w:p>
        </w:tc>
        <w:tc>
          <w:tcPr>
            <w:tcW w:w="529" w:type="pct"/>
            <w:tcBorders>
              <w:top w:val="nil"/>
              <w:left w:val="nil"/>
              <w:bottom w:val="single" w:sz="4" w:space="0" w:color="auto"/>
              <w:right w:val="single" w:sz="4" w:space="0" w:color="auto"/>
            </w:tcBorders>
            <w:shd w:val="clear" w:color="auto" w:fill="auto"/>
            <w:noWrap/>
            <w:vAlign w:val="bottom"/>
            <w:hideMark/>
          </w:tcPr>
          <w:p w14:paraId="6226711B"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77CDF79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33.67 </w:t>
            </w:r>
          </w:p>
        </w:tc>
        <w:tc>
          <w:tcPr>
            <w:tcW w:w="577" w:type="pct"/>
            <w:tcBorders>
              <w:top w:val="nil"/>
              <w:left w:val="nil"/>
              <w:bottom w:val="single" w:sz="4" w:space="0" w:color="auto"/>
              <w:right w:val="single" w:sz="4" w:space="0" w:color="auto"/>
            </w:tcBorders>
            <w:shd w:val="clear" w:color="auto" w:fill="auto"/>
            <w:noWrap/>
            <w:vAlign w:val="bottom"/>
            <w:hideMark/>
          </w:tcPr>
          <w:p w14:paraId="33A0537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528.45 </w:t>
            </w:r>
          </w:p>
        </w:tc>
      </w:tr>
      <w:tr w:rsidR="00B30DDC" w:rsidRPr="00B30DDC" w14:paraId="553F3533"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343563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Permanent pacemaker implantation 30d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394FB893"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0.171</w:t>
            </w:r>
          </w:p>
        </w:tc>
        <w:tc>
          <w:tcPr>
            <w:tcW w:w="577" w:type="pct"/>
            <w:tcBorders>
              <w:top w:val="nil"/>
              <w:left w:val="nil"/>
              <w:bottom w:val="single" w:sz="4" w:space="0" w:color="auto"/>
              <w:right w:val="single" w:sz="4" w:space="0" w:color="auto"/>
            </w:tcBorders>
            <w:shd w:val="clear" w:color="auto" w:fill="auto"/>
            <w:noWrap/>
            <w:vAlign w:val="bottom"/>
            <w:hideMark/>
          </w:tcPr>
          <w:p w14:paraId="4268C082"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0.1436</w:t>
            </w:r>
          </w:p>
        </w:tc>
        <w:tc>
          <w:tcPr>
            <w:tcW w:w="577" w:type="pct"/>
            <w:tcBorders>
              <w:top w:val="nil"/>
              <w:left w:val="nil"/>
              <w:bottom w:val="single" w:sz="4" w:space="0" w:color="auto"/>
              <w:right w:val="single" w:sz="4" w:space="0" w:color="auto"/>
            </w:tcBorders>
            <w:shd w:val="clear" w:color="auto" w:fill="auto"/>
            <w:noWrap/>
            <w:vAlign w:val="bottom"/>
            <w:hideMark/>
          </w:tcPr>
          <w:p w14:paraId="47AE24A7"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0.1991</w:t>
            </w:r>
          </w:p>
        </w:tc>
        <w:tc>
          <w:tcPr>
            <w:tcW w:w="529" w:type="pct"/>
            <w:tcBorders>
              <w:top w:val="nil"/>
              <w:left w:val="nil"/>
              <w:bottom w:val="single" w:sz="4" w:space="0" w:color="auto"/>
              <w:right w:val="single" w:sz="4" w:space="0" w:color="auto"/>
            </w:tcBorders>
            <w:shd w:val="clear" w:color="auto" w:fill="auto"/>
            <w:noWrap/>
            <w:vAlign w:val="bottom"/>
            <w:hideMark/>
          </w:tcPr>
          <w:p w14:paraId="7EC0E3F2"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48F5AD7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123.51 </w:t>
            </w:r>
          </w:p>
        </w:tc>
        <w:tc>
          <w:tcPr>
            <w:tcW w:w="577" w:type="pct"/>
            <w:tcBorders>
              <w:top w:val="nil"/>
              <w:left w:val="nil"/>
              <w:bottom w:val="single" w:sz="4" w:space="0" w:color="auto"/>
              <w:right w:val="single" w:sz="4" w:space="0" w:color="auto"/>
            </w:tcBorders>
            <w:shd w:val="clear" w:color="auto" w:fill="auto"/>
            <w:noWrap/>
            <w:vAlign w:val="bottom"/>
            <w:hideMark/>
          </w:tcPr>
          <w:p w14:paraId="140D172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598.75 </w:t>
            </w:r>
          </w:p>
        </w:tc>
      </w:tr>
      <w:tr w:rsidR="00B30DDC" w:rsidRPr="00B30DDC" w14:paraId="6C01A650"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74E8B82C"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lastRenderedPageBreak/>
              <w:t>Proportion of PPI during first month in separate admission - SAVR</w:t>
            </w:r>
          </w:p>
        </w:tc>
        <w:tc>
          <w:tcPr>
            <w:tcW w:w="673" w:type="pct"/>
            <w:tcBorders>
              <w:top w:val="nil"/>
              <w:left w:val="nil"/>
              <w:bottom w:val="single" w:sz="4" w:space="0" w:color="auto"/>
              <w:right w:val="single" w:sz="4" w:space="0" w:color="auto"/>
            </w:tcBorders>
            <w:shd w:val="clear" w:color="auto" w:fill="auto"/>
            <w:noWrap/>
            <w:vAlign w:val="bottom"/>
            <w:hideMark/>
          </w:tcPr>
          <w:p w14:paraId="1EEE573D"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0.0488</w:t>
            </w:r>
          </w:p>
        </w:tc>
        <w:tc>
          <w:tcPr>
            <w:tcW w:w="577" w:type="pct"/>
            <w:tcBorders>
              <w:top w:val="nil"/>
              <w:left w:val="nil"/>
              <w:bottom w:val="single" w:sz="4" w:space="0" w:color="auto"/>
              <w:right w:val="single" w:sz="4" w:space="0" w:color="auto"/>
            </w:tcBorders>
            <w:shd w:val="clear" w:color="auto" w:fill="auto"/>
            <w:noWrap/>
            <w:vAlign w:val="bottom"/>
            <w:hideMark/>
          </w:tcPr>
          <w:p w14:paraId="38957E53"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0.0316</w:t>
            </w:r>
          </w:p>
        </w:tc>
        <w:tc>
          <w:tcPr>
            <w:tcW w:w="577" w:type="pct"/>
            <w:tcBorders>
              <w:top w:val="nil"/>
              <w:left w:val="nil"/>
              <w:bottom w:val="single" w:sz="4" w:space="0" w:color="auto"/>
              <w:right w:val="single" w:sz="4" w:space="0" w:color="auto"/>
            </w:tcBorders>
            <w:shd w:val="clear" w:color="auto" w:fill="auto"/>
            <w:noWrap/>
            <w:vAlign w:val="bottom"/>
            <w:hideMark/>
          </w:tcPr>
          <w:p w14:paraId="5A1C14B6"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0.0705</w:t>
            </w:r>
          </w:p>
        </w:tc>
        <w:tc>
          <w:tcPr>
            <w:tcW w:w="529" w:type="pct"/>
            <w:tcBorders>
              <w:top w:val="nil"/>
              <w:left w:val="nil"/>
              <w:bottom w:val="single" w:sz="4" w:space="0" w:color="auto"/>
              <w:right w:val="single" w:sz="4" w:space="0" w:color="auto"/>
            </w:tcBorders>
            <w:shd w:val="clear" w:color="auto" w:fill="auto"/>
            <w:noWrap/>
            <w:vAlign w:val="bottom"/>
            <w:hideMark/>
          </w:tcPr>
          <w:p w14:paraId="02536CCD"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5581B06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22.59 </w:t>
            </w:r>
          </w:p>
        </w:tc>
        <w:tc>
          <w:tcPr>
            <w:tcW w:w="577" w:type="pct"/>
            <w:tcBorders>
              <w:top w:val="nil"/>
              <w:left w:val="nil"/>
              <w:bottom w:val="single" w:sz="4" w:space="0" w:color="auto"/>
              <w:right w:val="single" w:sz="4" w:space="0" w:color="auto"/>
            </w:tcBorders>
            <w:shd w:val="clear" w:color="auto" w:fill="auto"/>
            <w:noWrap/>
            <w:vAlign w:val="bottom"/>
            <w:hideMark/>
          </w:tcPr>
          <w:p w14:paraId="6B59B85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440.42 </w:t>
            </w:r>
          </w:p>
        </w:tc>
      </w:tr>
      <w:tr w:rsidR="00B30DDC" w:rsidRPr="00B30DDC" w14:paraId="2B4DDB4E"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16563AA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Proportion of PPI during first month in separate admission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EvolutR</w:t>
            </w:r>
            <w:proofErr w:type="spellEnd"/>
            <w:r w:rsidRPr="00B30DDC">
              <w:rPr>
                <w:rFonts w:ascii="Arial Narrow" w:eastAsia="Times New Roman" w:hAnsi="Arial Narrow" w:cs="Arial"/>
                <w:color w:val="000000"/>
                <w:sz w:val="18"/>
                <w:szCs w:val="18"/>
              </w:rPr>
              <w:t>/PRO</w:t>
            </w:r>
          </w:p>
        </w:tc>
        <w:tc>
          <w:tcPr>
            <w:tcW w:w="673" w:type="pct"/>
            <w:tcBorders>
              <w:top w:val="nil"/>
              <w:left w:val="nil"/>
              <w:bottom w:val="single" w:sz="4" w:space="0" w:color="auto"/>
              <w:right w:val="single" w:sz="4" w:space="0" w:color="auto"/>
            </w:tcBorders>
            <w:shd w:val="clear" w:color="auto" w:fill="auto"/>
            <w:noWrap/>
            <w:vAlign w:val="bottom"/>
            <w:hideMark/>
          </w:tcPr>
          <w:p w14:paraId="05141E2A"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0.0960</w:t>
            </w:r>
          </w:p>
        </w:tc>
        <w:tc>
          <w:tcPr>
            <w:tcW w:w="577" w:type="pct"/>
            <w:tcBorders>
              <w:top w:val="nil"/>
              <w:left w:val="nil"/>
              <w:bottom w:val="single" w:sz="4" w:space="0" w:color="auto"/>
              <w:right w:val="single" w:sz="4" w:space="0" w:color="auto"/>
            </w:tcBorders>
            <w:shd w:val="clear" w:color="auto" w:fill="auto"/>
            <w:noWrap/>
            <w:vAlign w:val="bottom"/>
            <w:hideMark/>
          </w:tcPr>
          <w:p w14:paraId="6FD5E568"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0.0772</w:t>
            </w:r>
          </w:p>
        </w:tc>
        <w:tc>
          <w:tcPr>
            <w:tcW w:w="577" w:type="pct"/>
            <w:tcBorders>
              <w:top w:val="nil"/>
              <w:left w:val="nil"/>
              <w:bottom w:val="single" w:sz="4" w:space="0" w:color="auto"/>
              <w:right w:val="single" w:sz="4" w:space="0" w:color="auto"/>
            </w:tcBorders>
            <w:shd w:val="clear" w:color="auto" w:fill="auto"/>
            <w:noWrap/>
            <w:vAlign w:val="bottom"/>
            <w:hideMark/>
          </w:tcPr>
          <w:p w14:paraId="7BCEB0CD"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0.1166</w:t>
            </w:r>
          </w:p>
        </w:tc>
        <w:tc>
          <w:tcPr>
            <w:tcW w:w="529" w:type="pct"/>
            <w:tcBorders>
              <w:top w:val="nil"/>
              <w:left w:val="nil"/>
              <w:bottom w:val="single" w:sz="4" w:space="0" w:color="auto"/>
              <w:right w:val="single" w:sz="4" w:space="0" w:color="auto"/>
            </w:tcBorders>
            <w:shd w:val="clear" w:color="auto" w:fill="auto"/>
            <w:noWrap/>
            <w:vAlign w:val="bottom"/>
            <w:hideMark/>
          </w:tcPr>
          <w:p w14:paraId="4361A993"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4B3450C"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83.22 </w:t>
            </w:r>
          </w:p>
        </w:tc>
        <w:tc>
          <w:tcPr>
            <w:tcW w:w="577" w:type="pct"/>
            <w:tcBorders>
              <w:top w:val="nil"/>
              <w:left w:val="nil"/>
              <w:bottom w:val="single" w:sz="4" w:space="0" w:color="auto"/>
              <w:right w:val="single" w:sz="4" w:space="0" w:color="auto"/>
            </w:tcBorders>
            <w:shd w:val="clear" w:color="auto" w:fill="auto"/>
            <w:noWrap/>
            <w:vAlign w:val="bottom"/>
            <w:hideMark/>
          </w:tcPr>
          <w:p w14:paraId="3C6C8C44"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783.62 </w:t>
            </w:r>
          </w:p>
        </w:tc>
      </w:tr>
      <w:tr w:rsidR="00B30DDC" w:rsidRPr="00B30DDC" w14:paraId="26B412E8"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4E3079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Bleeding event (major or life-threatening/disabling) 30d - SAVR</w:t>
            </w:r>
          </w:p>
        </w:tc>
        <w:tc>
          <w:tcPr>
            <w:tcW w:w="673" w:type="pct"/>
            <w:tcBorders>
              <w:top w:val="nil"/>
              <w:left w:val="nil"/>
              <w:bottom w:val="single" w:sz="4" w:space="0" w:color="auto"/>
              <w:right w:val="single" w:sz="4" w:space="0" w:color="auto"/>
            </w:tcBorders>
            <w:shd w:val="clear" w:color="auto" w:fill="auto"/>
            <w:noWrap/>
            <w:vAlign w:val="bottom"/>
            <w:hideMark/>
          </w:tcPr>
          <w:p w14:paraId="74A62368"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0.1038</w:t>
            </w:r>
          </w:p>
        </w:tc>
        <w:tc>
          <w:tcPr>
            <w:tcW w:w="577" w:type="pct"/>
            <w:tcBorders>
              <w:top w:val="nil"/>
              <w:left w:val="nil"/>
              <w:bottom w:val="single" w:sz="4" w:space="0" w:color="auto"/>
              <w:right w:val="single" w:sz="4" w:space="0" w:color="auto"/>
            </w:tcBorders>
            <w:shd w:val="clear" w:color="auto" w:fill="auto"/>
            <w:noWrap/>
            <w:vAlign w:val="bottom"/>
            <w:hideMark/>
          </w:tcPr>
          <w:p w14:paraId="24A955E7"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0.0807</w:t>
            </w:r>
          </w:p>
        </w:tc>
        <w:tc>
          <w:tcPr>
            <w:tcW w:w="577" w:type="pct"/>
            <w:tcBorders>
              <w:top w:val="nil"/>
              <w:left w:val="nil"/>
              <w:bottom w:val="single" w:sz="4" w:space="0" w:color="auto"/>
              <w:right w:val="single" w:sz="4" w:space="0" w:color="auto"/>
            </w:tcBorders>
            <w:shd w:val="clear" w:color="auto" w:fill="auto"/>
            <w:noWrap/>
            <w:vAlign w:val="bottom"/>
            <w:hideMark/>
          </w:tcPr>
          <w:p w14:paraId="0F5141FB"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0.1299</w:t>
            </w:r>
          </w:p>
        </w:tc>
        <w:tc>
          <w:tcPr>
            <w:tcW w:w="529" w:type="pct"/>
            <w:tcBorders>
              <w:top w:val="nil"/>
              <w:left w:val="nil"/>
              <w:bottom w:val="single" w:sz="4" w:space="0" w:color="auto"/>
              <w:right w:val="single" w:sz="4" w:space="0" w:color="auto"/>
            </w:tcBorders>
            <w:shd w:val="clear" w:color="auto" w:fill="auto"/>
            <w:noWrap/>
            <w:vAlign w:val="bottom"/>
            <w:hideMark/>
          </w:tcPr>
          <w:p w14:paraId="3B5D0377"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7A5AB86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61.69 </w:t>
            </w:r>
          </w:p>
        </w:tc>
        <w:tc>
          <w:tcPr>
            <w:tcW w:w="577" w:type="pct"/>
            <w:tcBorders>
              <w:top w:val="nil"/>
              <w:left w:val="nil"/>
              <w:bottom w:val="single" w:sz="4" w:space="0" w:color="auto"/>
              <w:right w:val="single" w:sz="4" w:space="0" w:color="auto"/>
            </w:tcBorders>
            <w:shd w:val="clear" w:color="auto" w:fill="auto"/>
            <w:noWrap/>
            <w:vAlign w:val="bottom"/>
            <w:hideMark/>
          </w:tcPr>
          <w:p w14:paraId="056249C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532.67 </w:t>
            </w:r>
          </w:p>
        </w:tc>
      </w:tr>
      <w:tr w:rsidR="00B30DDC" w:rsidRPr="00B30DDC" w14:paraId="501336F9" w14:textId="77777777" w:rsidTr="00B30DDC">
        <w:trPr>
          <w:trHeight w:val="76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546250C"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Bleeding event (major or life-threatening/disabling) 30d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4F08243C"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0.0658</w:t>
            </w:r>
          </w:p>
        </w:tc>
        <w:tc>
          <w:tcPr>
            <w:tcW w:w="577" w:type="pct"/>
            <w:tcBorders>
              <w:top w:val="nil"/>
              <w:left w:val="nil"/>
              <w:bottom w:val="single" w:sz="4" w:space="0" w:color="auto"/>
              <w:right w:val="single" w:sz="4" w:space="0" w:color="auto"/>
            </w:tcBorders>
            <w:shd w:val="clear" w:color="auto" w:fill="auto"/>
            <w:noWrap/>
            <w:vAlign w:val="bottom"/>
            <w:hideMark/>
          </w:tcPr>
          <w:p w14:paraId="0662FAB3"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0.0493</w:t>
            </w:r>
          </w:p>
        </w:tc>
        <w:tc>
          <w:tcPr>
            <w:tcW w:w="577" w:type="pct"/>
            <w:tcBorders>
              <w:top w:val="nil"/>
              <w:left w:val="nil"/>
              <w:bottom w:val="single" w:sz="4" w:space="0" w:color="auto"/>
              <w:right w:val="single" w:sz="4" w:space="0" w:color="auto"/>
            </w:tcBorders>
            <w:shd w:val="clear" w:color="auto" w:fill="auto"/>
            <w:noWrap/>
            <w:vAlign w:val="bottom"/>
            <w:hideMark/>
          </w:tcPr>
          <w:p w14:paraId="1E3863E5"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0.0847</w:t>
            </w:r>
          </w:p>
        </w:tc>
        <w:tc>
          <w:tcPr>
            <w:tcW w:w="529" w:type="pct"/>
            <w:tcBorders>
              <w:top w:val="nil"/>
              <w:left w:val="nil"/>
              <w:bottom w:val="single" w:sz="4" w:space="0" w:color="auto"/>
              <w:right w:val="single" w:sz="4" w:space="0" w:color="auto"/>
            </w:tcBorders>
            <w:shd w:val="clear" w:color="auto" w:fill="auto"/>
            <w:noWrap/>
            <w:vAlign w:val="bottom"/>
            <w:hideMark/>
          </w:tcPr>
          <w:p w14:paraId="745D0AE0"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3077268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40.38 </w:t>
            </w:r>
          </w:p>
        </w:tc>
        <w:tc>
          <w:tcPr>
            <w:tcW w:w="577" w:type="pct"/>
            <w:tcBorders>
              <w:top w:val="nil"/>
              <w:left w:val="nil"/>
              <w:bottom w:val="single" w:sz="4" w:space="0" w:color="auto"/>
              <w:right w:val="single" w:sz="4" w:space="0" w:color="auto"/>
            </w:tcBorders>
            <w:shd w:val="clear" w:color="auto" w:fill="auto"/>
            <w:noWrap/>
            <w:vAlign w:val="bottom"/>
            <w:hideMark/>
          </w:tcPr>
          <w:p w14:paraId="660E5D0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573.32 </w:t>
            </w:r>
          </w:p>
        </w:tc>
      </w:tr>
      <w:tr w:rsidR="00B30DDC" w:rsidRPr="00B30DDC" w14:paraId="4E523BF2"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0C30C41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Cardiogenic shock 30d - SAVR</w:t>
            </w:r>
          </w:p>
        </w:tc>
        <w:tc>
          <w:tcPr>
            <w:tcW w:w="673" w:type="pct"/>
            <w:tcBorders>
              <w:top w:val="nil"/>
              <w:left w:val="nil"/>
              <w:bottom w:val="single" w:sz="4" w:space="0" w:color="auto"/>
              <w:right w:val="single" w:sz="4" w:space="0" w:color="auto"/>
            </w:tcBorders>
            <w:shd w:val="clear" w:color="auto" w:fill="auto"/>
            <w:noWrap/>
            <w:vAlign w:val="bottom"/>
            <w:hideMark/>
          </w:tcPr>
          <w:p w14:paraId="45DFE486"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394EC2AB"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1D8EF9BB"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29" w:type="pct"/>
            <w:tcBorders>
              <w:top w:val="nil"/>
              <w:left w:val="nil"/>
              <w:bottom w:val="single" w:sz="4" w:space="0" w:color="auto"/>
              <w:right w:val="single" w:sz="4" w:space="0" w:color="auto"/>
            </w:tcBorders>
            <w:shd w:val="clear" w:color="auto" w:fill="auto"/>
            <w:noWrap/>
            <w:vAlign w:val="bottom"/>
            <w:hideMark/>
          </w:tcPr>
          <w:p w14:paraId="110F4C16" w14:textId="54E3AFA6" w:rsidR="00B30DDC" w:rsidRPr="00B30DDC" w:rsidRDefault="009813EF" w:rsidP="009813EF">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625" w:type="pct"/>
            <w:tcBorders>
              <w:top w:val="nil"/>
              <w:left w:val="nil"/>
              <w:bottom w:val="single" w:sz="4" w:space="0" w:color="auto"/>
              <w:right w:val="single" w:sz="4" w:space="0" w:color="auto"/>
            </w:tcBorders>
            <w:shd w:val="clear" w:color="auto" w:fill="auto"/>
            <w:noWrap/>
            <w:vAlign w:val="bottom"/>
            <w:hideMark/>
          </w:tcPr>
          <w:p w14:paraId="12E6909B" w14:textId="3DD65FBA" w:rsidR="00B30DDC"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577" w:type="pct"/>
            <w:tcBorders>
              <w:top w:val="nil"/>
              <w:left w:val="nil"/>
              <w:bottom w:val="single" w:sz="4" w:space="0" w:color="auto"/>
              <w:right w:val="single" w:sz="4" w:space="0" w:color="auto"/>
            </w:tcBorders>
            <w:shd w:val="clear" w:color="auto" w:fill="auto"/>
            <w:noWrap/>
            <w:vAlign w:val="bottom"/>
            <w:hideMark/>
          </w:tcPr>
          <w:p w14:paraId="32464F05" w14:textId="6423360A" w:rsidR="00B30DDC"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r>
      <w:tr w:rsidR="00B30DDC" w:rsidRPr="00B30DDC" w14:paraId="5E9287B0"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3D2978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Cardiogenic shock 30d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010C872B"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58AA1DAA"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1140E093"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29" w:type="pct"/>
            <w:tcBorders>
              <w:top w:val="nil"/>
              <w:left w:val="nil"/>
              <w:bottom w:val="single" w:sz="4" w:space="0" w:color="auto"/>
              <w:right w:val="single" w:sz="4" w:space="0" w:color="auto"/>
            </w:tcBorders>
            <w:shd w:val="clear" w:color="auto" w:fill="auto"/>
            <w:noWrap/>
            <w:vAlign w:val="bottom"/>
            <w:hideMark/>
          </w:tcPr>
          <w:p w14:paraId="00F40FDE" w14:textId="6A1B2279" w:rsidR="00B30DDC" w:rsidRPr="00B30DDC" w:rsidRDefault="009813EF" w:rsidP="009813EF">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625" w:type="pct"/>
            <w:tcBorders>
              <w:top w:val="nil"/>
              <w:left w:val="nil"/>
              <w:bottom w:val="single" w:sz="4" w:space="0" w:color="auto"/>
              <w:right w:val="single" w:sz="4" w:space="0" w:color="auto"/>
            </w:tcBorders>
            <w:shd w:val="clear" w:color="auto" w:fill="auto"/>
            <w:noWrap/>
            <w:vAlign w:val="bottom"/>
            <w:hideMark/>
          </w:tcPr>
          <w:p w14:paraId="2E116E6C" w14:textId="2E067BA3" w:rsidR="00B30DDC"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577" w:type="pct"/>
            <w:tcBorders>
              <w:top w:val="nil"/>
              <w:left w:val="nil"/>
              <w:bottom w:val="single" w:sz="4" w:space="0" w:color="auto"/>
              <w:right w:val="single" w:sz="4" w:space="0" w:color="auto"/>
            </w:tcBorders>
            <w:shd w:val="clear" w:color="auto" w:fill="auto"/>
            <w:noWrap/>
            <w:vAlign w:val="bottom"/>
            <w:hideMark/>
          </w:tcPr>
          <w:p w14:paraId="6DC5F69B" w14:textId="49C1E379" w:rsidR="00B30DDC"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r>
      <w:tr w:rsidR="00B30DDC" w:rsidRPr="00B30DDC" w14:paraId="55370BF3"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66C586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AKI 30d - SAVR</w:t>
            </w:r>
          </w:p>
        </w:tc>
        <w:tc>
          <w:tcPr>
            <w:tcW w:w="673" w:type="pct"/>
            <w:tcBorders>
              <w:top w:val="nil"/>
              <w:left w:val="nil"/>
              <w:bottom w:val="single" w:sz="4" w:space="0" w:color="auto"/>
              <w:right w:val="single" w:sz="4" w:space="0" w:color="auto"/>
            </w:tcBorders>
            <w:shd w:val="clear" w:color="auto" w:fill="auto"/>
            <w:noWrap/>
            <w:vAlign w:val="bottom"/>
            <w:hideMark/>
          </w:tcPr>
          <w:p w14:paraId="75887614"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0.1009</w:t>
            </w:r>
          </w:p>
        </w:tc>
        <w:tc>
          <w:tcPr>
            <w:tcW w:w="577" w:type="pct"/>
            <w:tcBorders>
              <w:top w:val="nil"/>
              <w:left w:val="nil"/>
              <w:bottom w:val="single" w:sz="4" w:space="0" w:color="auto"/>
              <w:right w:val="single" w:sz="4" w:space="0" w:color="auto"/>
            </w:tcBorders>
            <w:shd w:val="clear" w:color="auto" w:fill="auto"/>
            <w:noWrap/>
            <w:vAlign w:val="bottom"/>
            <w:hideMark/>
          </w:tcPr>
          <w:p w14:paraId="0F26D77A"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0.0796</w:t>
            </w:r>
          </w:p>
        </w:tc>
        <w:tc>
          <w:tcPr>
            <w:tcW w:w="577" w:type="pct"/>
            <w:tcBorders>
              <w:top w:val="nil"/>
              <w:left w:val="nil"/>
              <w:bottom w:val="single" w:sz="4" w:space="0" w:color="auto"/>
              <w:right w:val="single" w:sz="4" w:space="0" w:color="auto"/>
            </w:tcBorders>
            <w:shd w:val="clear" w:color="auto" w:fill="auto"/>
            <w:noWrap/>
            <w:vAlign w:val="bottom"/>
            <w:hideMark/>
          </w:tcPr>
          <w:p w14:paraId="602520AF"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0.1246</w:t>
            </w:r>
          </w:p>
        </w:tc>
        <w:tc>
          <w:tcPr>
            <w:tcW w:w="529" w:type="pct"/>
            <w:tcBorders>
              <w:top w:val="nil"/>
              <w:left w:val="nil"/>
              <w:bottom w:val="single" w:sz="4" w:space="0" w:color="auto"/>
              <w:right w:val="single" w:sz="4" w:space="0" w:color="auto"/>
            </w:tcBorders>
            <w:shd w:val="clear" w:color="auto" w:fill="auto"/>
            <w:noWrap/>
            <w:vAlign w:val="bottom"/>
            <w:hideMark/>
          </w:tcPr>
          <w:p w14:paraId="0B63D0B7"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0F4AA89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91.43 </w:t>
            </w:r>
          </w:p>
        </w:tc>
        <w:tc>
          <w:tcPr>
            <w:tcW w:w="577" w:type="pct"/>
            <w:tcBorders>
              <w:top w:val="nil"/>
              <w:left w:val="nil"/>
              <w:bottom w:val="single" w:sz="4" w:space="0" w:color="auto"/>
              <w:right w:val="single" w:sz="4" w:space="0" w:color="auto"/>
            </w:tcBorders>
            <w:shd w:val="clear" w:color="auto" w:fill="auto"/>
            <w:noWrap/>
            <w:vAlign w:val="bottom"/>
            <w:hideMark/>
          </w:tcPr>
          <w:p w14:paraId="3E33685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814.76 </w:t>
            </w:r>
          </w:p>
        </w:tc>
      </w:tr>
      <w:tr w:rsidR="00B30DDC" w:rsidRPr="00B30DDC" w14:paraId="256742ED"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BD25F84"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AKI 30d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10A7168F"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0.0205</w:t>
            </w:r>
          </w:p>
        </w:tc>
        <w:tc>
          <w:tcPr>
            <w:tcW w:w="577" w:type="pct"/>
            <w:tcBorders>
              <w:top w:val="nil"/>
              <w:left w:val="nil"/>
              <w:bottom w:val="single" w:sz="4" w:space="0" w:color="auto"/>
              <w:right w:val="single" w:sz="4" w:space="0" w:color="auto"/>
            </w:tcBorders>
            <w:shd w:val="clear" w:color="auto" w:fill="auto"/>
            <w:noWrap/>
            <w:vAlign w:val="bottom"/>
            <w:hideMark/>
          </w:tcPr>
          <w:p w14:paraId="751929FD"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0.0109</w:t>
            </w:r>
          </w:p>
        </w:tc>
        <w:tc>
          <w:tcPr>
            <w:tcW w:w="577" w:type="pct"/>
            <w:tcBorders>
              <w:top w:val="nil"/>
              <w:left w:val="nil"/>
              <w:bottom w:val="single" w:sz="4" w:space="0" w:color="auto"/>
              <w:right w:val="single" w:sz="4" w:space="0" w:color="auto"/>
            </w:tcBorders>
            <w:shd w:val="clear" w:color="auto" w:fill="auto"/>
            <w:noWrap/>
            <w:vAlign w:val="bottom"/>
            <w:hideMark/>
          </w:tcPr>
          <w:p w14:paraId="616CB808"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0.0342</w:t>
            </w:r>
          </w:p>
        </w:tc>
        <w:tc>
          <w:tcPr>
            <w:tcW w:w="529" w:type="pct"/>
            <w:tcBorders>
              <w:top w:val="nil"/>
              <w:left w:val="nil"/>
              <w:bottom w:val="single" w:sz="4" w:space="0" w:color="auto"/>
              <w:right w:val="single" w:sz="4" w:space="0" w:color="auto"/>
            </w:tcBorders>
            <w:shd w:val="clear" w:color="auto" w:fill="auto"/>
            <w:noWrap/>
            <w:vAlign w:val="bottom"/>
            <w:hideMark/>
          </w:tcPr>
          <w:p w14:paraId="22DD051E"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41A0D3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11.41 </w:t>
            </w:r>
          </w:p>
        </w:tc>
        <w:tc>
          <w:tcPr>
            <w:tcW w:w="577" w:type="pct"/>
            <w:tcBorders>
              <w:top w:val="nil"/>
              <w:left w:val="nil"/>
              <w:bottom w:val="single" w:sz="4" w:space="0" w:color="auto"/>
              <w:right w:val="single" w:sz="4" w:space="0" w:color="auto"/>
            </w:tcBorders>
            <w:shd w:val="clear" w:color="auto" w:fill="auto"/>
            <w:noWrap/>
            <w:vAlign w:val="bottom"/>
            <w:hideMark/>
          </w:tcPr>
          <w:p w14:paraId="4678DA9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545.36 </w:t>
            </w:r>
          </w:p>
        </w:tc>
      </w:tr>
      <w:tr w:rsidR="00B30DDC" w:rsidRPr="00B30DDC" w14:paraId="771E7011"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057F570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Major vascular complication 30d - SAVR</w:t>
            </w:r>
          </w:p>
        </w:tc>
        <w:tc>
          <w:tcPr>
            <w:tcW w:w="673" w:type="pct"/>
            <w:tcBorders>
              <w:top w:val="nil"/>
              <w:left w:val="nil"/>
              <w:bottom w:val="single" w:sz="4" w:space="0" w:color="auto"/>
              <w:right w:val="single" w:sz="4" w:space="0" w:color="auto"/>
            </w:tcBorders>
            <w:shd w:val="clear" w:color="auto" w:fill="auto"/>
            <w:noWrap/>
            <w:vAlign w:val="bottom"/>
            <w:hideMark/>
          </w:tcPr>
          <w:p w14:paraId="013AE56A"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0.0307</w:t>
            </w:r>
          </w:p>
        </w:tc>
        <w:tc>
          <w:tcPr>
            <w:tcW w:w="577" w:type="pct"/>
            <w:tcBorders>
              <w:top w:val="nil"/>
              <w:left w:val="nil"/>
              <w:bottom w:val="single" w:sz="4" w:space="0" w:color="auto"/>
              <w:right w:val="single" w:sz="4" w:space="0" w:color="auto"/>
            </w:tcBorders>
            <w:shd w:val="clear" w:color="auto" w:fill="auto"/>
            <w:noWrap/>
            <w:vAlign w:val="bottom"/>
            <w:hideMark/>
          </w:tcPr>
          <w:p w14:paraId="4B7FD19F"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0.0188</w:t>
            </w:r>
          </w:p>
        </w:tc>
        <w:tc>
          <w:tcPr>
            <w:tcW w:w="577" w:type="pct"/>
            <w:tcBorders>
              <w:top w:val="nil"/>
              <w:left w:val="nil"/>
              <w:bottom w:val="single" w:sz="4" w:space="0" w:color="auto"/>
              <w:right w:val="single" w:sz="4" w:space="0" w:color="auto"/>
            </w:tcBorders>
            <w:shd w:val="clear" w:color="auto" w:fill="auto"/>
            <w:noWrap/>
            <w:vAlign w:val="bottom"/>
            <w:hideMark/>
          </w:tcPr>
          <w:p w14:paraId="0199B0DC"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0.0461</w:t>
            </w:r>
          </w:p>
        </w:tc>
        <w:tc>
          <w:tcPr>
            <w:tcW w:w="529" w:type="pct"/>
            <w:tcBorders>
              <w:top w:val="nil"/>
              <w:left w:val="nil"/>
              <w:bottom w:val="single" w:sz="4" w:space="0" w:color="auto"/>
              <w:right w:val="single" w:sz="4" w:space="0" w:color="auto"/>
            </w:tcBorders>
            <w:shd w:val="clear" w:color="auto" w:fill="auto"/>
            <w:noWrap/>
            <w:vAlign w:val="bottom"/>
            <w:hideMark/>
          </w:tcPr>
          <w:p w14:paraId="00229CAD"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4AE1478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18.61 </w:t>
            </w:r>
          </w:p>
        </w:tc>
        <w:tc>
          <w:tcPr>
            <w:tcW w:w="577" w:type="pct"/>
            <w:tcBorders>
              <w:top w:val="nil"/>
              <w:left w:val="nil"/>
              <w:bottom w:val="single" w:sz="4" w:space="0" w:color="auto"/>
              <w:right w:val="single" w:sz="4" w:space="0" w:color="auto"/>
            </w:tcBorders>
            <w:shd w:val="clear" w:color="auto" w:fill="auto"/>
            <w:noWrap/>
            <w:vAlign w:val="bottom"/>
            <w:hideMark/>
          </w:tcPr>
          <w:p w14:paraId="3F81F19A"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587.68 </w:t>
            </w:r>
          </w:p>
        </w:tc>
      </w:tr>
      <w:tr w:rsidR="00B30DDC" w:rsidRPr="00B30DDC" w14:paraId="75E0F7E5"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5BE352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Major vascular complication 30d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4D0B3366"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0.0370</w:t>
            </w:r>
          </w:p>
        </w:tc>
        <w:tc>
          <w:tcPr>
            <w:tcW w:w="577" w:type="pct"/>
            <w:tcBorders>
              <w:top w:val="nil"/>
              <w:left w:val="nil"/>
              <w:bottom w:val="single" w:sz="4" w:space="0" w:color="auto"/>
              <w:right w:val="single" w:sz="4" w:space="0" w:color="auto"/>
            </w:tcBorders>
            <w:shd w:val="clear" w:color="auto" w:fill="auto"/>
            <w:noWrap/>
            <w:vAlign w:val="bottom"/>
            <w:hideMark/>
          </w:tcPr>
          <w:p w14:paraId="41BFBC67"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0.0246</w:t>
            </w:r>
          </w:p>
        </w:tc>
        <w:tc>
          <w:tcPr>
            <w:tcW w:w="577" w:type="pct"/>
            <w:tcBorders>
              <w:top w:val="nil"/>
              <w:left w:val="nil"/>
              <w:bottom w:val="single" w:sz="4" w:space="0" w:color="auto"/>
              <w:right w:val="single" w:sz="4" w:space="0" w:color="auto"/>
            </w:tcBorders>
            <w:shd w:val="clear" w:color="auto" w:fill="auto"/>
            <w:noWrap/>
            <w:vAlign w:val="bottom"/>
            <w:hideMark/>
          </w:tcPr>
          <w:p w14:paraId="73AB87EB"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0.0520</w:t>
            </w:r>
          </w:p>
        </w:tc>
        <w:tc>
          <w:tcPr>
            <w:tcW w:w="529" w:type="pct"/>
            <w:tcBorders>
              <w:top w:val="nil"/>
              <w:left w:val="nil"/>
              <w:bottom w:val="single" w:sz="4" w:space="0" w:color="auto"/>
              <w:right w:val="single" w:sz="4" w:space="0" w:color="auto"/>
            </w:tcBorders>
            <w:shd w:val="clear" w:color="auto" w:fill="auto"/>
            <w:noWrap/>
            <w:vAlign w:val="bottom"/>
            <w:hideMark/>
          </w:tcPr>
          <w:p w14:paraId="168A2DAC"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4E06D728"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26.87 </w:t>
            </w:r>
          </w:p>
        </w:tc>
        <w:tc>
          <w:tcPr>
            <w:tcW w:w="577" w:type="pct"/>
            <w:tcBorders>
              <w:top w:val="nil"/>
              <w:left w:val="nil"/>
              <w:bottom w:val="single" w:sz="4" w:space="0" w:color="auto"/>
              <w:right w:val="single" w:sz="4" w:space="0" w:color="auto"/>
            </w:tcBorders>
            <w:shd w:val="clear" w:color="auto" w:fill="auto"/>
            <w:noWrap/>
            <w:vAlign w:val="bottom"/>
            <w:hideMark/>
          </w:tcPr>
          <w:p w14:paraId="7778F1C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699.30 </w:t>
            </w:r>
          </w:p>
        </w:tc>
      </w:tr>
      <w:tr w:rsidR="00B30DDC" w:rsidRPr="00B30DDC" w14:paraId="4D1F3928"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29315D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Atrial fibrillation 30d - SAVR</w:t>
            </w:r>
          </w:p>
        </w:tc>
        <w:tc>
          <w:tcPr>
            <w:tcW w:w="673" w:type="pct"/>
            <w:tcBorders>
              <w:top w:val="nil"/>
              <w:left w:val="nil"/>
              <w:bottom w:val="single" w:sz="4" w:space="0" w:color="auto"/>
              <w:right w:val="single" w:sz="4" w:space="0" w:color="auto"/>
            </w:tcBorders>
            <w:shd w:val="clear" w:color="auto" w:fill="auto"/>
            <w:noWrap/>
            <w:vAlign w:val="bottom"/>
            <w:hideMark/>
          </w:tcPr>
          <w:p w14:paraId="6FB98024"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0.3538</w:t>
            </w:r>
          </w:p>
        </w:tc>
        <w:tc>
          <w:tcPr>
            <w:tcW w:w="577" w:type="pct"/>
            <w:tcBorders>
              <w:top w:val="nil"/>
              <w:left w:val="nil"/>
              <w:bottom w:val="single" w:sz="4" w:space="0" w:color="auto"/>
              <w:right w:val="single" w:sz="4" w:space="0" w:color="auto"/>
            </w:tcBorders>
            <w:shd w:val="clear" w:color="auto" w:fill="auto"/>
            <w:noWrap/>
            <w:vAlign w:val="bottom"/>
            <w:hideMark/>
          </w:tcPr>
          <w:p w14:paraId="3A75D745"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0.3200</w:t>
            </w:r>
          </w:p>
        </w:tc>
        <w:tc>
          <w:tcPr>
            <w:tcW w:w="577" w:type="pct"/>
            <w:tcBorders>
              <w:top w:val="nil"/>
              <w:left w:val="nil"/>
              <w:bottom w:val="single" w:sz="4" w:space="0" w:color="auto"/>
              <w:right w:val="single" w:sz="4" w:space="0" w:color="auto"/>
            </w:tcBorders>
            <w:shd w:val="clear" w:color="auto" w:fill="auto"/>
            <w:noWrap/>
            <w:vAlign w:val="bottom"/>
            <w:hideMark/>
          </w:tcPr>
          <w:p w14:paraId="55D04503"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0.3886</w:t>
            </w:r>
          </w:p>
        </w:tc>
        <w:tc>
          <w:tcPr>
            <w:tcW w:w="529" w:type="pct"/>
            <w:tcBorders>
              <w:top w:val="nil"/>
              <w:left w:val="nil"/>
              <w:bottom w:val="single" w:sz="4" w:space="0" w:color="auto"/>
              <w:right w:val="single" w:sz="4" w:space="0" w:color="auto"/>
            </w:tcBorders>
            <w:shd w:val="clear" w:color="auto" w:fill="auto"/>
            <w:noWrap/>
            <w:vAlign w:val="bottom"/>
            <w:hideMark/>
          </w:tcPr>
          <w:p w14:paraId="31F460DA"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07346018"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263.77 </w:t>
            </w:r>
          </w:p>
        </w:tc>
        <w:tc>
          <w:tcPr>
            <w:tcW w:w="577" w:type="pct"/>
            <w:tcBorders>
              <w:top w:val="nil"/>
              <w:left w:val="nil"/>
              <w:bottom w:val="single" w:sz="4" w:space="0" w:color="auto"/>
              <w:right w:val="single" w:sz="4" w:space="0" w:color="auto"/>
            </w:tcBorders>
            <w:shd w:val="clear" w:color="auto" w:fill="auto"/>
            <w:noWrap/>
            <w:vAlign w:val="bottom"/>
            <w:hideMark/>
          </w:tcPr>
          <w:p w14:paraId="7F57247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481.76 </w:t>
            </w:r>
          </w:p>
        </w:tc>
      </w:tr>
      <w:tr w:rsidR="00B30DDC" w:rsidRPr="00B30DDC" w14:paraId="2933010C"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1E08F78" w14:textId="77777777" w:rsidR="00B30DDC" w:rsidRPr="00870587" w:rsidRDefault="00B30DDC" w:rsidP="00B30DDC">
            <w:pPr>
              <w:spacing w:after="0" w:line="240" w:lineRule="auto"/>
              <w:rPr>
                <w:rFonts w:ascii="Arial Narrow" w:eastAsia="Times New Roman" w:hAnsi="Arial Narrow" w:cs="Arial"/>
                <w:color w:val="000000"/>
                <w:sz w:val="18"/>
                <w:szCs w:val="18"/>
                <w:lang w:val="it-IT"/>
              </w:rPr>
            </w:pPr>
            <w:r w:rsidRPr="00870587">
              <w:rPr>
                <w:rFonts w:ascii="Arial Narrow" w:eastAsia="Times New Roman" w:hAnsi="Arial Narrow" w:cs="Arial"/>
                <w:color w:val="000000"/>
                <w:sz w:val="18"/>
                <w:szCs w:val="18"/>
                <w:lang w:val="it-IT"/>
              </w:rPr>
              <w:t>Atrial fibrillation 30d - Corevalve Evolut R/PRO</w:t>
            </w:r>
          </w:p>
        </w:tc>
        <w:tc>
          <w:tcPr>
            <w:tcW w:w="673" w:type="pct"/>
            <w:tcBorders>
              <w:top w:val="nil"/>
              <w:left w:val="nil"/>
              <w:bottom w:val="single" w:sz="4" w:space="0" w:color="auto"/>
              <w:right w:val="single" w:sz="4" w:space="0" w:color="auto"/>
            </w:tcBorders>
            <w:shd w:val="clear" w:color="auto" w:fill="auto"/>
            <w:noWrap/>
            <w:vAlign w:val="bottom"/>
            <w:hideMark/>
          </w:tcPr>
          <w:p w14:paraId="5EECC390"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0.0753</w:t>
            </w:r>
          </w:p>
        </w:tc>
        <w:tc>
          <w:tcPr>
            <w:tcW w:w="577" w:type="pct"/>
            <w:tcBorders>
              <w:top w:val="nil"/>
              <w:left w:val="nil"/>
              <w:bottom w:val="single" w:sz="4" w:space="0" w:color="auto"/>
              <w:right w:val="single" w:sz="4" w:space="0" w:color="auto"/>
            </w:tcBorders>
            <w:shd w:val="clear" w:color="auto" w:fill="auto"/>
            <w:noWrap/>
            <w:vAlign w:val="bottom"/>
            <w:hideMark/>
          </w:tcPr>
          <w:p w14:paraId="3C174467"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0.0566</w:t>
            </w:r>
          </w:p>
        </w:tc>
        <w:tc>
          <w:tcPr>
            <w:tcW w:w="577" w:type="pct"/>
            <w:tcBorders>
              <w:top w:val="nil"/>
              <w:left w:val="nil"/>
              <w:bottom w:val="single" w:sz="4" w:space="0" w:color="auto"/>
              <w:right w:val="single" w:sz="4" w:space="0" w:color="auto"/>
            </w:tcBorders>
            <w:shd w:val="clear" w:color="auto" w:fill="auto"/>
            <w:noWrap/>
            <w:vAlign w:val="bottom"/>
            <w:hideMark/>
          </w:tcPr>
          <w:p w14:paraId="63A7FC22"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0.0960</w:t>
            </w:r>
          </w:p>
        </w:tc>
        <w:tc>
          <w:tcPr>
            <w:tcW w:w="529" w:type="pct"/>
            <w:tcBorders>
              <w:top w:val="nil"/>
              <w:left w:val="nil"/>
              <w:bottom w:val="single" w:sz="4" w:space="0" w:color="auto"/>
              <w:right w:val="single" w:sz="4" w:space="0" w:color="auto"/>
            </w:tcBorders>
            <w:shd w:val="clear" w:color="auto" w:fill="auto"/>
            <w:noWrap/>
            <w:vAlign w:val="bottom"/>
            <w:hideMark/>
          </w:tcPr>
          <w:p w14:paraId="3E808097"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62D1EB55"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52.36 </w:t>
            </w:r>
          </w:p>
        </w:tc>
        <w:tc>
          <w:tcPr>
            <w:tcW w:w="577" w:type="pct"/>
            <w:tcBorders>
              <w:top w:val="nil"/>
              <w:left w:val="nil"/>
              <w:bottom w:val="single" w:sz="4" w:space="0" w:color="auto"/>
              <w:right w:val="single" w:sz="4" w:space="0" w:color="auto"/>
            </w:tcBorders>
            <w:shd w:val="clear" w:color="auto" w:fill="auto"/>
            <w:noWrap/>
            <w:vAlign w:val="bottom"/>
            <w:hideMark/>
          </w:tcPr>
          <w:p w14:paraId="2A3E0AD9"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642.94 </w:t>
            </w:r>
          </w:p>
        </w:tc>
      </w:tr>
      <w:tr w:rsidR="00B30DDC" w:rsidRPr="00B30DDC" w14:paraId="57924304"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24BBF78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Reintervention 30d - SAVR</w:t>
            </w:r>
          </w:p>
        </w:tc>
        <w:tc>
          <w:tcPr>
            <w:tcW w:w="673" w:type="pct"/>
            <w:tcBorders>
              <w:top w:val="nil"/>
              <w:left w:val="nil"/>
              <w:bottom w:val="single" w:sz="4" w:space="0" w:color="auto"/>
              <w:right w:val="single" w:sz="4" w:space="0" w:color="auto"/>
            </w:tcBorders>
            <w:shd w:val="clear" w:color="auto" w:fill="auto"/>
            <w:noWrap/>
            <w:vAlign w:val="bottom"/>
            <w:hideMark/>
          </w:tcPr>
          <w:p w14:paraId="5A13215F"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0.0030</w:t>
            </w:r>
          </w:p>
        </w:tc>
        <w:tc>
          <w:tcPr>
            <w:tcW w:w="577" w:type="pct"/>
            <w:tcBorders>
              <w:top w:val="nil"/>
              <w:left w:val="nil"/>
              <w:bottom w:val="single" w:sz="4" w:space="0" w:color="auto"/>
              <w:right w:val="single" w:sz="4" w:space="0" w:color="auto"/>
            </w:tcBorders>
            <w:shd w:val="clear" w:color="auto" w:fill="auto"/>
            <w:noWrap/>
            <w:vAlign w:val="bottom"/>
            <w:hideMark/>
          </w:tcPr>
          <w:p w14:paraId="2AF42FFA"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74E143F6"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0.0125</w:t>
            </w:r>
          </w:p>
        </w:tc>
        <w:tc>
          <w:tcPr>
            <w:tcW w:w="529" w:type="pct"/>
            <w:tcBorders>
              <w:top w:val="nil"/>
              <w:left w:val="nil"/>
              <w:bottom w:val="single" w:sz="4" w:space="0" w:color="auto"/>
              <w:right w:val="single" w:sz="4" w:space="0" w:color="auto"/>
            </w:tcBorders>
            <w:shd w:val="clear" w:color="auto" w:fill="auto"/>
            <w:noWrap/>
            <w:vAlign w:val="bottom"/>
            <w:hideMark/>
          </w:tcPr>
          <w:p w14:paraId="00F932C7"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731D99E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0.73 </w:t>
            </w:r>
          </w:p>
        </w:tc>
        <w:tc>
          <w:tcPr>
            <w:tcW w:w="577" w:type="pct"/>
            <w:tcBorders>
              <w:top w:val="nil"/>
              <w:left w:val="nil"/>
              <w:bottom w:val="single" w:sz="4" w:space="0" w:color="auto"/>
              <w:right w:val="single" w:sz="4" w:space="0" w:color="auto"/>
            </w:tcBorders>
            <w:shd w:val="clear" w:color="auto" w:fill="auto"/>
            <w:noWrap/>
            <w:vAlign w:val="bottom"/>
            <w:hideMark/>
          </w:tcPr>
          <w:p w14:paraId="51A59000"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242.43 </w:t>
            </w:r>
          </w:p>
        </w:tc>
      </w:tr>
      <w:tr w:rsidR="00B30DDC" w:rsidRPr="00B30DDC" w14:paraId="3F7DEC7E"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2121C353" w14:textId="77777777" w:rsidR="00B30DDC" w:rsidRPr="00B30DDC" w:rsidRDefault="00B30DDC" w:rsidP="00B30DDC">
            <w:pPr>
              <w:spacing w:after="0" w:line="240" w:lineRule="auto"/>
              <w:rPr>
                <w:rFonts w:ascii="Arial Narrow" w:eastAsia="Times New Roman" w:hAnsi="Arial Narrow" w:cs="Arial"/>
                <w:color w:val="000000"/>
                <w:sz w:val="18"/>
                <w:szCs w:val="18"/>
              </w:rPr>
            </w:pPr>
            <w:proofErr w:type="spellStart"/>
            <w:r w:rsidRPr="00B30DDC">
              <w:rPr>
                <w:rFonts w:ascii="Arial Narrow" w:eastAsia="Times New Roman" w:hAnsi="Arial Narrow" w:cs="Arial"/>
                <w:color w:val="000000"/>
                <w:sz w:val="18"/>
                <w:szCs w:val="18"/>
              </w:rPr>
              <w:t>Reintervention</w:t>
            </w:r>
            <w:proofErr w:type="spellEnd"/>
            <w:r w:rsidRPr="00B30DDC">
              <w:rPr>
                <w:rFonts w:ascii="Arial Narrow" w:eastAsia="Times New Roman" w:hAnsi="Arial Narrow" w:cs="Arial"/>
                <w:color w:val="000000"/>
                <w:sz w:val="18"/>
                <w:szCs w:val="18"/>
              </w:rPr>
              <w:t xml:space="preserve"> 30d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274F1CF2"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0.0030</w:t>
            </w:r>
          </w:p>
        </w:tc>
        <w:tc>
          <w:tcPr>
            <w:tcW w:w="577" w:type="pct"/>
            <w:tcBorders>
              <w:top w:val="nil"/>
              <w:left w:val="nil"/>
              <w:bottom w:val="single" w:sz="4" w:space="0" w:color="auto"/>
              <w:right w:val="single" w:sz="4" w:space="0" w:color="auto"/>
            </w:tcBorders>
            <w:shd w:val="clear" w:color="auto" w:fill="auto"/>
            <w:noWrap/>
            <w:vAlign w:val="bottom"/>
            <w:hideMark/>
          </w:tcPr>
          <w:p w14:paraId="211648EE"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0.0017</w:t>
            </w:r>
          </w:p>
        </w:tc>
        <w:tc>
          <w:tcPr>
            <w:tcW w:w="577" w:type="pct"/>
            <w:tcBorders>
              <w:top w:val="nil"/>
              <w:left w:val="nil"/>
              <w:bottom w:val="single" w:sz="4" w:space="0" w:color="auto"/>
              <w:right w:val="single" w:sz="4" w:space="0" w:color="auto"/>
            </w:tcBorders>
            <w:shd w:val="clear" w:color="auto" w:fill="auto"/>
            <w:noWrap/>
            <w:vAlign w:val="bottom"/>
            <w:hideMark/>
          </w:tcPr>
          <w:p w14:paraId="6EF8A435"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0.0046</w:t>
            </w:r>
          </w:p>
        </w:tc>
        <w:tc>
          <w:tcPr>
            <w:tcW w:w="529" w:type="pct"/>
            <w:tcBorders>
              <w:top w:val="nil"/>
              <w:left w:val="nil"/>
              <w:bottom w:val="single" w:sz="4" w:space="0" w:color="auto"/>
              <w:right w:val="single" w:sz="4" w:space="0" w:color="auto"/>
            </w:tcBorders>
            <w:shd w:val="clear" w:color="auto" w:fill="auto"/>
            <w:noWrap/>
            <w:vAlign w:val="bottom"/>
            <w:hideMark/>
          </w:tcPr>
          <w:p w14:paraId="53C0659C"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707024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0.99 </w:t>
            </w:r>
          </w:p>
        </w:tc>
        <w:tc>
          <w:tcPr>
            <w:tcW w:w="577" w:type="pct"/>
            <w:tcBorders>
              <w:top w:val="nil"/>
              <w:left w:val="nil"/>
              <w:bottom w:val="single" w:sz="4" w:space="0" w:color="auto"/>
              <w:right w:val="single" w:sz="4" w:space="0" w:color="auto"/>
            </w:tcBorders>
            <w:shd w:val="clear" w:color="auto" w:fill="auto"/>
            <w:noWrap/>
            <w:vAlign w:val="bottom"/>
            <w:hideMark/>
          </w:tcPr>
          <w:p w14:paraId="02EFAAF3"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330.34 </w:t>
            </w:r>
          </w:p>
        </w:tc>
      </w:tr>
      <w:tr w:rsidR="00B30DDC" w:rsidRPr="00B30DDC" w14:paraId="01AB5DDB"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CE66ACD"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Myocardial infarction, month 2-12 - SAVR</w:t>
            </w:r>
          </w:p>
        </w:tc>
        <w:tc>
          <w:tcPr>
            <w:tcW w:w="673" w:type="pct"/>
            <w:tcBorders>
              <w:top w:val="nil"/>
              <w:left w:val="nil"/>
              <w:bottom w:val="single" w:sz="4" w:space="0" w:color="auto"/>
              <w:right w:val="single" w:sz="4" w:space="0" w:color="auto"/>
            </w:tcBorders>
            <w:shd w:val="clear" w:color="auto" w:fill="auto"/>
            <w:noWrap/>
            <w:vAlign w:val="bottom"/>
            <w:hideMark/>
          </w:tcPr>
          <w:p w14:paraId="0E9C20D4"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0.0028</w:t>
            </w:r>
          </w:p>
        </w:tc>
        <w:tc>
          <w:tcPr>
            <w:tcW w:w="577" w:type="pct"/>
            <w:tcBorders>
              <w:top w:val="nil"/>
              <w:left w:val="nil"/>
              <w:bottom w:val="single" w:sz="4" w:space="0" w:color="auto"/>
              <w:right w:val="single" w:sz="4" w:space="0" w:color="auto"/>
            </w:tcBorders>
            <w:shd w:val="clear" w:color="auto" w:fill="auto"/>
            <w:noWrap/>
            <w:vAlign w:val="bottom"/>
            <w:hideMark/>
          </w:tcPr>
          <w:p w14:paraId="16A41D24"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0.0019</w:t>
            </w:r>
          </w:p>
        </w:tc>
        <w:tc>
          <w:tcPr>
            <w:tcW w:w="577" w:type="pct"/>
            <w:tcBorders>
              <w:top w:val="nil"/>
              <w:left w:val="nil"/>
              <w:bottom w:val="single" w:sz="4" w:space="0" w:color="auto"/>
              <w:right w:val="single" w:sz="4" w:space="0" w:color="auto"/>
            </w:tcBorders>
            <w:shd w:val="clear" w:color="auto" w:fill="auto"/>
            <w:noWrap/>
            <w:vAlign w:val="bottom"/>
            <w:hideMark/>
          </w:tcPr>
          <w:p w14:paraId="30FEA36E"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0.0039</w:t>
            </w:r>
          </w:p>
        </w:tc>
        <w:tc>
          <w:tcPr>
            <w:tcW w:w="529" w:type="pct"/>
            <w:tcBorders>
              <w:top w:val="nil"/>
              <w:left w:val="nil"/>
              <w:bottom w:val="single" w:sz="4" w:space="0" w:color="auto"/>
              <w:right w:val="single" w:sz="4" w:space="0" w:color="auto"/>
            </w:tcBorders>
            <w:shd w:val="clear" w:color="auto" w:fill="auto"/>
            <w:noWrap/>
            <w:vAlign w:val="bottom"/>
            <w:hideMark/>
          </w:tcPr>
          <w:p w14:paraId="33D07307"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5ED992A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32.22 </w:t>
            </w:r>
          </w:p>
        </w:tc>
        <w:tc>
          <w:tcPr>
            <w:tcW w:w="577" w:type="pct"/>
            <w:tcBorders>
              <w:top w:val="nil"/>
              <w:left w:val="nil"/>
              <w:bottom w:val="single" w:sz="4" w:space="0" w:color="auto"/>
              <w:right w:val="single" w:sz="4" w:space="0" w:color="auto"/>
            </w:tcBorders>
            <w:shd w:val="clear" w:color="auto" w:fill="auto"/>
            <w:noWrap/>
            <w:vAlign w:val="bottom"/>
            <w:hideMark/>
          </w:tcPr>
          <w:p w14:paraId="5BDB287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11,302.90 </w:t>
            </w:r>
          </w:p>
        </w:tc>
      </w:tr>
      <w:tr w:rsidR="00B30DDC" w:rsidRPr="00B30DDC" w14:paraId="0BB68B1F"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263C562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Myocardial infarction, month 2-12 -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73C0F2F9"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0.0098</w:t>
            </w:r>
          </w:p>
        </w:tc>
        <w:tc>
          <w:tcPr>
            <w:tcW w:w="577" w:type="pct"/>
            <w:tcBorders>
              <w:top w:val="nil"/>
              <w:left w:val="nil"/>
              <w:bottom w:val="single" w:sz="4" w:space="0" w:color="auto"/>
              <w:right w:val="single" w:sz="4" w:space="0" w:color="auto"/>
            </w:tcBorders>
            <w:shd w:val="clear" w:color="auto" w:fill="auto"/>
            <w:noWrap/>
            <w:vAlign w:val="bottom"/>
            <w:hideMark/>
          </w:tcPr>
          <w:p w14:paraId="4C363A22"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0.0081</w:t>
            </w:r>
          </w:p>
        </w:tc>
        <w:tc>
          <w:tcPr>
            <w:tcW w:w="577" w:type="pct"/>
            <w:tcBorders>
              <w:top w:val="nil"/>
              <w:left w:val="nil"/>
              <w:bottom w:val="single" w:sz="4" w:space="0" w:color="auto"/>
              <w:right w:val="single" w:sz="4" w:space="0" w:color="auto"/>
            </w:tcBorders>
            <w:shd w:val="clear" w:color="auto" w:fill="auto"/>
            <w:noWrap/>
            <w:vAlign w:val="bottom"/>
            <w:hideMark/>
          </w:tcPr>
          <w:p w14:paraId="576117F8"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0.0120</w:t>
            </w:r>
          </w:p>
        </w:tc>
        <w:tc>
          <w:tcPr>
            <w:tcW w:w="529" w:type="pct"/>
            <w:tcBorders>
              <w:top w:val="nil"/>
              <w:left w:val="nil"/>
              <w:bottom w:val="single" w:sz="4" w:space="0" w:color="auto"/>
              <w:right w:val="single" w:sz="4" w:space="0" w:color="auto"/>
            </w:tcBorders>
            <w:shd w:val="clear" w:color="auto" w:fill="auto"/>
            <w:noWrap/>
            <w:vAlign w:val="bottom"/>
            <w:hideMark/>
          </w:tcPr>
          <w:p w14:paraId="42E17B55"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5F45377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94.72 </w:t>
            </w:r>
          </w:p>
        </w:tc>
        <w:tc>
          <w:tcPr>
            <w:tcW w:w="577" w:type="pct"/>
            <w:tcBorders>
              <w:top w:val="nil"/>
              <w:left w:val="nil"/>
              <w:bottom w:val="single" w:sz="4" w:space="0" w:color="auto"/>
              <w:right w:val="single" w:sz="4" w:space="0" w:color="auto"/>
            </w:tcBorders>
            <w:shd w:val="clear" w:color="auto" w:fill="auto"/>
            <w:noWrap/>
            <w:vAlign w:val="bottom"/>
            <w:hideMark/>
          </w:tcPr>
          <w:p w14:paraId="7D6E4E1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9,589.44 </w:t>
            </w:r>
          </w:p>
        </w:tc>
      </w:tr>
      <w:tr w:rsidR="00B30DDC" w:rsidRPr="00B30DDC" w14:paraId="623AAEDF"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7503D1BE"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Permanent pacemaker implantation, month 2-12  - SAVR</w:t>
            </w:r>
          </w:p>
        </w:tc>
        <w:tc>
          <w:tcPr>
            <w:tcW w:w="673" w:type="pct"/>
            <w:tcBorders>
              <w:top w:val="nil"/>
              <w:left w:val="nil"/>
              <w:bottom w:val="single" w:sz="4" w:space="0" w:color="auto"/>
              <w:right w:val="single" w:sz="4" w:space="0" w:color="auto"/>
            </w:tcBorders>
            <w:shd w:val="clear" w:color="auto" w:fill="auto"/>
            <w:noWrap/>
            <w:vAlign w:val="bottom"/>
            <w:hideMark/>
          </w:tcPr>
          <w:p w14:paraId="2E9249AE"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0.0081</w:t>
            </w:r>
          </w:p>
        </w:tc>
        <w:tc>
          <w:tcPr>
            <w:tcW w:w="577" w:type="pct"/>
            <w:tcBorders>
              <w:top w:val="nil"/>
              <w:left w:val="nil"/>
              <w:bottom w:val="single" w:sz="4" w:space="0" w:color="auto"/>
              <w:right w:val="single" w:sz="4" w:space="0" w:color="auto"/>
            </w:tcBorders>
            <w:shd w:val="clear" w:color="auto" w:fill="auto"/>
            <w:noWrap/>
            <w:vAlign w:val="bottom"/>
            <w:hideMark/>
          </w:tcPr>
          <w:p w14:paraId="3D21622A"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0.0061</w:t>
            </w:r>
          </w:p>
        </w:tc>
        <w:tc>
          <w:tcPr>
            <w:tcW w:w="577" w:type="pct"/>
            <w:tcBorders>
              <w:top w:val="nil"/>
              <w:left w:val="nil"/>
              <w:bottom w:val="single" w:sz="4" w:space="0" w:color="auto"/>
              <w:right w:val="single" w:sz="4" w:space="0" w:color="auto"/>
            </w:tcBorders>
            <w:shd w:val="clear" w:color="auto" w:fill="auto"/>
            <w:noWrap/>
            <w:vAlign w:val="bottom"/>
            <w:hideMark/>
          </w:tcPr>
          <w:p w14:paraId="44BFC9D0"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0.0101</w:t>
            </w:r>
          </w:p>
        </w:tc>
        <w:tc>
          <w:tcPr>
            <w:tcW w:w="529" w:type="pct"/>
            <w:tcBorders>
              <w:top w:val="nil"/>
              <w:left w:val="nil"/>
              <w:bottom w:val="single" w:sz="4" w:space="0" w:color="auto"/>
              <w:right w:val="single" w:sz="4" w:space="0" w:color="auto"/>
            </w:tcBorders>
            <w:shd w:val="clear" w:color="auto" w:fill="auto"/>
            <w:noWrap/>
            <w:vAlign w:val="bottom"/>
            <w:hideMark/>
          </w:tcPr>
          <w:p w14:paraId="0CAE0144"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0A7332DF"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64.41 </w:t>
            </w:r>
          </w:p>
        </w:tc>
        <w:tc>
          <w:tcPr>
            <w:tcW w:w="577" w:type="pct"/>
            <w:tcBorders>
              <w:top w:val="nil"/>
              <w:left w:val="nil"/>
              <w:bottom w:val="single" w:sz="4" w:space="0" w:color="auto"/>
              <w:right w:val="single" w:sz="4" w:space="0" w:color="auto"/>
            </w:tcBorders>
            <w:shd w:val="clear" w:color="auto" w:fill="auto"/>
            <w:noWrap/>
            <w:vAlign w:val="bottom"/>
            <w:hideMark/>
          </w:tcPr>
          <w:p w14:paraId="00734C1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7,928.13 </w:t>
            </w:r>
          </w:p>
        </w:tc>
      </w:tr>
      <w:tr w:rsidR="00B30DDC" w:rsidRPr="00B30DDC" w14:paraId="475D7AF1"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00539AC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Permanent pacemaker implantation, month 2-12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2265633E"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0.0188</w:t>
            </w:r>
          </w:p>
        </w:tc>
        <w:tc>
          <w:tcPr>
            <w:tcW w:w="577" w:type="pct"/>
            <w:tcBorders>
              <w:top w:val="nil"/>
              <w:left w:val="nil"/>
              <w:bottom w:val="single" w:sz="4" w:space="0" w:color="auto"/>
              <w:right w:val="single" w:sz="4" w:space="0" w:color="auto"/>
            </w:tcBorders>
            <w:shd w:val="clear" w:color="auto" w:fill="auto"/>
            <w:noWrap/>
            <w:vAlign w:val="bottom"/>
            <w:hideMark/>
          </w:tcPr>
          <w:p w14:paraId="269CF5AD"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0.0153</w:t>
            </w:r>
          </w:p>
        </w:tc>
        <w:tc>
          <w:tcPr>
            <w:tcW w:w="577" w:type="pct"/>
            <w:tcBorders>
              <w:top w:val="nil"/>
              <w:left w:val="nil"/>
              <w:bottom w:val="single" w:sz="4" w:space="0" w:color="auto"/>
              <w:right w:val="single" w:sz="4" w:space="0" w:color="auto"/>
            </w:tcBorders>
            <w:shd w:val="clear" w:color="auto" w:fill="auto"/>
            <w:noWrap/>
            <w:vAlign w:val="bottom"/>
            <w:hideMark/>
          </w:tcPr>
          <w:p w14:paraId="6E89BFE4"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0.0231</w:t>
            </w:r>
          </w:p>
        </w:tc>
        <w:tc>
          <w:tcPr>
            <w:tcW w:w="529" w:type="pct"/>
            <w:tcBorders>
              <w:top w:val="nil"/>
              <w:left w:val="nil"/>
              <w:bottom w:val="single" w:sz="4" w:space="0" w:color="auto"/>
              <w:right w:val="single" w:sz="4" w:space="0" w:color="auto"/>
            </w:tcBorders>
            <w:shd w:val="clear" w:color="auto" w:fill="auto"/>
            <w:noWrap/>
            <w:vAlign w:val="bottom"/>
            <w:hideMark/>
          </w:tcPr>
          <w:p w14:paraId="35938A0F"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78244194"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86.38 </w:t>
            </w:r>
          </w:p>
        </w:tc>
        <w:tc>
          <w:tcPr>
            <w:tcW w:w="577" w:type="pct"/>
            <w:tcBorders>
              <w:top w:val="nil"/>
              <w:left w:val="nil"/>
              <w:bottom w:val="single" w:sz="4" w:space="0" w:color="auto"/>
              <w:right w:val="single" w:sz="4" w:space="0" w:color="auto"/>
            </w:tcBorders>
            <w:shd w:val="clear" w:color="auto" w:fill="auto"/>
            <w:noWrap/>
            <w:vAlign w:val="bottom"/>
            <w:hideMark/>
          </w:tcPr>
          <w:p w14:paraId="21F4CCB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4,516.35 </w:t>
            </w:r>
          </w:p>
        </w:tc>
      </w:tr>
      <w:tr w:rsidR="00B30DDC" w:rsidRPr="00B30DDC" w14:paraId="2F49DA4D"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84244D1"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Bleeding event (major or life-threatening/disabling), month 2-12  - SAVR</w:t>
            </w:r>
          </w:p>
        </w:tc>
        <w:tc>
          <w:tcPr>
            <w:tcW w:w="673" w:type="pct"/>
            <w:tcBorders>
              <w:top w:val="nil"/>
              <w:left w:val="nil"/>
              <w:bottom w:val="single" w:sz="4" w:space="0" w:color="auto"/>
              <w:right w:val="single" w:sz="4" w:space="0" w:color="auto"/>
            </w:tcBorders>
            <w:shd w:val="clear" w:color="auto" w:fill="auto"/>
            <w:noWrap/>
            <w:vAlign w:val="bottom"/>
            <w:hideMark/>
          </w:tcPr>
          <w:p w14:paraId="5156FAE3"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0.0182</w:t>
            </w:r>
          </w:p>
        </w:tc>
        <w:tc>
          <w:tcPr>
            <w:tcW w:w="577" w:type="pct"/>
            <w:tcBorders>
              <w:top w:val="nil"/>
              <w:left w:val="nil"/>
              <w:bottom w:val="single" w:sz="4" w:space="0" w:color="auto"/>
              <w:right w:val="single" w:sz="4" w:space="0" w:color="auto"/>
            </w:tcBorders>
            <w:shd w:val="clear" w:color="auto" w:fill="auto"/>
            <w:noWrap/>
            <w:vAlign w:val="bottom"/>
            <w:hideMark/>
          </w:tcPr>
          <w:p w14:paraId="10E3C510"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0.0143</w:t>
            </w:r>
          </w:p>
        </w:tc>
        <w:tc>
          <w:tcPr>
            <w:tcW w:w="577" w:type="pct"/>
            <w:tcBorders>
              <w:top w:val="nil"/>
              <w:left w:val="nil"/>
              <w:bottom w:val="single" w:sz="4" w:space="0" w:color="auto"/>
              <w:right w:val="single" w:sz="4" w:space="0" w:color="auto"/>
            </w:tcBorders>
            <w:shd w:val="clear" w:color="auto" w:fill="auto"/>
            <w:noWrap/>
            <w:vAlign w:val="bottom"/>
            <w:hideMark/>
          </w:tcPr>
          <w:p w14:paraId="0D0BAE30"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0.0222</w:t>
            </w:r>
          </w:p>
        </w:tc>
        <w:tc>
          <w:tcPr>
            <w:tcW w:w="529" w:type="pct"/>
            <w:tcBorders>
              <w:top w:val="nil"/>
              <w:left w:val="nil"/>
              <w:bottom w:val="single" w:sz="4" w:space="0" w:color="auto"/>
              <w:right w:val="single" w:sz="4" w:space="0" w:color="auto"/>
            </w:tcBorders>
            <w:shd w:val="clear" w:color="auto" w:fill="auto"/>
            <w:noWrap/>
            <w:vAlign w:val="bottom"/>
            <w:hideMark/>
          </w:tcPr>
          <w:p w14:paraId="142623D5"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639654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81.27 </w:t>
            </w:r>
          </w:p>
        </w:tc>
        <w:tc>
          <w:tcPr>
            <w:tcW w:w="577" w:type="pct"/>
            <w:tcBorders>
              <w:top w:val="nil"/>
              <w:left w:val="nil"/>
              <w:bottom w:val="single" w:sz="4" w:space="0" w:color="auto"/>
              <w:right w:val="single" w:sz="4" w:space="0" w:color="auto"/>
            </w:tcBorders>
            <w:shd w:val="clear" w:color="auto" w:fill="auto"/>
            <w:noWrap/>
            <w:vAlign w:val="bottom"/>
            <w:hideMark/>
          </w:tcPr>
          <w:p w14:paraId="32EFA997"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4,384.63 </w:t>
            </w:r>
          </w:p>
        </w:tc>
      </w:tr>
      <w:tr w:rsidR="00B30DDC" w:rsidRPr="00B30DDC" w14:paraId="790001EC" w14:textId="77777777" w:rsidTr="00B30DDC">
        <w:trPr>
          <w:trHeight w:val="76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F488AA6"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Bleeding event (major or life-threatening/disabling), month 2-12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5CFBD181"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0.0152</w:t>
            </w:r>
          </w:p>
        </w:tc>
        <w:tc>
          <w:tcPr>
            <w:tcW w:w="577" w:type="pct"/>
            <w:tcBorders>
              <w:top w:val="nil"/>
              <w:left w:val="nil"/>
              <w:bottom w:val="single" w:sz="4" w:space="0" w:color="auto"/>
              <w:right w:val="single" w:sz="4" w:space="0" w:color="auto"/>
            </w:tcBorders>
            <w:shd w:val="clear" w:color="auto" w:fill="auto"/>
            <w:noWrap/>
            <w:vAlign w:val="bottom"/>
            <w:hideMark/>
          </w:tcPr>
          <w:p w14:paraId="43A11B7A"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0.0113</w:t>
            </w:r>
          </w:p>
        </w:tc>
        <w:tc>
          <w:tcPr>
            <w:tcW w:w="577" w:type="pct"/>
            <w:tcBorders>
              <w:top w:val="nil"/>
              <w:left w:val="nil"/>
              <w:bottom w:val="single" w:sz="4" w:space="0" w:color="auto"/>
              <w:right w:val="single" w:sz="4" w:space="0" w:color="auto"/>
            </w:tcBorders>
            <w:shd w:val="clear" w:color="auto" w:fill="auto"/>
            <w:noWrap/>
            <w:vAlign w:val="bottom"/>
            <w:hideMark/>
          </w:tcPr>
          <w:p w14:paraId="16A7FA74" w14:textId="77777777" w:rsidR="00B30DDC" w:rsidRPr="00B30DDC" w:rsidRDefault="00B30DDC" w:rsidP="00B30DDC">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0.0192</w:t>
            </w:r>
          </w:p>
        </w:tc>
        <w:tc>
          <w:tcPr>
            <w:tcW w:w="529" w:type="pct"/>
            <w:tcBorders>
              <w:top w:val="nil"/>
              <w:left w:val="nil"/>
              <w:bottom w:val="single" w:sz="4" w:space="0" w:color="auto"/>
              <w:right w:val="single" w:sz="4" w:space="0" w:color="auto"/>
            </w:tcBorders>
            <w:shd w:val="clear" w:color="auto" w:fill="auto"/>
            <w:noWrap/>
            <w:vAlign w:val="bottom"/>
            <w:hideMark/>
          </w:tcPr>
          <w:p w14:paraId="453FF388" w14:textId="77777777" w:rsidR="00B30DDC" w:rsidRPr="00B30DDC" w:rsidRDefault="00B30DDC" w:rsidP="00B30DDC">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416E7582"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57.21 </w:t>
            </w:r>
          </w:p>
        </w:tc>
        <w:tc>
          <w:tcPr>
            <w:tcW w:w="577" w:type="pct"/>
            <w:tcBorders>
              <w:top w:val="nil"/>
              <w:left w:val="nil"/>
              <w:bottom w:val="single" w:sz="4" w:space="0" w:color="auto"/>
              <w:right w:val="single" w:sz="4" w:space="0" w:color="auto"/>
            </w:tcBorders>
            <w:shd w:val="clear" w:color="auto" w:fill="auto"/>
            <w:noWrap/>
            <w:vAlign w:val="bottom"/>
            <w:hideMark/>
          </w:tcPr>
          <w:p w14:paraId="459ED28B" w14:textId="77777777" w:rsidR="00B30DDC" w:rsidRPr="00B30DDC" w:rsidRDefault="00B30DDC" w:rsidP="00B30DDC">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3,695.32 </w:t>
            </w:r>
          </w:p>
        </w:tc>
      </w:tr>
      <w:tr w:rsidR="009813EF" w:rsidRPr="00B30DDC" w14:paraId="6510E8F0"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1056BC5D"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Cardiogenic shock, month 2-12  - SAVR</w:t>
            </w:r>
          </w:p>
        </w:tc>
        <w:tc>
          <w:tcPr>
            <w:tcW w:w="673" w:type="pct"/>
            <w:tcBorders>
              <w:top w:val="nil"/>
              <w:left w:val="nil"/>
              <w:bottom w:val="single" w:sz="4" w:space="0" w:color="auto"/>
              <w:right w:val="single" w:sz="4" w:space="0" w:color="auto"/>
            </w:tcBorders>
            <w:shd w:val="clear" w:color="auto" w:fill="auto"/>
            <w:noWrap/>
            <w:vAlign w:val="bottom"/>
            <w:hideMark/>
          </w:tcPr>
          <w:p w14:paraId="6A84F88D"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0A401EFB"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58F129EC"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29" w:type="pct"/>
            <w:tcBorders>
              <w:top w:val="nil"/>
              <w:left w:val="nil"/>
              <w:bottom w:val="single" w:sz="4" w:space="0" w:color="auto"/>
              <w:right w:val="single" w:sz="4" w:space="0" w:color="auto"/>
            </w:tcBorders>
            <w:shd w:val="clear" w:color="auto" w:fill="auto"/>
            <w:noWrap/>
            <w:vAlign w:val="bottom"/>
            <w:hideMark/>
          </w:tcPr>
          <w:p w14:paraId="36E2190D" w14:textId="00134B24" w:rsidR="009813EF" w:rsidRPr="00B30DDC" w:rsidRDefault="009813EF" w:rsidP="009813EF">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625" w:type="pct"/>
            <w:tcBorders>
              <w:top w:val="nil"/>
              <w:left w:val="nil"/>
              <w:bottom w:val="single" w:sz="4" w:space="0" w:color="auto"/>
              <w:right w:val="single" w:sz="4" w:space="0" w:color="auto"/>
            </w:tcBorders>
            <w:shd w:val="clear" w:color="auto" w:fill="auto"/>
            <w:noWrap/>
            <w:vAlign w:val="bottom"/>
            <w:hideMark/>
          </w:tcPr>
          <w:p w14:paraId="1AE7EB28" w14:textId="7F36638A" w:rsidR="009813EF"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577" w:type="pct"/>
            <w:tcBorders>
              <w:top w:val="nil"/>
              <w:left w:val="nil"/>
              <w:bottom w:val="single" w:sz="4" w:space="0" w:color="auto"/>
              <w:right w:val="single" w:sz="4" w:space="0" w:color="auto"/>
            </w:tcBorders>
            <w:shd w:val="clear" w:color="auto" w:fill="auto"/>
            <w:noWrap/>
            <w:vAlign w:val="bottom"/>
            <w:hideMark/>
          </w:tcPr>
          <w:p w14:paraId="4E35126E" w14:textId="64959F91" w:rsidR="009813EF"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r>
      <w:tr w:rsidR="009813EF" w:rsidRPr="00B30DDC" w14:paraId="7809DF8E"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4C53D5E"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Cardiogenic shock, month 2-12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2DD0147E"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22AEFB58"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2DED2314"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29" w:type="pct"/>
            <w:tcBorders>
              <w:top w:val="nil"/>
              <w:left w:val="nil"/>
              <w:bottom w:val="single" w:sz="4" w:space="0" w:color="auto"/>
              <w:right w:val="single" w:sz="4" w:space="0" w:color="auto"/>
            </w:tcBorders>
            <w:shd w:val="clear" w:color="auto" w:fill="auto"/>
            <w:noWrap/>
            <w:vAlign w:val="bottom"/>
            <w:hideMark/>
          </w:tcPr>
          <w:p w14:paraId="7D67945F" w14:textId="5B175DA8" w:rsidR="009813EF" w:rsidRPr="00B30DDC" w:rsidRDefault="009813EF" w:rsidP="009813EF">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625" w:type="pct"/>
            <w:tcBorders>
              <w:top w:val="nil"/>
              <w:left w:val="nil"/>
              <w:bottom w:val="single" w:sz="4" w:space="0" w:color="auto"/>
              <w:right w:val="single" w:sz="4" w:space="0" w:color="auto"/>
            </w:tcBorders>
            <w:shd w:val="clear" w:color="auto" w:fill="auto"/>
            <w:noWrap/>
            <w:vAlign w:val="bottom"/>
            <w:hideMark/>
          </w:tcPr>
          <w:p w14:paraId="09B4061D" w14:textId="2A70EA06" w:rsidR="009813EF"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577" w:type="pct"/>
            <w:tcBorders>
              <w:top w:val="nil"/>
              <w:left w:val="nil"/>
              <w:bottom w:val="single" w:sz="4" w:space="0" w:color="auto"/>
              <w:right w:val="single" w:sz="4" w:space="0" w:color="auto"/>
            </w:tcBorders>
            <w:shd w:val="clear" w:color="auto" w:fill="auto"/>
            <w:noWrap/>
            <w:vAlign w:val="bottom"/>
            <w:hideMark/>
          </w:tcPr>
          <w:p w14:paraId="5A5B34EA" w14:textId="48CEA28C" w:rsidR="009813EF"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r>
      <w:tr w:rsidR="009813EF" w:rsidRPr="00B30DDC" w14:paraId="1731BFEA"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2DD22FAA"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AKI, month 2-12  - SAVR</w:t>
            </w:r>
          </w:p>
        </w:tc>
        <w:tc>
          <w:tcPr>
            <w:tcW w:w="673" w:type="pct"/>
            <w:tcBorders>
              <w:top w:val="nil"/>
              <w:left w:val="nil"/>
              <w:bottom w:val="single" w:sz="4" w:space="0" w:color="auto"/>
              <w:right w:val="single" w:sz="4" w:space="0" w:color="auto"/>
            </w:tcBorders>
            <w:shd w:val="clear" w:color="auto" w:fill="auto"/>
            <w:noWrap/>
            <w:vAlign w:val="bottom"/>
            <w:hideMark/>
          </w:tcPr>
          <w:p w14:paraId="737B67F1"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0.0001</w:t>
            </w:r>
          </w:p>
        </w:tc>
        <w:tc>
          <w:tcPr>
            <w:tcW w:w="577" w:type="pct"/>
            <w:tcBorders>
              <w:top w:val="nil"/>
              <w:left w:val="nil"/>
              <w:bottom w:val="single" w:sz="4" w:space="0" w:color="auto"/>
              <w:right w:val="single" w:sz="4" w:space="0" w:color="auto"/>
            </w:tcBorders>
            <w:shd w:val="clear" w:color="auto" w:fill="auto"/>
            <w:noWrap/>
            <w:vAlign w:val="bottom"/>
            <w:hideMark/>
          </w:tcPr>
          <w:p w14:paraId="604F8AED"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66918208"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29" w:type="pct"/>
            <w:tcBorders>
              <w:top w:val="nil"/>
              <w:left w:val="nil"/>
              <w:bottom w:val="single" w:sz="4" w:space="0" w:color="auto"/>
              <w:right w:val="single" w:sz="4" w:space="0" w:color="auto"/>
            </w:tcBorders>
            <w:shd w:val="clear" w:color="auto" w:fill="auto"/>
            <w:noWrap/>
            <w:vAlign w:val="bottom"/>
            <w:hideMark/>
          </w:tcPr>
          <w:p w14:paraId="7736683C" w14:textId="3A3EC1CE" w:rsidR="009813EF" w:rsidRPr="00B30DDC" w:rsidRDefault="009813EF" w:rsidP="009813EF">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625" w:type="pct"/>
            <w:tcBorders>
              <w:top w:val="nil"/>
              <w:left w:val="nil"/>
              <w:bottom w:val="single" w:sz="4" w:space="0" w:color="auto"/>
              <w:right w:val="single" w:sz="4" w:space="0" w:color="auto"/>
            </w:tcBorders>
            <w:shd w:val="clear" w:color="auto" w:fill="auto"/>
            <w:noWrap/>
            <w:vAlign w:val="bottom"/>
            <w:hideMark/>
          </w:tcPr>
          <w:p w14:paraId="7D49C53F" w14:textId="149DD9B9" w:rsidR="009813EF"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577" w:type="pct"/>
            <w:tcBorders>
              <w:top w:val="nil"/>
              <w:left w:val="nil"/>
              <w:bottom w:val="single" w:sz="4" w:space="0" w:color="auto"/>
              <w:right w:val="single" w:sz="4" w:space="0" w:color="auto"/>
            </w:tcBorders>
            <w:shd w:val="clear" w:color="auto" w:fill="auto"/>
            <w:noWrap/>
            <w:vAlign w:val="bottom"/>
            <w:hideMark/>
          </w:tcPr>
          <w:p w14:paraId="1221010B" w14:textId="06B6588A" w:rsidR="009813EF"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r>
      <w:tr w:rsidR="009813EF" w:rsidRPr="00B30DDC" w14:paraId="0B0EB90D"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A9C4155"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AKI, month 2-12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0783451B"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0.0005</w:t>
            </w:r>
          </w:p>
        </w:tc>
        <w:tc>
          <w:tcPr>
            <w:tcW w:w="577" w:type="pct"/>
            <w:tcBorders>
              <w:top w:val="nil"/>
              <w:left w:val="nil"/>
              <w:bottom w:val="single" w:sz="4" w:space="0" w:color="auto"/>
              <w:right w:val="single" w:sz="4" w:space="0" w:color="auto"/>
            </w:tcBorders>
            <w:shd w:val="clear" w:color="auto" w:fill="auto"/>
            <w:noWrap/>
            <w:vAlign w:val="bottom"/>
            <w:hideMark/>
          </w:tcPr>
          <w:p w14:paraId="51FECD83"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371EF6FA"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29" w:type="pct"/>
            <w:tcBorders>
              <w:top w:val="nil"/>
              <w:left w:val="nil"/>
              <w:bottom w:val="single" w:sz="4" w:space="0" w:color="auto"/>
              <w:right w:val="single" w:sz="4" w:space="0" w:color="auto"/>
            </w:tcBorders>
            <w:shd w:val="clear" w:color="auto" w:fill="auto"/>
            <w:noWrap/>
            <w:vAlign w:val="bottom"/>
            <w:hideMark/>
          </w:tcPr>
          <w:p w14:paraId="39F5AD3D"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2103BD87"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0.00 </w:t>
            </w:r>
          </w:p>
        </w:tc>
        <w:tc>
          <w:tcPr>
            <w:tcW w:w="577" w:type="pct"/>
            <w:tcBorders>
              <w:top w:val="nil"/>
              <w:left w:val="nil"/>
              <w:bottom w:val="single" w:sz="4" w:space="0" w:color="auto"/>
              <w:right w:val="single" w:sz="4" w:space="0" w:color="auto"/>
            </w:tcBorders>
            <w:shd w:val="clear" w:color="auto" w:fill="auto"/>
            <w:noWrap/>
            <w:vAlign w:val="bottom"/>
            <w:hideMark/>
          </w:tcPr>
          <w:p w14:paraId="278A98A5"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3.52 </w:t>
            </w:r>
          </w:p>
        </w:tc>
      </w:tr>
      <w:tr w:rsidR="009813EF" w:rsidRPr="00B30DDC" w14:paraId="241943C0"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EDDE9A9"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Major vascular complication, month 2-12  - SAVR</w:t>
            </w:r>
          </w:p>
        </w:tc>
        <w:tc>
          <w:tcPr>
            <w:tcW w:w="673" w:type="pct"/>
            <w:tcBorders>
              <w:top w:val="nil"/>
              <w:left w:val="nil"/>
              <w:bottom w:val="single" w:sz="4" w:space="0" w:color="auto"/>
              <w:right w:val="single" w:sz="4" w:space="0" w:color="auto"/>
            </w:tcBorders>
            <w:shd w:val="clear" w:color="auto" w:fill="auto"/>
            <w:noWrap/>
            <w:vAlign w:val="bottom"/>
            <w:hideMark/>
          </w:tcPr>
          <w:p w14:paraId="3259CC3E"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0.0033</w:t>
            </w:r>
          </w:p>
        </w:tc>
        <w:tc>
          <w:tcPr>
            <w:tcW w:w="577" w:type="pct"/>
            <w:tcBorders>
              <w:top w:val="nil"/>
              <w:left w:val="nil"/>
              <w:bottom w:val="single" w:sz="4" w:space="0" w:color="auto"/>
              <w:right w:val="single" w:sz="4" w:space="0" w:color="auto"/>
            </w:tcBorders>
            <w:shd w:val="clear" w:color="auto" w:fill="auto"/>
            <w:noWrap/>
            <w:vAlign w:val="bottom"/>
            <w:hideMark/>
          </w:tcPr>
          <w:p w14:paraId="39FD23D1"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0.0024</w:t>
            </w:r>
          </w:p>
        </w:tc>
        <w:tc>
          <w:tcPr>
            <w:tcW w:w="577" w:type="pct"/>
            <w:tcBorders>
              <w:top w:val="nil"/>
              <w:left w:val="nil"/>
              <w:bottom w:val="single" w:sz="4" w:space="0" w:color="auto"/>
              <w:right w:val="single" w:sz="4" w:space="0" w:color="auto"/>
            </w:tcBorders>
            <w:shd w:val="clear" w:color="auto" w:fill="auto"/>
            <w:noWrap/>
            <w:vAlign w:val="bottom"/>
            <w:hideMark/>
          </w:tcPr>
          <w:p w14:paraId="3F53D2BB"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0.0044</w:t>
            </w:r>
          </w:p>
        </w:tc>
        <w:tc>
          <w:tcPr>
            <w:tcW w:w="529" w:type="pct"/>
            <w:tcBorders>
              <w:top w:val="nil"/>
              <w:left w:val="nil"/>
              <w:bottom w:val="single" w:sz="4" w:space="0" w:color="auto"/>
              <w:right w:val="single" w:sz="4" w:space="0" w:color="auto"/>
            </w:tcBorders>
            <w:shd w:val="clear" w:color="auto" w:fill="auto"/>
            <w:noWrap/>
            <w:vAlign w:val="bottom"/>
            <w:hideMark/>
          </w:tcPr>
          <w:p w14:paraId="0DC8268E"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527BC829"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43.37 </w:t>
            </w:r>
          </w:p>
        </w:tc>
        <w:tc>
          <w:tcPr>
            <w:tcW w:w="577" w:type="pct"/>
            <w:tcBorders>
              <w:top w:val="nil"/>
              <w:left w:val="nil"/>
              <w:bottom w:val="single" w:sz="4" w:space="0" w:color="auto"/>
              <w:right w:val="single" w:sz="4" w:space="0" w:color="auto"/>
            </w:tcBorders>
            <w:shd w:val="clear" w:color="auto" w:fill="auto"/>
            <w:noWrap/>
            <w:vAlign w:val="bottom"/>
            <w:hideMark/>
          </w:tcPr>
          <w:p w14:paraId="71BABE09"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13,105.10 </w:t>
            </w:r>
          </w:p>
        </w:tc>
      </w:tr>
      <w:tr w:rsidR="009813EF" w:rsidRPr="00B30DDC" w14:paraId="776A733F"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7848E68D"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Major vascular complication, month 2-12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1FC1AC35"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63F81FD4"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40E9F928"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29" w:type="pct"/>
            <w:tcBorders>
              <w:top w:val="nil"/>
              <w:left w:val="nil"/>
              <w:bottom w:val="single" w:sz="4" w:space="0" w:color="auto"/>
              <w:right w:val="single" w:sz="4" w:space="0" w:color="auto"/>
            </w:tcBorders>
            <w:shd w:val="clear" w:color="auto" w:fill="auto"/>
            <w:noWrap/>
            <w:vAlign w:val="bottom"/>
            <w:hideMark/>
          </w:tcPr>
          <w:p w14:paraId="6B085802" w14:textId="4CDCD337" w:rsidR="009813EF" w:rsidRPr="00B30DDC" w:rsidRDefault="009813EF" w:rsidP="009813EF">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625" w:type="pct"/>
            <w:tcBorders>
              <w:top w:val="nil"/>
              <w:left w:val="nil"/>
              <w:bottom w:val="single" w:sz="4" w:space="0" w:color="auto"/>
              <w:right w:val="single" w:sz="4" w:space="0" w:color="auto"/>
            </w:tcBorders>
            <w:shd w:val="clear" w:color="auto" w:fill="auto"/>
            <w:noWrap/>
            <w:vAlign w:val="bottom"/>
            <w:hideMark/>
          </w:tcPr>
          <w:p w14:paraId="3A2534D2" w14:textId="4E9FBD52" w:rsidR="009813EF"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577" w:type="pct"/>
            <w:tcBorders>
              <w:top w:val="nil"/>
              <w:left w:val="nil"/>
              <w:bottom w:val="single" w:sz="4" w:space="0" w:color="auto"/>
              <w:right w:val="single" w:sz="4" w:space="0" w:color="auto"/>
            </w:tcBorders>
            <w:shd w:val="clear" w:color="auto" w:fill="auto"/>
            <w:noWrap/>
            <w:vAlign w:val="bottom"/>
            <w:hideMark/>
          </w:tcPr>
          <w:p w14:paraId="40682BF0" w14:textId="612ED28C" w:rsidR="009813EF"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r>
      <w:tr w:rsidR="009813EF" w:rsidRPr="00B30DDC" w14:paraId="349F7A4A"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9D428A7"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Atrial fibrillation, month 2-12  - SAVR</w:t>
            </w:r>
          </w:p>
        </w:tc>
        <w:tc>
          <w:tcPr>
            <w:tcW w:w="673" w:type="pct"/>
            <w:tcBorders>
              <w:top w:val="nil"/>
              <w:left w:val="nil"/>
              <w:bottom w:val="single" w:sz="4" w:space="0" w:color="auto"/>
              <w:right w:val="single" w:sz="4" w:space="0" w:color="auto"/>
            </w:tcBorders>
            <w:shd w:val="clear" w:color="auto" w:fill="auto"/>
            <w:noWrap/>
            <w:vAlign w:val="bottom"/>
            <w:hideMark/>
          </w:tcPr>
          <w:p w14:paraId="6B2876BE"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0.0332</w:t>
            </w:r>
          </w:p>
        </w:tc>
        <w:tc>
          <w:tcPr>
            <w:tcW w:w="577" w:type="pct"/>
            <w:tcBorders>
              <w:top w:val="nil"/>
              <w:left w:val="nil"/>
              <w:bottom w:val="single" w:sz="4" w:space="0" w:color="auto"/>
              <w:right w:val="single" w:sz="4" w:space="0" w:color="auto"/>
            </w:tcBorders>
            <w:shd w:val="clear" w:color="auto" w:fill="auto"/>
            <w:noWrap/>
            <w:vAlign w:val="bottom"/>
            <w:hideMark/>
          </w:tcPr>
          <w:p w14:paraId="0A603C55"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0.0322</w:t>
            </w:r>
          </w:p>
        </w:tc>
        <w:tc>
          <w:tcPr>
            <w:tcW w:w="577" w:type="pct"/>
            <w:tcBorders>
              <w:top w:val="nil"/>
              <w:left w:val="nil"/>
              <w:bottom w:val="single" w:sz="4" w:space="0" w:color="auto"/>
              <w:right w:val="single" w:sz="4" w:space="0" w:color="auto"/>
            </w:tcBorders>
            <w:shd w:val="clear" w:color="auto" w:fill="auto"/>
            <w:noWrap/>
            <w:vAlign w:val="bottom"/>
            <w:hideMark/>
          </w:tcPr>
          <w:p w14:paraId="28F72C2C"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0.0342</w:t>
            </w:r>
          </w:p>
        </w:tc>
        <w:tc>
          <w:tcPr>
            <w:tcW w:w="529" w:type="pct"/>
            <w:tcBorders>
              <w:top w:val="nil"/>
              <w:left w:val="nil"/>
              <w:bottom w:val="single" w:sz="4" w:space="0" w:color="auto"/>
              <w:right w:val="single" w:sz="4" w:space="0" w:color="auto"/>
            </w:tcBorders>
            <w:shd w:val="clear" w:color="auto" w:fill="auto"/>
            <w:noWrap/>
            <w:vAlign w:val="bottom"/>
            <w:hideMark/>
          </w:tcPr>
          <w:p w14:paraId="2D665CAB"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4AFDC6F1"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4,262.25 </w:t>
            </w:r>
          </w:p>
        </w:tc>
        <w:tc>
          <w:tcPr>
            <w:tcW w:w="577" w:type="pct"/>
            <w:tcBorders>
              <w:top w:val="nil"/>
              <w:left w:val="nil"/>
              <w:bottom w:val="single" w:sz="4" w:space="0" w:color="auto"/>
              <w:right w:val="single" w:sz="4" w:space="0" w:color="auto"/>
            </w:tcBorders>
            <w:shd w:val="clear" w:color="auto" w:fill="auto"/>
            <w:noWrap/>
            <w:vAlign w:val="bottom"/>
            <w:hideMark/>
          </w:tcPr>
          <w:p w14:paraId="04C5D595"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124,123.42 </w:t>
            </w:r>
          </w:p>
        </w:tc>
      </w:tr>
      <w:tr w:rsidR="009813EF" w:rsidRPr="00B30DDC" w14:paraId="22617E66"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5233575"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lastRenderedPageBreak/>
              <w:t xml:space="preserve">Atrial fibrillation, month 2-12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12C6BBC6"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0.0187</w:t>
            </w:r>
          </w:p>
        </w:tc>
        <w:tc>
          <w:tcPr>
            <w:tcW w:w="577" w:type="pct"/>
            <w:tcBorders>
              <w:top w:val="nil"/>
              <w:left w:val="nil"/>
              <w:bottom w:val="single" w:sz="4" w:space="0" w:color="auto"/>
              <w:right w:val="single" w:sz="4" w:space="0" w:color="auto"/>
            </w:tcBorders>
            <w:shd w:val="clear" w:color="auto" w:fill="auto"/>
            <w:noWrap/>
            <w:vAlign w:val="bottom"/>
            <w:hideMark/>
          </w:tcPr>
          <w:p w14:paraId="6D1E4E7A"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0.0168</w:t>
            </w:r>
          </w:p>
        </w:tc>
        <w:tc>
          <w:tcPr>
            <w:tcW w:w="577" w:type="pct"/>
            <w:tcBorders>
              <w:top w:val="nil"/>
              <w:left w:val="nil"/>
              <w:bottom w:val="single" w:sz="4" w:space="0" w:color="auto"/>
              <w:right w:val="single" w:sz="4" w:space="0" w:color="auto"/>
            </w:tcBorders>
            <w:shd w:val="clear" w:color="auto" w:fill="auto"/>
            <w:noWrap/>
            <w:vAlign w:val="bottom"/>
            <w:hideMark/>
          </w:tcPr>
          <w:p w14:paraId="3EB59D53"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0.0206</w:t>
            </w:r>
          </w:p>
        </w:tc>
        <w:tc>
          <w:tcPr>
            <w:tcW w:w="529" w:type="pct"/>
            <w:tcBorders>
              <w:top w:val="nil"/>
              <w:left w:val="nil"/>
              <w:bottom w:val="single" w:sz="4" w:space="0" w:color="auto"/>
              <w:right w:val="single" w:sz="4" w:space="0" w:color="auto"/>
            </w:tcBorders>
            <w:shd w:val="clear" w:color="auto" w:fill="auto"/>
            <w:noWrap/>
            <w:vAlign w:val="bottom"/>
            <w:hideMark/>
          </w:tcPr>
          <w:p w14:paraId="58614E7F"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280D33B5"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341.59 </w:t>
            </w:r>
          </w:p>
        </w:tc>
        <w:tc>
          <w:tcPr>
            <w:tcW w:w="577" w:type="pct"/>
            <w:tcBorders>
              <w:top w:val="nil"/>
              <w:left w:val="nil"/>
              <w:bottom w:val="single" w:sz="4" w:space="0" w:color="auto"/>
              <w:right w:val="single" w:sz="4" w:space="0" w:color="auto"/>
            </w:tcBorders>
            <w:shd w:val="clear" w:color="auto" w:fill="auto"/>
            <w:noWrap/>
            <w:vAlign w:val="bottom"/>
            <w:hideMark/>
          </w:tcPr>
          <w:p w14:paraId="1D856ADE"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17,966.84 </w:t>
            </w:r>
          </w:p>
        </w:tc>
      </w:tr>
      <w:tr w:rsidR="009813EF" w:rsidRPr="00B30DDC" w14:paraId="0E32BD07"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113AC7EE"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Aortic valve rehospitalization, year 1  - SAVR</w:t>
            </w:r>
          </w:p>
        </w:tc>
        <w:tc>
          <w:tcPr>
            <w:tcW w:w="673" w:type="pct"/>
            <w:tcBorders>
              <w:top w:val="nil"/>
              <w:left w:val="nil"/>
              <w:bottom w:val="single" w:sz="4" w:space="0" w:color="auto"/>
              <w:right w:val="single" w:sz="4" w:space="0" w:color="auto"/>
            </w:tcBorders>
            <w:shd w:val="clear" w:color="auto" w:fill="auto"/>
            <w:noWrap/>
            <w:vAlign w:val="bottom"/>
            <w:hideMark/>
          </w:tcPr>
          <w:p w14:paraId="1714A3C5"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0.0590</w:t>
            </w:r>
          </w:p>
        </w:tc>
        <w:tc>
          <w:tcPr>
            <w:tcW w:w="577" w:type="pct"/>
            <w:tcBorders>
              <w:top w:val="nil"/>
              <w:left w:val="nil"/>
              <w:bottom w:val="single" w:sz="4" w:space="0" w:color="auto"/>
              <w:right w:val="single" w:sz="4" w:space="0" w:color="auto"/>
            </w:tcBorders>
            <w:shd w:val="clear" w:color="auto" w:fill="auto"/>
            <w:noWrap/>
            <w:vAlign w:val="bottom"/>
            <w:hideMark/>
          </w:tcPr>
          <w:p w14:paraId="0DDB79C9"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0.0409</w:t>
            </w:r>
          </w:p>
        </w:tc>
        <w:tc>
          <w:tcPr>
            <w:tcW w:w="577" w:type="pct"/>
            <w:tcBorders>
              <w:top w:val="nil"/>
              <w:left w:val="nil"/>
              <w:bottom w:val="single" w:sz="4" w:space="0" w:color="auto"/>
              <w:right w:val="single" w:sz="4" w:space="0" w:color="auto"/>
            </w:tcBorders>
            <w:shd w:val="clear" w:color="auto" w:fill="auto"/>
            <w:noWrap/>
            <w:vAlign w:val="bottom"/>
            <w:hideMark/>
          </w:tcPr>
          <w:p w14:paraId="37DBD6DB"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0.0803</w:t>
            </w:r>
          </w:p>
        </w:tc>
        <w:tc>
          <w:tcPr>
            <w:tcW w:w="529" w:type="pct"/>
            <w:tcBorders>
              <w:top w:val="nil"/>
              <w:left w:val="nil"/>
              <w:bottom w:val="single" w:sz="4" w:space="0" w:color="auto"/>
              <w:right w:val="single" w:sz="4" w:space="0" w:color="auto"/>
            </w:tcBorders>
            <w:shd w:val="clear" w:color="auto" w:fill="auto"/>
            <w:noWrap/>
            <w:vAlign w:val="bottom"/>
            <w:hideMark/>
          </w:tcPr>
          <w:p w14:paraId="07CE6A4D"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4D0BE2D"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32.70 </w:t>
            </w:r>
          </w:p>
        </w:tc>
        <w:tc>
          <w:tcPr>
            <w:tcW w:w="577" w:type="pct"/>
            <w:tcBorders>
              <w:top w:val="nil"/>
              <w:left w:val="nil"/>
              <w:bottom w:val="single" w:sz="4" w:space="0" w:color="auto"/>
              <w:right w:val="single" w:sz="4" w:space="0" w:color="auto"/>
            </w:tcBorders>
            <w:shd w:val="clear" w:color="auto" w:fill="auto"/>
            <w:noWrap/>
            <w:vAlign w:val="bottom"/>
            <w:hideMark/>
          </w:tcPr>
          <w:p w14:paraId="271C92A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521.49 </w:t>
            </w:r>
          </w:p>
        </w:tc>
      </w:tr>
      <w:tr w:rsidR="009813EF" w:rsidRPr="00B30DDC" w14:paraId="52DB10E6"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B8A7D6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Aortic valve rehospitalization, year 1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1AF99350"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0.0330</w:t>
            </w:r>
          </w:p>
        </w:tc>
        <w:tc>
          <w:tcPr>
            <w:tcW w:w="577" w:type="pct"/>
            <w:tcBorders>
              <w:top w:val="nil"/>
              <w:left w:val="nil"/>
              <w:bottom w:val="single" w:sz="4" w:space="0" w:color="auto"/>
              <w:right w:val="single" w:sz="4" w:space="0" w:color="auto"/>
            </w:tcBorders>
            <w:shd w:val="clear" w:color="auto" w:fill="auto"/>
            <w:noWrap/>
            <w:vAlign w:val="bottom"/>
            <w:hideMark/>
          </w:tcPr>
          <w:p w14:paraId="7395350F"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0.0199</w:t>
            </w:r>
          </w:p>
        </w:tc>
        <w:tc>
          <w:tcPr>
            <w:tcW w:w="577" w:type="pct"/>
            <w:tcBorders>
              <w:top w:val="nil"/>
              <w:left w:val="nil"/>
              <w:bottom w:val="single" w:sz="4" w:space="0" w:color="auto"/>
              <w:right w:val="single" w:sz="4" w:space="0" w:color="auto"/>
            </w:tcBorders>
            <w:shd w:val="clear" w:color="auto" w:fill="auto"/>
            <w:noWrap/>
            <w:vAlign w:val="bottom"/>
            <w:hideMark/>
          </w:tcPr>
          <w:p w14:paraId="3E2167DA"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0.0492</w:t>
            </w:r>
          </w:p>
        </w:tc>
        <w:tc>
          <w:tcPr>
            <w:tcW w:w="529" w:type="pct"/>
            <w:tcBorders>
              <w:top w:val="nil"/>
              <w:left w:val="nil"/>
              <w:bottom w:val="single" w:sz="4" w:space="0" w:color="auto"/>
              <w:right w:val="single" w:sz="4" w:space="0" w:color="auto"/>
            </w:tcBorders>
            <w:shd w:val="clear" w:color="auto" w:fill="auto"/>
            <w:noWrap/>
            <w:vAlign w:val="bottom"/>
            <w:hideMark/>
          </w:tcPr>
          <w:p w14:paraId="2299E326"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04ABF130"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18.69 </w:t>
            </w:r>
          </w:p>
        </w:tc>
        <w:tc>
          <w:tcPr>
            <w:tcW w:w="577" w:type="pct"/>
            <w:tcBorders>
              <w:top w:val="nil"/>
              <w:left w:val="nil"/>
              <w:bottom w:val="single" w:sz="4" w:space="0" w:color="auto"/>
              <w:right w:val="single" w:sz="4" w:space="0" w:color="auto"/>
            </w:tcBorders>
            <w:shd w:val="clear" w:color="auto" w:fill="auto"/>
            <w:noWrap/>
            <w:vAlign w:val="bottom"/>
            <w:hideMark/>
          </w:tcPr>
          <w:p w14:paraId="535083BF"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547.62 </w:t>
            </w:r>
          </w:p>
        </w:tc>
      </w:tr>
      <w:tr w:rsidR="009813EF" w:rsidRPr="00B30DDC" w14:paraId="64EEFD14"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9243194"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Reintervention, month 2-12  - SAVR</w:t>
            </w:r>
          </w:p>
        </w:tc>
        <w:tc>
          <w:tcPr>
            <w:tcW w:w="673" w:type="pct"/>
            <w:tcBorders>
              <w:top w:val="nil"/>
              <w:left w:val="nil"/>
              <w:bottom w:val="single" w:sz="4" w:space="0" w:color="auto"/>
              <w:right w:val="single" w:sz="4" w:space="0" w:color="auto"/>
            </w:tcBorders>
            <w:shd w:val="clear" w:color="auto" w:fill="auto"/>
            <w:noWrap/>
            <w:vAlign w:val="bottom"/>
            <w:hideMark/>
          </w:tcPr>
          <w:p w14:paraId="3C8ED56E"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0.0010</w:t>
            </w:r>
          </w:p>
        </w:tc>
        <w:tc>
          <w:tcPr>
            <w:tcW w:w="577" w:type="pct"/>
            <w:tcBorders>
              <w:top w:val="nil"/>
              <w:left w:val="nil"/>
              <w:bottom w:val="single" w:sz="4" w:space="0" w:color="auto"/>
              <w:right w:val="single" w:sz="4" w:space="0" w:color="auto"/>
            </w:tcBorders>
            <w:shd w:val="clear" w:color="auto" w:fill="auto"/>
            <w:noWrap/>
            <w:vAlign w:val="bottom"/>
            <w:hideMark/>
          </w:tcPr>
          <w:p w14:paraId="4E9EAE8F"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0.0003</w:t>
            </w:r>
          </w:p>
        </w:tc>
        <w:tc>
          <w:tcPr>
            <w:tcW w:w="577" w:type="pct"/>
            <w:tcBorders>
              <w:top w:val="nil"/>
              <w:left w:val="nil"/>
              <w:bottom w:val="single" w:sz="4" w:space="0" w:color="auto"/>
              <w:right w:val="single" w:sz="4" w:space="0" w:color="auto"/>
            </w:tcBorders>
            <w:shd w:val="clear" w:color="auto" w:fill="auto"/>
            <w:noWrap/>
            <w:vAlign w:val="bottom"/>
            <w:hideMark/>
          </w:tcPr>
          <w:p w14:paraId="389B765F"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0.0022</w:t>
            </w:r>
          </w:p>
        </w:tc>
        <w:tc>
          <w:tcPr>
            <w:tcW w:w="529" w:type="pct"/>
            <w:tcBorders>
              <w:top w:val="nil"/>
              <w:left w:val="nil"/>
              <w:bottom w:val="single" w:sz="4" w:space="0" w:color="auto"/>
              <w:right w:val="single" w:sz="4" w:space="0" w:color="auto"/>
            </w:tcBorders>
            <w:shd w:val="clear" w:color="auto" w:fill="auto"/>
            <w:noWrap/>
            <w:vAlign w:val="bottom"/>
            <w:hideMark/>
          </w:tcPr>
          <w:p w14:paraId="3F18ECDC"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3A437F4D"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4.00 </w:t>
            </w:r>
          </w:p>
        </w:tc>
        <w:tc>
          <w:tcPr>
            <w:tcW w:w="577" w:type="pct"/>
            <w:tcBorders>
              <w:top w:val="nil"/>
              <w:left w:val="nil"/>
              <w:bottom w:val="single" w:sz="4" w:space="0" w:color="auto"/>
              <w:right w:val="single" w:sz="4" w:space="0" w:color="auto"/>
            </w:tcBorders>
            <w:shd w:val="clear" w:color="auto" w:fill="auto"/>
            <w:noWrap/>
            <w:vAlign w:val="bottom"/>
            <w:hideMark/>
          </w:tcPr>
          <w:p w14:paraId="4A777C79"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3,991.01 </w:t>
            </w:r>
          </w:p>
        </w:tc>
      </w:tr>
      <w:tr w:rsidR="009813EF" w:rsidRPr="00B30DDC" w14:paraId="5343B864"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F6FE14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Reintervention, month 2-12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422221AE"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0.0030</w:t>
            </w:r>
          </w:p>
        </w:tc>
        <w:tc>
          <w:tcPr>
            <w:tcW w:w="577" w:type="pct"/>
            <w:tcBorders>
              <w:top w:val="nil"/>
              <w:left w:val="nil"/>
              <w:bottom w:val="single" w:sz="4" w:space="0" w:color="auto"/>
              <w:right w:val="single" w:sz="4" w:space="0" w:color="auto"/>
            </w:tcBorders>
            <w:shd w:val="clear" w:color="auto" w:fill="auto"/>
            <w:noWrap/>
            <w:vAlign w:val="bottom"/>
            <w:hideMark/>
          </w:tcPr>
          <w:p w14:paraId="3272F597"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0.0017</w:t>
            </w:r>
          </w:p>
        </w:tc>
        <w:tc>
          <w:tcPr>
            <w:tcW w:w="577" w:type="pct"/>
            <w:tcBorders>
              <w:top w:val="nil"/>
              <w:left w:val="nil"/>
              <w:bottom w:val="single" w:sz="4" w:space="0" w:color="auto"/>
              <w:right w:val="single" w:sz="4" w:space="0" w:color="auto"/>
            </w:tcBorders>
            <w:shd w:val="clear" w:color="auto" w:fill="auto"/>
            <w:noWrap/>
            <w:vAlign w:val="bottom"/>
            <w:hideMark/>
          </w:tcPr>
          <w:p w14:paraId="7F44727A"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0.0046</w:t>
            </w:r>
          </w:p>
        </w:tc>
        <w:tc>
          <w:tcPr>
            <w:tcW w:w="529" w:type="pct"/>
            <w:tcBorders>
              <w:top w:val="nil"/>
              <w:left w:val="nil"/>
              <w:bottom w:val="single" w:sz="4" w:space="0" w:color="auto"/>
              <w:right w:val="single" w:sz="4" w:space="0" w:color="auto"/>
            </w:tcBorders>
            <w:shd w:val="clear" w:color="auto" w:fill="auto"/>
            <w:noWrap/>
            <w:vAlign w:val="bottom"/>
            <w:hideMark/>
          </w:tcPr>
          <w:p w14:paraId="7FE89D3D"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9E53528"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15.95 </w:t>
            </w:r>
          </w:p>
        </w:tc>
        <w:tc>
          <w:tcPr>
            <w:tcW w:w="577" w:type="pct"/>
            <w:tcBorders>
              <w:top w:val="nil"/>
              <w:left w:val="nil"/>
              <w:bottom w:val="single" w:sz="4" w:space="0" w:color="auto"/>
              <w:right w:val="single" w:sz="4" w:space="0" w:color="auto"/>
            </w:tcBorders>
            <w:shd w:val="clear" w:color="auto" w:fill="auto"/>
            <w:noWrap/>
            <w:vAlign w:val="bottom"/>
            <w:hideMark/>
          </w:tcPr>
          <w:p w14:paraId="09350D1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5,300.38 </w:t>
            </w:r>
          </w:p>
        </w:tc>
      </w:tr>
      <w:tr w:rsidR="009813EF" w:rsidRPr="00B30DDC" w14:paraId="00A22219"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805C565"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Myocardial infarction, month 13-24 - SAVR</w:t>
            </w:r>
          </w:p>
        </w:tc>
        <w:tc>
          <w:tcPr>
            <w:tcW w:w="673" w:type="pct"/>
            <w:tcBorders>
              <w:top w:val="nil"/>
              <w:left w:val="nil"/>
              <w:bottom w:val="single" w:sz="4" w:space="0" w:color="auto"/>
              <w:right w:val="single" w:sz="4" w:space="0" w:color="auto"/>
            </w:tcBorders>
            <w:shd w:val="clear" w:color="auto" w:fill="auto"/>
            <w:noWrap/>
            <w:vAlign w:val="bottom"/>
            <w:hideMark/>
          </w:tcPr>
          <w:p w14:paraId="40729134"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063945BF"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5E35594C"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29" w:type="pct"/>
            <w:tcBorders>
              <w:top w:val="nil"/>
              <w:left w:val="nil"/>
              <w:bottom w:val="single" w:sz="4" w:space="0" w:color="auto"/>
              <w:right w:val="single" w:sz="4" w:space="0" w:color="auto"/>
            </w:tcBorders>
            <w:shd w:val="clear" w:color="auto" w:fill="auto"/>
            <w:noWrap/>
            <w:vAlign w:val="bottom"/>
            <w:hideMark/>
          </w:tcPr>
          <w:p w14:paraId="3FAF9931" w14:textId="63AF6907" w:rsidR="009813EF" w:rsidRPr="00B30DDC" w:rsidRDefault="009813EF" w:rsidP="009813EF">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625" w:type="pct"/>
            <w:tcBorders>
              <w:top w:val="nil"/>
              <w:left w:val="nil"/>
              <w:bottom w:val="single" w:sz="4" w:space="0" w:color="auto"/>
              <w:right w:val="single" w:sz="4" w:space="0" w:color="auto"/>
            </w:tcBorders>
            <w:shd w:val="clear" w:color="auto" w:fill="auto"/>
            <w:noWrap/>
            <w:vAlign w:val="bottom"/>
            <w:hideMark/>
          </w:tcPr>
          <w:p w14:paraId="4E94CBCF" w14:textId="5B5D2215" w:rsidR="009813EF"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c>
          <w:tcPr>
            <w:tcW w:w="577" w:type="pct"/>
            <w:tcBorders>
              <w:top w:val="nil"/>
              <w:left w:val="nil"/>
              <w:bottom w:val="single" w:sz="4" w:space="0" w:color="auto"/>
              <w:right w:val="single" w:sz="4" w:space="0" w:color="auto"/>
            </w:tcBorders>
            <w:shd w:val="clear" w:color="auto" w:fill="auto"/>
            <w:noWrap/>
            <w:vAlign w:val="bottom"/>
            <w:hideMark/>
          </w:tcPr>
          <w:p w14:paraId="3D5BAA54" w14:textId="1EF17917" w:rsidR="009813EF" w:rsidRPr="00B30DDC" w:rsidRDefault="009813EF" w:rsidP="005A1F1A">
            <w:pPr>
              <w:spacing w:after="0" w:line="240" w:lineRule="auto"/>
              <w:jc w:val="center"/>
              <w:rPr>
                <w:rFonts w:ascii="Arial Narrow" w:eastAsia="Times New Roman" w:hAnsi="Arial Narrow" w:cs="Arial"/>
                <w:color w:val="000000"/>
                <w:sz w:val="18"/>
                <w:szCs w:val="18"/>
              </w:rPr>
            </w:pPr>
            <w:r>
              <w:rPr>
                <w:rFonts w:ascii="Arial Narrow" w:eastAsia="Times New Roman" w:hAnsi="Arial Narrow" w:cs="Arial"/>
                <w:color w:val="000000"/>
                <w:sz w:val="18"/>
                <w:szCs w:val="18"/>
              </w:rPr>
              <w:t>N/A</w:t>
            </w:r>
          </w:p>
        </w:tc>
      </w:tr>
      <w:tr w:rsidR="009813EF" w:rsidRPr="00B30DDC" w14:paraId="538E4A15"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702DACB"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Myocardial infarction, month 13-24 -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7390830C"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0.0030</w:t>
            </w:r>
          </w:p>
        </w:tc>
        <w:tc>
          <w:tcPr>
            <w:tcW w:w="577" w:type="pct"/>
            <w:tcBorders>
              <w:top w:val="nil"/>
              <w:left w:val="nil"/>
              <w:bottom w:val="single" w:sz="4" w:space="0" w:color="auto"/>
              <w:right w:val="single" w:sz="4" w:space="0" w:color="auto"/>
            </w:tcBorders>
            <w:shd w:val="clear" w:color="auto" w:fill="auto"/>
            <w:noWrap/>
            <w:vAlign w:val="bottom"/>
            <w:hideMark/>
          </w:tcPr>
          <w:p w14:paraId="0A005ED8"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0.0001</w:t>
            </w:r>
          </w:p>
        </w:tc>
        <w:tc>
          <w:tcPr>
            <w:tcW w:w="577" w:type="pct"/>
            <w:tcBorders>
              <w:top w:val="nil"/>
              <w:left w:val="nil"/>
              <w:bottom w:val="single" w:sz="4" w:space="0" w:color="auto"/>
              <w:right w:val="single" w:sz="4" w:space="0" w:color="auto"/>
            </w:tcBorders>
            <w:shd w:val="clear" w:color="auto" w:fill="auto"/>
            <w:noWrap/>
            <w:vAlign w:val="bottom"/>
            <w:hideMark/>
          </w:tcPr>
          <w:p w14:paraId="4B434522"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0.0110</w:t>
            </w:r>
          </w:p>
        </w:tc>
        <w:tc>
          <w:tcPr>
            <w:tcW w:w="529" w:type="pct"/>
            <w:tcBorders>
              <w:top w:val="nil"/>
              <w:left w:val="nil"/>
              <w:bottom w:val="single" w:sz="4" w:space="0" w:color="auto"/>
              <w:right w:val="single" w:sz="4" w:space="0" w:color="auto"/>
            </w:tcBorders>
            <w:shd w:val="clear" w:color="auto" w:fill="auto"/>
            <w:noWrap/>
            <w:vAlign w:val="bottom"/>
            <w:hideMark/>
          </w:tcPr>
          <w:p w14:paraId="6EBFF9D2"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55DFF0A3"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0.99 </w:t>
            </w:r>
          </w:p>
        </w:tc>
        <w:tc>
          <w:tcPr>
            <w:tcW w:w="577" w:type="pct"/>
            <w:tcBorders>
              <w:top w:val="nil"/>
              <w:left w:val="nil"/>
              <w:bottom w:val="single" w:sz="4" w:space="0" w:color="auto"/>
              <w:right w:val="single" w:sz="4" w:space="0" w:color="auto"/>
            </w:tcBorders>
            <w:shd w:val="clear" w:color="auto" w:fill="auto"/>
            <w:noWrap/>
            <w:vAlign w:val="bottom"/>
            <w:hideMark/>
          </w:tcPr>
          <w:p w14:paraId="0B1F8718"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330.34 </w:t>
            </w:r>
          </w:p>
        </w:tc>
      </w:tr>
      <w:tr w:rsidR="009813EF" w:rsidRPr="00B30DDC" w14:paraId="4B02B453"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14BCE179"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Permanent pacemaker implantation, month 13-24  - SAVR</w:t>
            </w:r>
          </w:p>
        </w:tc>
        <w:tc>
          <w:tcPr>
            <w:tcW w:w="673" w:type="pct"/>
            <w:tcBorders>
              <w:top w:val="nil"/>
              <w:left w:val="nil"/>
              <w:bottom w:val="single" w:sz="4" w:space="0" w:color="auto"/>
              <w:right w:val="single" w:sz="4" w:space="0" w:color="auto"/>
            </w:tcBorders>
            <w:shd w:val="clear" w:color="auto" w:fill="auto"/>
            <w:noWrap/>
            <w:vAlign w:val="bottom"/>
            <w:hideMark/>
          </w:tcPr>
          <w:p w14:paraId="2D228A44"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0.0090</w:t>
            </w:r>
          </w:p>
        </w:tc>
        <w:tc>
          <w:tcPr>
            <w:tcW w:w="577" w:type="pct"/>
            <w:tcBorders>
              <w:top w:val="nil"/>
              <w:left w:val="nil"/>
              <w:bottom w:val="single" w:sz="4" w:space="0" w:color="auto"/>
              <w:right w:val="single" w:sz="4" w:space="0" w:color="auto"/>
            </w:tcBorders>
            <w:shd w:val="clear" w:color="auto" w:fill="auto"/>
            <w:noWrap/>
            <w:vAlign w:val="bottom"/>
            <w:hideMark/>
          </w:tcPr>
          <w:p w14:paraId="211F2C18"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0.0020</w:t>
            </w:r>
          </w:p>
        </w:tc>
        <w:tc>
          <w:tcPr>
            <w:tcW w:w="577" w:type="pct"/>
            <w:tcBorders>
              <w:top w:val="nil"/>
              <w:left w:val="nil"/>
              <w:bottom w:val="single" w:sz="4" w:space="0" w:color="auto"/>
              <w:right w:val="single" w:sz="4" w:space="0" w:color="auto"/>
            </w:tcBorders>
            <w:shd w:val="clear" w:color="auto" w:fill="auto"/>
            <w:noWrap/>
            <w:vAlign w:val="bottom"/>
            <w:hideMark/>
          </w:tcPr>
          <w:p w14:paraId="43EB62F2"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0.0213</w:t>
            </w:r>
          </w:p>
        </w:tc>
        <w:tc>
          <w:tcPr>
            <w:tcW w:w="529" w:type="pct"/>
            <w:tcBorders>
              <w:top w:val="nil"/>
              <w:left w:val="nil"/>
              <w:bottom w:val="single" w:sz="4" w:space="0" w:color="auto"/>
              <w:right w:val="single" w:sz="4" w:space="0" w:color="auto"/>
            </w:tcBorders>
            <w:shd w:val="clear" w:color="auto" w:fill="auto"/>
            <w:noWrap/>
            <w:vAlign w:val="bottom"/>
            <w:hideMark/>
          </w:tcPr>
          <w:p w14:paraId="383FA9AB"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7D5CD118"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3.20 </w:t>
            </w:r>
          </w:p>
        </w:tc>
        <w:tc>
          <w:tcPr>
            <w:tcW w:w="577" w:type="pct"/>
            <w:tcBorders>
              <w:top w:val="nil"/>
              <w:left w:val="nil"/>
              <w:bottom w:val="single" w:sz="4" w:space="0" w:color="auto"/>
              <w:right w:val="single" w:sz="4" w:space="0" w:color="auto"/>
            </w:tcBorders>
            <w:shd w:val="clear" w:color="auto" w:fill="auto"/>
            <w:noWrap/>
            <w:vAlign w:val="bottom"/>
            <w:hideMark/>
          </w:tcPr>
          <w:p w14:paraId="6CCE8CF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352.56 </w:t>
            </w:r>
          </w:p>
        </w:tc>
      </w:tr>
      <w:tr w:rsidR="009813EF" w:rsidRPr="00B30DDC" w14:paraId="3ABF8052"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1CCB0D7"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Permanent pacemaker implantation, month 13-24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64A8F607"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0.0280</w:t>
            </w:r>
          </w:p>
        </w:tc>
        <w:tc>
          <w:tcPr>
            <w:tcW w:w="577" w:type="pct"/>
            <w:tcBorders>
              <w:top w:val="nil"/>
              <w:left w:val="nil"/>
              <w:bottom w:val="single" w:sz="4" w:space="0" w:color="auto"/>
              <w:right w:val="single" w:sz="4" w:space="0" w:color="auto"/>
            </w:tcBorders>
            <w:shd w:val="clear" w:color="auto" w:fill="auto"/>
            <w:noWrap/>
            <w:vAlign w:val="bottom"/>
            <w:hideMark/>
          </w:tcPr>
          <w:p w14:paraId="40F36726"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0.0152</w:t>
            </w:r>
          </w:p>
        </w:tc>
        <w:tc>
          <w:tcPr>
            <w:tcW w:w="577" w:type="pct"/>
            <w:tcBorders>
              <w:top w:val="nil"/>
              <w:left w:val="nil"/>
              <w:bottom w:val="single" w:sz="4" w:space="0" w:color="auto"/>
              <w:right w:val="single" w:sz="4" w:space="0" w:color="auto"/>
            </w:tcBorders>
            <w:shd w:val="clear" w:color="auto" w:fill="auto"/>
            <w:noWrap/>
            <w:vAlign w:val="bottom"/>
            <w:hideMark/>
          </w:tcPr>
          <w:p w14:paraId="54C8F944"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0.0449</w:t>
            </w:r>
          </w:p>
        </w:tc>
        <w:tc>
          <w:tcPr>
            <w:tcW w:w="529" w:type="pct"/>
            <w:tcBorders>
              <w:top w:val="nil"/>
              <w:left w:val="nil"/>
              <w:bottom w:val="single" w:sz="4" w:space="0" w:color="auto"/>
              <w:right w:val="single" w:sz="4" w:space="0" w:color="auto"/>
            </w:tcBorders>
            <w:shd w:val="clear" w:color="auto" w:fill="auto"/>
            <w:noWrap/>
            <w:vAlign w:val="bottom"/>
            <w:hideMark/>
          </w:tcPr>
          <w:p w14:paraId="3D0F8516"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7717F9A"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13.52 </w:t>
            </w:r>
          </w:p>
        </w:tc>
        <w:tc>
          <w:tcPr>
            <w:tcW w:w="577" w:type="pct"/>
            <w:tcBorders>
              <w:top w:val="nil"/>
              <w:left w:val="nil"/>
              <w:bottom w:val="single" w:sz="4" w:space="0" w:color="auto"/>
              <w:right w:val="single" w:sz="4" w:space="0" w:color="auto"/>
            </w:tcBorders>
            <w:shd w:val="clear" w:color="auto" w:fill="auto"/>
            <w:noWrap/>
            <w:vAlign w:val="bottom"/>
            <w:hideMark/>
          </w:tcPr>
          <w:p w14:paraId="7838EBEB"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469.32 </w:t>
            </w:r>
          </w:p>
        </w:tc>
      </w:tr>
      <w:tr w:rsidR="009813EF" w:rsidRPr="00B30DDC" w14:paraId="00083EC5"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FAA9DA2"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Bleeding event (major or life-threatening/disabling), month 13-24  - SAVR</w:t>
            </w:r>
          </w:p>
        </w:tc>
        <w:tc>
          <w:tcPr>
            <w:tcW w:w="673" w:type="pct"/>
            <w:tcBorders>
              <w:top w:val="nil"/>
              <w:left w:val="nil"/>
              <w:bottom w:val="single" w:sz="4" w:space="0" w:color="auto"/>
              <w:right w:val="single" w:sz="4" w:space="0" w:color="auto"/>
            </w:tcBorders>
            <w:shd w:val="clear" w:color="auto" w:fill="auto"/>
            <w:noWrap/>
            <w:vAlign w:val="bottom"/>
            <w:hideMark/>
          </w:tcPr>
          <w:p w14:paraId="2F6E3382"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0.0150</w:t>
            </w:r>
          </w:p>
        </w:tc>
        <w:tc>
          <w:tcPr>
            <w:tcW w:w="577" w:type="pct"/>
            <w:tcBorders>
              <w:top w:val="nil"/>
              <w:left w:val="nil"/>
              <w:bottom w:val="single" w:sz="4" w:space="0" w:color="auto"/>
              <w:right w:val="single" w:sz="4" w:space="0" w:color="auto"/>
            </w:tcBorders>
            <w:shd w:val="clear" w:color="auto" w:fill="auto"/>
            <w:noWrap/>
            <w:vAlign w:val="bottom"/>
            <w:hideMark/>
          </w:tcPr>
          <w:p w14:paraId="31BACC08"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0.0068</w:t>
            </w:r>
          </w:p>
        </w:tc>
        <w:tc>
          <w:tcPr>
            <w:tcW w:w="577" w:type="pct"/>
            <w:tcBorders>
              <w:top w:val="nil"/>
              <w:left w:val="nil"/>
              <w:bottom w:val="single" w:sz="4" w:space="0" w:color="auto"/>
              <w:right w:val="single" w:sz="4" w:space="0" w:color="auto"/>
            </w:tcBorders>
            <w:shd w:val="clear" w:color="auto" w:fill="auto"/>
            <w:noWrap/>
            <w:vAlign w:val="bottom"/>
            <w:hideMark/>
          </w:tcPr>
          <w:p w14:paraId="66322585"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0.0266</w:t>
            </w:r>
          </w:p>
        </w:tc>
        <w:tc>
          <w:tcPr>
            <w:tcW w:w="529" w:type="pct"/>
            <w:tcBorders>
              <w:top w:val="nil"/>
              <w:left w:val="nil"/>
              <w:bottom w:val="single" w:sz="4" w:space="0" w:color="auto"/>
              <w:right w:val="single" w:sz="4" w:space="0" w:color="auto"/>
            </w:tcBorders>
            <w:shd w:val="clear" w:color="auto" w:fill="auto"/>
            <w:noWrap/>
            <w:vAlign w:val="bottom"/>
            <w:hideMark/>
          </w:tcPr>
          <w:p w14:paraId="2CD65E9F"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36F8C48B"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8.85 </w:t>
            </w:r>
          </w:p>
        </w:tc>
        <w:tc>
          <w:tcPr>
            <w:tcW w:w="577" w:type="pct"/>
            <w:tcBorders>
              <w:top w:val="nil"/>
              <w:left w:val="nil"/>
              <w:bottom w:val="single" w:sz="4" w:space="0" w:color="auto"/>
              <w:right w:val="single" w:sz="4" w:space="0" w:color="auto"/>
            </w:tcBorders>
            <w:shd w:val="clear" w:color="auto" w:fill="auto"/>
            <w:noWrap/>
            <w:vAlign w:val="bottom"/>
            <w:hideMark/>
          </w:tcPr>
          <w:p w14:paraId="0098C69E"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581.15 </w:t>
            </w:r>
          </w:p>
        </w:tc>
      </w:tr>
      <w:tr w:rsidR="009813EF" w:rsidRPr="00B30DDC" w14:paraId="1560AEE8" w14:textId="77777777" w:rsidTr="00B30DDC">
        <w:trPr>
          <w:trHeight w:val="76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75CB4DA"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Bleeding event (major or life-threatening/disabling), month 13-24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1A92F7C2"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0.0230</w:t>
            </w:r>
          </w:p>
        </w:tc>
        <w:tc>
          <w:tcPr>
            <w:tcW w:w="577" w:type="pct"/>
            <w:tcBorders>
              <w:top w:val="nil"/>
              <w:left w:val="nil"/>
              <w:bottom w:val="single" w:sz="4" w:space="0" w:color="auto"/>
              <w:right w:val="single" w:sz="4" w:space="0" w:color="auto"/>
            </w:tcBorders>
            <w:shd w:val="clear" w:color="auto" w:fill="auto"/>
            <w:noWrap/>
            <w:vAlign w:val="bottom"/>
            <w:hideMark/>
          </w:tcPr>
          <w:p w14:paraId="133791AA"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0.0142</w:t>
            </w:r>
          </w:p>
        </w:tc>
        <w:tc>
          <w:tcPr>
            <w:tcW w:w="577" w:type="pct"/>
            <w:tcBorders>
              <w:top w:val="nil"/>
              <w:left w:val="nil"/>
              <w:bottom w:val="single" w:sz="4" w:space="0" w:color="auto"/>
              <w:right w:val="single" w:sz="4" w:space="0" w:color="auto"/>
            </w:tcBorders>
            <w:shd w:val="clear" w:color="auto" w:fill="auto"/>
            <w:noWrap/>
            <w:vAlign w:val="bottom"/>
            <w:hideMark/>
          </w:tcPr>
          <w:p w14:paraId="55DBE579"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0.0338</w:t>
            </w:r>
          </w:p>
        </w:tc>
        <w:tc>
          <w:tcPr>
            <w:tcW w:w="529" w:type="pct"/>
            <w:tcBorders>
              <w:top w:val="nil"/>
              <w:left w:val="nil"/>
              <w:bottom w:val="single" w:sz="4" w:space="0" w:color="auto"/>
              <w:right w:val="single" w:sz="4" w:space="0" w:color="auto"/>
            </w:tcBorders>
            <w:shd w:val="clear" w:color="auto" w:fill="auto"/>
            <w:noWrap/>
            <w:vAlign w:val="bottom"/>
            <w:hideMark/>
          </w:tcPr>
          <w:p w14:paraId="6FFF2E11"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2B973D9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20.65 </w:t>
            </w:r>
          </w:p>
        </w:tc>
        <w:tc>
          <w:tcPr>
            <w:tcW w:w="577" w:type="pct"/>
            <w:tcBorders>
              <w:top w:val="nil"/>
              <w:left w:val="nil"/>
              <w:bottom w:val="single" w:sz="4" w:space="0" w:color="auto"/>
              <w:right w:val="single" w:sz="4" w:space="0" w:color="auto"/>
            </w:tcBorders>
            <w:shd w:val="clear" w:color="auto" w:fill="auto"/>
            <w:noWrap/>
            <w:vAlign w:val="bottom"/>
            <w:hideMark/>
          </w:tcPr>
          <w:p w14:paraId="64225D43"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877.19 </w:t>
            </w:r>
          </w:p>
        </w:tc>
      </w:tr>
      <w:tr w:rsidR="009813EF" w:rsidRPr="00B30DDC" w14:paraId="611DA228"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922AC69"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Major vascular complication, month 13-24  - SAVR</w:t>
            </w:r>
          </w:p>
        </w:tc>
        <w:tc>
          <w:tcPr>
            <w:tcW w:w="673" w:type="pct"/>
            <w:tcBorders>
              <w:top w:val="nil"/>
              <w:left w:val="nil"/>
              <w:bottom w:val="single" w:sz="4" w:space="0" w:color="auto"/>
              <w:right w:val="single" w:sz="4" w:space="0" w:color="auto"/>
            </w:tcBorders>
            <w:shd w:val="clear" w:color="auto" w:fill="auto"/>
            <w:noWrap/>
            <w:vAlign w:val="bottom"/>
            <w:hideMark/>
          </w:tcPr>
          <w:p w14:paraId="023CFF7B"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0.0020</w:t>
            </w:r>
          </w:p>
        </w:tc>
        <w:tc>
          <w:tcPr>
            <w:tcW w:w="577" w:type="pct"/>
            <w:tcBorders>
              <w:top w:val="nil"/>
              <w:left w:val="nil"/>
              <w:bottom w:val="single" w:sz="4" w:space="0" w:color="auto"/>
              <w:right w:val="single" w:sz="4" w:space="0" w:color="auto"/>
            </w:tcBorders>
            <w:shd w:val="clear" w:color="auto" w:fill="auto"/>
            <w:noWrap/>
            <w:vAlign w:val="bottom"/>
            <w:hideMark/>
          </w:tcPr>
          <w:p w14:paraId="7921C229"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1F228CBE"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0.0091</w:t>
            </w:r>
          </w:p>
        </w:tc>
        <w:tc>
          <w:tcPr>
            <w:tcW w:w="529" w:type="pct"/>
            <w:tcBorders>
              <w:top w:val="nil"/>
              <w:left w:val="nil"/>
              <w:bottom w:val="single" w:sz="4" w:space="0" w:color="auto"/>
              <w:right w:val="single" w:sz="4" w:space="0" w:color="auto"/>
            </w:tcBorders>
            <w:shd w:val="clear" w:color="auto" w:fill="auto"/>
            <w:noWrap/>
            <w:vAlign w:val="bottom"/>
            <w:hideMark/>
          </w:tcPr>
          <w:p w14:paraId="0B7E2A85"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0231ED7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0.64 </w:t>
            </w:r>
          </w:p>
        </w:tc>
        <w:tc>
          <w:tcPr>
            <w:tcW w:w="577" w:type="pct"/>
            <w:tcBorders>
              <w:top w:val="nil"/>
              <w:left w:val="nil"/>
              <w:bottom w:val="single" w:sz="4" w:space="0" w:color="auto"/>
              <w:right w:val="single" w:sz="4" w:space="0" w:color="auto"/>
            </w:tcBorders>
            <w:shd w:val="clear" w:color="auto" w:fill="auto"/>
            <w:noWrap/>
            <w:vAlign w:val="bottom"/>
            <w:hideMark/>
          </w:tcPr>
          <w:p w14:paraId="506F83BC"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317.72 </w:t>
            </w:r>
          </w:p>
        </w:tc>
      </w:tr>
      <w:tr w:rsidR="009813EF" w:rsidRPr="00B30DDC" w14:paraId="43FA1B95"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8E2C7BA"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Major vascular complication, month 13-24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3F14F353"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0.0020</w:t>
            </w:r>
          </w:p>
        </w:tc>
        <w:tc>
          <w:tcPr>
            <w:tcW w:w="577" w:type="pct"/>
            <w:tcBorders>
              <w:top w:val="nil"/>
              <w:left w:val="nil"/>
              <w:bottom w:val="single" w:sz="4" w:space="0" w:color="auto"/>
              <w:right w:val="single" w:sz="4" w:space="0" w:color="auto"/>
            </w:tcBorders>
            <w:shd w:val="clear" w:color="auto" w:fill="auto"/>
            <w:noWrap/>
            <w:vAlign w:val="bottom"/>
            <w:hideMark/>
          </w:tcPr>
          <w:p w14:paraId="21C79F4E"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02373940"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0.0091</w:t>
            </w:r>
          </w:p>
        </w:tc>
        <w:tc>
          <w:tcPr>
            <w:tcW w:w="529" w:type="pct"/>
            <w:tcBorders>
              <w:top w:val="nil"/>
              <w:left w:val="nil"/>
              <w:bottom w:val="single" w:sz="4" w:space="0" w:color="auto"/>
              <w:right w:val="single" w:sz="4" w:space="0" w:color="auto"/>
            </w:tcBorders>
            <w:shd w:val="clear" w:color="auto" w:fill="auto"/>
            <w:noWrap/>
            <w:vAlign w:val="bottom"/>
            <w:hideMark/>
          </w:tcPr>
          <w:p w14:paraId="1B9BEB6C"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47A3574B"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0.64 </w:t>
            </w:r>
          </w:p>
        </w:tc>
        <w:tc>
          <w:tcPr>
            <w:tcW w:w="577" w:type="pct"/>
            <w:tcBorders>
              <w:top w:val="nil"/>
              <w:left w:val="nil"/>
              <w:bottom w:val="single" w:sz="4" w:space="0" w:color="auto"/>
              <w:right w:val="single" w:sz="4" w:space="0" w:color="auto"/>
            </w:tcBorders>
            <w:shd w:val="clear" w:color="auto" w:fill="auto"/>
            <w:noWrap/>
            <w:vAlign w:val="bottom"/>
            <w:hideMark/>
          </w:tcPr>
          <w:p w14:paraId="6058A68B"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317.72 </w:t>
            </w:r>
          </w:p>
        </w:tc>
      </w:tr>
      <w:tr w:rsidR="009813EF" w:rsidRPr="00B30DDC" w14:paraId="7F2FDE04"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D00EAFC"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Atrial fibrillation, month 13-24  - SAVR</w:t>
            </w:r>
          </w:p>
        </w:tc>
        <w:tc>
          <w:tcPr>
            <w:tcW w:w="673" w:type="pct"/>
            <w:tcBorders>
              <w:top w:val="nil"/>
              <w:left w:val="nil"/>
              <w:bottom w:val="single" w:sz="4" w:space="0" w:color="auto"/>
              <w:right w:val="single" w:sz="4" w:space="0" w:color="auto"/>
            </w:tcBorders>
            <w:shd w:val="clear" w:color="auto" w:fill="auto"/>
            <w:noWrap/>
            <w:vAlign w:val="bottom"/>
            <w:hideMark/>
          </w:tcPr>
          <w:p w14:paraId="5743A6CD"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0.0100</w:t>
            </w:r>
          </w:p>
        </w:tc>
        <w:tc>
          <w:tcPr>
            <w:tcW w:w="577" w:type="pct"/>
            <w:tcBorders>
              <w:top w:val="nil"/>
              <w:left w:val="nil"/>
              <w:bottom w:val="single" w:sz="4" w:space="0" w:color="auto"/>
              <w:right w:val="single" w:sz="4" w:space="0" w:color="auto"/>
            </w:tcBorders>
            <w:shd w:val="clear" w:color="auto" w:fill="auto"/>
            <w:noWrap/>
            <w:vAlign w:val="bottom"/>
            <w:hideMark/>
          </w:tcPr>
          <w:p w14:paraId="5962FDFB"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0.0012</w:t>
            </w:r>
          </w:p>
        </w:tc>
        <w:tc>
          <w:tcPr>
            <w:tcW w:w="577" w:type="pct"/>
            <w:tcBorders>
              <w:top w:val="nil"/>
              <w:left w:val="nil"/>
              <w:bottom w:val="single" w:sz="4" w:space="0" w:color="auto"/>
              <w:right w:val="single" w:sz="4" w:space="0" w:color="auto"/>
            </w:tcBorders>
            <w:shd w:val="clear" w:color="auto" w:fill="auto"/>
            <w:noWrap/>
            <w:vAlign w:val="bottom"/>
            <w:hideMark/>
          </w:tcPr>
          <w:p w14:paraId="45B67B85"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0.0270</w:t>
            </w:r>
          </w:p>
        </w:tc>
        <w:tc>
          <w:tcPr>
            <w:tcW w:w="529" w:type="pct"/>
            <w:tcBorders>
              <w:top w:val="nil"/>
              <w:left w:val="nil"/>
              <w:bottom w:val="single" w:sz="4" w:space="0" w:color="auto"/>
              <w:right w:val="single" w:sz="4" w:space="0" w:color="auto"/>
            </w:tcBorders>
            <w:shd w:val="clear" w:color="auto" w:fill="auto"/>
            <w:noWrap/>
            <w:vAlign w:val="bottom"/>
            <w:hideMark/>
          </w:tcPr>
          <w:p w14:paraId="04AD8865"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0562D7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2.01 </w:t>
            </w:r>
          </w:p>
        </w:tc>
        <w:tc>
          <w:tcPr>
            <w:tcW w:w="577" w:type="pct"/>
            <w:tcBorders>
              <w:top w:val="nil"/>
              <w:left w:val="nil"/>
              <w:bottom w:val="single" w:sz="4" w:space="0" w:color="auto"/>
              <w:right w:val="single" w:sz="4" w:space="0" w:color="auto"/>
            </w:tcBorders>
            <w:shd w:val="clear" w:color="auto" w:fill="auto"/>
            <w:noWrap/>
            <w:vAlign w:val="bottom"/>
            <w:hideMark/>
          </w:tcPr>
          <w:p w14:paraId="551AC622"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199.03 </w:t>
            </w:r>
          </w:p>
        </w:tc>
      </w:tr>
      <w:tr w:rsidR="009813EF" w:rsidRPr="00B30DDC" w14:paraId="6C342375"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A652D39"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Atrial fibrillation, month 13-24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4684C198"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0.0280</w:t>
            </w:r>
          </w:p>
        </w:tc>
        <w:tc>
          <w:tcPr>
            <w:tcW w:w="577" w:type="pct"/>
            <w:tcBorders>
              <w:top w:val="nil"/>
              <w:left w:val="nil"/>
              <w:bottom w:val="single" w:sz="4" w:space="0" w:color="auto"/>
              <w:right w:val="single" w:sz="4" w:space="0" w:color="auto"/>
            </w:tcBorders>
            <w:shd w:val="clear" w:color="auto" w:fill="auto"/>
            <w:noWrap/>
            <w:vAlign w:val="bottom"/>
            <w:hideMark/>
          </w:tcPr>
          <w:p w14:paraId="6E03AE8C"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0.0190</w:t>
            </w:r>
          </w:p>
        </w:tc>
        <w:tc>
          <w:tcPr>
            <w:tcW w:w="577" w:type="pct"/>
            <w:tcBorders>
              <w:top w:val="nil"/>
              <w:left w:val="nil"/>
              <w:bottom w:val="single" w:sz="4" w:space="0" w:color="auto"/>
              <w:right w:val="single" w:sz="4" w:space="0" w:color="auto"/>
            </w:tcBorders>
            <w:shd w:val="clear" w:color="auto" w:fill="auto"/>
            <w:noWrap/>
            <w:vAlign w:val="bottom"/>
            <w:hideMark/>
          </w:tcPr>
          <w:p w14:paraId="1E4C11E5"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0.0380</w:t>
            </w:r>
          </w:p>
        </w:tc>
        <w:tc>
          <w:tcPr>
            <w:tcW w:w="529" w:type="pct"/>
            <w:tcBorders>
              <w:top w:val="nil"/>
              <w:left w:val="nil"/>
              <w:bottom w:val="single" w:sz="4" w:space="0" w:color="auto"/>
              <w:right w:val="single" w:sz="4" w:space="0" w:color="auto"/>
            </w:tcBorders>
            <w:shd w:val="clear" w:color="auto" w:fill="auto"/>
            <w:noWrap/>
            <w:vAlign w:val="bottom"/>
            <w:hideMark/>
          </w:tcPr>
          <w:p w14:paraId="67573A5B"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866AFCB"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30.45 </w:t>
            </w:r>
          </w:p>
        </w:tc>
        <w:tc>
          <w:tcPr>
            <w:tcW w:w="577" w:type="pct"/>
            <w:tcBorders>
              <w:top w:val="nil"/>
              <w:left w:val="nil"/>
              <w:bottom w:val="single" w:sz="4" w:space="0" w:color="auto"/>
              <w:right w:val="single" w:sz="4" w:space="0" w:color="auto"/>
            </w:tcBorders>
            <w:shd w:val="clear" w:color="auto" w:fill="auto"/>
            <w:noWrap/>
            <w:vAlign w:val="bottom"/>
            <w:hideMark/>
          </w:tcPr>
          <w:p w14:paraId="3672C674"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1,057.19 </w:t>
            </w:r>
          </w:p>
        </w:tc>
      </w:tr>
      <w:tr w:rsidR="009813EF" w:rsidRPr="00B30DDC" w14:paraId="3256EB3A"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27413F1C"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Aortic valve rehospitalization, month 13-24  - SAVR</w:t>
            </w:r>
          </w:p>
        </w:tc>
        <w:tc>
          <w:tcPr>
            <w:tcW w:w="673" w:type="pct"/>
            <w:tcBorders>
              <w:top w:val="nil"/>
              <w:left w:val="nil"/>
              <w:bottom w:val="single" w:sz="4" w:space="0" w:color="auto"/>
              <w:right w:val="single" w:sz="4" w:space="0" w:color="auto"/>
            </w:tcBorders>
            <w:shd w:val="clear" w:color="auto" w:fill="auto"/>
            <w:noWrap/>
            <w:vAlign w:val="bottom"/>
            <w:hideMark/>
          </w:tcPr>
          <w:p w14:paraId="0D1ED58A"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0.0130</w:t>
            </w:r>
          </w:p>
        </w:tc>
        <w:tc>
          <w:tcPr>
            <w:tcW w:w="577" w:type="pct"/>
            <w:tcBorders>
              <w:top w:val="nil"/>
              <w:left w:val="nil"/>
              <w:bottom w:val="single" w:sz="4" w:space="0" w:color="auto"/>
              <w:right w:val="single" w:sz="4" w:space="0" w:color="auto"/>
            </w:tcBorders>
            <w:shd w:val="clear" w:color="auto" w:fill="auto"/>
            <w:noWrap/>
            <w:vAlign w:val="bottom"/>
            <w:hideMark/>
          </w:tcPr>
          <w:p w14:paraId="72F2C3BB"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77" w:type="pct"/>
            <w:tcBorders>
              <w:top w:val="nil"/>
              <w:left w:val="nil"/>
              <w:bottom w:val="single" w:sz="4" w:space="0" w:color="auto"/>
              <w:right w:val="single" w:sz="4" w:space="0" w:color="auto"/>
            </w:tcBorders>
            <w:shd w:val="clear" w:color="auto" w:fill="auto"/>
            <w:noWrap/>
            <w:vAlign w:val="bottom"/>
            <w:hideMark/>
          </w:tcPr>
          <w:p w14:paraId="664BCA67"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0.0240</w:t>
            </w:r>
          </w:p>
        </w:tc>
        <w:tc>
          <w:tcPr>
            <w:tcW w:w="529" w:type="pct"/>
            <w:tcBorders>
              <w:top w:val="nil"/>
              <w:left w:val="nil"/>
              <w:bottom w:val="single" w:sz="4" w:space="0" w:color="auto"/>
              <w:right w:val="single" w:sz="4" w:space="0" w:color="auto"/>
            </w:tcBorders>
            <w:shd w:val="clear" w:color="auto" w:fill="auto"/>
            <w:noWrap/>
            <w:vAlign w:val="bottom"/>
            <w:hideMark/>
          </w:tcPr>
          <w:p w14:paraId="04A0B9CC"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25047B90"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6.66 </w:t>
            </w:r>
          </w:p>
        </w:tc>
        <w:tc>
          <w:tcPr>
            <w:tcW w:w="577" w:type="pct"/>
            <w:tcBorders>
              <w:top w:val="nil"/>
              <w:left w:val="nil"/>
              <w:bottom w:val="single" w:sz="4" w:space="0" w:color="auto"/>
              <w:right w:val="single" w:sz="4" w:space="0" w:color="auto"/>
            </w:tcBorders>
            <w:shd w:val="clear" w:color="auto" w:fill="auto"/>
            <w:noWrap/>
            <w:vAlign w:val="bottom"/>
            <w:hideMark/>
          </w:tcPr>
          <w:p w14:paraId="3804FC7C"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505.58 </w:t>
            </w:r>
          </w:p>
        </w:tc>
      </w:tr>
      <w:tr w:rsidR="009813EF" w:rsidRPr="00B30DDC" w14:paraId="0AF275E1"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B8AE32A"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Aortic valve rehospitalization, month 13-24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2A39ACF5"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0.0160</w:t>
            </w:r>
          </w:p>
        </w:tc>
        <w:tc>
          <w:tcPr>
            <w:tcW w:w="577" w:type="pct"/>
            <w:tcBorders>
              <w:top w:val="nil"/>
              <w:left w:val="nil"/>
              <w:bottom w:val="single" w:sz="4" w:space="0" w:color="auto"/>
              <w:right w:val="single" w:sz="4" w:space="0" w:color="auto"/>
            </w:tcBorders>
            <w:shd w:val="clear" w:color="auto" w:fill="auto"/>
            <w:noWrap/>
            <w:vAlign w:val="bottom"/>
            <w:hideMark/>
          </w:tcPr>
          <w:p w14:paraId="01ACFFA9"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0.0090</w:t>
            </w:r>
          </w:p>
        </w:tc>
        <w:tc>
          <w:tcPr>
            <w:tcW w:w="577" w:type="pct"/>
            <w:tcBorders>
              <w:top w:val="nil"/>
              <w:left w:val="nil"/>
              <w:bottom w:val="single" w:sz="4" w:space="0" w:color="auto"/>
              <w:right w:val="single" w:sz="4" w:space="0" w:color="auto"/>
            </w:tcBorders>
            <w:shd w:val="clear" w:color="auto" w:fill="auto"/>
            <w:noWrap/>
            <w:vAlign w:val="bottom"/>
            <w:hideMark/>
          </w:tcPr>
          <w:p w14:paraId="64D8A2E6"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0.0250</w:t>
            </w:r>
          </w:p>
        </w:tc>
        <w:tc>
          <w:tcPr>
            <w:tcW w:w="529" w:type="pct"/>
            <w:tcBorders>
              <w:top w:val="nil"/>
              <w:left w:val="nil"/>
              <w:bottom w:val="single" w:sz="4" w:space="0" w:color="auto"/>
              <w:right w:val="single" w:sz="4" w:space="0" w:color="auto"/>
            </w:tcBorders>
            <w:shd w:val="clear" w:color="auto" w:fill="auto"/>
            <w:noWrap/>
            <w:vAlign w:val="bottom"/>
            <w:hideMark/>
          </w:tcPr>
          <w:p w14:paraId="65EE4DB6"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02282F24"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15.73 </w:t>
            </w:r>
          </w:p>
        </w:tc>
        <w:tc>
          <w:tcPr>
            <w:tcW w:w="577" w:type="pct"/>
            <w:tcBorders>
              <w:top w:val="nil"/>
              <w:left w:val="nil"/>
              <w:bottom w:val="single" w:sz="4" w:space="0" w:color="auto"/>
              <w:right w:val="single" w:sz="4" w:space="0" w:color="auto"/>
            </w:tcBorders>
            <w:shd w:val="clear" w:color="auto" w:fill="auto"/>
            <w:noWrap/>
            <w:vAlign w:val="bottom"/>
            <w:hideMark/>
          </w:tcPr>
          <w:p w14:paraId="5AA51A65"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967.27 </w:t>
            </w:r>
          </w:p>
        </w:tc>
      </w:tr>
      <w:tr w:rsidR="009813EF" w:rsidRPr="00B30DDC" w14:paraId="08AFC994"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12A0F369"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Reintervention, month 13-24  - SAVR</w:t>
            </w:r>
          </w:p>
        </w:tc>
        <w:tc>
          <w:tcPr>
            <w:tcW w:w="673" w:type="pct"/>
            <w:tcBorders>
              <w:top w:val="nil"/>
              <w:left w:val="nil"/>
              <w:bottom w:val="single" w:sz="4" w:space="0" w:color="auto"/>
              <w:right w:val="single" w:sz="4" w:space="0" w:color="auto"/>
            </w:tcBorders>
            <w:shd w:val="clear" w:color="auto" w:fill="auto"/>
            <w:noWrap/>
            <w:vAlign w:val="bottom"/>
            <w:hideMark/>
          </w:tcPr>
          <w:p w14:paraId="43A6BF3D"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0.0050</w:t>
            </w:r>
          </w:p>
        </w:tc>
        <w:tc>
          <w:tcPr>
            <w:tcW w:w="577" w:type="pct"/>
            <w:tcBorders>
              <w:top w:val="nil"/>
              <w:left w:val="nil"/>
              <w:bottom w:val="single" w:sz="4" w:space="0" w:color="auto"/>
              <w:right w:val="single" w:sz="4" w:space="0" w:color="auto"/>
            </w:tcBorders>
            <w:shd w:val="clear" w:color="auto" w:fill="auto"/>
            <w:noWrap/>
            <w:vAlign w:val="bottom"/>
            <w:hideMark/>
          </w:tcPr>
          <w:p w14:paraId="6F03548F"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0.0009</w:t>
            </w:r>
          </w:p>
        </w:tc>
        <w:tc>
          <w:tcPr>
            <w:tcW w:w="577" w:type="pct"/>
            <w:tcBorders>
              <w:top w:val="nil"/>
              <w:left w:val="nil"/>
              <w:bottom w:val="single" w:sz="4" w:space="0" w:color="auto"/>
              <w:right w:val="single" w:sz="4" w:space="0" w:color="auto"/>
            </w:tcBorders>
            <w:shd w:val="clear" w:color="auto" w:fill="auto"/>
            <w:noWrap/>
            <w:vAlign w:val="bottom"/>
            <w:hideMark/>
          </w:tcPr>
          <w:p w14:paraId="6DCFE423"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0.0124</w:t>
            </w:r>
          </w:p>
        </w:tc>
        <w:tc>
          <w:tcPr>
            <w:tcW w:w="529" w:type="pct"/>
            <w:tcBorders>
              <w:top w:val="nil"/>
              <w:left w:val="nil"/>
              <w:bottom w:val="single" w:sz="4" w:space="0" w:color="auto"/>
              <w:right w:val="single" w:sz="4" w:space="0" w:color="auto"/>
            </w:tcBorders>
            <w:shd w:val="clear" w:color="auto" w:fill="auto"/>
            <w:noWrap/>
            <w:vAlign w:val="bottom"/>
            <w:hideMark/>
          </w:tcPr>
          <w:p w14:paraId="5B700C06"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748A1F03"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2.76 </w:t>
            </w:r>
          </w:p>
        </w:tc>
        <w:tc>
          <w:tcPr>
            <w:tcW w:w="577" w:type="pct"/>
            <w:tcBorders>
              <w:top w:val="nil"/>
              <w:left w:val="nil"/>
              <w:bottom w:val="single" w:sz="4" w:space="0" w:color="auto"/>
              <w:right w:val="single" w:sz="4" w:space="0" w:color="auto"/>
            </w:tcBorders>
            <w:shd w:val="clear" w:color="auto" w:fill="auto"/>
            <w:noWrap/>
            <w:vAlign w:val="bottom"/>
            <w:hideMark/>
          </w:tcPr>
          <w:p w14:paraId="71D4B850"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549.02 </w:t>
            </w:r>
          </w:p>
        </w:tc>
      </w:tr>
      <w:tr w:rsidR="009813EF" w:rsidRPr="00B30DDC" w14:paraId="13A8E8A8"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AD4F7A0"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Reintervention, month 13-24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372C8C31"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0.0030</w:t>
            </w:r>
          </w:p>
        </w:tc>
        <w:tc>
          <w:tcPr>
            <w:tcW w:w="577" w:type="pct"/>
            <w:tcBorders>
              <w:top w:val="nil"/>
              <w:left w:val="nil"/>
              <w:bottom w:val="single" w:sz="4" w:space="0" w:color="auto"/>
              <w:right w:val="single" w:sz="4" w:space="0" w:color="auto"/>
            </w:tcBorders>
            <w:shd w:val="clear" w:color="auto" w:fill="auto"/>
            <w:noWrap/>
            <w:vAlign w:val="bottom"/>
            <w:hideMark/>
          </w:tcPr>
          <w:p w14:paraId="430B1030"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0.0002</w:t>
            </w:r>
          </w:p>
        </w:tc>
        <w:tc>
          <w:tcPr>
            <w:tcW w:w="577" w:type="pct"/>
            <w:tcBorders>
              <w:top w:val="nil"/>
              <w:left w:val="nil"/>
              <w:bottom w:val="single" w:sz="4" w:space="0" w:color="auto"/>
              <w:right w:val="single" w:sz="4" w:space="0" w:color="auto"/>
            </w:tcBorders>
            <w:shd w:val="clear" w:color="auto" w:fill="auto"/>
            <w:noWrap/>
            <w:vAlign w:val="bottom"/>
            <w:hideMark/>
          </w:tcPr>
          <w:p w14:paraId="1A78D9DB"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0.0094</w:t>
            </w:r>
          </w:p>
        </w:tc>
        <w:tc>
          <w:tcPr>
            <w:tcW w:w="529" w:type="pct"/>
            <w:tcBorders>
              <w:top w:val="nil"/>
              <w:left w:val="nil"/>
              <w:bottom w:val="single" w:sz="4" w:space="0" w:color="auto"/>
              <w:right w:val="single" w:sz="4" w:space="0" w:color="auto"/>
            </w:tcBorders>
            <w:shd w:val="clear" w:color="auto" w:fill="auto"/>
            <w:noWrap/>
            <w:vAlign w:val="bottom"/>
            <w:hideMark/>
          </w:tcPr>
          <w:p w14:paraId="294A66EC"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265B46B3"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1.43 </w:t>
            </w:r>
          </w:p>
        </w:tc>
        <w:tc>
          <w:tcPr>
            <w:tcW w:w="577" w:type="pct"/>
            <w:tcBorders>
              <w:top w:val="nil"/>
              <w:left w:val="nil"/>
              <w:bottom w:val="single" w:sz="4" w:space="0" w:color="auto"/>
              <w:right w:val="single" w:sz="4" w:space="0" w:color="auto"/>
            </w:tcBorders>
            <w:shd w:val="clear" w:color="auto" w:fill="auto"/>
            <w:noWrap/>
            <w:vAlign w:val="bottom"/>
            <w:hideMark/>
          </w:tcPr>
          <w:p w14:paraId="16B40823"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476.13 </w:t>
            </w:r>
          </w:p>
        </w:tc>
      </w:tr>
      <w:tr w:rsidR="009813EF" w:rsidRPr="00B30DDC" w14:paraId="6B67944B"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1F22283"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Disutility permanent pacemaker implant </w:t>
            </w:r>
          </w:p>
        </w:tc>
        <w:tc>
          <w:tcPr>
            <w:tcW w:w="673" w:type="pct"/>
            <w:tcBorders>
              <w:top w:val="nil"/>
              <w:left w:val="nil"/>
              <w:bottom w:val="single" w:sz="4" w:space="0" w:color="auto"/>
              <w:right w:val="single" w:sz="4" w:space="0" w:color="auto"/>
            </w:tcBorders>
            <w:shd w:val="clear" w:color="auto" w:fill="auto"/>
            <w:noWrap/>
            <w:vAlign w:val="bottom"/>
            <w:hideMark/>
          </w:tcPr>
          <w:p w14:paraId="5122DF3E"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0.0030</w:t>
            </w:r>
          </w:p>
        </w:tc>
        <w:tc>
          <w:tcPr>
            <w:tcW w:w="577" w:type="pct"/>
            <w:tcBorders>
              <w:top w:val="nil"/>
              <w:left w:val="nil"/>
              <w:bottom w:val="single" w:sz="4" w:space="0" w:color="auto"/>
              <w:right w:val="single" w:sz="4" w:space="0" w:color="auto"/>
            </w:tcBorders>
            <w:shd w:val="clear" w:color="auto" w:fill="auto"/>
            <w:noWrap/>
            <w:vAlign w:val="bottom"/>
            <w:hideMark/>
          </w:tcPr>
          <w:p w14:paraId="41DB3DB1"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12DA85EC"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0.0310</w:t>
            </w:r>
          </w:p>
        </w:tc>
        <w:tc>
          <w:tcPr>
            <w:tcW w:w="529" w:type="pct"/>
            <w:tcBorders>
              <w:top w:val="nil"/>
              <w:left w:val="nil"/>
              <w:bottom w:val="single" w:sz="4" w:space="0" w:color="auto"/>
              <w:right w:val="single" w:sz="4" w:space="0" w:color="auto"/>
            </w:tcBorders>
            <w:shd w:val="clear" w:color="auto" w:fill="auto"/>
            <w:noWrap/>
            <w:vAlign w:val="bottom"/>
            <w:hideMark/>
          </w:tcPr>
          <w:p w14:paraId="6450614F"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7AB204D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0.09 </w:t>
            </w:r>
          </w:p>
        </w:tc>
        <w:tc>
          <w:tcPr>
            <w:tcW w:w="577" w:type="pct"/>
            <w:tcBorders>
              <w:top w:val="nil"/>
              <w:left w:val="nil"/>
              <w:bottom w:val="single" w:sz="4" w:space="0" w:color="auto"/>
              <w:right w:val="single" w:sz="4" w:space="0" w:color="auto"/>
            </w:tcBorders>
            <w:shd w:val="clear" w:color="auto" w:fill="auto"/>
            <w:noWrap/>
            <w:vAlign w:val="bottom"/>
            <w:hideMark/>
          </w:tcPr>
          <w:p w14:paraId="1A70909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28.82 </w:t>
            </w:r>
          </w:p>
        </w:tc>
      </w:tr>
      <w:tr w:rsidR="009813EF" w:rsidRPr="00B30DDC" w14:paraId="442C000D"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7FB0FE39"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Disutility MI </w:t>
            </w:r>
          </w:p>
        </w:tc>
        <w:tc>
          <w:tcPr>
            <w:tcW w:w="673" w:type="pct"/>
            <w:tcBorders>
              <w:top w:val="nil"/>
              <w:left w:val="nil"/>
              <w:bottom w:val="single" w:sz="4" w:space="0" w:color="auto"/>
              <w:right w:val="single" w:sz="4" w:space="0" w:color="auto"/>
            </w:tcBorders>
            <w:shd w:val="clear" w:color="auto" w:fill="auto"/>
            <w:noWrap/>
            <w:vAlign w:val="bottom"/>
            <w:hideMark/>
          </w:tcPr>
          <w:p w14:paraId="4415D003"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0.0409</w:t>
            </w:r>
          </w:p>
        </w:tc>
        <w:tc>
          <w:tcPr>
            <w:tcW w:w="577" w:type="pct"/>
            <w:tcBorders>
              <w:top w:val="nil"/>
              <w:left w:val="nil"/>
              <w:bottom w:val="single" w:sz="4" w:space="0" w:color="auto"/>
              <w:right w:val="single" w:sz="4" w:space="0" w:color="auto"/>
            </w:tcBorders>
            <w:shd w:val="clear" w:color="auto" w:fill="auto"/>
            <w:noWrap/>
            <w:vAlign w:val="bottom"/>
            <w:hideMark/>
          </w:tcPr>
          <w:p w14:paraId="13D9CDF2"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0.0240</w:t>
            </w:r>
          </w:p>
        </w:tc>
        <w:tc>
          <w:tcPr>
            <w:tcW w:w="577" w:type="pct"/>
            <w:tcBorders>
              <w:top w:val="nil"/>
              <w:left w:val="nil"/>
              <w:bottom w:val="single" w:sz="4" w:space="0" w:color="auto"/>
              <w:right w:val="single" w:sz="4" w:space="0" w:color="auto"/>
            </w:tcBorders>
            <w:shd w:val="clear" w:color="auto" w:fill="auto"/>
            <w:noWrap/>
            <w:vAlign w:val="bottom"/>
            <w:hideMark/>
          </w:tcPr>
          <w:p w14:paraId="25BE8200"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0.0630</w:t>
            </w:r>
          </w:p>
        </w:tc>
        <w:tc>
          <w:tcPr>
            <w:tcW w:w="529" w:type="pct"/>
            <w:tcBorders>
              <w:top w:val="nil"/>
              <w:left w:val="nil"/>
              <w:bottom w:val="single" w:sz="4" w:space="0" w:color="auto"/>
              <w:right w:val="single" w:sz="4" w:space="0" w:color="auto"/>
            </w:tcBorders>
            <w:shd w:val="clear" w:color="auto" w:fill="auto"/>
            <w:noWrap/>
            <w:vAlign w:val="bottom"/>
            <w:hideMark/>
          </w:tcPr>
          <w:p w14:paraId="188DFF9C"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1A93D3B3"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16.00 </w:t>
            </w:r>
          </w:p>
        </w:tc>
        <w:tc>
          <w:tcPr>
            <w:tcW w:w="577" w:type="pct"/>
            <w:tcBorders>
              <w:top w:val="nil"/>
              <w:left w:val="nil"/>
              <w:bottom w:val="single" w:sz="4" w:space="0" w:color="auto"/>
              <w:right w:val="single" w:sz="4" w:space="0" w:color="auto"/>
            </w:tcBorders>
            <w:shd w:val="clear" w:color="auto" w:fill="auto"/>
            <w:noWrap/>
            <w:vAlign w:val="bottom"/>
            <w:hideMark/>
          </w:tcPr>
          <w:p w14:paraId="342D2D34"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375.27 </w:t>
            </w:r>
          </w:p>
        </w:tc>
      </w:tr>
      <w:tr w:rsidR="009813EF" w:rsidRPr="00B30DDC" w14:paraId="3A0DF2C3"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70ADC98"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Disutility Stroke </w:t>
            </w:r>
          </w:p>
        </w:tc>
        <w:tc>
          <w:tcPr>
            <w:tcW w:w="673" w:type="pct"/>
            <w:tcBorders>
              <w:top w:val="nil"/>
              <w:left w:val="nil"/>
              <w:bottom w:val="single" w:sz="4" w:space="0" w:color="auto"/>
              <w:right w:val="single" w:sz="4" w:space="0" w:color="auto"/>
            </w:tcBorders>
            <w:shd w:val="clear" w:color="auto" w:fill="auto"/>
            <w:noWrap/>
            <w:vAlign w:val="bottom"/>
            <w:hideMark/>
          </w:tcPr>
          <w:p w14:paraId="26BDA64F"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0.1610</w:t>
            </w:r>
          </w:p>
        </w:tc>
        <w:tc>
          <w:tcPr>
            <w:tcW w:w="577" w:type="pct"/>
            <w:tcBorders>
              <w:top w:val="nil"/>
              <w:left w:val="nil"/>
              <w:bottom w:val="single" w:sz="4" w:space="0" w:color="auto"/>
              <w:right w:val="single" w:sz="4" w:space="0" w:color="auto"/>
            </w:tcBorders>
            <w:shd w:val="clear" w:color="auto" w:fill="auto"/>
            <w:noWrap/>
            <w:vAlign w:val="bottom"/>
            <w:hideMark/>
          </w:tcPr>
          <w:p w14:paraId="54A1FE8A"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0.0760</w:t>
            </w:r>
          </w:p>
        </w:tc>
        <w:tc>
          <w:tcPr>
            <w:tcW w:w="577" w:type="pct"/>
            <w:tcBorders>
              <w:top w:val="nil"/>
              <w:left w:val="nil"/>
              <w:bottom w:val="single" w:sz="4" w:space="0" w:color="auto"/>
              <w:right w:val="single" w:sz="4" w:space="0" w:color="auto"/>
            </w:tcBorders>
            <w:shd w:val="clear" w:color="auto" w:fill="auto"/>
            <w:noWrap/>
            <w:vAlign w:val="bottom"/>
            <w:hideMark/>
          </w:tcPr>
          <w:p w14:paraId="65AEC5CD"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0.2710</w:t>
            </w:r>
          </w:p>
        </w:tc>
        <w:tc>
          <w:tcPr>
            <w:tcW w:w="529" w:type="pct"/>
            <w:tcBorders>
              <w:top w:val="nil"/>
              <w:left w:val="nil"/>
              <w:bottom w:val="single" w:sz="4" w:space="0" w:color="auto"/>
              <w:right w:val="single" w:sz="4" w:space="0" w:color="auto"/>
            </w:tcBorders>
            <w:shd w:val="clear" w:color="auto" w:fill="auto"/>
            <w:noWrap/>
            <w:vAlign w:val="bottom"/>
            <w:hideMark/>
          </w:tcPr>
          <w:p w14:paraId="7CE74939"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Beta</w:t>
            </w:r>
          </w:p>
        </w:tc>
        <w:tc>
          <w:tcPr>
            <w:tcW w:w="625" w:type="pct"/>
            <w:tcBorders>
              <w:top w:val="nil"/>
              <w:left w:val="nil"/>
              <w:bottom w:val="single" w:sz="4" w:space="0" w:color="auto"/>
              <w:right w:val="single" w:sz="4" w:space="0" w:color="auto"/>
            </w:tcBorders>
            <w:shd w:val="clear" w:color="auto" w:fill="auto"/>
            <w:noWrap/>
            <w:vAlign w:val="bottom"/>
            <w:hideMark/>
          </w:tcPr>
          <w:p w14:paraId="4FF1044B"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8.54 </w:t>
            </w:r>
          </w:p>
        </w:tc>
        <w:tc>
          <w:tcPr>
            <w:tcW w:w="577" w:type="pct"/>
            <w:tcBorders>
              <w:top w:val="nil"/>
              <w:left w:val="nil"/>
              <w:bottom w:val="single" w:sz="4" w:space="0" w:color="auto"/>
              <w:right w:val="single" w:sz="4" w:space="0" w:color="auto"/>
            </w:tcBorders>
            <w:shd w:val="clear" w:color="auto" w:fill="auto"/>
            <w:noWrap/>
            <w:vAlign w:val="bottom"/>
            <w:hideMark/>
          </w:tcPr>
          <w:p w14:paraId="6C3EA35C"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44.49 </w:t>
            </w:r>
          </w:p>
        </w:tc>
      </w:tr>
      <w:tr w:rsidR="009813EF" w:rsidRPr="00B30DDC" w14:paraId="53FD724C"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42703DF"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Multiplier to vary trial-observed utilities - SAVR</w:t>
            </w:r>
          </w:p>
        </w:tc>
        <w:tc>
          <w:tcPr>
            <w:tcW w:w="673" w:type="pct"/>
            <w:tcBorders>
              <w:top w:val="nil"/>
              <w:left w:val="nil"/>
              <w:bottom w:val="single" w:sz="4" w:space="0" w:color="auto"/>
              <w:right w:val="single" w:sz="4" w:space="0" w:color="auto"/>
            </w:tcBorders>
            <w:shd w:val="clear" w:color="auto" w:fill="auto"/>
            <w:noWrap/>
            <w:vAlign w:val="bottom"/>
            <w:hideMark/>
          </w:tcPr>
          <w:p w14:paraId="27CC6478"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1.0</w:t>
            </w:r>
          </w:p>
        </w:tc>
        <w:tc>
          <w:tcPr>
            <w:tcW w:w="577" w:type="pct"/>
            <w:tcBorders>
              <w:top w:val="nil"/>
              <w:left w:val="nil"/>
              <w:bottom w:val="single" w:sz="4" w:space="0" w:color="auto"/>
              <w:right w:val="single" w:sz="4" w:space="0" w:color="auto"/>
            </w:tcBorders>
            <w:shd w:val="clear" w:color="auto" w:fill="auto"/>
            <w:noWrap/>
            <w:vAlign w:val="bottom"/>
            <w:hideMark/>
          </w:tcPr>
          <w:p w14:paraId="67371CFE"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0.9750</w:t>
            </w:r>
          </w:p>
        </w:tc>
        <w:tc>
          <w:tcPr>
            <w:tcW w:w="577" w:type="pct"/>
            <w:tcBorders>
              <w:top w:val="nil"/>
              <w:left w:val="nil"/>
              <w:bottom w:val="single" w:sz="4" w:space="0" w:color="auto"/>
              <w:right w:val="single" w:sz="4" w:space="0" w:color="auto"/>
            </w:tcBorders>
            <w:shd w:val="clear" w:color="auto" w:fill="auto"/>
            <w:noWrap/>
            <w:vAlign w:val="bottom"/>
            <w:hideMark/>
          </w:tcPr>
          <w:p w14:paraId="48602E77"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1.0250</w:t>
            </w:r>
          </w:p>
        </w:tc>
        <w:tc>
          <w:tcPr>
            <w:tcW w:w="529" w:type="pct"/>
            <w:tcBorders>
              <w:top w:val="nil"/>
              <w:left w:val="nil"/>
              <w:bottom w:val="single" w:sz="4" w:space="0" w:color="auto"/>
              <w:right w:val="single" w:sz="4" w:space="0" w:color="auto"/>
            </w:tcBorders>
            <w:shd w:val="clear" w:color="auto" w:fill="auto"/>
            <w:noWrap/>
            <w:vAlign w:val="bottom"/>
            <w:hideMark/>
          </w:tcPr>
          <w:p w14:paraId="2CE35E2D"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Normal</w:t>
            </w:r>
          </w:p>
        </w:tc>
        <w:tc>
          <w:tcPr>
            <w:tcW w:w="625" w:type="pct"/>
            <w:tcBorders>
              <w:top w:val="nil"/>
              <w:left w:val="nil"/>
              <w:bottom w:val="single" w:sz="4" w:space="0" w:color="auto"/>
              <w:right w:val="single" w:sz="4" w:space="0" w:color="auto"/>
            </w:tcBorders>
            <w:shd w:val="clear" w:color="auto" w:fill="auto"/>
            <w:noWrap/>
            <w:vAlign w:val="bottom"/>
            <w:hideMark/>
          </w:tcPr>
          <w:p w14:paraId="29A0C11C"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w:t>
            </w:r>
          </w:p>
        </w:tc>
        <w:tc>
          <w:tcPr>
            <w:tcW w:w="577" w:type="pct"/>
            <w:tcBorders>
              <w:top w:val="nil"/>
              <w:left w:val="nil"/>
              <w:bottom w:val="single" w:sz="4" w:space="0" w:color="auto"/>
              <w:right w:val="single" w:sz="4" w:space="0" w:color="auto"/>
            </w:tcBorders>
            <w:shd w:val="clear" w:color="auto" w:fill="auto"/>
            <w:noWrap/>
            <w:vAlign w:val="bottom"/>
            <w:hideMark/>
          </w:tcPr>
          <w:p w14:paraId="171D2412"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w:t>
            </w:r>
          </w:p>
        </w:tc>
      </w:tr>
      <w:tr w:rsidR="009813EF" w:rsidRPr="00B30DDC" w14:paraId="396B6BC4"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D16AA72"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Multiplier to vary trial-observed utilities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2995B347"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1.0</w:t>
            </w:r>
          </w:p>
        </w:tc>
        <w:tc>
          <w:tcPr>
            <w:tcW w:w="577" w:type="pct"/>
            <w:tcBorders>
              <w:top w:val="nil"/>
              <w:left w:val="nil"/>
              <w:bottom w:val="single" w:sz="4" w:space="0" w:color="auto"/>
              <w:right w:val="single" w:sz="4" w:space="0" w:color="auto"/>
            </w:tcBorders>
            <w:shd w:val="clear" w:color="auto" w:fill="auto"/>
            <w:noWrap/>
            <w:vAlign w:val="bottom"/>
            <w:hideMark/>
          </w:tcPr>
          <w:p w14:paraId="6F0B78CA"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0.9750</w:t>
            </w:r>
          </w:p>
        </w:tc>
        <w:tc>
          <w:tcPr>
            <w:tcW w:w="577" w:type="pct"/>
            <w:tcBorders>
              <w:top w:val="nil"/>
              <w:left w:val="nil"/>
              <w:bottom w:val="single" w:sz="4" w:space="0" w:color="auto"/>
              <w:right w:val="single" w:sz="4" w:space="0" w:color="auto"/>
            </w:tcBorders>
            <w:shd w:val="clear" w:color="auto" w:fill="auto"/>
            <w:noWrap/>
            <w:vAlign w:val="bottom"/>
            <w:hideMark/>
          </w:tcPr>
          <w:p w14:paraId="2625E0F5"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1.0250</w:t>
            </w:r>
          </w:p>
        </w:tc>
        <w:tc>
          <w:tcPr>
            <w:tcW w:w="529" w:type="pct"/>
            <w:tcBorders>
              <w:top w:val="nil"/>
              <w:left w:val="nil"/>
              <w:bottom w:val="single" w:sz="4" w:space="0" w:color="auto"/>
              <w:right w:val="single" w:sz="4" w:space="0" w:color="auto"/>
            </w:tcBorders>
            <w:shd w:val="clear" w:color="auto" w:fill="auto"/>
            <w:noWrap/>
            <w:vAlign w:val="bottom"/>
            <w:hideMark/>
          </w:tcPr>
          <w:p w14:paraId="1633EF59"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Normal</w:t>
            </w:r>
          </w:p>
        </w:tc>
        <w:tc>
          <w:tcPr>
            <w:tcW w:w="625" w:type="pct"/>
            <w:tcBorders>
              <w:top w:val="nil"/>
              <w:left w:val="nil"/>
              <w:bottom w:val="single" w:sz="4" w:space="0" w:color="auto"/>
              <w:right w:val="single" w:sz="4" w:space="0" w:color="auto"/>
            </w:tcBorders>
            <w:shd w:val="clear" w:color="auto" w:fill="auto"/>
            <w:noWrap/>
            <w:vAlign w:val="bottom"/>
            <w:hideMark/>
          </w:tcPr>
          <w:p w14:paraId="6171E2BA"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w:t>
            </w:r>
          </w:p>
        </w:tc>
        <w:tc>
          <w:tcPr>
            <w:tcW w:w="577" w:type="pct"/>
            <w:tcBorders>
              <w:top w:val="nil"/>
              <w:left w:val="nil"/>
              <w:bottom w:val="single" w:sz="4" w:space="0" w:color="auto"/>
              <w:right w:val="single" w:sz="4" w:space="0" w:color="auto"/>
            </w:tcBorders>
            <w:shd w:val="clear" w:color="auto" w:fill="auto"/>
            <w:noWrap/>
            <w:vAlign w:val="bottom"/>
            <w:hideMark/>
          </w:tcPr>
          <w:p w14:paraId="6913D8A7"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w:t>
            </w:r>
          </w:p>
        </w:tc>
      </w:tr>
      <w:tr w:rsidR="009813EF" w:rsidRPr="00B30DDC" w14:paraId="1C50A798"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691203A9"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Multiplier to vary trial-observed stroke rates - SAVR</w:t>
            </w:r>
          </w:p>
        </w:tc>
        <w:tc>
          <w:tcPr>
            <w:tcW w:w="673" w:type="pct"/>
            <w:tcBorders>
              <w:top w:val="nil"/>
              <w:left w:val="nil"/>
              <w:bottom w:val="single" w:sz="4" w:space="0" w:color="auto"/>
              <w:right w:val="single" w:sz="4" w:space="0" w:color="auto"/>
            </w:tcBorders>
            <w:shd w:val="clear" w:color="auto" w:fill="auto"/>
            <w:noWrap/>
            <w:vAlign w:val="bottom"/>
            <w:hideMark/>
          </w:tcPr>
          <w:p w14:paraId="732352D7"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1.0</w:t>
            </w:r>
          </w:p>
        </w:tc>
        <w:tc>
          <w:tcPr>
            <w:tcW w:w="577" w:type="pct"/>
            <w:tcBorders>
              <w:top w:val="nil"/>
              <w:left w:val="nil"/>
              <w:bottom w:val="single" w:sz="4" w:space="0" w:color="auto"/>
              <w:right w:val="single" w:sz="4" w:space="0" w:color="auto"/>
            </w:tcBorders>
            <w:shd w:val="clear" w:color="auto" w:fill="auto"/>
            <w:noWrap/>
            <w:vAlign w:val="bottom"/>
            <w:hideMark/>
          </w:tcPr>
          <w:p w14:paraId="2D2E0A40"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0.6500</w:t>
            </w:r>
          </w:p>
        </w:tc>
        <w:tc>
          <w:tcPr>
            <w:tcW w:w="577" w:type="pct"/>
            <w:tcBorders>
              <w:top w:val="nil"/>
              <w:left w:val="nil"/>
              <w:bottom w:val="single" w:sz="4" w:space="0" w:color="auto"/>
              <w:right w:val="single" w:sz="4" w:space="0" w:color="auto"/>
            </w:tcBorders>
            <w:shd w:val="clear" w:color="auto" w:fill="auto"/>
            <w:noWrap/>
            <w:vAlign w:val="bottom"/>
            <w:hideMark/>
          </w:tcPr>
          <w:p w14:paraId="5A4C14BC"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1.5167</w:t>
            </w:r>
          </w:p>
        </w:tc>
        <w:tc>
          <w:tcPr>
            <w:tcW w:w="529" w:type="pct"/>
            <w:tcBorders>
              <w:top w:val="nil"/>
              <w:left w:val="nil"/>
              <w:bottom w:val="single" w:sz="4" w:space="0" w:color="auto"/>
              <w:right w:val="single" w:sz="4" w:space="0" w:color="auto"/>
            </w:tcBorders>
            <w:shd w:val="clear" w:color="auto" w:fill="auto"/>
            <w:noWrap/>
            <w:vAlign w:val="bottom"/>
            <w:hideMark/>
          </w:tcPr>
          <w:p w14:paraId="33C4682F"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10DD9E88"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25</w:t>
            </w:r>
          </w:p>
        </w:tc>
        <w:tc>
          <w:tcPr>
            <w:tcW w:w="577" w:type="pct"/>
            <w:tcBorders>
              <w:top w:val="nil"/>
              <w:left w:val="nil"/>
              <w:bottom w:val="single" w:sz="4" w:space="0" w:color="auto"/>
              <w:right w:val="single" w:sz="4" w:space="0" w:color="auto"/>
            </w:tcBorders>
            <w:shd w:val="clear" w:color="auto" w:fill="auto"/>
            <w:noWrap/>
            <w:vAlign w:val="bottom"/>
            <w:hideMark/>
          </w:tcPr>
          <w:p w14:paraId="21177783"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w:t>
            </w:r>
          </w:p>
        </w:tc>
      </w:tr>
      <w:tr w:rsidR="009813EF" w:rsidRPr="00B30DDC" w14:paraId="3D1E93A2"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D3A453D"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Multiplier to vary trial-observed stroke rates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1F7F18E4"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1.0</w:t>
            </w:r>
          </w:p>
        </w:tc>
        <w:tc>
          <w:tcPr>
            <w:tcW w:w="577" w:type="pct"/>
            <w:tcBorders>
              <w:top w:val="nil"/>
              <w:left w:val="nil"/>
              <w:bottom w:val="single" w:sz="4" w:space="0" w:color="auto"/>
              <w:right w:val="single" w:sz="4" w:space="0" w:color="auto"/>
            </w:tcBorders>
            <w:shd w:val="clear" w:color="auto" w:fill="auto"/>
            <w:noWrap/>
            <w:vAlign w:val="bottom"/>
            <w:hideMark/>
          </w:tcPr>
          <w:p w14:paraId="69EAB399"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0.6935</w:t>
            </w:r>
          </w:p>
        </w:tc>
        <w:tc>
          <w:tcPr>
            <w:tcW w:w="577" w:type="pct"/>
            <w:tcBorders>
              <w:top w:val="nil"/>
              <w:left w:val="nil"/>
              <w:bottom w:val="single" w:sz="4" w:space="0" w:color="auto"/>
              <w:right w:val="single" w:sz="4" w:space="0" w:color="auto"/>
            </w:tcBorders>
            <w:shd w:val="clear" w:color="auto" w:fill="auto"/>
            <w:noWrap/>
            <w:vAlign w:val="bottom"/>
            <w:hideMark/>
          </w:tcPr>
          <w:p w14:paraId="6BF8ED70"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1.4516</w:t>
            </w:r>
          </w:p>
        </w:tc>
        <w:tc>
          <w:tcPr>
            <w:tcW w:w="529" w:type="pct"/>
            <w:tcBorders>
              <w:top w:val="nil"/>
              <w:left w:val="nil"/>
              <w:bottom w:val="single" w:sz="4" w:space="0" w:color="auto"/>
              <w:right w:val="single" w:sz="4" w:space="0" w:color="auto"/>
            </w:tcBorders>
            <w:shd w:val="clear" w:color="auto" w:fill="auto"/>
            <w:noWrap/>
            <w:vAlign w:val="bottom"/>
            <w:hideMark/>
          </w:tcPr>
          <w:p w14:paraId="47B9E15D"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41079A68"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25</w:t>
            </w:r>
          </w:p>
        </w:tc>
        <w:tc>
          <w:tcPr>
            <w:tcW w:w="577" w:type="pct"/>
            <w:tcBorders>
              <w:top w:val="nil"/>
              <w:left w:val="nil"/>
              <w:bottom w:val="single" w:sz="4" w:space="0" w:color="auto"/>
              <w:right w:val="single" w:sz="4" w:space="0" w:color="auto"/>
            </w:tcBorders>
            <w:shd w:val="clear" w:color="auto" w:fill="auto"/>
            <w:noWrap/>
            <w:vAlign w:val="bottom"/>
            <w:hideMark/>
          </w:tcPr>
          <w:p w14:paraId="5BBB57A7"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0.04</w:t>
            </w:r>
          </w:p>
        </w:tc>
      </w:tr>
      <w:tr w:rsidR="009813EF" w:rsidRPr="00B30DDC" w14:paraId="6B2EF85E"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59129241"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lastRenderedPageBreak/>
              <w:t>Multiplier to vary trial-observed mortality rates - SAVR</w:t>
            </w:r>
          </w:p>
        </w:tc>
        <w:tc>
          <w:tcPr>
            <w:tcW w:w="673" w:type="pct"/>
            <w:tcBorders>
              <w:top w:val="nil"/>
              <w:left w:val="nil"/>
              <w:bottom w:val="single" w:sz="4" w:space="0" w:color="auto"/>
              <w:right w:val="single" w:sz="4" w:space="0" w:color="auto"/>
            </w:tcBorders>
            <w:shd w:val="clear" w:color="auto" w:fill="auto"/>
            <w:noWrap/>
            <w:vAlign w:val="bottom"/>
            <w:hideMark/>
          </w:tcPr>
          <w:p w14:paraId="3881B0BD"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1.0</w:t>
            </w:r>
          </w:p>
        </w:tc>
        <w:tc>
          <w:tcPr>
            <w:tcW w:w="577" w:type="pct"/>
            <w:tcBorders>
              <w:top w:val="nil"/>
              <w:left w:val="nil"/>
              <w:bottom w:val="single" w:sz="4" w:space="0" w:color="auto"/>
              <w:right w:val="single" w:sz="4" w:space="0" w:color="auto"/>
            </w:tcBorders>
            <w:shd w:val="clear" w:color="auto" w:fill="auto"/>
            <w:noWrap/>
            <w:vAlign w:val="bottom"/>
            <w:hideMark/>
          </w:tcPr>
          <w:p w14:paraId="6266166E"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0.6136</w:t>
            </w:r>
          </w:p>
        </w:tc>
        <w:tc>
          <w:tcPr>
            <w:tcW w:w="577" w:type="pct"/>
            <w:tcBorders>
              <w:top w:val="nil"/>
              <w:left w:val="nil"/>
              <w:bottom w:val="single" w:sz="4" w:space="0" w:color="auto"/>
              <w:right w:val="single" w:sz="4" w:space="0" w:color="auto"/>
            </w:tcBorders>
            <w:shd w:val="clear" w:color="auto" w:fill="auto"/>
            <w:noWrap/>
            <w:vAlign w:val="bottom"/>
            <w:hideMark/>
          </w:tcPr>
          <w:p w14:paraId="017756A7"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1.6364</w:t>
            </w:r>
          </w:p>
        </w:tc>
        <w:tc>
          <w:tcPr>
            <w:tcW w:w="529" w:type="pct"/>
            <w:tcBorders>
              <w:top w:val="nil"/>
              <w:left w:val="nil"/>
              <w:bottom w:val="single" w:sz="4" w:space="0" w:color="auto"/>
              <w:right w:val="single" w:sz="4" w:space="0" w:color="auto"/>
            </w:tcBorders>
            <w:shd w:val="clear" w:color="auto" w:fill="auto"/>
            <w:noWrap/>
            <w:vAlign w:val="bottom"/>
            <w:hideMark/>
          </w:tcPr>
          <w:p w14:paraId="5A43EC3B"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Normal</w:t>
            </w:r>
          </w:p>
        </w:tc>
        <w:tc>
          <w:tcPr>
            <w:tcW w:w="625" w:type="pct"/>
            <w:tcBorders>
              <w:top w:val="nil"/>
              <w:left w:val="nil"/>
              <w:bottom w:val="single" w:sz="4" w:space="0" w:color="auto"/>
              <w:right w:val="single" w:sz="4" w:space="0" w:color="auto"/>
            </w:tcBorders>
            <w:shd w:val="clear" w:color="auto" w:fill="auto"/>
            <w:noWrap/>
            <w:vAlign w:val="bottom"/>
            <w:hideMark/>
          </w:tcPr>
          <w:p w14:paraId="7ACA69AD"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w:t>
            </w:r>
          </w:p>
        </w:tc>
        <w:tc>
          <w:tcPr>
            <w:tcW w:w="577" w:type="pct"/>
            <w:tcBorders>
              <w:top w:val="nil"/>
              <w:left w:val="nil"/>
              <w:bottom w:val="single" w:sz="4" w:space="0" w:color="auto"/>
              <w:right w:val="single" w:sz="4" w:space="0" w:color="auto"/>
            </w:tcBorders>
            <w:shd w:val="clear" w:color="auto" w:fill="auto"/>
            <w:noWrap/>
            <w:vAlign w:val="bottom"/>
            <w:hideMark/>
          </w:tcPr>
          <w:p w14:paraId="4244F9C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w:t>
            </w:r>
          </w:p>
        </w:tc>
      </w:tr>
      <w:tr w:rsidR="009813EF" w:rsidRPr="00B30DDC" w14:paraId="6E367918" w14:textId="77777777" w:rsidTr="00B30DDC">
        <w:trPr>
          <w:trHeight w:val="510"/>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03FB2D61"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Multiplier to vary trial-observed mortality rates - </w:t>
            </w:r>
            <w:proofErr w:type="spellStart"/>
            <w:r w:rsidRPr="00B30DDC">
              <w:rPr>
                <w:rFonts w:ascii="Arial Narrow" w:eastAsia="Times New Roman" w:hAnsi="Arial Narrow" w:cs="Arial"/>
                <w:color w:val="000000"/>
                <w:sz w:val="18"/>
                <w:szCs w:val="18"/>
              </w:rPr>
              <w:t>Corevalve</w:t>
            </w:r>
            <w:proofErr w:type="spellEnd"/>
            <w:r w:rsidRPr="00B30DDC">
              <w:rPr>
                <w:rFonts w:ascii="Arial Narrow" w:eastAsia="Times New Roman" w:hAnsi="Arial Narrow" w:cs="Arial"/>
                <w:color w:val="000000"/>
                <w:sz w:val="18"/>
                <w:szCs w:val="18"/>
              </w:rPr>
              <w:t xml:space="preserve"> </w:t>
            </w:r>
            <w:proofErr w:type="spellStart"/>
            <w:r w:rsidRPr="00B30DDC">
              <w:rPr>
                <w:rFonts w:ascii="Arial Narrow" w:eastAsia="Times New Roman" w:hAnsi="Arial Narrow" w:cs="Arial"/>
                <w:color w:val="000000"/>
                <w:sz w:val="18"/>
                <w:szCs w:val="18"/>
              </w:rPr>
              <w:t>Evolut</w:t>
            </w:r>
            <w:proofErr w:type="spellEnd"/>
            <w:r w:rsidRPr="00B30DDC">
              <w:rPr>
                <w:rFonts w:ascii="Arial Narrow" w:eastAsia="Times New Roman" w:hAnsi="Arial Narrow" w:cs="Arial"/>
                <w:color w:val="000000"/>
                <w:sz w:val="18"/>
                <w:szCs w:val="18"/>
              </w:rPr>
              <w:t xml:space="preserve"> R/PRO</w:t>
            </w:r>
          </w:p>
        </w:tc>
        <w:tc>
          <w:tcPr>
            <w:tcW w:w="673" w:type="pct"/>
            <w:tcBorders>
              <w:top w:val="nil"/>
              <w:left w:val="nil"/>
              <w:bottom w:val="single" w:sz="4" w:space="0" w:color="auto"/>
              <w:right w:val="single" w:sz="4" w:space="0" w:color="auto"/>
            </w:tcBorders>
            <w:shd w:val="clear" w:color="auto" w:fill="auto"/>
            <w:noWrap/>
            <w:vAlign w:val="bottom"/>
            <w:hideMark/>
          </w:tcPr>
          <w:p w14:paraId="5608A632"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1.0</w:t>
            </w:r>
          </w:p>
        </w:tc>
        <w:tc>
          <w:tcPr>
            <w:tcW w:w="577" w:type="pct"/>
            <w:tcBorders>
              <w:top w:val="nil"/>
              <w:left w:val="nil"/>
              <w:bottom w:val="single" w:sz="4" w:space="0" w:color="auto"/>
              <w:right w:val="single" w:sz="4" w:space="0" w:color="auto"/>
            </w:tcBorders>
            <w:shd w:val="clear" w:color="auto" w:fill="auto"/>
            <w:noWrap/>
            <w:vAlign w:val="bottom"/>
            <w:hideMark/>
          </w:tcPr>
          <w:p w14:paraId="24DCC2B4"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0.6000</w:t>
            </w:r>
          </w:p>
        </w:tc>
        <w:tc>
          <w:tcPr>
            <w:tcW w:w="577" w:type="pct"/>
            <w:tcBorders>
              <w:top w:val="nil"/>
              <w:left w:val="nil"/>
              <w:bottom w:val="single" w:sz="4" w:space="0" w:color="auto"/>
              <w:right w:val="single" w:sz="4" w:space="0" w:color="auto"/>
            </w:tcBorders>
            <w:shd w:val="clear" w:color="auto" w:fill="auto"/>
            <w:noWrap/>
            <w:vAlign w:val="bottom"/>
            <w:hideMark/>
          </w:tcPr>
          <w:p w14:paraId="44263481"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1.6571</w:t>
            </w:r>
          </w:p>
        </w:tc>
        <w:tc>
          <w:tcPr>
            <w:tcW w:w="529" w:type="pct"/>
            <w:tcBorders>
              <w:top w:val="nil"/>
              <w:left w:val="nil"/>
              <w:bottom w:val="single" w:sz="4" w:space="0" w:color="auto"/>
              <w:right w:val="single" w:sz="4" w:space="0" w:color="auto"/>
            </w:tcBorders>
            <w:shd w:val="clear" w:color="auto" w:fill="auto"/>
            <w:noWrap/>
            <w:vAlign w:val="bottom"/>
            <w:hideMark/>
          </w:tcPr>
          <w:p w14:paraId="08B90CC9"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Normal</w:t>
            </w:r>
          </w:p>
        </w:tc>
        <w:tc>
          <w:tcPr>
            <w:tcW w:w="625" w:type="pct"/>
            <w:tcBorders>
              <w:top w:val="nil"/>
              <w:left w:val="nil"/>
              <w:bottom w:val="single" w:sz="4" w:space="0" w:color="auto"/>
              <w:right w:val="single" w:sz="4" w:space="0" w:color="auto"/>
            </w:tcBorders>
            <w:shd w:val="clear" w:color="auto" w:fill="auto"/>
            <w:noWrap/>
            <w:vAlign w:val="bottom"/>
            <w:hideMark/>
          </w:tcPr>
          <w:p w14:paraId="3E2C3F48"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w:t>
            </w:r>
          </w:p>
        </w:tc>
        <w:tc>
          <w:tcPr>
            <w:tcW w:w="577" w:type="pct"/>
            <w:tcBorders>
              <w:top w:val="nil"/>
              <w:left w:val="nil"/>
              <w:bottom w:val="single" w:sz="4" w:space="0" w:color="auto"/>
              <w:right w:val="single" w:sz="4" w:space="0" w:color="auto"/>
            </w:tcBorders>
            <w:shd w:val="clear" w:color="auto" w:fill="auto"/>
            <w:noWrap/>
            <w:vAlign w:val="bottom"/>
            <w:hideMark/>
          </w:tcPr>
          <w:p w14:paraId="428472D7"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w:t>
            </w:r>
          </w:p>
        </w:tc>
      </w:tr>
      <w:tr w:rsidR="009813EF" w:rsidRPr="00B30DDC" w14:paraId="0B7C7A0B"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3AD08980"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Discount rate costs (% p.a.)</w:t>
            </w:r>
          </w:p>
        </w:tc>
        <w:tc>
          <w:tcPr>
            <w:tcW w:w="673" w:type="pct"/>
            <w:tcBorders>
              <w:top w:val="nil"/>
              <w:left w:val="nil"/>
              <w:bottom w:val="single" w:sz="4" w:space="0" w:color="auto"/>
              <w:right w:val="single" w:sz="4" w:space="0" w:color="auto"/>
            </w:tcBorders>
            <w:shd w:val="clear" w:color="auto" w:fill="auto"/>
            <w:noWrap/>
            <w:vAlign w:val="bottom"/>
            <w:hideMark/>
          </w:tcPr>
          <w:p w14:paraId="6D37D009"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0.0250</w:t>
            </w:r>
          </w:p>
        </w:tc>
        <w:tc>
          <w:tcPr>
            <w:tcW w:w="577" w:type="pct"/>
            <w:tcBorders>
              <w:top w:val="nil"/>
              <w:left w:val="nil"/>
              <w:bottom w:val="single" w:sz="4" w:space="0" w:color="auto"/>
              <w:right w:val="single" w:sz="4" w:space="0" w:color="auto"/>
            </w:tcBorders>
            <w:shd w:val="clear" w:color="auto" w:fill="auto"/>
            <w:noWrap/>
            <w:vAlign w:val="bottom"/>
            <w:hideMark/>
          </w:tcPr>
          <w:p w14:paraId="1134CFA0"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320DE566"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0.1000</w:t>
            </w:r>
          </w:p>
        </w:tc>
        <w:tc>
          <w:tcPr>
            <w:tcW w:w="529" w:type="pct"/>
            <w:tcBorders>
              <w:top w:val="nil"/>
              <w:left w:val="nil"/>
              <w:bottom w:val="single" w:sz="4" w:space="0" w:color="auto"/>
              <w:right w:val="single" w:sz="4" w:space="0" w:color="auto"/>
            </w:tcBorders>
            <w:shd w:val="clear" w:color="auto" w:fill="auto"/>
            <w:noWrap/>
            <w:vAlign w:val="bottom"/>
            <w:hideMark/>
          </w:tcPr>
          <w:p w14:paraId="5A263D57"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080C10CB"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 </w:t>
            </w:r>
          </w:p>
        </w:tc>
        <w:tc>
          <w:tcPr>
            <w:tcW w:w="577" w:type="pct"/>
            <w:tcBorders>
              <w:top w:val="nil"/>
              <w:left w:val="nil"/>
              <w:bottom w:val="single" w:sz="4" w:space="0" w:color="auto"/>
              <w:right w:val="single" w:sz="4" w:space="0" w:color="auto"/>
            </w:tcBorders>
            <w:shd w:val="clear" w:color="auto" w:fill="auto"/>
            <w:noWrap/>
            <w:vAlign w:val="bottom"/>
            <w:hideMark/>
          </w:tcPr>
          <w:p w14:paraId="51ECFB9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0.00025 </w:t>
            </w:r>
          </w:p>
        </w:tc>
      </w:tr>
      <w:tr w:rsidR="009813EF" w:rsidRPr="00B30DDC" w14:paraId="3F815E17" w14:textId="77777777" w:rsidTr="00B30DDC">
        <w:trPr>
          <w:trHeight w:val="255"/>
        </w:trPr>
        <w:tc>
          <w:tcPr>
            <w:tcW w:w="1442" w:type="pct"/>
            <w:tcBorders>
              <w:top w:val="nil"/>
              <w:left w:val="single" w:sz="4" w:space="0" w:color="auto"/>
              <w:bottom w:val="single" w:sz="4" w:space="0" w:color="auto"/>
              <w:right w:val="single" w:sz="4" w:space="0" w:color="auto"/>
            </w:tcBorders>
            <w:shd w:val="clear" w:color="auto" w:fill="auto"/>
            <w:vAlign w:val="bottom"/>
            <w:hideMark/>
          </w:tcPr>
          <w:p w14:paraId="4162B596"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Discount rate effects (% p.a.)</w:t>
            </w:r>
          </w:p>
        </w:tc>
        <w:tc>
          <w:tcPr>
            <w:tcW w:w="673" w:type="pct"/>
            <w:tcBorders>
              <w:top w:val="nil"/>
              <w:left w:val="nil"/>
              <w:bottom w:val="single" w:sz="4" w:space="0" w:color="auto"/>
              <w:right w:val="single" w:sz="4" w:space="0" w:color="auto"/>
            </w:tcBorders>
            <w:shd w:val="clear" w:color="auto" w:fill="auto"/>
            <w:noWrap/>
            <w:vAlign w:val="bottom"/>
            <w:hideMark/>
          </w:tcPr>
          <w:p w14:paraId="02DD212D"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0.0250</w:t>
            </w:r>
          </w:p>
        </w:tc>
        <w:tc>
          <w:tcPr>
            <w:tcW w:w="577" w:type="pct"/>
            <w:tcBorders>
              <w:top w:val="nil"/>
              <w:left w:val="nil"/>
              <w:bottom w:val="single" w:sz="4" w:space="0" w:color="auto"/>
              <w:right w:val="single" w:sz="4" w:space="0" w:color="auto"/>
            </w:tcBorders>
            <w:shd w:val="clear" w:color="auto" w:fill="auto"/>
            <w:noWrap/>
            <w:vAlign w:val="bottom"/>
            <w:hideMark/>
          </w:tcPr>
          <w:p w14:paraId="784E5B1D"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0.0000</w:t>
            </w:r>
          </w:p>
        </w:tc>
        <w:tc>
          <w:tcPr>
            <w:tcW w:w="577" w:type="pct"/>
            <w:tcBorders>
              <w:top w:val="nil"/>
              <w:left w:val="nil"/>
              <w:bottom w:val="single" w:sz="4" w:space="0" w:color="auto"/>
              <w:right w:val="single" w:sz="4" w:space="0" w:color="auto"/>
            </w:tcBorders>
            <w:shd w:val="clear" w:color="auto" w:fill="auto"/>
            <w:noWrap/>
            <w:vAlign w:val="bottom"/>
            <w:hideMark/>
          </w:tcPr>
          <w:p w14:paraId="710A6856" w14:textId="77777777" w:rsidR="009813EF" w:rsidRPr="00B30DDC" w:rsidRDefault="009813EF" w:rsidP="009813EF">
            <w:pPr>
              <w:spacing w:after="0" w:line="240" w:lineRule="auto"/>
              <w:jc w:val="right"/>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0.1000</w:t>
            </w:r>
          </w:p>
        </w:tc>
        <w:tc>
          <w:tcPr>
            <w:tcW w:w="529" w:type="pct"/>
            <w:tcBorders>
              <w:top w:val="nil"/>
              <w:left w:val="nil"/>
              <w:bottom w:val="single" w:sz="4" w:space="0" w:color="auto"/>
              <w:right w:val="single" w:sz="4" w:space="0" w:color="auto"/>
            </w:tcBorders>
            <w:shd w:val="clear" w:color="auto" w:fill="auto"/>
            <w:noWrap/>
            <w:vAlign w:val="bottom"/>
            <w:hideMark/>
          </w:tcPr>
          <w:p w14:paraId="3751A54D" w14:textId="77777777" w:rsidR="009813EF" w:rsidRPr="00B30DDC" w:rsidRDefault="009813EF" w:rsidP="009813EF">
            <w:pPr>
              <w:spacing w:after="0" w:line="240" w:lineRule="auto"/>
              <w:jc w:val="center"/>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Gamma</w:t>
            </w:r>
          </w:p>
        </w:tc>
        <w:tc>
          <w:tcPr>
            <w:tcW w:w="625" w:type="pct"/>
            <w:tcBorders>
              <w:top w:val="nil"/>
              <w:left w:val="nil"/>
              <w:bottom w:val="single" w:sz="4" w:space="0" w:color="auto"/>
              <w:right w:val="single" w:sz="4" w:space="0" w:color="auto"/>
            </w:tcBorders>
            <w:shd w:val="clear" w:color="auto" w:fill="auto"/>
            <w:noWrap/>
            <w:vAlign w:val="bottom"/>
            <w:hideMark/>
          </w:tcPr>
          <w:p w14:paraId="523F50C4"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100 </w:t>
            </w:r>
          </w:p>
        </w:tc>
        <w:tc>
          <w:tcPr>
            <w:tcW w:w="577" w:type="pct"/>
            <w:tcBorders>
              <w:top w:val="nil"/>
              <w:left w:val="nil"/>
              <w:bottom w:val="single" w:sz="4" w:space="0" w:color="auto"/>
              <w:right w:val="single" w:sz="4" w:space="0" w:color="auto"/>
            </w:tcBorders>
            <w:shd w:val="clear" w:color="auto" w:fill="auto"/>
            <w:noWrap/>
            <w:vAlign w:val="bottom"/>
            <w:hideMark/>
          </w:tcPr>
          <w:p w14:paraId="620A4837" w14:textId="77777777" w:rsidR="009813EF" w:rsidRPr="00B30DDC" w:rsidRDefault="009813EF" w:rsidP="009813EF">
            <w:pPr>
              <w:spacing w:after="0" w:line="240" w:lineRule="auto"/>
              <w:rPr>
                <w:rFonts w:ascii="Arial Narrow" w:eastAsia="Times New Roman" w:hAnsi="Arial Narrow" w:cs="Arial"/>
                <w:color w:val="000000"/>
                <w:sz w:val="18"/>
                <w:szCs w:val="18"/>
              </w:rPr>
            </w:pPr>
            <w:r w:rsidRPr="00B30DDC">
              <w:rPr>
                <w:rFonts w:ascii="Arial Narrow" w:eastAsia="Times New Roman" w:hAnsi="Arial Narrow" w:cs="Arial"/>
                <w:color w:val="000000"/>
                <w:sz w:val="18"/>
                <w:szCs w:val="18"/>
              </w:rPr>
              <w:t xml:space="preserve">      0.00025 </w:t>
            </w:r>
          </w:p>
        </w:tc>
      </w:tr>
    </w:tbl>
    <w:p w14:paraId="6E40E90C" w14:textId="42720590" w:rsidR="009813EF" w:rsidRDefault="009813EF" w:rsidP="009813EF">
      <w:r>
        <w:t>AKI: acute kidney injury; MI: myocardial infarction; PPI: permanent pacemaker implantation; SAVR: surgical aortic valve replacement; TAVI: transcatheter aortic valve implantation.</w:t>
      </w:r>
    </w:p>
    <w:p w14:paraId="64245792" w14:textId="61406A55" w:rsidR="007F2703" w:rsidRDefault="007F2703"/>
    <w:p w14:paraId="7A975A5E" w14:textId="6E66681C" w:rsidR="00301DE8" w:rsidRPr="005E408A" w:rsidRDefault="00301DE8" w:rsidP="00301DE8">
      <w:pPr>
        <w:rPr>
          <w:b/>
          <w:bCs/>
          <w:sz w:val="28"/>
          <w:szCs w:val="28"/>
        </w:rPr>
      </w:pPr>
      <w:r>
        <w:rPr>
          <w:b/>
          <w:bCs/>
          <w:sz w:val="28"/>
          <w:szCs w:val="28"/>
        </w:rPr>
        <w:br w:type="page"/>
      </w:r>
      <w:r w:rsidRPr="005E408A">
        <w:rPr>
          <w:b/>
          <w:bCs/>
          <w:sz w:val="28"/>
          <w:szCs w:val="28"/>
        </w:rPr>
        <w:lastRenderedPageBreak/>
        <w:t>S.</w:t>
      </w:r>
      <w:r w:rsidR="000138F8">
        <w:rPr>
          <w:b/>
          <w:bCs/>
          <w:sz w:val="28"/>
          <w:szCs w:val="28"/>
        </w:rPr>
        <w:t>3</w:t>
      </w:r>
      <w:r w:rsidR="000138F8" w:rsidRPr="005E408A">
        <w:rPr>
          <w:b/>
          <w:bCs/>
          <w:sz w:val="28"/>
          <w:szCs w:val="28"/>
        </w:rPr>
        <w:t xml:space="preserve"> </w:t>
      </w:r>
      <w:r>
        <w:rPr>
          <w:b/>
          <w:bCs/>
          <w:sz w:val="28"/>
          <w:szCs w:val="28"/>
        </w:rPr>
        <w:t>Additional Detail on Long-term Mortality Projections</w:t>
      </w:r>
    </w:p>
    <w:p w14:paraId="57E6CEB4" w14:textId="141C97DE" w:rsidR="00301DE8" w:rsidRDefault="00301DE8" w:rsidP="00301DE8">
      <w:pPr>
        <w:rPr>
          <w:rFonts w:cs="Times New Roman"/>
          <w:bCs/>
          <w:szCs w:val="20"/>
        </w:rPr>
      </w:pPr>
      <w:r>
        <w:rPr>
          <w:rFonts w:cs="Times New Roman"/>
          <w:bCs/>
          <w:szCs w:val="20"/>
        </w:rPr>
        <w:t>As outlined in the manuscript, mortality was modeled “along-the-trial” through two years follow-up. In the base case, long-term survival was modeled assuming both cohorts had survival equivalent to general population (</w:t>
      </w:r>
      <w:r w:rsidR="00A61283">
        <w:rPr>
          <w:rFonts w:cs="Times New Roman"/>
          <w:bCs/>
          <w:szCs w:val="20"/>
        </w:rPr>
        <w:t>relative risk (RR)</w:t>
      </w:r>
      <w:r>
        <w:rPr>
          <w:rFonts w:cs="Times New Roman"/>
          <w:bCs/>
          <w:szCs w:val="20"/>
        </w:rPr>
        <w:t xml:space="preserve"> of 1.0 vs. French lifetable data). As the RR </w:t>
      </w:r>
      <w:r w:rsidR="00281B0F">
        <w:rPr>
          <w:rFonts w:cs="Times New Roman"/>
          <w:bCs/>
          <w:szCs w:val="20"/>
        </w:rPr>
        <w:t xml:space="preserve">for SAVR and TAVI </w:t>
      </w:r>
      <w:r>
        <w:rPr>
          <w:rFonts w:cs="Times New Roman"/>
          <w:bCs/>
          <w:szCs w:val="20"/>
        </w:rPr>
        <w:t>versus lifetables was 0.751 in period 6-</w:t>
      </w:r>
      <w:r w:rsidR="00281B0F">
        <w:rPr>
          <w:rFonts w:cs="Times New Roman"/>
          <w:bCs/>
          <w:szCs w:val="20"/>
        </w:rPr>
        <w:t>18</w:t>
      </w:r>
      <w:r>
        <w:rPr>
          <w:rFonts w:cs="Times New Roman"/>
          <w:bCs/>
          <w:szCs w:val="20"/>
        </w:rPr>
        <w:t xml:space="preserve"> months</w:t>
      </w:r>
      <w:r w:rsidR="00281B0F">
        <w:rPr>
          <w:rFonts w:cs="Times New Roman"/>
          <w:bCs/>
          <w:szCs w:val="20"/>
        </w:rPr>
        <w:t>, this RR</w:t>
      </w:r>
      <w:r w:rsidR="00A61283">
        <w:rPr>
          <w:rFonts w:cs="Times New Roman"/>
          <w:bCs/>
          <w:szCs w:val="20"/>
        </w:rPr>
        <w:t xml:space="preserve"> of 0.751</w:t>
      </w:r>
      <w:r w:rsidR="00281B0F">
        <w:rPr>
          <w:rFonts w:cs="Times New Roman"/>
          <w:bCs/>
          <w:szCs w:val="20"/>
        </w:rPr>
        <w:t xml:space="preserve"> was assumed for month 25 and then </w:t>
      </w:r>
      <w:r w:rsidR="00A61283">
        <w:rPr>
          <w:rFonts w:cs="Times New Roman"/>
          <w:bCs/>
          <w:szCs w:val="20"/>
        </w:rPr>
        <w:t xml:space="preserve">subsequently </w:t>
      </w:r>
      <w:r w:rsidR="00281B0F">
        <w:rPr>
          <w:rFonts w:cs="Times New Roman"/>
          <w:bCs/>
          <w:szCs w:val="20"/>
        </w:rPr>
        <w:t>faded out to</w:t>
      </w:r>
      <w:r w:rsidR="00A61283">
        <w:rPr>
          <w:rFonts w:cs="Times New Roman"/>
          <w:bCs/>
          <w:szCs w:val="20"/>
        </w:rPr>
        <w:t xml:space="preserve"> a</w:t>
      </w:r>
      <w:r w:rsidR="00281B0F">
        <w:rPr>
          <w:rFonts w:cs="Times New Roman"/>
          <w:bCs/>
          <w:szCs w:val="20"/>
        </w:rPr>
        <w:t xml:space="preserve"> RR of 1.0 at 36 months, after which the RR of 1.0 was maintained over lifetime.</w:t>
      </w:r>
    </w:p>
    <w:p w14:paraId="459C16C3" w14:textId="78ED03AD" w:rsidR="00A61283" w:rsidRDefault="00281B0F" w:rsidP="00301DE8">
      <w:pPr>
        <w:rPr>
          <w:rFonts w:cs="Times New Roman"/>
          <w:bCs/>
          <w:szCs w:val="20"/>
        </w:rPr>
      </w:pPr>
      <w:r>
        <w:rPr>
          <w:rFonts w:cs="Times New Roman"/>
          <w:bCs/>
          <w:szCs w:val="20"/>
        </w:rPr>
        <w:t xml:space="preserve">Other scenarios explored in sensitivity analyses assumed strategy-specific RRs vs. lifetables that were maintained over the lifetime. </w:t>
      </w:r>
      <w:r w:rsidR="00A61283">
        <w:rPr>
          <w:rFonts w:cs="Times New Roman"/>
          <w:bCs/>
          <w:szCs w:val="20"/>
        </w:rPr>
        <w:t>These included the following scenarios:</w:t>
      </w:r>
    </w:p>
    <w:p w14:paraId="0D4E92AA" w14:textId="77777777" w:rsidR="00A61283" w:rsidRDefault="00A61283" w:rsidP="00A61283">
      <w:pPr>
        <w:pStyle w:val="ListParagraph"/>
        <w:numPr>
          <w:ilvl w:val="0"/>
          <w:numId w:val="1"/>
        </w:numPr>
        <w:rPr>
          <w:rFonts w:cs="Times New Roman"/>
          <w:bCs/>
          <w:szCs w:val="20"/>
        </w:rPr>
      </w:pPr>
      <w:r w:rsidRPr="00A61283">
        <w:rPr>
          <w:rFonts w:cs="Times New Roman"/>
          <w:bCs/>
          <w:szCs w:val="20"/>
        </w:rPr>
        <w:t xml:space="preserve">Lower long-term mortality for TAVI based on 12–24-month </w:t>
      </w:r>
      <w:r>
        <w:rPr>
          <w:rFonts w:cs="Times New Roman"/>
          <w:bCs/>
          <w:szCs w:val="20"/>
        </w:rPr>
        <w:t xml:space="preserve">mortality </w:t>
      </w:r>
      <w:r w:rsidRPr="00A61283">
        <w:rPr>
          <w:rFonts w:cs="Times New Roman"/>
          <w:bCs/>
          <w:szCs w:val="20"/>
        </w:rPr>
        <w:t>data (TAVI RR=0.627, SAVR RR=0.762)</w:t>
      </w:r>
      <w:r>
        <w:rPr>
          <w:rFonts w:cs="Times New Roman"/>
          <w:bCs/>
          <w:szCs w:val="20"/>
        </w:rPr>
        <w:t>. These strategy-specific RRs versus lifetables were then maintained over lifetime.</w:t>
      </w:r>
    </w:p>
    <w:p w14:paraId="0461F2E1" w14:textId="77777777" w:rsidR="00A61283" w:rsidRDefault="00A61283" w:rsidP="00A61283">
      <w:pPr>
        <w:pStyle w:val="ListParagraph"/>
        <w:rPr>
          <w:rFonts w:cs="Times New Roman"/>
          <w:bCs/>
          <w:szCs w:val="20"/>
        </w:rPr>
      </w:pPr>
    </w:p>
    <w:p w14:paraId="40F82678" w14:textId="77777777" w:rsidR="00A61283" w:rsidRDefault="00A61283" w:rsidP="00A61283">
      <w:pPr>
        <w:pStyle w:val="ListParagraph"/>
        <w:numPr>
          <w:ilvl w:val="0"/>
          <w:numId w:val="1"/>
        </w:numPr>
        <w:rPr>
          <w:rFonts w:cs="Times New Roman"/>
          <w:bCs/>
          <w:szCs w:val="20"/>
        </w:rPr>
      </w:pPr>
      <w:r w:rsidRPr="00A61283">
        <w:rPr>
          <w:rFonts w:cs="Times New Roman"/>
          <w:bCs/>
          <w:szCs w:val="20"/>
        </w:rPr>
        <w:t>Lower long-term mortality for TAVI based on 6–24-month data (TAVI RR=0.711, SAVR RR=0.773)</w:t>
      </w:r>
      <w:r>
        <w:rPr>
          <w:rFonts w:cs="Times New Roman"/>
          <w:bCs/>
          <w:szCs w:val="20"/>
        </w:rPr>
        <w:t>. These strategy-specific RRs versus lifetables were then maintained over lifetime.</w:t>
      </w:r>
    </w:p>
    <w:p w14:paraId="4F07429F" w14:textId="77777777" w:rsidR="00A61283" w:rsidRDefault="00A61283" w:rsidP="00A61283">
      <w:pPr>
        <w:pStyle w:val="ListParagraph"/>
        <w:rPr>
          <w:rFonts w:cs="Times New Roman"/>
          <w:bCs/>
          <w:szCs w:val="20"/>
        </w:rPr>
      </w:pPr>
    </w:p>
    <w:p w14:paraId="6230E95A" w14:textId="4FE3A3BD" w:rsidR="005D5E01" w:rsidRDefault="00A61283" w:rsidP="00A61283">
      <w:pPr>
        <w:pStyle w:val="ListParagraph"/>
        <w:numPr>
          <w:ilvl w:val="0"/>
          <w:numId w:val="1"/>
        </w:numPr>
        <w:rPr>
          <w:rFonts w:cs="Times New Roman"/>
          <w:bCs/>
          <w:szCs w:val="20"/>
        </w:rPr>
      </w:pPr>
      <w:r w:rsidRPr="00A61283">
        <w:rPr>
          <w:rFonts w:cs="Times New Roman"/>
          <w:bCs/>
          <w:szCs w:val="20"/>
        </w:rPr>
        <w:t xml:space="preserve">Higher mortality for TAVI in long-term projection (TAVI </w:t>
      </w:r>
      <w:r w:rsidR="005D5E01">
        <w:rPr>
          <w:rFonts w:cs="Times New Roman"/>
          <w:bCs/>
          <w:szCs w:val="20"/>
        </w:rPr>
        <w:t>R</w:t>
      </w:r>
      <w:r w:rsidRPr="00A61283">
        <w:rPr>
          <w:rFonts w:cs="Times New Roman"/>
          <w:bCs/>
          <w:szCs w:val="20"/>
        </w:rPr>
        <w:t xml:space="preserve">R=1.03; SAVR </w:t>
      </w:r>
      <w:r w:rsidR="005D5E01">
        <w:rPr>
          <w:rFonts w:cs="Times New Roman"/>
          <w:bCs/>
          <w:szCs w:val="20"/>
        </w:rPr>
        <w:t>R</w:t>
      </w:r>
      <w:r w:rsidRPr="00A61283">
        <w:rPr>
          <w:rFonts w:cs="Times New Roman"/>
          <w:bCs/>
          <w:szCs w:val="20"/>
        </w:rPr>
        <w:t>R=1.0 vs. lifetables)</w:t>
      </w:r>
      <w:r w:rsidR="005D5E01">
        <w:rPr>
          <w:rFonts w:cs="Times New Roman"/>
          <w:bCs/>
          <w:szCs w:val="20"/>
        </w:rPr>
        <w:t>, maintained over the remaining lifetime</w:t>
      </w:r>
      <w:r w:rsidR="00A7353B">
        <w:rPr>
          <w:rFonts w:cs="Times New Roman"/>
          <w:bCs/>
          <w:szCs w:val="20"/>
        </w:rPr>
        <w:t>.</w:t>
      </w:r>
      <w:r>
        <w:rPr>
          <w:rFonts w:cs="Times New Roman"/>
          <w:bCs/>
          <w:szCs w:val="20"/>
        </w:rPr>
        <w:t xml:space="preserve"> </w:t>
      </w:r>
      <w:r w:rsidR="005D5E01">
        <w:rPr>
          <w:rFonts w:cs="Times New Roman"/>
          <w:bCs/>
          <w:szCs w:val="20"/>
        </w:rPr>
        <w:t xml:space="preserve">These strategy-specific RRs versus lifetables were then maintained over lifetime. </w:t>
      </w:r>
      <w:r w:rsidRPr="005D5E01">
        <w:rPr>
          <w:rFonts w:cs="Times New Roman"/>
          <w:bCs/>
          <w:szCs w:val="20"/>
        </w:rPr>
        <w:t xml:space="preserve">This </w:t>
      </w:r>
      <w:r w:rsidR="005D5E01">
        <w:rPr>
          <w:rFonts w:cs="Times New Roman"/>
          <w:bCs/>
          <w:szCs w:val="20"/>
        </w:rPr>
        <w:t xml:space="preserve">scenario </w:t>
      </w:r>
      <w:r w:rsidRPr="005D5E01">
        <w:rPr>
          <w:rFonts w:cs="Times New Roman"/>
          <w:bCs/>
          <w:szCs w:val="20"/>
        </w:rPr>
        <w:t xml:space="preserve">was </w:t>
      </w:r>
      <w:r w:rsidR="005D5E01" w:rsidRPr="005D5E01">
        <w:rPr>
          <w:rFonts w:cs="Times New Roman"/>
          <w:bCs/>
          <w:szCs w:val="20"/>
        </w:rPr>
        <w:t xml:space="preserve">the first of </w:t>
      </w:r>
      <w:r w:rsidRPr="005D5E01">
        <w:rPr>
          <w:rFonts w:cs="Times New Roman"/>
          <w:bCs/>
          <w:szCs w:val="20"/>
        </w:rPr>
        <w:t>two hy</w:t>
      </w:r>
      <w:r w:rsidR="005D5E01" w:rsidRPr="005D5E01">
        <w:rPr>
          <w:rFonts w:cs="Times New Roman"/>
          <w:bCs/>
          <w:szCs w:val="20"/>
        </w:rPr>
        <w:t>pothetical scenarios explored.</w:t>
      </w:r>
      <w:r w:rsidR="005D5E01">
        <w:rPr>
          <w:rFonts w:cs="Times New Roman"/>
          <w:bCs/>
          <w:szCs w:val="20"/>
        </w:rPr>
        <w:t xml:space="preserve"> As opposed to the earlier scenarios involving TAVI, no trial-derived RRs could be derived through 24-month follow-up that would have supported this scenario.</w:t>
      </w:r>
    </w:p>
    <w:p w14:paraId="097512C4" w14:textId="77777777" w:rsidR="005D5E01" w:rsidRPr="005D5E01" w:rsidRDefault="005D5E01" w:rsidP="005D5E01">
      <w:pPr>
        <w:pStyle w:val="ListParagraph"/>
        <w:rPr>
          <w:rFonts w:cs="Times New Roman"/>
          <w:bCs/>
          <w:szCs w:val="20"/>
        </w:rPr>
      </w:pPr>
    </w:p>
    <w:p w14:paraId="06CBFC04" w14:textId="23D58DBC" w:rsidR="00A61283" w:rsidRDefault="00A61283" w:rsidP="00A61283">
      <w:pPr>
        <w:pStyle w:val="ListParagraph"/>
        <w:numPr>
          <w:ilvl w:val="0"/>
          <w:numId w:val="1"/>
        </w:numPr>
        <w:rPr>
          <w:rFonts w:cs="Times New Roman"/>
          <w:bCs/>
          <w:szCs w:val="20"/>
        </w:rPr>
      </w:pPr>
      <w:r w:rsidRPr="005D5E01">
        <w:rPr>
          <w:rFonts w:cs="Times New Roman"/>
          <w:bCs/>
          <w:szCs w:val="20"/>
        </w:rPr>
        <w:t xml:space="preserve">Higher mortality for TAVI in long-term projection (TAVI </w:t>
      </w:r>
      <w:r w:rsidR="005D5E01">
        <w:rPr>
          <w:rFonts w:cs="Times New Roman"/>
          <w:bCs/>
          <w:szCs w:val="20"/>
        </w:rPr>
        <w:t>R</w:t>
      </w:r>
      <w:r w:rsidRPr="005D5E01">
        <w:rPr>
          <w:rFonts w:cs="Times New Roman"/>
          <w:bCs/>
          <w:szCs w:val="20"/>
        </w:rPr>
        <w:t xml:space="preserve">R 1.05; SAVR </w:t>
      </w:r>
      <w:r w:rsidR="005D5E01">
        <w:rPr>
          <w:rFonts w:cs="Times New Roman"/>
          <w:bCs/>
          <w:szCs w:val="20"/>
        </w:rPr>
        <w:t>R</w:t>
      </w:r>
      <w:r w:rsidRPr="005D5E01">
        <w:rPr>
          <w:rFonts w:cs="Times New Roman"/>
          <w:bCs/>
          <w:szCs w:val="20"/>
        </w:rPr>
        <w:t>R=1.0 vs. lifetables)</w:t>
      </w:r>
      <w:r w:rsidR="005D5E01">
        <w:rPr>
          <w:rFonts w:cs="Times New Roman"/>
          <w:bCs/>
          <w:szCs w:val="20"/>
        </w:rPr>
        <w:t xml:space="preserve">, maintained over the remaining lifetime. Similar to the prior scenario, this was a hypothetical scenario explored. </w:t>
      </w:r>
    </w:p>
    <w:p w14:paraId="0D548264" w14:textId="77777777" w:rsidR="002D4D76" w:rsidRPr="002D4D76" w:rsidRDefault="002D4D76" w:rsidP="002D4D76">
      <w:pPr>
        <w:pStyle w:val="ListParagraph"/>
        <w:rPr>
          <w:rFonts w:cs="Times New Roman"/>
          <w:bCs/>
          <w:szCs w:val="20"/>
        </w:rPr>
      </w:pPr>
    </w:p>
    <w:p w14:paraId="7D4FD9CF" w14:textId="6B635DBA" w:rsidR="002D4D76" w:rsidRDefault="002D4D76" w:rsidP="002D4D76">
      <w:pPr>
        <w:pStyle w:val="ListParagraph"/>
        <w:numPr>
          <w:ilvl w:val="0"/>
          <w:numId w:val="1"/>
        </w:numPr>
        <w:rPr>
          <w:rFonts w:cs="Times New Roman"/>
          <w:bCs/>
          <w:szCs w:val="20"/>
        </w:rPr>
      </w:pPr>
      <w:r w:rsidRPr="002D4D76">
        <w:rPr>
          <w:rFonts w:cs="Times New Roman"/>
          <w:bCs/>
          <w:szCs w:val="20"/>
        </w:rPr>
        <w:t>Higher relative mortality of SAVR and TAVI in long-term projection (RR=1.2 vs. lifetables)</w:t>
      </w:r>
      <w:r>
        <w:rPr>
          <w:rFonts w:cs="Times New Roman"/>
          <w:bCs/>
          <w:szCs w:val="20"/>
        </w:rPr>
        <w:t>. This scenario is again hypothetical, but in line with some assumptions made in earlier cost-effectiveness studies about long-term mortality (albeit for different surgical risk strata). The analysis was primarily performed for exploratory purposes.</w:t>
      </w:r>
    </w:p>
    <w:p w14:paraId="1ED0E35E" w14:textId="77777777" w:rsidR="002D4D76" w:rsidRPr="002D4D76" w:rsidRDefault="002D4D76" w:rsidP="002D4D76">
      <w:pPr>
        <w:pStyle w:val="ListParagraph"/>
        <w:rPr>
          <w:rFonts w:cs="Times New Roman"/>
          <w:bCs/>
          <w:szCs w:val="20"/>
        </w:rPr>
      </w:pPr>
    </w:p>
    <w:p w14:paraId="266C1D47" w14:textId="1710CAA3" w:rsidR="002D4D76" w:rsidRDefault="002D4D76" w:rsidP="002D4D76">
      <w:pPr>
        <w:pStyle w:val="ListParagraph"/>
        <w:numPr>
          <w:ilvl w:val="0"/>
          <w:numId w:val="1"/>
        </w:numPr>
        <w:rPr>
          <w:rFonts w:cs="Times New Roman"/>
          <w:bCs/>
          <w:szCs w:val="20"/>
        </w:rPr>
      </w:pPr>
      <w:r>
        <w:rPr>
          <w:rFonts w:cs="Times New Roman"/>
          <w:bCs/>
          <w:szCs w:val="20"/>
        </w:rPr>
        <w:t>L</w:t>
      </w:r>
      <w:r w:rsidRPr="002D4D76">
        <w:rPr>
          <w:rFonts w:cs="Times New Roman"/>
          <w:bCs/>
          <w:szCs w:val="20"/>
        </w:rPr>
        <w:t>ower relative mortality of SAVR and TAVI in long-term projection (RR=0.751 vs. lifetables)</w:t>
      </w:r>
      <w:r>
        <w:rPr>
          <w:rFonts w:cs="Times New Roman"/>
          <w:bCs/>
          <w:szCs w:val="20"/>
        </w:rPr>
        <w:t>, maintained over lifetime. Again, this analysis was performed for exploratory purposes only.</w:t>
      </w:r>
    </w:p>
    <w:p w14:paraId="7A3A8682" w14:textId="77777777" w:rsidR="002D4D76" w:rsidRPr="002D4D76" w:rsidRDefault="002D4D76" w:rsidP="002D4D76">
      <w:pPr>
        <w:rPr>
          <w:rFonts w:cs="Times New Roman"/>
          <w:bCs/>
          <w:szCs w:val="20"/>
        </w:rPr>
      </w:pPr>
    </w:p>
    <w:p w14:paraId="2557C17C" w14:textId="5C0F2BDB" w:rsidR="00281B0F" w:rsidRDefault="00281B0F" w:rsidP="00301DE8">
      <w:pPr>
        <w:rPr>
          <w:rFonts w:cs="Times New Roman"/>
          <w:bCs/>
          <w:szCs w:val="20"/>
        </w:rPr>
      </w:pPr>
      <w:r>
        <w:rPr>
          <w:rFonts w:cs="Times New Roman"/>
          <w:bCs/>
          <w:szCs w:val="20"/>
        </w:rPr>
        <w:t xml:space="preserve">See main manuscript Table 2 for </w:t>
      </w:r>
      <w:r w:rsidR="005D5E01">
        <w:rPr>
          <w:rFonts w:cs="Times New Roman"/>
          <w:bCs/>
          <w:szCs w:val="20"/>
        </w:rPr>
        <w:t>respective analysis</w:t>
      </w:r>
      <w:r>
        <w:rPr>
          <w:rFonts w:cs="Times New Roman"/>
          <w:bCs/>
          <w:szCs w:val="20"/>
        </w:rPr>
        <w:t xml:space="preserve"> results.</w:t>
      </w:r>
    </w:p>
    <w:p w14:paraId="7EDC6637" w14:textId="77777777" w:rsidR="00301DE8" w:rsidRDefault="00301DE8" w:rsidP="00301DE8">
      <w:pPr>
        <w:rPr>
          <w:rFonts w:cs="Times New Roman"/>
          <w:bCs/>
          <w:szCs w:val="20"/>
        </w:rPr>
      </w:pPr>
    </w:p>
    <w:p w14:paraId="53E20406" w14:textId="77777777" w:rsidR="005D5E01" w:rsidRDefault="005D5E01">
      <w:pPr>
        <w:rPr>
          <w:b/>
          <w:bCs/>
          <w:sz w:val="28"/>
          <w:szCs w:val="28"/>
        </w:rPr>
      </w:pPr>
      <w:r>
        <w:rPr>
          <w:b/>
          <w:bCs/>
          <w:sz w:val="28"/>
          <w:szCs w:val="28"/>
        </w:rPr>
        <w:br w:type="page"/>
      </w:r>
    </w:p>
    <w:p w14:paraId="39D47635" w14:textId="5F88A019" w:rsidR="008365F0" w:rsidRPr="005E408A" w:rsidRDefault="008365F0" w:rsidP="008365F0">
      <w:pPr>
        <w:rPr>
          <w:b/>
          <w:bCs/>
          <w:sz w:val="28"/>
          <w:szCs w:val="28"/>
        </w:rPr>
      </w:pPr>
      <w:r w:rsidRPr="005E408A">
        <w:rPr>
          <w:b/>
          <w:bCs/>
          <w:sz w:val="28"/>
          <w:szCs w:val="28"/>
        </w:rPr>
        <w:lastRenderedPageBreak/>
        <w:t>S.</w:t>
      </w:r>
      <w:r w:rsidR="000138F8">
        <w:rPr>
          <w:b/>
          <w:bCs/>
          <w:sz w:val="28"/>
          <w:szCs w:val="28"/>
        </w:rPr>
        <w:t>4</w:t>
      </w:r>
      <w:r w:rsidR="000138F8" w:rsidRPr="005E408A">
        <w:rPr>
          <w:b/>
          <w:bCs/>
          <w:sz w:val="28"/>
          <w:szCs w:val="28"/>
        </w:rPr>
        <w:t xml:space="preserve"> </w:t>
      </w:r>
      <w:r w:rsidRPr="005E408A">
        <w:rPr>
          <w:b/>
          <w:bCs/>
          <w:sz w:val="28"/>
          <w:szCs w:val="28"/>
        </w:rPr>
        <w:t>Deterministic sensitivity analysis results</w:t>
      </w:r>
    </w:p>
    <w:p w14:paraId="3CD03828" w14:textId="2C31ED99" w:rsidR="008365F0" w:rsidRPr="008365F0" w:rsidRDefault="008365F0" w:rsidP="008365F0">
      <w:pPr>
        <w:rPr>
          <w:rFonts w:cs="Times New Roman"/>
          <w:bCs/>
          <w:szCs w:val="20"/>
        </w:rPr>
      </w:pPr>
      <w:r>
        <w:rPr>
          <w:rFonts w:cs="Times New Roman"/>
          <w:bCs/>
          <w:szCs w:val="20"/>
        </w:rPr>
        <w:t>Shown below are the results of deterministic sensitivity analysis. Figure S.</w:t>
      </w:r>
      <w:r w:rsidR="000138F8">
        <w:rPr>
          <w:rFonts w:cs="Times New Roman"/>
          <w:bCs/>
          <w:szCs w:val="20"/>
        </w:rPr>
        <w:t>4</w:t>
      </w:r>
      <w:r>
        <w:rPr>
          <w:rFonts w:cs="Times New Roman"/>
          <w:bCs/>
          <w:szCs w:val="20"/>
        </w:rPr>
        <w:t>.1 shows a Tornado diagram with the ten most influential parameters. Table S.</w:t>
      </w:r>
      <w:r w:rsidR="000138F8">
        <w:rPr>
          <w:rFonts w:cs="Times New Roman"/>
          <w:bCs/>
          <w:szCs w:val="20"/>
        </w:rPr>
        <w:t>4</w:t>
      </w:r>
      <w:r>
        <w:rPr>
          <w:rFonts w:cs="Times New Roman"/>
          <w:bCs/>
          <w:szCs w:val="20"/>
        </w:rPr>
        <w:t>.1 shows the results for all tested parameters.</w:t>
      </w:r>
    </w:p>
    <w:p w14:paraId="470EB4B4" w14:textId="77777777" w:rsidR="00B30DDC" w:rsidRDefault="00B30DDC"/>
    <w:p w14:paraId="6837AA2F" w14:textId="07909A26" w:rsidR="0097792A" w:rsidRDefault="00265227">
      <w:r w:rsidRPr="00265227">
        <w:rPr>
          <w:noProof/>
          <w:lang w:eastAsia="en-US"/>
        </w:rPr>
        <w:drawing>
          <wp:inline distT="0" distB="0" distL="0" distR="0" wp14:anchorId="274FF934" wp14:editId="2C59FEB5">
            <wp:extent cx="5943600" cy="2034540"/>
            <wp:effectExtent l="19050" t="19050" r="19050" b="22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034540"/>
                    </a:xfrm>
                    <a:prstGeom prst="rect">
                      <a:avLst/>
                    </a:prstGeom>
                    <a:ln w="3175">
                      <a:solidFill>
                        <a:schemeClr val="tx1"/>
                      </a:solidFill>
                    </a:ln>
                  </pic:spPr>
                </pic:pic>
              </a:graphicData>
            </a:graphic>
          </wp:inline>
        </w:drawing>
      </w:r>
    </w:p>
    <w:p w14:paraId="291BC671" w14:textId="1274DF4D" w:rsidR="005E408A" w:rsidRDefault="005E408A" w:rsidP="005E408A">
      <w:pPr>
        <w:rPr>
          <w:rFonts w:cs="Times New Roman"/>
          <w:b/>
          <w:szCs w:val="20"/>
        </w:rPr>
      </w:pPr>
      <w:r>
        <w:rPr>
          <w:rFonts w:cs="Times New Roman"/>
          <w:b/>
          <w:szCs w:val="20"/>
        </w:rPr>
        <w:t>Figure S.</w:t>
      </w:r>
      <w:r w:rsidR="000138F8">
        <w:rPr>
          <w:rFonts w:cs="Times New Roman"/>
          <w:b/>
          <w:szCs w:val="20"/>
        </w:rPr>
        <w:t>4</w:t>
      </w:r>
      <w:r>
        <w:rPr>
          <w:rFonts w:cs="Times New Roman"/>
          <w:b/>
          <w:szCs w:val="20"/>
        </w:rPr>
        <w:t xml:space="preserve">.1. </w:t>
      </w:r>
      <w:r>
        <w:rPr>
          <w:rFonts w:cs="Times New Roman"/>
          <w:bCs/>
          <w:szCs w:val="20"/>
        </w:rPr>
        <w:t xml:space="preserve">Tornado diagram depicting the ten most influential parameters </w:t>
      </w:r>
      <w:r>
        <w:rPr>
          <w:rFonts w:cs="Times New Roman"/>
          <w:b/>
          <w:szCs w:val="20"/>
        </w:rPr>
        <w:t xml:space="preserve"> </w:t>
      </w:r>
    </w:p>
    <w:p w14:paraId="6CB4CFAC" w14:textId="77777777" w:rsidR="00265227" w:rsidRDefault="00265227"/>
    <w:p w14:paraId="5ED326DB" w14:textId="77777777" w:rsidR="005E408A" w:rsidRDefault="005E408A">
      <w:pPr>
        <w:rPr>
          <w:rFonts w:cs="Times New Roman"/>
          <w:b/>
          <w:szCs w:val="20"/>
        </w:rPr>
      </w:pPr>
      <w:r>
        <w:rPr>
          <w:rFonts w:cs="Times New Roman"/>
          <w:b/>
          <w:szCs w:val="20"/>
        </w:rPr>
        <w:br w:type="page"/>
      </w:r>
    </w:p>
    <w:p w14:paraId="3CDBEA7D" w14:textId="63383D8E" w:rsidR="00265227" w:rsidRPr="005E408A" w:rsidRDefault="005E408A">
      <w:pPr>
        <w:rPr>
          <w:rFonts w:cs="Times New Roman"/>
          <w:b/>
          <w:szCs w:val="20"/>
        </w:rPr>
      </w:pPr>
      <w:r>
        <w:rPr>
          <w:rFonts w:cs="Times New Roman"/>
          <w:b/>
          <w:szCs w:val="20"/>
        </w:rPr>
        <w:lastRenderedPageBreak/>
        <w:t>Table S.</w:t>
      </w:r>
      <w:r w:rsidR="00301DE8">
        <w:rPr>
          <w:rFonts w:cs="Times New Roman"/>
          <w:b/>
          <w:szCs w:val="20"/>
        </w:rPr>
        <w:t>3</w:t>
      </w:r>
      <w:r>
        <w:rPr>
          <w:rFonts w:cs="Times New Roman"/>
          <w:b/>
          <w:szCs w:val="20"/>
        </w:rPr>
        <w:t xml:space="preserve">.1. </w:t>
      </w:r>
      <w:r>
        <w:rPr>
          <w:rFonts w:cs="Times New Roman"/>
          <w:bCs/>
          <w:szCs w:val="20"/>
        </w:rPr>
        <w:t xml:space="preserve">Full listing of deterministic sensitivity analysis results </w:t>
      </w:r>
      <w:r>
        <w:rPr>
          <w:rFonts w:cs="Times New Roman"/>
          <w:b/>
          <w:szCs w:val="20"/>
        </w:rPr>
        <w:t xml:space="preserve"> </w:t>
      </w:r>
    </w:p>
    <w:tbl>
      <w:tblPr>
        <w:tblW w:w="0" w:type="auto"/>
        <w:tblLook w:val="04A0" w:firstRow="1" w:lastRow="0" w:firstColumn="1" w:lastColumn="0" w:noHBand="0" w:noVBand="1"/>
      </w:tblPr>
      <w:tblGrid>
        <w:gridCol w:w="5184"/>
        <w:gridCol w:w="1460"/>
        <w:gridCol w:w="1452"/>
        <w:gridCol w:w="1254"/>
      </w:tblGrid>
      <w:tr w:rsidR="007F2703" w:rsidRPr="007F2703" w14:paraId="030696F8" w14:textId="77777777" w:rsidTr="007F2703">
        <w:trPr>
          <w:trHeight w:val="240"/>
        </w:trPr>
        <w:tc>
          <w:tcPr>
            <w:tcW w:w="0" w:type="auto"/>
            <w:tcBorders>
              <w:top w:val="single" w:sz="4" w:space="0" w:color="203764"/>
              <w:left w:val="single" w:sz="4" w:space="0" w:color="203764"/>
              <w:bottom w:val="single" w:sz="4" w:space="0" w:color="203764"/>
              <w:right w:val="single" w:sz="4" w:space="0" w:color="203764"/>
            </w:tcBorders>
            <w:shd w:val="clear" w:color="000000" w:fill="203764"/>
            <w:noWrap/>
            <w:vAlign w:val="bottom"/>
            <w:hideMark/>
          </w:tcPr>
          <w:p w14:paraId="027E4AA7" w14:textId="77777777" w:rsidR="007F2703" w:rsidRPr="007F2703" w:rsidRDefault="007F2703" w:rsidP="00B30DDC">
            <w:pPr>
              <w:spacing w:after="0" w:line="240" w:lineRule="auto"/>
              <w:jc w:val="center"/>
              <w:rPr>
                <w:rFonts w:ascii="Arial Narrow" w:eastAsia="Times New Roman" w:hAnsi="Arial Narrow" w:cs="Arial"/>
                <w:b/>
                <w:bCs/>
                <w:color w:val="FFFFFF"/>
                <w:sz w:val="18"/>
                <w:szCs w:val="18"/>
              </w:rPr>
            </w:pPr>
            <w:r w:rsidRPr="007F2703">
              <w:rPr>
                <w:rFonts w:ascii="Arial Narrow" w:eastAsia="Times New Roman" w:hAnsi="Arial Narrow" w:cs="Arial"/>
                <w:b/>
                <w:bCs/>
                <w:color w:val="FFFFFF"/>
                <w:sz w:val="18"/>
                <w:szCs w:val="18"/>
              </w:rPr>
              <w:t>Parameter Name</w:t>
            </w:r>
          </w:p>
        </w:tc>
        <w:tc>
          <w:tcPr>
            <w:tcW w:w="0" w:type="auto"/>
            <w:tcBorders>
              <w:top w:val="single" w:sz="4" w:space="0" w:color="203764"/>
              <w:left w:val="nil"/>
              <w:bottom w:val="single" w:sz="4" w:space="0" w:color="203764"/>
              <w:right w:val="single" w:sz="4" w:space="0" w:color="203764"/>
            </w:tcBorders>
            <w:shd w:val="clear" w:color="000000" w:fill="203764"/>
            <w:noWrap/>
            <w:vAlign w:val="bottom"/>
            <w:hideMark/>
          </w:tcPr>
          <w:p w14:paraId="4202A164" w14:textId="77777777" w:rsidR="007F2703" w:rsidRPr="007F2703" w:rsidRDefault="007F2703" w:rsidP="00B30DDC">
            <w:pPr>
              <w:spacing w:after="0" w:line="240" w:lineRule="auto"/>
              <w:jc w:val="center"/>
              <w:rPr>
                <w:rFonts w:ascii="Arial Narrow" w:eastAsia="Times New Roman" w:hAnsi="Arial Narrow" w:cs="Arial"/>
                <w:b/>
                <w:bCs/>
                <w:color w:val="FFFFFF"/>
                <w:sz w:val="18"/>
                <w:szCs w:val="18"/>
              </w:rPr>
            </w:pPr>
            <w:r w:rsidRPr="007F2703">
              <w:rPr>
                <w:rFonts w:ascii="Arial Narrow" w:eastAsia="Times New Roman" w:hAnsi="Arial Narrow" w:cs="Arial"/>
                <w:b/>
                <w:bCs/>
                <w:color w:val="FFFFFF"/>
                <w:sz w:val="18"/>
                <w:szCs w:val="18"/>
              </w:rPr>
              <w:t>Lower Bound ICER</w:t>
            </w:r>
          </w:p>
        </w:tc>
        <w:tc>
          <w:tcPr>
            <w:tcW w:w="0" w:type="auto"/>
            <w:tcBorders>
              <w:top w:val="single" w:sz="4" w:space="0" w:color="203764"/>
              <w:left w:val="nil"/>
              <w:bottom w:val="single" w:sz="4" w:space="0" w:color="203764"/>
              <w:right w:val="single" w:sz="4" w:space="0" w:color="203764"/>
            </w:tcBorders>
            <w:shd w:val="clear" w:color="000000" w:fill="203764"/>
            <w:noWrap/>
            <w:vAlign w:val="bottom"/>
            <w:hideMark/>
          </w:tcPr>
          <w:p w14:paraId="79F6400F" w14:textId="77777777" w:rsidR="007F2703" w:rsidRPr="007F2703" w:rsidRDefault="007F2703" w:rsidP="00B30DDC">
            <w:pPr>
              <w:spacing w:after="0" w:line="240" w:lineRule="auto"/>
              <w:jc w:val="center"/>
              <w:rPr>
                <w:rFonts w:ascii="Arial Narrow" w:eastAsia="Times New Roman" w:hAnsi="Arial Narrow" w:cs="Arial"/>
                <w:b/>
                <w:bCs/>
                <w:color w:val="FFFFFF"/>
                <w:sz w:val="18"/>
                <w:szCs w:val="18"/>
              </w:rPr>
            </w:pPr>
            <w:r w:rsidRPr="007F2703">
              <w:rPr>
                <w:rFonts w:ascii="Arial Narrow" w:eastAsia="Times New Roman" w:hAnsi="Arial Narrow" w:cs="Arial"/>
                <w:b/>
                <w:bCs/>
                <w:color w:val="FFFFFF"/>
                <w:sz w:val="18"/>
                <w:szCs w:val="18"/>
              </w:rPr>
              <w:t>Upper Bound ICER</w:t>
            </w:r>
          </w:p>
        </w:tc>
        <w:tc>
          <w:tcPr>
            <w:tcW w:w="0" w:type="auto"/>
            <w:tcBorders>
              <w:top w:val="single" w:sz="4" w:space="0" w:color="203764"/>
              <w:left w:val="nil"/>
              <w:bottom w:val="single" w:sz="4" w:space="0" w:color="203764"/>
              <w:right w:val="single" w:sz="4" w:space="0" w:color="203764"/>
            </w:tcBorders>
            <w:shd w:val="clear" w:color="000000" w:fill="203764"/>
            <w:noWrap/>
            <w:vAlign w:val="bottom"/>
            <w:hideMark/>
          </w:tcPr>
          <w:p w14:paraId="77048245" w14:textId="77777777" w:rsidR="007F2703" w:rsidRPr="007F2703" w:rsidRDefault="007F2703" w:rsidP="00B30DDC">
            <w:pPr>
              <w:spacing w:after="0" w:line="240" w:lineRule="auto"/>
              <w:jc w:val="center"/>
              <w:rPr>
                <w:rFonts w:ascii="Arial Narrow" w:eastAsia="Times New Roman" w:hAnsi="Arial Narrow" w:cs="Arial"/>
                <w:b/>
                <w:bCs/>
                <w:color w:val="FFFFFF"/>
                <w:sz w:val="18"/>
                <w:szCs w:val="18"/>
              </w:rPr>
            </w:pPr>
            <w:r w:rsidRPr="007F2703">
              <w:rPr>
                <w:rFonts w:ascii="Arial Narrow" w:eastAsia="Times New Roman" w:hAnsi="Arial Narrow" w:cs="Arial"/>
                <w:b/>
                <w:bCs/>
                <w:color w:val="FFFFFF"/>
                <w:sz w:val="18"/>
                <w:szCs w:val="18"/>
              </w:rPr>
              <w:t>ICER Difference</w:t>
            </w:r>
          </w:p>
        </w:tc>
      </w:tr>
      <w:tr w:rsidR="00B30DDC" w:rsidRPr="007F2703" w14:paraId="0272CE94"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EDA4BFC"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Multiplier to vary trial-observed stroke rates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07A1DC9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€ 51,477.92 </w:t>
            </w:r>
          </w:p>
        </w:tc>
        <w:tc>
          <w:tcPr>
            <w:tcW w:w="0" w:type="auto"/>
            <w:tcBorders>
              <w:top w:val="nil"/>
              <w:left w:val="nil"/>
              <w:bottom w:val="single" w:sz="4" w:space="0" w:color="203764"/>
              <w:right w:val="single" w:sz="4" w:space="0" w:color="203764"/>
            </w:tcBorders>
            <w:shd w:val="clear" w:color="000000" w:fill="FFFFFF"/>
            <w:noWrap/>
            <w:vAlign w:val="bottom"/>
            <w:hideMark/>
          </w:tcPr>
          <w:p w14:paraId="67994A4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(€ 35,512.43)</w:t>
            </w:r>
          </w:p>
        </w:tc>
        <w:tc>
          <w:tcPr>
            <w:tcW w:w="0" w:type="auto"/>
            <w:tcBorders>
              <w:top w:val="nil"/>
              <w:left w:val="nil"/>
              <w:bottom w:val="single" w:sz="4" w:space="0" w:color="203764"/>
              <w:right w:val="single" w:sz="4" w:space="0" w:color="203764"/>
            </w:tcBorders>
            <w:shd w:val="clear" w:color="000000" w:fill="FFFFFF"/>
            <w:noWrap/>
            <w:vAlign w:val="bottom"/>
            <w:hideMark/>
          </w:tcPr>
          <w:p w14:paraId="7EC2639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€ 86,990.35</w:t>
            </w:r>
          </w:p>
        </w:tc>
      </w:tr>
      <w:tr w:rsidR="00B30DDC" w:rsidRPr="007F2703" w14:paraId="7301D56A"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096BC508"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Multiplier to vary trial-observed stroke rates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06727F6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(€ 23,008.86)</w:t>
            </w:r>
          </w:p>
        </w:tc>
        <w:tc>
          <w:tcPr>
            <w:tcW w:w="0" w:type="auto"/>
            <w:tcBorders>
              <w:top w:val="nil"/>
              <w:left w:val="nil"/>
              <w:bottom w:val="single" w:sz="4" w:space="0" w:color="203764"/>
              <w:right w:val="single" w:sz="4" w:space="0" w:color="203764"/>
            </w:tcBorders>
            <w:shd w:val="clear" w:color="000000" w:fill="FFFFFF"/>
            <w:noWrap/>
            <w:vAlign w:val="bottom"/>
            <w:hideMark/>
          </w:tcPr>
          <w:p w14:paraId="718E656D"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€ 63,484.77 </w:t>
            </w:r>
          </w:p>
        </w:tc>
        <w:tc>
          <w:tcPr>
            <w:tcW w:w="0" w:type="auto"/>
            <w:tcBorders>
              <w:top w:val="nil"/>
              <w:left w:val="nil"/>
              <w:bottom w:val="single" w:sz="4" w:space="0" w:color="203764"/>
              <w:right w:val="single" w:sz="4" w:space="0" w:color="203764"/>
            </w:tcBorders>
            <w:shd w:val="clear" w:color="000000" w:fill="FFFFFF"/>
            <w:noWrap/>
            <w:vAlign w:val="bottom"/>
            <w:hideMark/>
          </w:tcPr>
          <w:p w14:paraId="7ED6016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€ 86,493.64</w:t>
            </w:r>
          </w:p>
        </w:tc>
      </w:tr>
      <w:tr w:rsidR="00B30DDC" w:rsidRPr="007F2703" w14:paraId="5C0CEF23"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8653879"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Administration costs TAVI  </w:t>
            </w:r>
          </w:p>
        </w:tc>
        <w:tc>
          <w:tcPr>
            <w:tcW w:w="0" w:type="auto"/>
            <w:tcBorders>
              <w:top w:val="nil"/>
              <w:left w:val="nil"/>
              <w:bottom w:val="single" w:sz="4" w:space="0" w:color="203764"/>
              <w:right w:val="single" w:sz="4" w:space="0" w:color="203764"/>
            </w:tcBorders>
            <w:shd w:val="clear" w:color="000000" w:fill="FFFFFF"/>
            <w:noWrap/>
            <w:vAlign w:val="bottom"/>
            <w:hideMark/>
          </w:tcPr>
          <w:p w14:paraId="4E34424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(€ 11,738.18)</w:t>
            </w:r>
          </w:p>
        </w:tc>
        <w:tc>
          <w:tcPr>
            <w:tcW w:w="0" w:type="auto"/>
            <w:tcBorders>
              <w:top w:val="nil"/>
              <w:left w:val="nil"/>
              <w:bottom w:val="single" w:sz="4" w:space="0" w:color="203764"/>
              <w:right w:val="single" w:sz="4" w:space="0" w:color="203764"/>
            </w:tcBorders>
            <w:shd w:val="clear" w:color="000000" w:fill="FFFFFF"/>
            <w:noWrap/>
            <w:vAlign w:val="bottom"/>
            <w:hideMark/>
          </w:tcPr>
          <w:p w14:paraId="45DEE90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€ 24,473.95 </w:t>
            </w:r>
          </w:p>
        </w:tc>
        <w:tc>
          <w:tcPr>
            <w:tcW w:w="0" w:type="auto"/>
            <w:tcBorders>
              <w:top w:val="nil"/>
              <w:left w:val="nil"/>
              <w:bottom w:val="single" w:sz="4" w:space="0" w:color="203764"/>
              <w:right w:val="single" w:sz="4" w:space="0" w:color="203764"/>
            </w:tcBorders>
            <w:shd w:val="clear" w:color="000000" w:fill="FFFFFF"/>
            <w:noWrap/>
            <w:vAlign w:val="bottom"/>
            <w:hideMark/>
          </w:tcPr>
          <w:p w14:paraId="139F29A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€ 36,212.13</w:t>
            </w:r>
          </w:p>
        </w:tc>
      </w:tr>
      <w:tr w:rsidR="00B30DDC" w:rsidRPr="007F2703" w14:paraId="54A98B2E"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773EEFE6"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Administration costs SAVR  </w:t>
            </w:r>
          </w:p>
        </w:tc>
        <w:tc>
          <w:tcPr>
            <w:tcW w:w="0" w:type="auto"/>
            <w:tcBorders>
              <w:top w:val="nil"/>
              <w:left w:val="nil"/>
              <w:bottom w:val="single" w:sz="4" w:space="0" w:color="203764"/>
              <w:right w:val="single" w:sz="4" w:space="0" w:color="203764"/>
            </w:tcBorders>
            <w:shd w:val="clear" w:color="000000" w:fill="FFFFFF"/>
            <w:noWrap/>
            <w:vAlign w:val="bottom"/>
            <w:hideMark/>
          </w:tcPr>
          <w:p w14:paraId="448630C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€ 24,154.47 </w:t>
            </w:r>
          </w:p>
        </w:tc>
        <w:tc>
          <w:tcPr>
            <w:tcW w:w="0" w:type="auto"/>
            <w:tcBorders>
              <w:top w:val="nil"/>
              <w:left w:val="nil"/>
              <w:bottom w:val="single" w:sz="4" w:space="0" w:color="203764"/>
              <w:right w:val="single" w:sz="4" w:space="0" w:color="203764"/>
            </w:tcBorders>
            <w:shd w:val="clear" w:color="000000" w:fill="FFFFFF"/>
            <w:noWrap/>
            <w:vAlign w:val="bottom"/>
            <w:hideMark/>
          </w:tcPr>
          <w:p w14:paraId="6B09530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(€ 11,418.70)</w:t>
            </w:r>
          </w:p>
        </w:tc>
        <w:tc>
          <w:tcPr>
            <w:tcW w:w="0" w:type="auto"/>
            <w:tcBorders>
              <w:top w:val="nil"/>
              <w:left w:val="nil"/>
              <w:bottom w:val="single" w:sz="4" w:space="0" w:color="203764"/>
              <w:right w:val="single" w:sz="4" w:space="0" w:color="203764"/>
            </w:tcBorders>
            <w:shd w:val="clear" w:color="000000" w:fill="FFFFFF"/>
            <w:noWrap/>
            <w:vAlign w:val="bottom"/>
            <w:hideMark/>
          </w:tcPr>
          <w:p w14:paraId="5FC2F12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€ 35,573.18</w:t>
            </w:r>
          </w:p>
        </w:tc>
      </w:tr>
      <w:tr w:rsidR="00B30DDC" w:rsidRPr="007F2703" w14:paraId="5BE68266"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074D37C9"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Multiplier to vary trial-observed mortality rates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3861C5D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(€ 24,355.40)</w:t>
            </w:r>
          </w:p>
        </w:tc>
        <w:tc>
          <w:tcPr>
            <w:tcW w:w="0" w:type="auto"/>
            <w:tcBorders>
              <w:top w:val="nil"/>
              <w:left w:val="nil"/>
              <w:bottom w:val="single" w:sz="4" w:space="0" w:color="203764"/>
              <w:right w:val="single" w:sz="4" w:space="0" w:color="203764"/>
            </w:tcBorders>
            <w:shd w:val="clear" w:color="000000" w:fill="FFFFFF"/>
            <w:noWrap/>
            <w:vAlign w:val="bottom"/>
            <w:hideMark/>
          </w:tcPr>
          <w:p w14:paraId="19F0200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€ 3,452.03 </w:t>
            </w:r>
          </w:p>
        </w:tc>
        <w:tc>
          <w:tcPr>
            <w:tcW w:w="0" w:type="auto"/>
            <w:tcBorders>
              <w:top w:val="nil"/>
              <w:left w:val="nil"/>
              <w:bottom w:val="single" w:sz="4" w:space="0" w:color="203764"/>
              <w:right w:val="single" w:sz="4" w:space="0" w:color="203764"/>
            </w:tcBorders>
            <w:shd w:val="clear" w:color="000000" w:fill="FFFFFF"/>
            <w:noWrap/>
            <w:vAlign w:val="bottom"/>
            <w:hideMark/>
          </w:tcPr>
          <w:p w14:paraId="2C0877B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€ 27,807.43</w:t>
            </w:r>
          </w:p>
        </w:tc>
      </w:tr>
      <w:tr w:rsidR="00B30DDC" w:rsidRPr="007F2703" w14:paraId="061679CB"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35255CBF"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Multiplier to vary trial-observed utilities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7563CF1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€ 2,535.91 </w:t>
            </w:r>
          </w:p>
        </w:tc>
        <w:tc>
          <w:tcPr>
            <w:tcW w:w="0" w:type="auto"/>
            <w:tcBorders>
              <w:top w:val="nil"/>
              <w:left w:val="nil"/>
              <w:bottom w:val="single" w:sz="4" w:space="0" w:color="203764"/>
              <w:right w:val="single" w:sz="4" w:space="0" w:color="203764"/>
            </w:tcBorders>
            <w:shd w:val="clear" w:color="000000" w:fill="FFFFFF"/>
            <w:noWrap/>
            <w:vAlign w:val="bottom"/>
            <w:hideMark/>
          </w:tcPr>
          <w:p w14:paraId="110DB9E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(€ 12,459.43)</w:t>
            </w:r>
          </w:p>
        </w:tc>
        <w:tc>
          <w:tcPr>
            <w:tcW w:w="0" w:type="auto"/>
            <w:tcBorders>
              <w:top w:val="nil"/>
              <w:left w:val="nil"/>
              <w:bottom w:val="single" w:sz="4" w:space="0" w:color="203764"/>
              <w:right w:val="single" w:sz="4" w:space="0" w:color="203764"/>
            </w:tcBorders>
            <w:shd w:val="clear" w:color="000000" w:fill="FFFFFF"/>
            <w:noWrap/>
            <w:vAlign w:val="bottom"/>
            <w:hideMark/>
          </w:tcPr>
          <w:p w14:paraId="56A153B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€ 14,995.34</w:t>
            </w:r>
          </w:p>
        </w:tc>
      </w:tr>
      <w:tr w:rsidR="00B30DDC" w:rsidRPr="007F2703" w14:paraId="2A78CFB3"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74B0517"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Multiplier to vary trial-observed utilities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040EFA8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(€ 11,994.34)</w:t>
            </w:r>
          </w:p>
        </w:tc>
        <w:tc>
          <w:tcPr>
            <w:tcW w:w="0" w:type="auto"/>
            <w:tcBorders>
              <w:top w:val="nil"/>
              <w:left w:val="nil"/>
              <w:bottom w:val="single" w:sz="4" w:space="0" w:color="203764"/>
              <w:right w:val="single" w:sz="4" w:space="0" w:color="203764"/>
            </w:tcBorders>
            <w:shd w:val="clear" w:color="000000" w:fill="FFFFFF"/>
            <w:noWrap/>
            <w:vAlign w:val="bottom"/>
            <w:hideMark/>
          </w:tcPr>
          <w:p w14:paraId="4DACF4B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€ 2,516.05 </w:t>
            </w:r>
          </w:p>
        </w:tc>
        <w:tc>
          <w:tcPr>
            <w:tcW w:w="0" w:type="auto"/>
            <w:tcBorders>
              <w:top w:val="nil"/>
              <w:left w:val="nil"/>
              <w:bottom w:val="single" w:sz="4" w:space="0" w:color="203764"/>
              <w:right w:val="single" w:sz="4" w:space="0" w:color="203764"/>
            </w:tcBorders>
            <w:shd w:val="clear" w:color="000000" w:fill="FFFFFF"/>
            <w:noWrap/>
            <w:vAlign w:val="bottom"/>
            <w:hideMark/>
          </w:tcPr>
          <w:p w14:paraId="7F34DFC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€ 14,510.39</w:t>
            </w:r>
          </w:p>
        </w:tc>
      </w:tr>
      <w:tr w:rsidR="00B30DDC" w:rsidRPr="007F2703" w14:paraId="672D8BD8"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77C4BEBF"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Multiplier to vary trial-observed mortality rates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51D6927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€ 4,224.86 </w:t>
            </w:r>
          </w:p>
        </w:tc>
        <w:tc>
          <w:tcPr>
            <w:tcW w:w="0" w:type="auto"/>
            <w:tcBorders>
              <w:top w:val="nil"/>
              <w:left w:val="nil"/>
              <w:bottom w:val="single" w:sz="4" w:space="0" w:color="203764"/>
              <w:right w:val="single" w:sz="4" w:space="0" w:color="203764"/>
            </w:tcBorders>
            <w:shd w:val="clear" w:color="000000" w:fill="FFFFFF"/>
            <w:noWrap/>
            <w:vAlign w:val="bottom"/>
            <w:hideMark/>
          </w:tcPr>
          <w:p w14:paraId="2FBE648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(€ 6,267.60)</w:t>
            </w:r>
          </w:p>
        </w:tc>
        <w:tc>
          <w:tcPr>
            <w:tcW w:w="0" w:type="auto"/>
            <w:tcBorders>
              <w:top w:val="nil"/>
              <w:left w:val="nil"/>
              <w:bottom w:val="single" w:sz="4" w:space="0" w:color="203764"/>
              <w:right w:val="single" w:sz="4" w:space="0" w:color="203764"/>
            </w:tcBorders>
            <w:shd w:val="clear" w:color="000000" w:fill="FFFFFF"/>
            <w:noWrap/>
            <w:vAlign w:val="bottom"/>
            <w:hideMark/>
          </w:tcPr>
          <w:p w14:paraId="3622915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€ 10,492.46</w:t>
            </w:r>
          </w:p>
        </w:tc>
      </w:tr>
      <w:tr w:rsidR="00B30DDC" w:rsidRPr="007F2703" w14:paraId="17B669F2"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95AB8E1"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Discount rate costs (% p.a.)</w:t>
            </w:r>
          </w:p>
        </w:tc>
        <w:tc>
          <w:tcPr>
            <w:tcW w:w="0" w:type="auto"/>
            <w:tcBorders>
              <w:top w:val="nil"/>
              <w:left w:val="nil"/>
              <w:bottom w:val="single" w:sz="4" w:space="0" w:color="203764"/>
              <w:right w:val="single" w:sz="4" w:space="0" w:color="203764"/>
            </w:tcBorders>
            <w:shd w:val="clear" w:color="000000" w:fill="FFFFFF"/>
            <w:noWrap/>
            <w:vAlign w:val="bottom"/>
            <w:hideMark/>
          </w:tcPr>
          <w:p w14:paraId="087380A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€ 7,955.90 </w:t>
            </w:r>
          </w:p>
        </w:tc>
        <w:tc>
          <w:tcPr>
            <w:tcW w:w="0" w:type="auto"/>
            <w:tcBorders>
              <w:top w:val="nil"/>
              <w:left w:val="nil"/>
              <w:bottom w:val="single" w:sz="4" w:space="0" w:color="203764"/>
              <w:right w:val="single" w:sz="4" w:space="0" w:color="203764"/>
            </w:tcBorders>
            <w:shd w:val="clear" w:color="000000" w:fill="FFFFFF"/>
            <w:noWrap/>
            <w:vAlign w:val="bottom"/>
            <w:hideMark/>
          </w:tcPr>
          <w:p w14:paraId="521B7C9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€ 3,714.14 </w:t>
            </w:r>
          </w:p>
        </w:tc>
        <w:tc>
          <w:tcPr>
            <w:tcW w:w="0" w:type="auto"/>
            <w:tcBorders>
              <w:top w:val="nil"/>
              <w:left w:val="nil"/>
              <w:bottom w:val="single" w:sz="4" w:space="0" w:color="203764"/>
              <w:right w:val="single" w:sz="4" w:space="0" w:color="203764"/>
            </w:tcBorders>
            <w:shd w:val="clear" w:color="000000" w:fill="FFFFFF"/>
            <w:noWrap/>
            <w:vAlign w:val="bottom"/>
            <w:hideMark/>
          </w:tcPr>
          <w:p w14:paraId="03881C6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€ 4,241.77</w:t>
            </w:r>
          </w:p>
        </w:tc>
      </w:tr>
      <w:tr w:rsidR="00B30DDC" w:rsidRPr="007F2703" w14:paraId="0FED843D"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4C0B2A2D"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Discount rate effects (% p.a.)</w:t>
            </w:r>
          </w:p>
        </w:tc>
        <w:tc>
          <w:tcPr>
            <w:tcW w:w="0" w:type="auto"/>
            <w:tcBorders>
              <w:top w:val="nil"/>
              <w:left w:val="nil"/>
              <w:bottom w:val="single" w:sz="4" w:space="0" w:color="203764"/>
              <w:right w:val="single" w:sz="4" w:space="0" w:color="203764"/>
            </w:tcBorders>
            <w:shd w:val="clear" w:color="000000" w:fill="FFFFFF"/>
            <w:noWrap/>
            <w:vAlign w:val="bottom"/>
            <w:hideMark/>
          </w:tcPr>
          <w:p w14:paraId="635DE23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€ 5,518.43 </w:t>
            </w:r>
          </w:p>
        </w:tc>
        <w:tc>
          <w:tcPr>
            <w:tcW w:w="0" w:type="auto"/>
            <w:tcBorders>
              <w:top w:val="nil"/>
              <w:left w:val="nil"/>
              <w:bottom w:val="single" w:sz="4" w:space="0" w:color="203764"/>
              <w:right w:val="single" w:sz="4" w:space="0" w:color="203764"/>
            </w:tcBorders>
            <w:shd w:val="clear" w:color="000000" w:fill="FFFFFF"/>
            <w:noWrap/>
            <w:vAlign w:val="bottom"/>
            <w:hideMark/>
          </w:tcPr>
          <w:p w14:paraId="23BBC74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€ 8,658.34 </w:t>
            </w:r>
          </w:p>
        </w:tc>
        <w:tc>
          <w:tcPr>
            <w:tcW w:w="0" w:type="auto"/>
            <w:tcBorders>
              <w:top w:val="nil"/>
              <w:left w:val="nil"/>
              <w:bottom w:val="single" w:sz="4" w:space="0" w:color="203764"/>
              <w:right w:val="single" w:sz="4" w:space="0" w:color="203764"/>
            </w:tcBorders>
            <w:shd w:val="clear" w:color="000000" w:fill="FFFFFF"/>
            <w:noWrap/>
            <w:vAlign w:val="bottom"/>
            <w:hideMark/>
          </w:tcPr>
          <w:p w14:paraId="75D88ED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€ 3,139.90</w:t>
            </w:r>
          </w:p>
        </w:tc>
      </w:tr>
      <w:tr w:rsidR="00B30DDC" w:rsidRPr="007F2703" w14:paraId="7C4E6058"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5F6C472"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Pre-op costs SAVR </w:t>
            </w:r>
          </w:p>
        </w:tc>
        <w:tc>
          <w:tcPr>
            <w:tcW w:w="0" w:type="auto"/>
            <w:tcBorders>
              <w:top w:val="nil"/>
              <w:left w:val="nil"/>
              <w:bottom w:val="single" w:sz="4" w:space="0" w:color="203764"/>
              <w:right w:val="single" w:sz="4" w:space="0" w:color="203764"/>
            </w:tcBorders>
            <w:shd w:val="clear" w:color="000000" w:fill="FFFFFF"/>
            <w:noWrap/>
            <w:vAlign w:val="bottom"/>
            <w:hideMark/>
          </w:tcPr>
          <w:p w14:paraId="06DB0A4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€ 7,727.71 </w:t>
            </w:r>
          </w:p>
        </w:tc>
        <w:tc>
          <w:tcPr>
            <w:tcW w:w="0" w:type="auto"/>
            <w:tcBorders>
              <w:top w:val="nil"/>
              <w:left w:val="nil"/>
              <w:bottom w:val="single" w:sz="4" w:space="0" w:color="203764"/>
              <w:right w:val="single" w:sz="4" w:space="0" w:color="203764"/>
            </w:tcBorders>
            <w:shd w:val="clear" w:color="000000" w:fill="FFFFFF"/>
            <w:noWrap/>
            <w:vAlign w:val="bottom"/>
            <w:hideMark/>
          </w:tcPr>
          <w:p w14:paraId="1C27115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€ 4,998.23 </w:t>
            </w:r>
          </w:p>
        </w:tc>
        <w:tc>
          <w:tcPr>
            <w:tcW w:w="0" w:type="auto"/>
            <w:tcBorders>
              <w:top w:val="nil"/>
              <w:left w:val="nil"/>
              <w:bottom w:val="single" w:sz="4" w:space="0" w:color="203764"/>
              <w:right w:val="single" w:sz="4" w:space="0" w:color="203764"/>
            </w:tcBorders>
            <w:shd w:val="clear" w:color="000000" w:fill="FFFFFF"/>
            <w:noWrap/>
            <w:vAlign w:val="bottom"/>
            <w:hideMark/>
          </w:tcPr>
          <w:p w14:paraId="21D17A5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€ 2,729.48</w:t>
            </w:r>
          </w:p>
        </w:tc>
      </w:tr>
      <w:tr w:rsidR="00B30DDC" w:rsidRPr="007F2703" w14:paraId="19FB3DC7"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65D317E3"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Pre-op costs TAVI </w:t>
            </w:r>
          </w:p>
        </w:tc>
        <w:tc>
          <w:tcPr>
            <w:tcW w:w="0" w:type="auto"/>
            <w:tcBorders>
              <w:top w:val="nil"/>
              <w:left w:val="nil"/>
              <w:bottom w:val="single" w:sz="4" w:space="0" w:color="203764"/>
              <w:right w:val="single" w:sz="4" w:space="0" w:color="203764"/>
            </w:tcBorders>
            <w:shd w:val="clear" w:color="000000" w:fill="FFFFFF"/>
            <w:noWrap/>
            <w:vAlign w:val="bottom"/>
            <w:hideMark/>
          </w:tcPr>
          <w:p w14:paraId="6E484C7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€ 4,494.53 </w:t>
            </w:r>
          </w:p>
        </w:tc>
        <w:tc>
          <w:tcPr>
            <w:tcW w:w="0" w:type="auto"/>
            <w:tcBorders>
              <w:top w:val="nil"/>
              <w:left w:val="nil"/>
              <w:bottom w:val="single" w:sz="4" w:space="0" w:color="203764"/>
              <w:right w:val="single" w:sz="4" w:space="0" w:color="203764"/>
            </w:tcBorders>
            <w:shd w:val="clear" w:color="000000" w:fill="FFFFFF"/>
            <w:noWrap/>
            <w:vAlign w:val="bottom"/>
            <w:hideMark/>
          </w:tcPr>
          <w:p w14:paraId="66AB15E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€ 7,224.01 </w:t>
            </w:r>
          </w:p>
        </w:tc>
        <w:tc>
          <w:tcPr>
            <w:tcW w:w="0" w:type="auto"/>
            <w:tcBorders>
              <w:top w:val="nil"/>
              <w:left w:val="nil"/>
              <w:bottom w:val="single" w:sz="4" w:space="0" w:color="203764"/>
              <w:right w:val="single" w:sz="4" w:space="0" w:color="203764"/>
            </w:tcBorders>
            <w:shd w:val="clear" w:color="000000" w:fill="FFFFFF"/>
            <w:noWrap/>
            <w:vAlign w:val="bottom"/>
            <w:hideMark/>
          </w:tcPr>
          <w:p w14:paraId="4C74054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€ 2,729.48</w:t>
            </w:r>
          </w:p>
        </w:tc>
      </w:tr>
      <w:tr w:rsidR="00B30DDC" w:rsidRPr="007F2703" w14:paraId="6AFDEB08"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67DAB9F"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Permanent pacemaker implantation 30d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2E2DD2A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€ 5,021.60 </w:t>
            </w:r>
          </w:p>
        </w:tc>
        <w:tc>
          <w:tcPr>
            <w:tcW w:w="0" w:type="auto"/>
            <w:tcBorders>
              <w:top w:val="nil"/>
              <w:left w:val="nil"/>
              <w:bottom w:val="single" w:sz="4" w:space="0" w:color="203764"/>
              <w:right w:val="single" w:sz="4" w:space="0" w:color="203764"/>
            </w:tcBorders>
            <w:shd w:val="clear" w:color="000000" w:fill="FFFFFF"/>
            <w:noWrap/>
            <w:vAlign w:val="bottom"/>
            <w:hideMark/>
          </w:tcPr>
          <w:p w14:paraId="2EF7D72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€ 7,747.07 </w:t>
            </w:r>
          </w:p>
        </w:tc>
        <w:tc>
          <w:tcPr>
            <w:tcW w:w="0" w:type="auto"/>
            <w:tcBorders>
              <w:top w:val="nil"/>
              <w:left w:val="nil"/>
              <w:bottom w:val="single" w:sz="4" w:space="0" w:color="203764"/>
              <w:right w:val="single" w:sz="4" w:space="0" w:color="203764"/>
            </w:tcBorders>
            <w:shd w:val="clear" w:color="000000" w:fill="FFFFFF"/>
            <w:noWrap/>
            <w:vAlign w:val="bottom"/>
            <w:hideMark/>
          </w:tcPr>
          <w:p w14:paraId="750564E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€ 2,725.47</w:t>
            </w:r>
          </w:p>
        </w:tc>
      </w:tr>
      <w:tr w:rsidR="00B30DDC" w:rsidRPr="007F2703" w14:paraId="24563E79"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A2E7364"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Permanent pacemaker implantation, month 13-24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530D82F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€ 5,430.06 </w:t>
            </w:r>
          </w:p>
        </w:tc>
        <w:tc>
          <w:tcPr>
            <w:tcW w:w="0" w:type="auto"/>
            <w:tcBorders>
              <w:top w:val="nil"/>
              <w:left w:val="nil"/>
              <w:bottom w:val="single" w:sz="4" w:space="0" w:color="203764"/>
              <w:right w:val="single" w:sz="4" w:space="0" w:color="203764"/>
            </w:tcBorders>
            <w:shd w:val="clear" w:color="000000" w:fill="FFFFFF"/>
            <w:noWrap/>
            <w:vAlign w:val="bottom"/>
            <w:hideMark/>
          </w:tcPr>
          <w:p w14:paraId="4865398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€ 7,615.83 </w:t>
            </w:r>
          </w:p>
        </w:tc>
        <w:tc>
          <w:tcPr>
            <w:tcW w:w="0" w:type="auto"/>
            <w:tcBorders>
              <w:top w:val="nil"/>
              <w:left w:val="nil"/>
              <w:bottom w:val="single" w:sz="4" w:space="0" w:color="203764"/>
              <w:right w:val="single" w:sz="4" w:space="0" w:color="203764"/>
            </w:tcBorders>
            <w:shd w:val="clear" w:color="000000" w:fill="FFFFFF"/>
            <w:noWrap/>
            <w:vAlign w:val="bottom"/>
            <w:hideMark/>
          </w:tcPr>
          <w:p w14:paraId="6E5DECE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€ 2,185.77</w:t>
            </w:r>
          </w:p>
        </w:tc>
      </w:tr>
      <w:tr w:rsidR="00B30DDC" w:rsidRPr="007F2703" w14:paraId="3D697CF8"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1BA778CF"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Reintervention, month 13-24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02D2504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€ 7,048.80 </w:t>
            </w:r>
          </w:p>
        </w:tc>
        <w:tc>
          <w:tcPr>
            <w:tcW w:w="0" w:type="auto"/>
            <w:tcBorders>
              <w:top w:val="nil"/>
              <w:left w:val="nil"/>
              <w:bottom w:val="single" w:sz="4" w:space="0" w:color="203764"/>
              <w:right w:val="single" w:sz="4" w:space="0" w:color="203764"/>
            </w:tcBorders>
            <w:shd w:val="clear" w:color="000000" w:fill="FFFFFF"/>
            <w:noWrap/>
            <w:vAlign w:val="bottom"/>
            <w:hideMark/>
          </w:tcPr>
          <w:p w14:paraId="595F6F2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€ 5,131.80 </w:t>
            </w:r>
          </w:p>
        </w:tc>
        <w:tc>
          <w:tcPr>
            <w:tcW w:w="0" w:type="auto"/>
            <w:tcBorders>
              <w:top w:val="nil"/>
              <w:left w:val="nil"/>
              <w:bottom w:val="single" w:sz="4" w:space="0" w:color="203764"/>
              <w:right w:val="single" w:sz="4" w:space="0" w:color="203764"/>
            </w:tcBorders>
            <w:shd w:val="clear" w:color="000000" w:fill="FFFFFF"/>
            <w:noWrap/>
            <w:vAlign w:val="bottom"/>
            <w:hideMark/>
          </w:tcPr>
          <w:p w14:paraId="3D388C4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€ 1,917.00</w:t>
            </w:r>
          </w:p>
        </w:tc>
      </w:tr>
      <w:tr w:rsidR="00B30DDC" w:rsidRPr="007F2703" w14:paraId="00583884"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12EC0A64" w14:textId="77777777" w:rsidR="007F2703" w:rsidRPr="00361E70" w:rsidRDefault="007F2703" w:rsidP="007F2703">
            <w:pPr>
              <w:spacing w:after="0" w:line="240" w:lineRule="auto"/>
              <w:rPr>
                <w:rFonts w:ascii="Arial Narrow" w:eastAsia="Times New Roman" w:hAnsi="Arial Narrow" w:cs="Arial"/>
                <w:color w:val="000000"/>
                <w:sz w:val="16"/>
                <w:szCs w:val="16"/>
                <w:lang w:val="fr-FR"/>
              </w:rPr>
            </w:pPr>
            <w:r w:rsidRPr="00361E70">
              <w:rPr>
                <w:rFonts w:ascii="Arial Narrow" w:eastAsia="Times New Roman" w:hAnsi="Arial Narrow" w:cs="Arial"/>
                <w:color w:val="000000"/>
                <w:sz w:val="16"/>
                <w:szCs w:val="16"/>
                <w:lang w:val="fr-FR"/>
              </w:rPr>
              <w:t>Permanent pacemaker implantation 30d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04575F1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€ 7,228.02 </w:t>
            </w:r>
          </w:p>
        </w:tc>
        <w:tc>
          <w:tcPr>
            <w:tcW w:w="0" w:type="auto"/>
            <w:tcBorders>
              <w:top w:val="nil"/>
              <w:left w:val="nil"/>
              <w:bottom w:val="single" w:sz="4" w:space="0" w:color="203764"/>
              <w:right w:val="single" w:sz="4" w:space="0" w:color="203764"/>
            </w:tcBorders>
            <w:shd w:val="clear" w:color="000000" w:fill="FFFFFF"/>
            <w:noWrap/>
            <w:vAlign w:val="bottom"/>
            <w:hideMark/>
          </w:tcPr>
          <w:p w14:paraId="26E6E69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€ 5,365.30 </w:t>
            </w:r>
          </w:p>
        </w:tc>
        <w:tc>
          <w:tcPr>
            <w:tcW w:w="0" w:type="auto"/>
            <w:tcBorders>
              <w:top w:val="nil"/>
              <w:left w:val="nil"/>
              <w:bottom w:val="single" w:sz="4" w:space="0" w:color="203764"/>
              <w:right w:val="single" w:sz="4" w:space="0" w:color="203764"/>
            </w:tcBorders>
            <w:shd w:val="clear" w:color="000000" w:fill="FFFFFF"/>
            <w:noWrap/>
            <w:vAlign w:val="bottom"/>
            <w:hideMark/>
          </w:tcPr>
          <w:p w14:paraId="032A144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€ 1,862.72</w:t>
            </w:r>
          </w:p>
        </w:tc>
      </w:tr>
      <w:tr w:rsidR="00B30DDC" w:rsidRPr="007F2703" w14:paraId="7ED48D26"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37CE231"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Bleeding event (major or life-threatening/disabling), month 13-24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78FE522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€ 5,635.91 </w:t>
            </w:r>
          </w:p>
        </w:tc>
        <w:tc>
          <w:tcPr>
            <w:tcW w:w="0" w:type="auto"/>
            <w:tcBorders>
              <w:top w:val="nil"/>
              <w:left w:val="nil"/>
              <w:bottom w:val="single" w:sz="4" w:space="0" w:color="203764"/>
              <w:right w:val="single" w:sz="4" w:space="0" w:color="203764"/>
            </w:tcBorders>
            <w:shd w:val="clear" w:color="000000" w:fill="FFFFFF"/>
            <w:noWrap/>
            <w:vAlign w:val="bottom"/>
            <w:hideMark/>
          </w:tcPr>
          <w:p w14:paraId="4FA2826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€ 7,270.19 </w:t>
            </w:r>
          </w:p>
        </w:tc>
        <w:tc>
          <w:tcPr>
            <w:tcW w:w="0" w:type="auto"/>
            <w:tcBorders>
              <w:top w:val="nil"/>
              <w:left w:val="nil"/>
              <w:bottom w:val="single" w:sz="4" w:space="0" w:color="203764"/>
              <w:right w:val="single" w:sz="4" w:space="0" w:color="203764"/>
            </w:tcBorders>
            <w:shd w:val="clear" w:color="000000" w:fill="FFFFFF"/>
            <w:noWrap/>
            <w:vAlign w:val="bottom"/>
            <w:hideMark/>
          </w:tcPr>
          <w:p w14:paraId="28707F6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€ 1,634.28</w:t>
            </w:r>
          </w:p>
        </w:tc>
      </w:tr>
      <w:tr w:rsidR="00B30DDC" w:rsidRPr="007F2703" w14:paraId="4909B23C"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3B37D8E0"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Bleeding event (major or life-threatening/disabling), month 13-24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6887DCC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€ 7,034.16 </w:t>
            </w:r>
          </w:p>
        </w:tc>
        <w:tc>
          <w:tcPr>
            <w:tcW w:w="0" w:type="auto"/>
            <w:tcBorders>
              <w:top w:val="nil"/>
              <w:left w:val="nil"/>
              <w:bottom w:val="single" w:sz="4" w:space="0" w:color="203764"/>
              <w:right w:val="single" w:sz="4" w:space="0" w:color="203764"/>
            </w:tcBorders>
            <w:shd w:val="clear" w:color="000000" w:fill="FFFFFF"/>
            <w:noWrap/>
            <w:vAlign w:val="bottom"/>
            <w:hideMark/>
          </w:tcPr>
          <w:p w14:paraId="3F2D51C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€ 5,419.12 </w:t>
            </w:r>
          </w:p>
        </w:tc>
        <w:tc>
          <w:tcPr>
            <w:tcW w:w="0" w:type="auto"/>
            <w:tcBorders>
              <w:top w:val="nil"/>
              <w:left w:val="nil"/>
              <w:bottom w:val="single" w:sz="4" w:space="0" w:color="203764"/>
              <w:right w:val="single" w:sz="4" w:space="0" w:color="203764"/>
            </w:tcBorders>
            <w:shd w:val="clear" w:color="000000" w:fill="FFFFFF"/>
            <w:noWrap/>
            <w:vAlign w:val="bottom"/>
            <w:hideMark/>
          </w:tcPr>
          <w:p w14:paraId="48A6FB7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€ 1,615.03</w:t>
            </w:r>
          </w:p>
        </w:tc>
      </w:tr>
      <w:tr w:rsidR="00B30DDC" w:rsidRPr="007F2703" w14:paraId="4B20F667"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140795DF"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Reintervention, month 13-24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020D38F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€ 5,898.85 </w:t>
            </w:r>
          </w:p>
        </w:tc>
        <w:tc>
          <w:tcPr>
            <w:tcW w:w="0" w:type="auto"/>
            <w:tcBorders>
              <w:top w:val="nil"/>
              <w:left w:val="nil"/>
              <w:bottom w:val="single" w:sz="4" w:space="0" w:color="203764"/>
              <w:right w:val="single" w:sz="4" w:space="0" w:color="203764"/>
            </w:tcBorders>
            <w:shd w:val="clear" w:color="000000" w:fill="FFFFFF"/>
            <w:noWrap/>
            <w:vAlign w:val="bottom"/>
            <w:hideMark/>
          </w:tcPr>
          <w:p w14:paraId="504F5B5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€ 7,444.94 </w:t>
            </w:r>
          </w:p>
        </w:tc>
        <w:tc>
          <w:tcPr>
            <w:tcW w:w="0" w:type="auto"/>
            <w:tcBorders>
              <w:top w:val="nil"/>
              <w:left w:val="nil"/>
              <w:bottom w:val="single" w:sz="4" w:space="0" w:color="203764"/>
              <w:right w:val="single" w:sz="4" w:space="0" w:color="203764"/>
            </w:tcBorders>
            <w:shd w:val="clear" w:color="000000" w:fill="FFFFFF"/>
            <w:noWrap/>
            <w:vAlign w:val="bottom"/>
            <w:hideMark/>
          </w:tcPr>
          <w:p w14:paraId="0F6FB28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€ 1,546.10</w:t>
            </w:r>
          </w:p>
        </w:tc>
      </w:tr>
      <w:tr w:rsidR="00B30DDC" w:rsidRPr="007F2703" w14:paraId="26764DE8"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4A99B5F1"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Aortic valve rehospitalization, year 1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05E5C74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€ 7,052.39 </w:t>
            </w:r>
          </w:p>
        </w:tc>
        <w:tc>
          <w:tcPr>
            <w:tcW w:w="0" w:type="auto"/>
            <w:tcBorders>
              <w:top w:val="nil"/>
              <w:left w:val="nil"/>
              <w:bottom w:val="single" w:sz="4" w:space="0" w:color="203764"/>
              <w:right w:val="single" w:sz="4" w:space="0" w:color="203764"/>
            </w:tcBorders>
            <w:shd w:val="clear" w:color="000000" w:fill="FFFFFF"/>
            <w:noWrap/>
            <w:vAlign w:val="bottom"/>
            <w:hideMark/>
          </w:tcPr>
          <w:p w14:paraId="5B1BAC4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€ 5,546.40 </w:t>
            </w:r>
          </w:p>
        </w:tc>
        <w:tc>
          <w:tcPr>
            <w:tcW w:w="0" w:type="auto"/>
            <w:tcBorders>
              <w:top w:val="nil"/>
              <w:left w:val="nil"/>
              <w:bottom w:val="single" w:sz="4" w:space="0" w:color="203764"/>
              <w:right w:val="single" w:sz="4" w:space="0" w:color="203764"/>
            </w:tcBorders>
            <w:shd w:val="clear" w:color="000000" w:fill="FFFFFF"/>
            <w:noWrap/>
            <w:vAlign w:val="bottom"/>
            <w:hideMark/>
          </w:tcPr>
          <w:p w14:paraId="4FAC77A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€ 1,506.00</w:t>
            </w:r>
          </w:p>
        </w:tc>
      </w:tr>
      <w:tr w:rsidR="00B30DDC" w:rsidRPr="007F2703" w14:paraId="1E12BD16"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3977EC5"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Permanent pacemaker implantation, month 13-24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05E71BF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€ 6,869.80 </w:t>
            </w:r>
          </w:p>
        </w:tc>
        <w:tc>
          <w:tcPr>
            <w:tcW w:w="0" w:type="auto"/>
            <w:tcBorders>
              <w:top w:val="nil"/>
              <w:left w:val="nil"/>
              <w:bottom w:val="single" w:sz="4" w:space="0" w:color="203764"/>
              <w:right w:val="single" w:sz="4" w:space="0" w:color="203764"/>
            </w:tcBorders>
            <w:shd w:val="clear" w:color="000000" w:fill="FFFFFF"/>
            <w:noWrap/>
            <w:vAlign w:val="bottom"/>
            <w:hideMark/>
          </w:tcPr>
          <w:p w14:paraId="0E28A8C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€ 5,477.81 </w:t>
            </w:r>
          </w:p>
        </w:tc>
        <w:tc>
          <w:tcPr>
            <w:tcW w:w="0" w:type="auto"/>
            <w:tcBorders>
              <w:top w:val="nil"/>
              <w:left w:val="nil"/>
              <w:bottom w:val="single" w:sz="4" w:space="0" w:color="203764"/>
              <w:right w:val="single" w:sz="4" w:space="0" w:color="203764"/>
            </w:tcBorders>
            <w:shd w:val="clear" w:color="000000" w:fill="FFFFFF"/>
            <w:noWrap/>
            <w:vAlign w:val="bottom"/>
            <w:hideMark/>
          </w:tcPr>
          <w:p w14:paraId="48DE954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€ 1,391.99</w:t>
            </w:r>
          </w:p>
        </w:tc>
      </w:tr>
      <w:tr w:rsidR="00B30DDC" w:rsidRPr="007F2703" w14:paraId="4767F04E"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4FECB01C"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Monthly stroke follow-up costs, TAVI  &amp;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462D081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€ 5,703.94 </w:t>
            </w:r>
          </w:p>
        </w:tc>
        <w:tc>
          <w:tcPr>
            <w:tcW w:w="0" w:type="auto"/>
            <w:tcBorders>
              <w:top w:val="nil"/>
              <w:left w:val="nil"/>
              <w:bottom w:val="single" w:sz="4" w:space="0" w:color="203764"/>
              <w:right w:val="single" w:sz="4" w:space="0" w:color="203764"/>
            </w:tcBorders>
            <w:shd w:val="clear" w:color="000000" w:fill="FFFFFF"/>
            <w:noWrap/>
            <w:vAlign w:val="bottom"/>
            <w:hideMark/>
          </w:tcPr>
          <w:p w14:paraId="489B9BF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€ 7,032.19 </w:t>
            </w:r>
          </w:p>
        </w:tc>
        <w:tc>
          <w:tcPr>
            <w:tcW w:w="0" w:type="auto"/>
            <w:tcBorders>
              <w:top w:val="nil"/>
              <w:left w:val="nil"/>
              <w:bottom w:val="single" w:sz="4" w:space="0" w:color="203764"/>
              <w:right w:val="single" w:sz="4" w:space="0" w:color="203764"/>
            </w:tcBorders>
            <w:shd w:val="clear" w:color="000000" w:fill="FFFFFF"/>
            <w:noWrap/>
            <w:vAlign w:val="bottom"/>
            <w:hideMark/>
          </w:tcPr>
          <w:p w14:paraId="14BA3AA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€ 1,328.26</w:t>
            </w:r>
          </w:p>
        </w:tc>
      </w:tr>
      <w:tr w:rsidR="00B30DDC" w:rsidRPr="007F2703" w14:paraId="3FB89986"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797AB48D"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Cohort age</w:t>
            </w:r>
          </w:p>
        </w:tc>
        <w:tc>
          <w:tcPr>
            <w:tcW w:w="0" w:type="auto"/>
            <w:tcBorders>
              <w:top w:val="nil"/>
              <w:left w:val="nil"/>
              <w:bottom w:val="single" w:sz="4" w:space="0" w:color="203764"/>
              <w:right w:val="single" w:sz="4" w:space="0" w:color="203764"/>
            </w:tcBorders>
            <w:shd w:val="clear" w:color="000000" w:fill="FFFFFF"/>
            <w:noWrap/>
            <w:vAlign w:val="bottom"/>
            <w:hideMark/>
          </w:tcPr>
          <w:p w14:paraId="736D8BB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€ 6,948.91 </w:t>
            </w:r>
          </w:p>
        </w:tc>
        <w:tc>
          <w:tcPr>
            <w:tcW w:w="0" w:type="auto"/>
            <w:tcBorders>
              <w:top w:val="nil"/>
              <w:left w:val="nil"/>
              <w:bottom w:val="single" w:sz="4" w:space="0" w:color="203764"/>
              <w:right w:val="single" w:sz="4" w:space="0" w:color="203764"/>
            </w:tcBorders>
            <w:shd w:val="clear" w:color="000000" w:fill="FFFFFF"/>
            <w:noWrap/>
            <w:vAlign w:val="bottom"/>
            <w:hideMark/>
          </w:tcPr>
          <w:p w14:paraId="4C95ED7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€ 5,721.58 </w:t>
            </w:r>
          </w:p>
        </w:tc>
        <w:tc>
          <w:tcPr>
            <w:tcW w:w="0" w:type="auto"/>
            <w:tcBorders>
              <w:top w:val="nil"/>
              <w:left w:val="nil"/>
              <w:bottom w:val="single" w:sz="4" w:space="0" w:color="203764"/>
              <w:right w:val="single" w:sz="4" w:space="0" w:color="203764"/>
            </w:tcBorders>
            <w:shd w:val="clear" w:color="000000" w:fill="FFFFFF"/>
            <w:noWrap/>
            <w:vAlign w:val="bottom"/>
            <w:hideMark/>
          </w:tcPr>
          <w:p w14:paraId="2EC4673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€ 1,227.33</w:t>
            </w:r>
          </w:p>
        </w:tc>
      </w:tr>
      <w:tr w:rsidR="00B30DDC" w:rsidRPr="007F2703" w14:paraId="49047A12"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7E67CC7"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Aortic valve rehospitalization, year 1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504DA2A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€ 5,883.55 </w:t>
            </w:r>
          </w:p>
        </w:tc>
        <w:tc>
          <w:tcPr>
            <w:tcW w:w="0" w:type="auto"/>
            <w:tcBorders>
              <w:top w:val="nil"/>
              <w:left w:val="nil"/>
              <w:bottom w:val="single" w:sz="4" w:space="0" w:color="203764"/>
              <w:right w:val="single" w:sz="4" w:space="0" w:color="203764"/>
            </w:tcBorders>
            <w:shd w:val="clear" w:color="000000" w:fill="FFFFFF"/>
            <w:noWrap/>
            <w:vAlign w:val="bottom"/>
            <w:hideMark/>
          </w:tcPr>
          <w:p w14:paraId="4D64C72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€ 6,977.24 </w:t>
            </w:r>
          </w:p>
        </w:tc>
        <w:tc>
          <w:tcPr>
            <w:tcW w:w="0" w:type="auto"/>
            <w:tcBorders>
              <w:top w:val="nil"/>
              <w:left w:val="nil"/>
              <w:bottom w:val="single" w:sz="4" w:space="0" w:color="203764"/>
              <w:right w:val="single" w:sz="4" w:space="0" w:color="203764"/>
            </w:tcBorders>
            <w:shd w:val="clear" w:color="000000" w:fill="FFFFFF"/>
            <w:noWrap/>
            <w:vAlign w:val="bottom"/>
            <w:hideMark/>
          </w:tcPr>
          <w:p w14:paraId="2E3882F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€ 1,093.69</w:t>
            </w:r>
          </w:p>
        </w:tc>
      </w:tr>
      <w:tr w:rsidR="00B30DDC" w:rsidRPr="007F2703" w14:paraId="53F4A1E8"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4BCBDD8E"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Bleeding event (major or life-threatening/disabling), month 2-12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66FF625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€ 6,030.43 </w:t>
            </w:r>
          </w:p>
        </w:tc>
        <w:tc>
          <w:tcPr>
            <w:tcW w:w="0" w:type="auto"/>
            <w:tcBorders>
              <w:top w:val="nil"/>
              <w:left w:val="nil"/>
              <w:bottom w:val="single" w:sz="4" w:space="0" w:color="203764"/>
              <w:right w:val="single" w:sz="4" w:space="0" w:color="203764"/>
            </w:tcBorders>
            <w:shd w:val="clear" w:color="000000" w:fill="FFFFFF"/>
            <w:noWrap/>
            <w:vAlign w:val="bottom"/>
            <w:hideMark/>
          </w:tcPr>
          <w:p w14:paraId="6E6C373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€ 6,706.16 </w:t>
            </w:r>
          </w:p>
        </w:tc>
        <w:tc>
          <w:tcPr>
            <w:tcW w:w="0" w:type="auto"/>
            <w:tcBorders>
              <w:top w:val="nil"/>
              <w:left w:val="nil"/>
              <w:bottom w:val="single" w:sz="4" w:space="0" w:color="203764"/>
              <w:right w:val="single" w:sz="4" w:space="0" w:color="203764"/>
            </w:tcBorders>
            <w:shd w:val="clear" w:color="000000" w:fill="FFFFFF"/>
            <w:noWrap/>
            <w:vAlign w:val="bottom"/>
            <w:hideMark/>
          </w:tcPr>
          <w:p w14:paraId="488FE94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€ 675.73</w:t>
            </w:r>
          </w:p>
        </w:tc>
      </w:tr>
      <w:tr w:rsidR="00B30DDC" w:rsidRPr="007F2703" w14:paraId="58D965C1"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6AF410B4"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Bleeding event (major or life-threatening/disabling), month 2-12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3031B7E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€ 6,699.70 </w:t>
            </w:r>
          </w:p>
        </w:tc>
        <w:tc>
          <w:tcPr>
            <w:tcW w:w="0" w:type="auto"/>
            <w:tcBorders>
              <w:top w:val="nil"/>
              <w:left w:val="nil"/>
              <w:bottom w:val="single" w:sz="4" w:space="0" w:color="203764"/>
              <w:right w:val="single" w:sz="4" w:space="0" w:color="203764"/>
            </w:tcBorders>
            <w:shd w:val="clear" w:color="000000" w:fill="FFFFFF"/>
            <w:noWrap/>
            <w:vAlign w:val="bottom"/>
            <w:hideMark/>
          </w:tcPr>
          <w:p w14:paraId="7E693C7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€ 6,026.63 </w:t>
            </w:r>
          </w:p>
        </w:tc>
        <w:tc>
          <w:tcPr>
            <w:tcW w:w="0" w:type="auto"/>
            <w:tcBorders>
              <w:top w:val="nil"/>
              <w:left w:val="nil"/>
              <w:bottom w:val="single" w:sz="4" w:space="0" w:color="203764"/>
              <w:right w:val="single" w:sz="4" w:space="0" w:color="203764"/>
            </w:tcBorders>
            <w:shd w:val="clear" w:color="000000" w:fill="FFFFFF"/>
            <w:noWrap/>
            <w:vAlign w:val="bottom"/>
            <w:hideMark/>
          </w:tcPr>
          <w:p w14:paraId="26424EE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€ 673.07</w:t>
            </w:r>
          </w:p>
        </w:tc>
      </w:tr>
      <w:tr w:rsidR="00B30DDC" w:rsidRPr="007F2703" w14:paraId="23832778"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72190A8"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Aortic valve rehospitalization, month 13-24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4DB733F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€ 6,645.67 </w:t>
            </w:r>
          </w:p>
        </w:tc>
        <w:tc>
          <w:tcPr>
            <w:tcW w:w="0" w:type="auto"/>
            <w:tcBorders>
              <w:top w:val="nil"/>
              <w:left w:val="nil"/>
              <w:bottom w:val="single" w:sz="4" w:space="0" w:color="203764"/>
              <w:right w:val="single" w:sz="4" w:space="0" w:color="203764"/>
            </w:tcBorders>
            <w:shd w:val="clear" w:color="000000" w:fill="FFFFFF"/>
            <w:noWrap/>
            <w:vAlign w:val="bottom"/>
            <w:hideMark/>
          </w:tcPr>
          <w:p w14:paraId="0850F6F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€ 5,982.24 </w:t>
            </w:r>
          </w:p>
        </w:tc>
        <w:tc>
          <w:tcPr>
            <w:tcW w:w="0" w:type="auto"/>
            <w:tcBorders>
              <w:top w:val="nil"/>
              <w:left w:val="nil"/>
              <w:bottom w:val="single" w:sz="4" w:space="0" w:color="203764"/>
              <w:right w:val="single" w:sz="4" w:space="0" w:color="203764"/>
            </w:tcBorders>
            <w:shd w:val="clear" w:color="000000" w:fill="FFFFFF"/>
            <w:noWrap/>
            <w:vAlign w:val="bottom"/>
            <w:hideMark/>
          </w:tcPr>
          <w:p w14:paraId="251EA3E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€ 663.43</w:t>
            </w:r>
          </w:p>
        </w:tc>
      </w:tr>
      <w:tr w:rsidR="00B30DDC" w:rsidRPr="007F2703" w14:paraId="5B1140E2"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798DE9CD"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Permanent pacemaker implantation, month 2-12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544F5B0D"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€ 6,113.70 </w:t>
            </w:r>
          </w:p>
        </w:tc>
        <w:tc>
          <w:tcPr>
            <w:tcW w:w="0" w:type="auto"/>
            <w:tcBorders>
              <w:top w:val="nil"/>
              <w:left w:val="nil"/>
              <w:bottom w:val="single" w:sz="4" w:space="0" w:color="203764"/>
              <w:right w:val="single" w:sz="4" w:space="0" w:color="203764"/>
            </w:tcBorders>
            <w:shd w:val="clear" w:color="000000" w:fill="FFFFFF"/>
            <w:noWrap/>
            <w:vAlign w:val="bottom"/>
            <w:hideMark/>
          </w:tcPr>
          <w:p w14:paraId="0364EC0D"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€ 6,682.83 </w:t>
            </w:r>
          </w:p>
        </w:tc>
        <w:tc>
          <w:tcPr>
            <w:tcW w:w="0" w:type="auto"/>
            <w:tcBorders>
              <w:top w:val="nil"/>
              <w:left w:val="nil"/>
              <w:bottom w:val="single" w:sz="4" w:space="0" w:color="203764"/>
              <w:right w:val="single" w:sz="4" w:space="0" w:color="203764"/>
            </w:tcBorders>
            <w:shd w:val="clear" w:color="000000" w:fill="FFFFFF"/>
            <w:noWrap/>
            <w:vAlign w:val="bottom"/>
            <w:hideMark/>
          </w:tcPr>
          <w:p w14:paraId="51C0588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€ 569.13</w:t>
            </w:r>
          </w:p>
        </w:tc>
      </w:tr>
      <w:tr w:rsidR="00B30DDC" w:rsidRPr="007F2703" w14:paraId="1A703B4E"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3FF2F206"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Aortic valve rehospitalization, month 13-24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663B947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€ 6,121.52 </w:t>
            </w:r>
          </w:p>
        </w:tc>
        <w:tc>
          <w:tcPr>
            <w:tcW w:w="0" w:type="auto"/>
            <w:tcBorders>
              <w:top w:val="nil"/>
              <w:left w:val="nil"/>
              <w:bottom w:val="single" w:sz="4" w:space="0" w:color="203764"/>
              <w:right w:val="single" w:sz="4" w:space="0" w:color="203764"/>
            </w:tcBorders>
            <w:shd w:val="clear" w:color="000000" w:fill="FFFFFF"/>
            <w:noWrap/>
            <w:vAlign w:val="bottom"/>
            <w:hideMark/>
          </w:tcPr>
          <w:p w14:paraId="16BA78BD"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€ 6,687.23 </w:t>
            </w:r>
          </w:p>
        </w:tc>
        <w:tc>
          <w:tcPr>
            <w:tcW w:w="0" w:type="auto"/>
            <w:tcBorders>
              <w:top w:val="nil"/>
              <w:left w:val="nil"/>
              <w:bottom w:val="single" w:sz="4" w:space="0" w:color="203764"/>
              <w:right w:val="single" w:sz="4" w:space="0" w:color="203764"/>
            </w:tcBorders>
            <w:shd w:val="clear" w:color="000000" w:fill="FFFFFF"/>
            <w:noWrap/>
            <w:vAlign w:val="bottom"/>
            <w:hideMark/>
          </w:tcPr>
          <w:p w14:paraId="0AB69B4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€ 565.71</w:t>
            </w:r>
          </w:p>
        </w:tc>
      </w:tr>
      <w:tr w:rsidR="00B30DDC" w:rsidRPr="007F2703" w14:paraId="5F3F63CB"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E9FD582"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Pacemaker follow-up costs, year 2+</w:t>
            </w:r>
          </w:p>
        </w:tc>
        <w:tc>
          <w:tcPr>
            <w:tcW w:w="0" w:type="auto"/>
            <w:tcBorders>
              <w:top w:val="nil"/>
              <w:left w:val="nil"/>
              <w:bottom w:val="single" w:sz="4" w:space="0" w:color="203764"/>
              <w:right w:val="single" w:sz="4" w:space="0" w:color="203764"/>
            </w:tcBorders>
            <w:shd w:val="clear" w:color="000000" w:fill="FFFFFF"/>
            <w:noWrap/>
            <w:vAlign w:val="bottom"/>
            <w:hideMark/>
          </w:tcPr>
          <w:p w14:paraId="34CEC29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€ 6,090.17 </w:t>
            </w:r>
          </w:p>
        </w:tc>
        <w:tc>
          <w:tcPr>
            <w:tcW w:w="0" w:type="auto"/>
            <w:tcBorders>
              <w:top w:val="nil"/>
              <w:left w:val="nil"/>
              <w:bottom w:val="single" w:sz="4" w:space="0" w:color="203764"/>
              <w:right w:val="single" w:sz="4" w:space="0" w:color="203764"/>
            </w:tcBorders>
            <w:shd w:val="clear" w:color="000000" w:fill="FFFFFF"/>
            <w:noWrap/>
            <w:vAlign w:val="bottom"/>
            <w:hideMark/>
          </w:tcPr>
          <w:p w14:paraId="7B0B863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€ 6,645.60 </w:t>
            </w:r>
          </w:p>
        </w:tc>
        <w:tc>
          <w:tcPr>
            <w:tcW w:w="0" w:type="auto"/>
            <w:tcBorders>
              <w:top w:val="nil"/>
              <w:left w:val="nil"/>
              <w:bottom w:val="single" w:sz="4" w:space="0" w:color="203764"/>
              <w:right w:val="single" w:sz="4" w:space="0" w:color="203764"/>
            </w:tcBorders>
            <w:shd w:val="clear" w:color="000000" w:fill="FFFFFF"/>
            <w:noWrap/>
            <w:vAlign w:val="bottom"/>
            <w:hideMark/>
          </w:tcPr>
          <w:p w14:paraId="042A20F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€ 555.43</w:t>
            </w:r>
          </w:p>
        </w:tc>
      </w:tr>
      <w:tr w:rsidR="00B30DDC" w:rsidRPr="007F2703" w14:paraId="4D2C855A"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1DE44834"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Reintervention, month 2-12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59B2A41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€ 6,145.72 </w:t>
            </w:r>
          </w:p>
        </w:tc>
        <w:tc>
          <w:tcPr>
            <w:tcW w:w="0" w:type="auto"/>
            <w:tcBorders>
              <w:top w:val="nil"/>
              <w:left w:val="nil"/>
              <w:bottom w:val="single" w:sz="4" w:space="0" w:color="203764"/>
              <w:right w:val="single" w:sz="4" w:space="0" w:color="203764"/>
            </w:tcBorders>
            <w:shd w:val="clear" w:color="000000" w:fill="FFFFFF"/>
            <w:noWrap/>
            <w:vAlign w:val="bottom"/>
            <w:hideMark/>
          </w:tcPr>
          <w:p w14:paraId="354EF9B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€ 6,647.69 </w:t>
            </w:r>
          </w:p>
        </w:tc>
        <w:tc>
          <w:tcPr>
            <w:tcW w:w="0" w:type="auto"/>
            <w:tcBorders>
              <w:top w:val="nil"/>
              <w:left w:val="nil"/>
              <w:bottom w:val="single" w:sz="4" w:space="0" w:color="203764"/>
              <w:right w:val="single" w:sz="4" w:space="0" w:color="203764"/>
            </w:tcBorders>
            <w:shd w:val="clear" w:color="000000" w:fill="FFFFFF"/>
            <w:noWrap/>
            <w:vAlign w:val="bottom"/>
            <w:hideMark/>
          </w:tcPr>
          <w:p w14:paraId="31CE29F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€ 501.97</w:t>
            </w:r>
          </w:p>
        </w:tc>
      </w:tr>
      <w:tr w:rsidR="00B30DDC" w:rsidRPr="007F2703" w14:paraId="718FC7C1"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4004B65F"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Major vascular complication, month 13-24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0FD52AD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€ 6,259.83 </w:t>
            </w:r>
          </w:p>
        </w:tc>
        <w:tc>
          <w:tcPr>
            <w:tcW w:w="0" w:type="auto"/>
            <w:tcBorders>
              <w:top w:val="nil"/>
              <w:left w:val="nil"/>
              <w:bottom w:val="single" w:sz="4" w:space="0" w:color="203764"/>
              <w:right w:val="single" w:sz="4" w:space="0" w:color="203764"/>
            </w:tcBorders>
            <w:shd w:val="clear" w:color="000000" w:fill="FFFFFF"/>
            <w:noWrap/>
            <w:vAlign w:val="bottom"/>
            <w:hideMark/>
          </w:tcPr>
          <w:p w14:paraId="7FD922C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€ 6,753.34 </w:t>
            </w:r>
          </w:p>
        </w:tc>
        <w:tc>
          <w:tcPr>
            <w:tcW w:w="0" w:type="auto"/>
            <w:tcBorders>
              <w:top w:val="nil"/>
              <w:left w:val="nil"/>
              <w:bottom w:val="single" w:sz="4" w:space="0" w:color="203764"/>
              <w:right w:val="single" w:sz="4" w:space="0" w:color="203764"/>
            </w:tcBorders>
            <w:shd w:val="clear" w:color="000000" w:fill="FFFFFF"/>
            <w:noWrap/>
            <w:vAlign w:val="bottom"/>
            <w:hideMark/>
          </w:tcPr>
          <w:p w14:paraId="4818916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€ 493.51</w:t>
            </w:r>
          </w:p>
        </w:tc>
      </w:tr>
      <w:tr w:rsidR="00B30DDC" w:rsidRPr="007F2703" w14:paraId="61EB86A9"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33EF2A0E"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Major vascular complication, month 13-24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792D272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€ 6,474.93 </w:t>
            </w:r>
          </w:p>
        </w:tc>
        <w:tc>
          <w:tcPr>
            <w:tcW w:w="0" w:type="auto"/>
            <w:tcBorders>
              <w:top w:val="nil"/>
              <w:left w:val="nil"/>
              <w:bottom w:val="single" w:sz="4" w:space="0" w:color="203764"/>
              <w:right w:val="single" w:sz="4" w:space="0" w:color="203764"/>
            </w:tcBorders>
            <w:shd w:val="clear" w:color="000000" w:fill="FFFFFF"/>
            <w:noWrap/>
            <w:vAlign w:val="bottom"/>
            <w:hideMark/>
          </w:tcPr>
          <w:p w14:paraId="5443519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€ 5,987.35 </w:t>
            </w:r>
          </w:p>
        </w:tc>
        <w:tc>
          <w:tcPr>
            <w:tcW w:w="0" w:type="auto"/>
            <w:tcBorders>
              <w:top w:val="nil"/>
              <w:left w:val="nil"/>
              <w:bottom w:val="single" w:sz="4" w:space="0" w:color="203764"/>
              <w:right w:val="single" w:sz="4" w:space="0" w:color="203764"/>
            </w:tcBorders>
            <w:shd w:val="clear" w:color="000000" w:fill="FFFFFF"/>
            <w:noWrap/>
            <w:vAlign w:val="bottom"/>
            <w:hideMark/>
          </w:tcPr>
          <w:p w14:paraId="359CF83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€ 487.59</w:t>
            </w:r>
          </w:p>
        </w:tc>
      </w:tr>
      <w:tr w:rsidR="00B30DDC" w:rsidRPr="007F2703" w14:paraId="54EA5AFC"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399E713"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Myocardial infarction, month 13-24 -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62428A0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€ 6,245.60 </w:t>
            </w:r>
          </w:p>
        </w:tc>
        <w:tc>
          <w:tcPr>
            <w:tcW w:w="0" w:type="auto"/>
            <w:tcBorders>
              <w:top w:val="nil"/>
              <w:left w:val="nil"/>
              <w:bottom w:val="single" w:sz="4" w:space="0" w:color="203764"/>
              <w:right w:val="single" w:sz="4" w:space="0" w:color="203764"/>
            </w:tcBorders>
            <w:shd w:val="clear" w:color="000000" w:fill="FFFFFF"/>
            <w:noWrap/>
            <w:vAlign w:val="bottom"/>
            <w:hideMark/>
          </w:tcPr>
          <w:p w14:paraId="2DB655B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€ 6,705.39 </w:t>
            </w:r>
          </w:p>
        </w:tc>
        <w:tc>
          <w:tcPr>
            <w:tcW w:w="0" w:type="auto"/>
            <w:tcBorders>
              <w:top w:val="nil"/>
              <w:left w:val="nil"/>
              <w:bottom w:val="single" w:sz="4" w:space="0" w:color="203764"/>
              <w:right w:val="single" w:sz="4" w:space="0" w:color="203764"/>
            </w:tcBorders>
            <w:shd w:val="clear" w:color="000000" w:fill="FFFFFF"/>
            <w:noWrap/>
            <w:vAlign w:val="bottom"/>
            <w:hideMark/>
          </w:tcPr>
          <w:p w14:paraId="4702E3C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€ 459.78</w:t>
            </w:r>
          </w:p>
        </w:tc>
      </w:tr>
      <w:tr w:rsidR="00B30DDC" w:rsidRPr="007F2703" w14:paraId="40A63416"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3DB146C5"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Cost of permanent pacemaker implantation (beyond index)  </w:t>
            </w:r>
          </w:p>
        </w:tc>
        <w:tc>
          <w:tcPr>
            <w:tcW w:w="0" w:type="auto"/>
            <w:tcBorders>
              <w:top w:val="nil"/>
              <w:left w:val="nil"/>
              <w:bottom w:val="single" w:sz="4" w:space="0" w:color="203764"/>
              <w:right w:val="single" w:sz="4" w:space="0" w:color="203764"/>
            </w:tcBorders>
            <w:shd w:val="clear" w:color="000000" w:fill="FFFFFF"/>
            <w:noWrap/>
            <w:vAlign w:val="bottom"/>
            <w:hideMark/>
          </w:tcPr>
          <w:p w14:paraId="54F4C98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€ 6,150.71 </w:t>
            </w:r>
          </w:p>
        </w:tc>
        <w:tc>
          <w:tcPr>
            <w:tcW w:w="0" w:type="auto"/>
            <w:tcBorders>
              <w:top w:val="nil"/>
              <w:left w:val="nil"/>
              <w:bottom w:val="single" w:sz="4" w:space="0" w:color="203764"/>
              <w:right w:val="single" w:sz="4" w:space="0" w:color="203764"/>
            </w:tcBorders>
            <w:shd w:val="clear" w:color="000000" w:fill="FFFFFF"/>
            <w:noWrap/>
            <w:vAlign w:val="bottom"/>
            <w:hideMark/>
          </w:tcPr>
          <w:p w14:paraId="4DE3672D"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€ 6,585.07 </w:t>
            </w:r>
          </w:p>
        </w:tc>
        <w:tc>
          <w:tcPr>
            <w:tcW w:w="0" w:type="auto"/>
            <w:tcBorders>
              <w:top w:val="nil"/>
              <w:left w:val="nil"/>
              <w:bottom w:val="single" w:sz="4" w:space="0" w:color="203764"/>
              <w:right w:val="single" w:sz="4" w:space="0" w:color="203764"/>
            </w:tcBorders>
            <w:shd w:val="clear" w:color="000000" w:fill="FFFFFF"/>
            <w:noWrap/>
            <w:vAlign w:val="bottom"/>
            <w:hideMark/>
          </w:tcPr>
          <w:p w14:paraId="27FA193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€ 434.36</w:t>
            </w:r>
          </w:p>
        </w:tc>
      </w:tr>
      <w:tr w:rsidR="00B30DDC" w:rsidRPr="007F2703" w14:paraId="77990557"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4329196B"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Rehab cost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1AC0E72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€ 6,567.50 </w:t>
            </w:r>
          </w:p>
        </w:tc>
        <w:tc>
          <w:tcPr>
            <w:tcW w:w="0" w:type="auto"/>
            <w:tcBorders>
              <w:top w:val="nil"/>
              <w:left w:val="nil"/>
              <w:bottom w:val="single" w:sz="4" w:space="0" w:color="203764"/>
              <w:right w:val="single" w:sz="4" w:space="0" w:color="203764"/>
            </w:tcBorders>
            <w:shd w:val="clear" w:color="000000" w:fill="FFFFFF"/>
            <w:noWrap/>
            <w:vAlign w:val="bottom"/>
            <w:hideMark/>
          </w:tcPr>
          <w:p w14:paraId="75708F5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€ 6,168.27 </w:t>
            </w:r>
          </w:p>
        </w:tc>
        <w:tc>
          <w:tcPr>
            <w:tcW w:w="0" w:type="auto"/>
            <w:tcBorders>
              <w:top w:val="nil"/>
              <w:left w:val="nil"/>
              <w:bottom w:val="single" w:sz="4" w:space="0" w:color="203764"/>
              <w:right w:val="single" w:sz="4" w:space="0" w:color="203764"/>
            </w:tcBorders>
            <w:shd w:val="clear" w:color="000000" w:fill="FFFFFF"/>
            <w:noWrap/>
            <w:vAlign w:val="bottom"/>
            <w:hideMark/>
          </w:tcPr>
          <w:p w14:paraId="7A38FEE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€ 399.23</w:t>
            </w:r>
          </w:p>
        </w:tc>
      </w:tr>
      <w:tr w:rsidR="00B30DDC" w:rsidRPr="007F2703" w14:paraId="3C6EA3F4"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446ED7D0" w14:textId="77777777" w:rsidR="007F2703" w:rsidRPr="007F2703" w:rsidRDefault="007F2703" w:rsidP="007F2703">
            <w:pPr>
              <w:spacing w:after="0" w:line="240" w:lineRule="auto"/>
              <w:rPr>
                <w:rFonts w:ascii="Arial Narrow" w:eastAsia="Times New Roman" w:hAnsi="Arial Narrow" w:cs="Arial"/>
                <w:color w:val="000000"/>
                <w:sz w:val="16"/>
                <w:szCs w:val="16"/>
              </w:rPr>
            </w:pPr>
            <w:proofErr w:type="spellStart"/>
            <w:r w:rsidRPr="007F2703">
              <w:rPr>
                <w:rFonts w:ascii="Arial Narrow" w:eastAsia="Times New Roman" w:hAnsi="Arial Narrow" w:cs="Arial"/>
                <w:color w:val="000000"/>
                <w:sz w:val="16"/>
                <w:szCs w:val="16"/>
              </w:rPr>
              <w:t>Folllow</w:t>
            </w:r>
            <w:proofErr w:type="spellEnd"/>
            <w:r w:rsidRPr="007F2703">
              <w:rPr>
                <w:rFonts w:ascii="Arial Narrow" w:eastAsia="Times New Roman" w:hAnsi="Arial Narrow" w:cs="Arial"/>
                <w:color w:val="000000"/>
                <w:sz w:val="16"/>
                <w:szCs w:val="16"/>
              </w:rPr>
              <w:t xml:space="preserve">-up cost TAVI &amp; SAVR, annually yr. 2+ </w:t>
            </w:r>
          </w:p>
        </w:tc>
        <w:tc>
          <w:tcPr>
            <w:tcW w:w="0" w:type="auto"/>
            <w:tcBorders>
              <w:top w:val="nil"/>
              <w:left w:val="nil"/>
              <w:bottom w:val="single" w:sz="4" w:space="0" w:color="203764"/>
              <w:right w:val="single" w:sz="4" w:space="0" w:color="203764"/>
            </w:tcBorders>
            <w:shd w:val="clear" w:color="000000" w:fill="FFFFFF"/>
            <w:noWrap/>
            <w:vAlign w:val="bottom"/>
            <w:hideMark/>
          </w:tcPr>
          <w:p w14:paraId="6B5A0E1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€ 6,184.09 </w:t>
            </w:r>
          </w:p>
        </w:tc>
        <w:tc>
          <w:tcPr>
            <w:tcW w:w="0" w:type="auto"/>
            <w:tcBorders>
              <w:top w:val="nil"/>
              <w:left w:val="nil"/>
              <w:bottom w:val="single" w:sz="4" w:space="0" w:color="203764"/>
              <w:right w:val="single" w:sz="4" w:space="0" w:color="203764"/>
            </w:tcBorders>
            <w:shd w:val="clear" w:color="000000" w:fill="FFFFFF"/>
            <w:noWrap/>
            <w:vAlign w:val="bottom"/>
            <w:hideMark/>
          </w:tcPr>
          <w:p w14:paraId="78DC80A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€ 6,551.69 </w:t>
            </w:r>
          </w:p>
        </w:tc>
        <w:tc>
          <w:tcPr>
            <w:tcW w:w="0" w:type="auto"/>
            <w:tcBorders>
              <w:top w:val="nil"/>
              <w:left w:val="nil"/>
              <w:bottom w:val="single" w:sz="4" w:space="0" w:color="203764"/>
              <w:right w:val="single" w:sz="4" w:space="0" w:color="203764"/>
            </w:tcBorders>
            <w:shd w:val="clear" w:color="000000" w:fill="FFFFFF"/>
            <w:noWrap/>
            <w:vAlign w:val="bottom"/>
            <w:hideMark/>
          </w:tcPr>
          <w:p w14:paraId="3E401B9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€ 367.60</w:t>
            </w:r>
          </w:p>
        </w:tc>
      </w:tr>
      <w:tr w:rsidR="00B30DDC" w:rsidRPr="007F2703" w14:paraId="2E2A33A4"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7B94A167" w14:textId="77777777" w:rsidR="007F2703" w:rsidRPr="007F2703" w:rsidRDefault="007F2703" w:rsidP="007F2703">
            <w:pPr>
              <w:spacing w:after="0" w:line="240" w:lineRule="auto"/>
              <w:rPr>
                <w:rFonts w:ascii="Arial Narrow" w:eastAsia="Times New Roman" w:hAnsi="Arial Narrow" w:cs="Arial"/>
                <w:color w:val="000000"/>
                <w:sz w:val="16"/>
                <w:szCs w:val="16"/>
              </w:rPr>
            </w:pPr>
            <w:proofErr w:type="spellStart"/>
            <w:r w:rsidRPr="007F2703">
              <w:rPr>
                <w:rFonts w:ascii="Arial Narrow" w:eastAsia="Times New Roman" w:hAnsi="Arial Narrow" w:cs="Arial"/>
                <w:color w:val="000000"/>
                <w:sz w:val="16"/>
                <w:szCs w:val="16"/>
              </w:rPr>
              <w:t>Folllow</w:t>
            </w:r>
            <w:proofErr w:type="spellEnd"/>
            <w:r w:rsidRPr="007F2703">
              <w:rPr>
                <w:rFonts w:ascii="Arial Narrow" w:eastAsia="Times New Roman" w:hAnsi="Arial Narrow" w:cs="Arial"/>
                <w:color w:val="000000"/>
                <w:sz w:val="16"/>
                <w:szCs w:val="16"/>
              </w:rPr>
              <w:t xml:space="preserve">-up cost TAVI &amp; SAVR, 30d </w:t>
            </w:r>
          </w:p>
        </w:tc>
        <w:tc>
          <w:tcPr>
            <w:tcW w:w="0" w:type="auto"/>
            <w:tcBorders>
              <w:top w:val="nil"/>
              <w:left w:val="nil"/>
              <w:bottom w:val="single" w:sz="4" w:space="0" w:color="203764"/>
              <w:right w:val="single" w:sz="4" w:space="0" w:color="203764"/>
            </w:tcBorders>
            <w:shd w:val="clear" w:color="000000" w:fill="FFFFFF"/>
            <w:noWrap/>
            <w:vAlign w:val="bottom"/>
            <w:hideMark/>
          </w:tcPr>
          <w:p w14:paraId="1000DD7D"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€ 6,188.26 </w:t>
            </w:r>
          </w:p>
        </w:tc>
        <w:tc>
          <w:tcPr>
            <w:tcW w:w="0" w:type="auto"/>
            <w:tcBorders>
              <w:top w:val="nil"/>
              <w:left w:val="nil"/>
              <w:bottom w:val="single" w:sz="4" w:space="0" w:color="203764"/>
              <w:right w:val="single" w:sz="4" w:space="0" w:color="203764"/>
            </w:tcBorders>
            <w:shd w:val="clear" w:color="000000" w:fill="FFFFFF"/>
            <w:noWrap/>
            <w:vAlign w:val="bottom"/>
            <w:hideMark/>
          </w:tcPr>
          <w:p w14:paraId="0C3DBBA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€ 6,547.52 </w:t>
            </w:r>
          </w:p>
        </w:tc>
        <w:tc>
          <w:tcPr>
            <w:tcW w:w="0" w:type="auto"/>
            <w:tcBorders>
              <w:top w:val="nil"/>
              <w:left w:val="nil"/>
              <w:bottom w:val="single" w:sz="4" w:space="0" w:color="203764"/>
              <w:right w:val="single" w:sz="4" w:space="0" w:color="203764"/>
            </w:tcBorders>
            <w:shd w:val="clear" w:color="000000" w:fill="FFFFFF"/>
            <w:noWrap/>
            <w:vAlign w:val="bottom"/>
            <w:hideMark/>
          </w:tcPr>
          <w:p w14:paraId="37540AA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€ 359.26</w:t>
            </w:r>
          </w:p>
        </w:tc>
      </w:tr>
      <w:tr w:rsidR="00B30DDC" w:rsidRPr="007F2703" w14:paraId="5C4F162E"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40BD52D"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Reintervention, month 2-12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74FDD47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€ 6,491.96 </w:t>
            </w:r>
          </w:p>
        </w:tc>
        <w:tc>
          <w:tcPr>
            <w:tcW w:w="0" w:type="auto"/>
            <w:tcBorders>
              <w:top w:val="nil"/>
              <w:left w:val="nil"/>
              <w:bottom w:val="single" w:sz="4" w:space="0" w:color="203764"/>
              <w:right w:val="single" w:sz="4" w:space="0" w:color="203764"/>
            </w:tcBorders>
            <w:shd w:val="clear" w:color="000000" w:fill="FFFFFF"/>
            <w:noWrap/>
            <w:vAlign w:val="bottom"/>
            <w:hideMark/>
          </w:tcPr>
          <w:p w14:paraId="48CCF77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€ 6,164.41 </w:t>
            </w:r>
          </w:p>
        </w:tc>
        <w:tc>
          <w:tcPr>
            <w:tcW w:w="0" w:type="auto"/>
            <w:tcBorders>
              <w:top w:val="nil"/>
              <w:left w:val="nil"/>
              <w:bottom w:val="single" w:sz="4" w:space="0" w:color="203764"/>
              <w:right w:val="single" w:sz="4" w:space="0" w:color="203764"/>
            </w:tcBorders>
            <w:shd w:val="clear" w:color="000000" w:fill="FFFFFF"/>
            <w:noWrap/>
            <w:vAlign w:val="bottom"/>
            <w:hideMark/>
          </w:tcPr>
          <w:p w14:paraId="7A3EF52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€ 327.55</w:t>
            </w:r>
          </w:p>
        </w:tc>
      </w:tr>
      <w:tr w:rsidR="00B30DDC" w:rsidRPr="007F2703" w14:paraId="2926D16A"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6112D43A"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Gender (% female)</w:t>
            </w:r>
          </w:p>
        </w:tc>
        <w:tc>
          <w:tcPr>
            <w:tcW w:w="0" w:type="auto"/>
            <w:tcBorders>
              <w:top w:val="nil"/>
              <w:left w:val="nil"/>
              <w:bottom w:val="single" w:sz="4" w:space="0" w:color="203764"/>
              <w:right w:val="single" w:sz="4" w:space="0" w:color="203764"/>
            </w:tcBorders>
            <w:shd w:val="clear" w:color="000000" w:fill="FFFFFF"/>
            <w:noWrap/>
            <w:vAlign w:val="bottom"/>
            <w:hideMark/>
          </w:tcPr>
          <w:p w14:paraId="2A64960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€ 6,270.78 </w:t>
            </w:r>
          </w:p>
        </w:tc>
        <w:tc>
          <w:tcPr>
            <w:tcW w:w="0" w:type="auto"/>
            <w:tcBorders>
              <w:top w:val="nil"/>
              <w:left w:val="nil"/>
              <w:bottom w:val="single" w:sz="4" w:space="0" w:color="203764"/>
              <w:right w:val="single" w:sz="4" w:space="0" w:color="203764"/>
            </w:tcBorders>
            <w:shd w:val="clear" w:color="000000" w:fill="FFFFFF"/>
            <w:noWrap/>
            <w:vAlign w:val="bottom"/>
            <w:hideMark/>
          </w:tcPr>
          <w:p w14:paraId="6FDC660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€ 6,566.08 </w:t>
            </w:r>
          </w:p>
        </w:tc>
        <w:tc>
          <w:tcPr>
            <w:tcW w:w="0" w:type="auto"/>
            <w:tcBorders>
              <w:top w:val="nil"/>
              <w:left w:val="nil"/>
              <w:bottom w:val="single" w:sz="4" w:space="0" w:color="203764"/>
              <w:right w:val="single" w:sz="4" w:space="0" w:color="203764"/>
            </w:tcBorders>
            <w:shd w:val="clear" w:color="000000" w:fill="FFFFFF"/>
            <w:noWrap/>
            <w:vAlign w:val="bottom"/>
            <w:hideMark/>
          </w:tcPr>
          <w:p w14:paraId="7543126D"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€ 295.31</w:t>
            </w:r>
          </w:p>
        </w:tc>
      </w:tr>
      <w:tr w:rsidR="00B30DDC" w:rsidRPr="007F2703" w14:paraId="66F85B1F"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13CA60D"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Permanent pacemaker implantation, month 2-12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1EBB12B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€ 6,505.76 </w:t>
            </w:r>
          </w:p>
        </w:tc>
        <w:tc>
          <w:tcPr>
            <w:tcW w:w="0" w:type="auto"/>
            <w:tcBorders>
              <w:top w:val="nil"/>
              <w:left w:val="nil"/>
              <w:bottom w:val="single" w:sz="4" w:space="0" w:color="203764"/>
              <w:right w:val="single" w:sz="4" w:space="0" w:color="203764"/>
            </w:tcBorders>
            <w:shd w:val="clear" w:color="000000" w:fill="FFFFFF"/>
            <w:noWrap/>
            <w:vAlign w:val="bottom"/>
            <w:hideMark/>
          </w:tcPr>
          <w:p w14:paraId="09C9059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€ 6,222.81 </w:t>
            </w:r>
          </w:p>
        </w:tc>
        <w:tc>
          <w:tcPr>
            <w:tcW w:w="0" w:type="auto"/>
            <w:tcBorders>
              <w:top w:val="nil"/>
              <w:left w:val="nil"/>
              <w:bottom w:val="single" w:sz="4" w:space="0" w:color="203764"/>
              <w:right w:val="single" w:sz="4" w:space="0" w:color="203764"/>
            </w:tcBorders>
            <w:shd w:val="clear" w:color="000000" w:fill="FFFFFF"/>
            <w:noWrap/>
            <w:vAlign w:val="bottom"/>
            <w:hideMark/>
          </w:tcPr>
          <w:p w14:paraId="7FE7496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€ 282.95</w:t>
            </w:r>
          </w:p>
        </w:tc>
      </w:tr>
      <w:tr w:rsidR="00B30DDC" w:rsidRPr="007F2703" w14:paraId="54B68F95"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60CC9897"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Major vascular complication, month 2-12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2406BB0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€ 6,367.12 </w:t>
            </w:r>
          </w:p>
        </w:tc>
        <w:tc>
          <w:tcPr>
            <w:tcW w:w="0" w:type="auto"/>
            <w:tcBorders>
              <w:top w:val="nil"/>
              <w:left w:val="nil"/>
              <w:bottom w:val="single" w:sz="4" w:space="0" w:color="203764"/>
              <w:right w:val="single" w:sz="4" w:space="0" w:color="203764"/>
            </w:tcBorders>
            <w:shd w:val="clear" w:color="000000" w:fill="FFFFFF"/>
            <w:noWrap/>
            <w:vAlign w:val="bottom"/>
            <w:hideMark/>
          </w:tcPr>
          <w:p w14:paraId="314139F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€ 6,649.14 </w:t>
            </w:r>
          </w:p>
        </w:tc>
        <w:tc>
          <w:tcPr>
            <w:tcW w:w="0" w:type="auto"/>
            <w:tcBorders>
              <w:top w:val="nil"/>
              <w:left w:val="nil"/>
              <w:bottom w:val="single" w:sz="4" w:space="0" w:color="203764"/>
              <w:right w:val="single" w:sz="4" w:space="0" w:color="203764"/>
            </w:tcBorders>
            <w:shd w:val="clear" w:color="000000" w:fill="FFFFFF"/>
            <w:noWrap/>
            <w:vAlign w:val="bottom"/>
            <w:hideMark/>
          </w:tcPr>
          <w:p w14:paraId="2E5A2E7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€ 282.03</w:t>
            </w:r>
          </w:p>
        </w:tc>
      </w:tr>
      <w:tr w:rsidR="00B30DDC" w:rsidRPr="007F2703" w14:paraId="697763D1"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7AAF31F9"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Myocardial infarction, month 13-24 -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2E1D1E6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€ 6,367.89 </w:t>
            </w:r>
          </w:p>
        </w:tc>
        <w:tc>
          <w:tcPr>
            <w:tcW w:w="0" w:type="auto"/>
            <w:tcBorders>
              <w:top w:val="nil"/>
              <w:left w:val="nil"/>
              <w:bottom w:val="single" w:sz="4" w:space="0" w:color="203764"/>
              <w:right w:val="single" w:sz="4" w:space="0" w:color="203764"/>
            </w:tcBorders>
            <w:shd w:val="clear" w:color="000000" w:fill="FFFFFF"/>
            <w:noWrap/>
            <w:vAlign w:val="bottom"/>
            <w:hideMark/>
          </w:tcPr>
          <w:p w14:paraId="2E246CD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€ 6,160.38 </w:t>
            </w:r>
          </w:p>
        </w:tc>
        <w:tc>
          <w:tcPr>
            <w:tcW w:w="0" w:type="auto"/>
            <w:tcBorders>
              <w:top w:val="nil"/>
              <w:left w:val="nil"/>
              <w:bottom w:val="single" w:sz="4" w:space="0" w:color="203764"/>
              <w:right w:val="single" w:sz="4" w:space="0" w:color="203764"/>
            </w:tcBorders>
            <w:shd w:val="clear" w:color="000000" w:fill="FFFFFF"/>
            <w:noWrap/>
            <w:vAlign w:val="bottom"/>
            <w:hideMark/>
          </w:tcPr>
          <w:p w14:paraId="46709E5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€ 207.51</w:t>
            </w:r>
          </w:p>
        </w:tc>
      </w:tr>
      <w:tr w:rsidR="00B30DDC" w:rsidRPr="007F2703" w14:paraId="04D2AA9E"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43D3E91"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Proportion of PPI during first month in separate admission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EvolutR</w:t>
            </w:r>
            <w:proofErr w:type="spellEnd"/>
            <w:r w:rsidRPr="007F2703">
              <w:rPr>
                <w:rFonts w:ascii="Arial Narrow" w:eastAsia="Times New Roman" w:hAnsi="Arial Narrow" w:cs="Arial"/>
                <w:color w:val="000000"/>
                <w:sz w:val="16"/>
                <w:szCs w:val="16"/>
              </w:rPr>
              <w:t>/PRO</w:t>
            </w:r>
          </w:p>
        </w:tc>
        <w:tc>
          <w:tcPr>
            <w:tcW w:w="0" w:type="auto"/>
            <w:tcBorders>
              <w:top w:val="nil"/>
              <w:left w:val="nil"/>
              <w:bottom w:val="single" w:sz="4" w:space="0" w:color="203764"/>
              <w:right w:val="single" w:sz="4" w:space="0" w:color="203764"/>
            </w:tcBorders>
            <w:shd w:val="clear" w:color="000000" w:fill="FFFFFF"/>
            <w:noWrap/>
            <w:vAlign w:val="bottom"/>
            <w:hideMark/>
          </w:tcPr>
          <w:p w14:paraId="5C95FAE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€ 6,275.06 </w:t>
            </w:r>
          </w:p>
        </w:tc>
        <w:tc>
          <w:tcPr>
            <w:tcW w:w="0" w:type="auto"/>
            <w:tcBorders>
              <w:top w:val="nil"/>
              <w:left w:val="nil"/>
              <w:bottom w:val="single" w:sz="4" w:space="0" w:color="203764"/>
              <w:right w:val="single" w:sz="4" w:space="0" w:color="203764"/>
            </w:tcBorders>
            <w:shd w:val="clear" w:color="000000" w:fill="FFFFFF"/>
            <w:noWrap/>
            <w:vAlign w:val="bottom"/>
            <w:hideMark/>
          </w:tcPr>
          <w:p w14:paraId="00C7023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€ 6,469.60 </w:t>
            </w:r>
          </w:p>
        </w:tc>
        <w:tc>
          <w:tcPr>
            <w:tcW w:w="0" w:type="auto"/>
            <w:tcBorders>
              <w:top w:val="nil"/>
              <w:left w:val="nil"/>
              <w:bottom w:val="single" w:sz="4" w:space="0" w:color="203764"/>
              <w:right w:val="single" w:sz="4" w:space="0" w:color="203764"/>
            </w:tcBorders>
            <w:shd w:val="clear" w:color="000000" w:fill="FFFFFF"/>
            <w:noWrap/>
            <w:vAlign w:val="bottom"/>
            <w:hideMark/>
          </w:tcPr>
          <w:p w14:paraId="6DAC44A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€ 194.54</w:t>
            </w:r>
          </w:p>
        </w:tc>
      </w:tr>
      <w:tr w:rsidR="00B30DDC" w:rsidRPr="007F2703" w14:paraId="5653A895"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0E8164A"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Cardiogenic shock, month 2-12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02ABD2C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€ 6,367.89 </w:t>
            </w:r>
          </w:p>
        </w:tc>
        <w:tc>
          <w:tcPr>
            <w:tcW w:w="0" w:type="auto"/>
            <w:tcBorders>
              <w:top w:val="nil"/>
              <w:left w:val="nil"/>
              <w:bottom w:val="single" w:sz="4" w:space="0" w:color="203764"/>
              <w:right w:val="single" w:sz="4" w:space="0" w:color="203764"/>
            </w:tcBorders>
            <w:shd w:val="clear" w:color="000000" w:fill="FFFFFF"/>
            <w:noWrap/>
            <w:vAlign w:val="bottom"/>
            <w:hideMark/>
          </w:tcPr>
          <w:p w14:paraId="14C1D11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€ 6,548.68 </w:t>
            </w:r>
          </w:p>
        </w:tc>
        <w:tc>
          <w:tcPr>
            <w:tcW w:w="0" w:type="auto"/>
            <w:tcBorders>
              <w:top w:val="nil"/>
              <w:left w:val="nil"/>
              <w:bottom w:val="single" w:sz="4" w:space="0" w:color="203764"/>
              <w:right w:val="single" w:sz="4" w:space="0" w:color="203764"/>
            </w:tcBorders>
            <w:shd w:val="clear" w:color="000000" w:fill="FFFFFF"/>
            <w:noWrap/>
            <w:vAlign w:val="bottom"/>
            <w:hideMark/>
          </w:tcPr>
          <w:p w14:paraId="6A8047E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€ 180.79</w:t>
            </w:r>
          </w:p>
        </w:tc>
      </w:tr>
      <w:tr w:rsidR="00B30DDC" w:rsidRPr="007F2703" w14:paraId="66306875"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62774E65"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Cardiogenic shock, month 2-12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1607529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€ 6,367.89 </w:t>
            </w:r>
          </w:p>
        </w:tc>
        <w:tc>
          <w:tcPr>
            <w:tcW w:w="0" w:type="auto"/>
            <w:tcBorders>
              <w:top w:val="nil"/>
              <w:left w:val="nil"/>
              <w:bottom w:val="single" w:sz="4" w:space="0" w:color="203764"/>
              <w:right w:val="single" w:sz="4" w:space="0" w:color="203764"/>
            </w:tcBorders>
            <w:shd w:val="clear" w:color="000000" w:fill="FFFFFF"/>
            <w:noWrap/>
            <w:vAlign w:val="bottom"/>
            <w:hideMark/>
          </w:tcPr>
          <w:p w14:paraId="31F8DCF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€ 6,188.20 </w:t>
            </w:r>
          </w:p>
        </w:tc>
        <w:tc>
          <w:tcPr>
            <w:tcW w:w="0" w:type="auto"/>
            <w:tcBorders>
              <w:top w:val="nil"/>
              <w:left w:val="nil"/>
              <w:bottom w:val="single" w:sz="4" w:space="0" w:color="203764"/>
              <w:right w:val="single" w:sz="4" w:space="0" w:color="203764"/>
            </w:tcBorders>
            <w:shd w:val="clear" w:color="000000" w:fill="FFFFFF"/>
            <w:noWrap/>
            <w:vAlign w:val="bottom"/>
            <w:hideMark/>
          </w:tcPr>
          <w:p w14:paraId="33412B8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€ 179.69</w:t>
            </w:r>
          </w:p>
        </w:tc>
      </w:tr>
      <w:tr w:rsidR="00B30DDC" w:rsidRPr="007F2703" w14:paraId="37ED51C1"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6A243F19"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Cardiogenic shock, month 13-24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0B957FD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€ 6,367.89 </w:t>
            </w:r>
          </w:p>
        </w:tc>
        <w:tc>
          <w:tcPr>
            <w:tcW w:w="0" w:type="auto"/>
            <w:tcBorders>
              <w:top w:val="nil"/>
              <w:left w:val="nil"/>
              <w:bottom w:val="single" w:sz="4" w:space="0" w:color="203764"/>
              <w:right w:val="single" w:sz="4" w:space="0" w:color="203764"/>
            </w:tcBorders>
            <w:shd w:val="clear" w:color="000000" w:fill="FFFFFF"/>
            <w:noWrap/>
            <w:vAlign w:val="bottom"/>
            <w:hideMark/>
          </w:tcPr>
          <w:p w14:paraId="015557A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€ 6,542.10 </w:t>
            </w:r>
          </w:p>
        </w:tc>
        <w:tc>
          <w:tcPr>
            <w:tcW w:w="0" w:type="auto"/>
            <w:tcBorders>
              <w:top w:val="nil"/>
              <w:left w:val="nil"/>
              <w:bottom w:val="single" w:sz="4" w:space="0" w:color="203764"/>
              <w:right w:val="single" w:sz="4" w:space="0" w:color="203764"/>
            </w:tcBorders>
            <w:shd w:val="clear" w:color="000000" w:fill="FFFFFF"/>
            <w:noWrap/>
            <w:vAlign w:val="bottom"/>
            <w:hideMark/>
          </w:tcPr>
          <w:p w14:paraId="4211977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€ 174.21</w:t>
            </w:r>
          </w:p>
        </w:tc>
      </w:tr>
      <w:tr w:rsidR="00B30DDC" w:rsidRPr="007F2703" w14:paraId="69A838CA"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6663906"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lastRenderedPageBreak/>
              <w:t xml:space="preserve">AKI, month 2-12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3AA661D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€ 6,352.25 </w:t>
            </w:r>
          </w:p>
        </w:tc>
        <w:tc>
          <w:tcPr>
            <w:tcW w:w="0" w:type="auto"/>
            <w:tcBorders>
              <w:top w:val="nil"/>
              <w:left w:val="nil"/>
              <w:bottom w:val="single" w:sz="4" w:space="0" w:color="203764"/>
              <w:right w:val="single" w:sz="4" w:space="0" w:color="203764"/>
            </w:tcBorders>
            <w:shd w:val="clear" w:color="000000" w:fill="FFFFFF"/>
            <w:noWrap/>
            <w:vAlign w:val="bottom"/>
            <w:hideMark/>
          </w:tcPr>
          <w:p w14:paraId="1C04339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€ 6,525.60 </w:t>
            </w:r>
          </w:p>
        </w:tc>
        <w:tc>
          <w:tcPr>
            <w:tcW w:w="0" w:type="auto"/>
            <w:tcBorders>
              <w:top w:val="nil"/>
              <w:left w:val="nil"/>
              <w:bottom w:val="single" w:sz="4" w:space="0" w:color="203764"/>
              <w:right w:val="single" w:sz="4" w:space="0" w:color="203764"/>
            </w:tcBorders>
            <w:shd w:val="clear" w:color="000000" w:fill="FFFFFF"/>
            <w:noWrap/>
            <w:vAlign w:val="bottom"/>
            <w:hideMark/>
          </w:tcPr>
          <w:p w14:paraId="683C3AC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€ 173.35</w:t>
            </w:r>
          </w:p>
        </w:tc>
      </w:tr>
      <w:tr w:rsidR="00B30DDC" w:rsidRPr="007F2703" w14:paraId="0CDA9C1C"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75977C50"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Cardiogenic shock, month 13-24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4F890E9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€ 6,367.89 </w:t>
            </w:r>
          </w:p>
        </w:tc>
        <w:tc>
          <w:tcPr>
            <w:tcW w:w="0" w:type="auto"/>
            <w:tcBorders>
              <w:top w:val="nil"/>
              <w:left w:val="nil"/>
              <w:bottom w:val="single" w:sz="4" w:space="0" w:color="203764"/>
              <w:right w:val="single" w:sz="4" w:space="0" w:color="203764"/>
            </w:tcBorders>
            <w:shd w:val="clear" w:color="000000" w:fill="FFFFFF"/>
            <w:noWrap/>
            <w:vAlign w:val="bottom"/>
            <w:hideMark/>
          </w:tcPr>
          <w:p w14:paraId="58015E5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€ 6,195.41 </w:t>
            </w:r>
          </w:p>
        </w:tc>
        <w:tc>
          <w:tcPr>
            <w:tcW w:w="0" w:type="auto"/>
            <w:tcBorders>
              <w:top w:val="nil"/>
              <w:left w:val="nil"/>
              <w:bottom w:val="single" w:sz="4" w:space="0" w:color="203764"/>
              <w:right w:val="single" w:sz="4" w:space="0" w:color="203764"/>
            </w:tcBorders>
            <w:shd w:val="clear" w:color="000000" w:fill="FFFFFF"/>
            <w:noWrap/>
            <w:vAlign w:val="bottom"/>
            <w:hideMark/>
          </w:tcPr>
          <w:p w14:paraId="478D253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€ 172.48</w:t>
            </w:r>
          </w:p>
        </w:tc>
      </w:tr>
      <w:tr w:rsidR="00B30DDC" w:rsidRPr="007F2703" w14:paraId="5F920DC1"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39A396D2"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AKI, month 2-12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53DDB60D"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€ 6,372.11 </w:t>
            </w:r>
          </w:p>
        </w:tc>
        <w:tc>
          <w:tcPr>
            <w:tcW w:w="0" w:type="auto"/>
            <w:tcBorders>
              <w:top w:val="nil"/>
              <w:left w:val="nil"/>
              <w:bottom w:val="single" w:sz="4" w:space="0" w:color="203764"/>
              <w:right w:val="single" w:sz="4" w:space="0" w:color="203764"/>
            </w:tcBorders>
            <w:shd w:val="clear" w:color="000000" w:fill="FFFFFF"/>
            <w:noWrap/>
            <w:vAlign w:val="bottom"/>
            <w:hideMark/>
          </w:tcPr>
          <w:p w14:paraId="7B9E00A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€ 6,199.82 </w:t>
            </w:r>
          </w:p>
        </w:tc>
        <w:tc>
          <w:tcPr>
            <w:tcW w:w="0" w:type="auto"/>
            <w:tcBorders>
              <w:top w:val="nil"/>
              <w:left w:val="nil"/>
              <w:bottom w:val="single" w:sz="4" w:space="0" w:color="203764"/>
              <w:right w:val="single" w:sz="4" w:space="0" w:color="203764"/>
            </w:tcBorders>
            <w:shd w:val="clear" w:color="000000" w:fill="FFFFFF"/>
            <w:noWrap/>
            <w:vAlign w:val="bottom"/>
            <w:hideMark/>
          </w:tcPr>
          <w:p w14:paraId="778C61D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€ 172.29</w:t>
            </w:r>
          </w:p>
        </w:tc>
      </w:tr>
      <w:tr w:rsidR="00B30DDC" w:rsidRPr="007F2703" w14:paraId="61160605"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01269C2E"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Myocardial infarction, month 2-12 -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414235E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€ 6,296.16 </w:t>
            </w:r>
          </w:p>
        </w:tc>
        <w:tc>
          <w:tcPr>
            <w:tcW w:w="0" w:type="auto"/>
            <w:tcBorders>
              <w:top w:val="nil"/>
              <w:left w:val="nil"/>
              <w:bottom w:val="single" w:sz="4" w:space="0" w:color="203764"/>
              <w:right w:val="single" w:sz="4" w:space="0" w:color="203764"/>
            </w:tcBorders>
            <w:shd w:val="clear" w:color="000000" w:fill="FFFFFF"/>
            <w:noWrap/>
            <w:vAlign w:val="bottom"/>
            <w:hideMark/>
          </w:tcPr>
          <w:p w14:paraId="2419AFD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€ 6,466.51 </w:t>
            </w:r>
          </w:p>
        </w:tc>
        <w:tc>
          <w:tcPr>
            <w:tcW w:w="0" w:type="auto"/>
            <w:tcBorders>
              <w:top w:val="nil"/>
              <w:left w:val="nil"/>
              <w:bottom w:val="single" w:sz="4" w:space="0" w:color="203764"/>
              <w:right w:val="single" w:sz="4" w:space="0" w:color="203764"/>
            </w:tcBorders>
            <w:shd w:val="clear" w:color="000000" w:fill="FFFFFF"/>
            <w:noWrap/>
            <w:vAlign w:val="bottom"/>
            <w:hideMark/>
          </w:tcPr>
          <w:p w14:paraId="087A90E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€ 170.35</w:t>
            </w:r>
          </w:p>
        </w:tc>
      </w:tr>
      <w:tr w:rsidR="00B30DDC" w:rsidRPr="007F2703" w14:paraId="490A6ABB"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4F1E3AE"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AKI, month 13-24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6EB8595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€ 6,367.89 </w:t>
            </w:r>
          </w:p>
        </w:tc>
        <w:tc>
          <w:tcPr>
            <w:tcW w:w="0" w:type="auto"/>
            <w:tcBorders>
              <w:top w:val="nil"/>
              <w:left w:val="nil"/>
              <w:bottom w:val="single" w:sz="4" w:space="0" w:color="203764"/>
              <w:right w:val="single" w:sz="4" w:space="0" w:color="203764"/>
            </w:tcBorders>
            <w:shd w:val="clear" w:color="000000" w:fill="FFFFFF"/>
            <w:noWrap/>
            <w:vAlign w:val="bottom"/>
            <w:hideMark/>
          </w:tcPr>
          <w:p w14:paraId="31480AE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€ 6,534.93 </w:t>
            </w:r>
          </w:p>
        </w:tc>
        <w:tc>
          <w:tcPr>
            <w:tcW w:w="0" w:type="auto"/>
            <w:tcBorders>
              <w:top w:val="nil"/>
              <w:left w:val="nil"/>
              <w:bottom w:val="single" w:sz="4" w:space="0" w:color="203764"/>
              <w:right w:val="single" w:sz="4" w:space="0" w:color="203764"/>
            </w:tcBorders>
            <w:shd w:val="clear" w:color="000000" w:fill="FFFFFF"/>
            <w:noWrap/>
            <w:vAlign w:val="bottom"/>
            <w:hideMark/>
          </w:tcPr>
          <w:p w14:paraId="33D68DC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€ 167.04</w:t>
            </w:r>
          </w:p>
        </w:tc>
      </w:tr>
      <w:tr w:rsidR="00B30DDC" w:rsidRPr="007F2703" w14:paraId="5F220BAA"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FAD5470"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AKI, month 13-24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278D11A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€ 6,367.89 </w:t>
            </w:r>
          </w:p>
        </w:tc>
        <w:tc>
          <w:tcPr>
            <w:tcW w:w="0" w:type="auto"/>
            <w:tcBorders>
              <w:top w:val="nil"/>
              <w:left w:val="nil"/>
              <w:bottom w:val="single" w:sz="4" w:space="0" w:color="203764"/>
              <w:right w:val="single" w:sz="4" w:space="0" w:color="203764"/>
            </w:tcBorders>
            <w:shd w:val="clear" w:color="000000" w:fill="FFFFFF"/>
            <w:noWrap/>
            <w:vAlign w:val="bottom"/>
            <w:hideMark/>
          </w:tcPr>
          <w:p w14:paraId="69E9DEC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€ 6,202.51 </w:t>
            </w:r>
          </w:p>
        </w:tc>
        <w:tc>
          <w:tcPr>
            <w:tcW w:w="0" w:type="auto"/>
            <w:tcBorders>
              <w:top w:val="nil"/>
              <w:left w:val="nil"/>
              <w:bottom w:val="single" w:sz="4" w:space="0" w:color="203764"/>
              <w:right w:val="single" w:sz="4" w:space="0" w:color="203764"/>
            </w:tcBorders>
            <w:shd w:val="clear" w:color="000000" w:fill="FFFFFF"/>
            <w:noWrap/>
            <w:vAlign w:val="bottom"/>
            <w:hideMark/>
          </w:tcPr>
          <w:p w14:paraId="4C15106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€ 165.38</w:t>
            </w:r>
          </w:p>
        </w:tc>
      </w:tr>
      <w:tr w:rsidR="00B30DDC" w:rsidRPr="007F2703" w14:paraId="170275BC"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38265BF7"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Major vascular complication, month 2-12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32A2D91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€ 6,419.44 </w:t>
            </w:r>
          </w:p>
        </w:tc>
        <w:tc>
          <w:tcPr>
            <w:tcW w:w="0" w:type="auto"/>
            <w:tcBorders>
              <w:top w:val="nil"/>
              <w:left w:val="nil"/>
              <w:bottom w:val="single" w:sz="4" w:space="0" w:color="203764"/>
              <w:right w:val="single" w:sz="4" w:space="0" w:color="203764"/>
            </w:tcBorders>
            <w:shd w:val="clear" w:color="000000" w:fill="FFFFFF"/>
            <w:noWrap/>
            <w:vAlign w:val="bottom"/>
            <w:hideMark/>
          </w:tcPr>
          <w:p w14:paraId="2C6F105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€ 6,308.29 </w:t>
            </w:r>
          </w:p>
        </w:tc>
        <w:tc>
          <w:tcPr>
            <w:tcW w:w="0" w:type="auto"/>
            <w:tcBorders>
              <w:top w:val="nil"/>
              <w:left w:val="nil"/>
              <w:bottom w:val="single" w:sz="4" w:space="0" w:color="203764"/>
              <w:right w:val="single" w:sz="4" w:space="0" w:color="203764"/>
            </w:tcBorders>
            <w:shd w:val="clear" w:color="000000" w:fill="FFFFFF"/>
            <w:noWrap/>
            <w:vAlign w:val="bottom"/>
            <w:hideMark/>
          </w:tcPr>
          <w:p w14:paraId="3BD289E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€ 111.14</w:t>
            </w:r>
          </w:p>
        </w:tc>
      </w:tr>
      <w:tr w:rsidR="00B30DDC" w:rsidRPr="007F2703" w14:paraId="6C8558CF"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46B73F4"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Cost of atrial fibrillation (beyond index)   </w:t>
            </w:r>
          </w:p>
        </w:tc>
        <w:tc>
          <w:tcPr>
            <w:tcW w:w="0" w:type="auto"/>
            <w:tcBorders>
              <w:top w:val="nil"/>
              <w:left w:val="nil"/>
              <w:bottom w:val="single" w:sz="4" w:space="0" w:color="203764"/>
              <w:right w:val="single" w:sz="4" w:space="0" w:color="203764"/>
            </w:tcBorders>
            <w:shd w:val="clear" w:color="000000" w:fill="FFFFFF"/>
            <w:noWrap/>
            <w:vAlign w:val="bottom"/>
            <w:hideMark/>
          </w:tcPr>
          <w:p w14:paraId="394C3C7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€ 6,421.90 </w:t>
            </w:r>
          </w:p>
        </w:tc>
        <w:tc>
          <w:tcPr>
            <w:tcW w:w="0" w:type="auto"/>
            <w:tcBorders>
              <w:top w:val="nil"/>
              <w:left w:val="nil"/>
              <w:bottom w:val="single" w:sz="4" w:space="0" w:color="203764"/>
              <w:right w:val="single" w:sz="4" w:space="0" w:color="203764"/>
            </w:tcBorders>
            <w:shd w:val="clear" w:color="000000" w:fill="FFFFFF"/>
            <w:noWrap/>
            <w:vAlign w:val="bottom"/>
            <w:hideMark/>
          </w:tcPr>
          <w:p w14:paraId="3CB99A5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€ 6,313.04 </w:t>
            </w:r>
          </w:p>
        </w:tc>
        <w:tc>
          <w:tcPr>
            <w:tcW w:w="0" w:type="auto"/>
            <w:tcBorders>
              <w:top w:val="nil"/>
              <w:left w:val="nil"/>
              <w:bottom w:val="single" w:sz="4" w:space="0" w:color="203764"/>
              <w:right w:val="single" w:sz="4" w:space="0" w:color="203764"/>
            </w:tcBorders>
            <w:shd w:val="clear" w:color="000000" w:fill="FFFFFF"/>
            <w:noWrap/>
            <w:vAlign w:val="bottom"/>
            <w:hideMark/>
          </w:tcPr>
          <w:p w14:paraId="3763036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€ 108.87</w:t>
            </w:r>
          </w:p>
        </w:tc>
      </w:tr>
      <w:tr w:rsidR="00B30DDC" w:rsidRPr="007F2703" w14:paraId="5D693F77"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2ACDC5B"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Atrial fibrillation, month 2-12  - </w:t>
            </w:r>
            <w:proofErr w:type="spellStart"/>
            <w:r w:rsidRPr="007F2703">
              <w:rPr>
                <w:rFonts w:ascii="Arial Narrow" w:eastAsia="Times New Roman" w:hAnsi="Arial Narrow" w:cs="Arial"/>
                <w:color w:val="000000"/>
                <w:sz w:val="16"/>
                <w:szCs w:val="16"/>
              </w:rPr>
              <w:t>Corevalve</w:t>
            </w:r>
            <w:proofErr w:type="spellEnd"/>
            <w:r w:rsidRPr="007F2703">
              <w:rPr>
                <w:rFonts w:ascii="Arial Narrow" w:eastAsia="Times New Roman" w:hAnsi="Arial Narrow" w:cs="Arial"/>
                <w:color w:val="000000"/>
                <w:sz w:val="16"/>
                <w:szCs w:val="16"/>
              </w:rPr>
              <w:t xml:space="preserve"> </w:t>
            </w:r>
            <w:proofErr w:type="spellStart"/>
            <w:r w:rsidRPr="007F2703">
              <w:rPr>
                <w:rFonts w:ascii="Arial Narrow" w:eastAsia="Times New Roman" w:hAnsi="Arial Narrow" w:cs="Arial"/>
                <w:color w:val="000000"/>
                <w:sz w:val="16"/>
                <w:szCs w:val="16"/>
              </w:rPr>
              <w:t>Evolut</w:t>
            </w:r>
            <w:proofErr w:type="spellEnd"/>
            <w:r w:rsidRPr="007F2703">
              <w:rPr>
                <w:rFonts w:ascii="Arial Narrow" w:eastAsia="Times New Roman" w:hAnsi="Arial Narrow" w:cs="Arial"/>
                <w:color w:val="000000"/>
                <w:sz w:val="16"/>
                <w:szCs w:val="16"/>
              </w:rPr>
              <w:t xml:space="preserve"> R/PRO</w:t>
            </w:r>
          </w:p>
        </w:tc>
        <w:tc>
          <w:tcPr>
            <w:tcW w:w="0" w:type="auto"/>
            <w:tcBorders>
              <w:top w:val="nil"/>
              <w:left w:val="nil"/>
              <w:bottom w:val="single" w:sz="4" w:space="0" w:color="203764"/>
              <w:right w:val="single" w:sz="4" w:space="0" w:color="203764"/>
            </w:tcBorders>
            <w:shd w:val="clear" w:color="000000" w:fill="FFFFFF"/>
            <w:noWrap/>
            <w:vAlign w:val="bottom"/>
            <w:hideMark/>
          </w:tcPr>
          <w:p w14:paraId="4C8E834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€ 6,314.86 </w:t>
            </w:r>
          </w:p>
        </w:tc>
        <w:tc>
          <w:tcPr>
            <w:tcW w:w="0" w:type="auto"/>
            <w:tcBorders>
              <w:top w:val="nil"/>
              <w:left w:val="nil"/>
              <w:bottom w:val="single" w:sz="4" w:space="0" w:color="203764"/>
              <w:right w:val="single" w:sz="4" w:space="0" w:color="203764"/>
            </w:tcBorders>
            <w:shd w:val="clear" w:color="000000" w:fill="FFFFFF"/>
            <w:noWrap/>
            <w:vAlign w:val="bottom"/>
            <w:hideMark/>
          </w:tcPr>
          <w:p w14:paraId="124EE3B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€ 6,422.34 </w:t>
            </w:r>
          </w:p>
        </w:tc>
        <w:tc>
          <w:tcPr>
            <w:tcW w:w="0" w:type="auto"/>
            <w:tcBorders>
              <w:top w:val="nil"/>
              <w:left w:val="nil"/>
              <w:bottom w:val="single" w:sz="4" w:space="0" w:color="203764"/>
              <w:right w:val="single" w:sz="4" w:space="0" w:color="203764"/>
            </w:tcBorders>
            <w:shd w:val="clear" w:color="000000" w:fill="FFFFFF"/>
            <w:noWrap/>
            <w:vAlign w:val="bottom"/>
            <w:hideMark/>
          </w:tcPr>
          <w:p w14:paraId="778250F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€ 107.48</w:t>
            </w:r>
          </w:p>
        </w:tc>
      </w:tr>
      <w:tr w:rsidR="00B30DDC" w:rsidRPr="007F2703" w14:paraId="0DCEC5E9"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29B49E5C"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Pacemaker follow-up costs, first year</w:t>
            </w:r>
          </w:p>
        </w:tc>
        <w:tc>
          <w:tcPr>
            <w:tcW w:w="0" w:type="auto"/>
            <w:tcBorders>
              <w:top w:val="nil"/>
              <w:left w:val="nil"/>
              <w:bottom w:val="single" w:sz="4" w:space="0" w:color="203764"/>
              <w:right w:val="single" w:sz="4" w:space="0" w:color="203764"/>
            </w:tcBorders>
            <w:shd w:val="clear" w:color="000000" w:fill="FFFFFF"/>
            <w:noWrap/>
            <w:vAlign w:val="bottom"/>
            <w:hideMark/>
          </w:tcPr>
          <w:p w14:paraId="112BF90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€ 6,314.83 </w:t>
            </w:r>
          </w:p>
        </w:tc>
        <w:tc>
          <w:tcPr>
            <w:tcW w:w="0" w:type="auto"/>
            <w:tcBorders>
              <w:top w:val="nil"/>
              <w:left w:val="nil"/>
              <w:bottom w:val="single" w:sz="4" w:space="0" w:color="203764"/>
              <w:right w:val="single" w:sz="4" w:space="0" w:color="203764"/>
            </w:tcBorders>
            <w:shd w:val="clear" w:color="000000" w:fill="FFFFFF"/>
            <w:noWrap/>
            <w:vAlign w:val="bottom"/>
            <w:hideMark/>
          </w:tcPr>
          <w:p w14:paraId="5EFC5D1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€ 6,420.94 </w:t>
            </w:r>
          </w:p>
        </w:tc>
        <w:tc>
          <w:tcPr>
            <w:tcW w:w="0" w:type="auto"/>
            <w:tcBorders>
              <w:top w:val="nil"/>
              <w:left w:val="nil"/>
              <w:bottom w:val="single" w:sz="4" w:space="0" w:color="203764"/>
              <w:right w:val="single" w:sz="4" w:space="0" w:color="203764"/>
            </w:tcBorders>
            <w:shd w:val="clear" w:color="000000" w:fill="FFFFFF"/>
            <w:noWrap/>
            <w:vAlign w:val="bottom"/>
            <w:hideMark/>
          </w:tcPr>
          <w:p w14:paraId="128B873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€ 106.11</w:t>
            </w:r>
          </w:p>
        </w:tc>
      </w:tr>
      <w:tr w:rsidR="00B30DDC" w:rsidRPr="007F2703" w14:paraId="11195583"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08B4453" w14:textId="77777777" w:rsidR="007F2703" w:rsidRPr="007F2703" w:rsidRDefault="007F2703" w:rsidP="007F2703">
            <w:pPr>
              <w:spacing w:after="0" w:line="240" w:lineRule="auto"/>
              <w:rPr>
                <w:rFonts w:ascii="Arial Narrow" w:eastAsia="Times New Roman" w:hAnsi="Arial Narrow" w:cs="Arial"/>
                <w:color w:val="000000"/>
                <w:sz w:val="16"/>
                <w:szCs w:val="16"/>
              </w:rPr>
            </w:pPr>
            <w:proofErr w:type="spellStart"/>
            <w:r w:rsidRPr="007F2703">
              <w:rPr>
                <w:rFonts w:ascii="Arial Narrow" w:eastAsia="Times New Roman" w:hAnsi="Arial Narrow" w:cs="Arial"/>
                <w:color w:val="000000"/>
                <w:sz w:val="16"/>
                <w:szCs w:val="16"/>
              </w:rPr>
              <w:t>Folllow</w:t>
            </w:r>
            <w:proofErr w:type="spellEnd"/>
            <w:r w:rsidRPr="007F2703">
              <w:rPr>
                <w:rFonts w:ascii="Arial Narrow" w:eastAsia="Times New Roman" w:hAnsi="Arial Narrow" w:cs="Arial"/>
                <w:color w:val="000000"/>
                <w:sz w:val="16"/>
                <w:szCs w:val="16"/>
              </w:rPr>
              <w:t xml:space="preserve">-up cost TAVI &amp; SAVR, 6M </w:t>
            </w:r>
          </w:p>
        </w:tc>
        <w:tc>
          <w:tcPr>
            <w:tcW w:w="0" w:type="auto"/>
            <w:tcBorders>
              <w:top w:val="nil"/>
              <w:left w:val="nil"/>
              <w:bottom w:val="single" w:sz="4" w:space="0" w:color="203764"/>
              <w:right w:val="single" w:sz="4" w:space="0" w:color="203764"/>
            </w:tcBorders>
            <w:shd w:val="clear" w:color="000000" w:fill="FFFFFF"/>
            <w:noWrap/>
            <w:vAlign w:val="bottom"/>
            <w:hideMark/>
          </w:tcPr>
          <w:p w14:paraId="09C9055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€ 6,323.19 </w:t>
            </w:r>
          </w:p>
        </w:tc>
        <w:tc>
          <w:tcPr>
            <w:tcW w:w="0" w:type="auto"/>
            <w:tcBorders>
              <w:top w:val="nil"/>
              <w:left w:val="nil"/>
              <w:bottom w:val="single" w:sz="4" w:space="0" w:color="203764"/>
              <w:right w:val="single" w:sz="4" w:space="0" w:color="203764"/>
            </w:tcBorders>
            <w:shd w:val="clear" w:color="000000" w:fill="FFFFFF"/>
            <w:noWrap/>
            <w:vAlign w:val="bottom"/>
            <w:hideMark/>
          </w:tcPr>
          <w:p w14:paraId="7FDE7E4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€ 6,412.58 </w:t>
            </w:r>
          </w:p>
        </w:tc>
        <w:tc>
          <w:tcPr>
            <w:tcW w:w="0" w:type="auto"/>
            <w:tcBorders>
              <w:top w:val="nil"/>
              <w:left w:val="nil"/>
              <w:bottom w:val="single" w:sz="4" w:space="0" w:color="203764"/>
              <w:right w:val="single" w:sz="4" w:space="0" w:color="203764"/>
            </w:tcBorders>
            <w:shd w:val="clear" w:color="000000" w:fill="FFFFFF"/>
            <w:noWrap/>
            <w:vAlign w:val="bottom"/>
            <w:hideMark/>
          </w:tcPr>
          <w:p w14:paraId="159F089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€ 89.39</w:t>
            </w:r>
          </w:p>
        </w:tc>
      </w:tr>
      <w:tr w:rsidR="00B30DDC" w:rsidRPr="007F2703" w14:paraId="57050C55"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13F22F1A"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Cost of bleeding event (beyond index)  </w:t>
            </w:r>
          </w:p>
        </w:tc>
        <w:tc>
          <w:tcPr>
            <w:tcW w:w="0" w:type="auto"/>
            <w:tcBorders>
              <w:top w:val="nil"/>
              <w:left w:val="nil"/>
              <w:bottom w:val="single" w:sz="4" w:space="0" w:color="203764"/>
              <w:right w:val="single" w:sz="4" w:space="0" w:color="203764"/>
            </w:tcBorders>
            <w:shd w:val="clear" w:color="000000" w:fill="FFFFFF"/>
            <w:noWrap/>
            <w:vAlign w:val="bottom"/>
            <w:hideMark/>
          </w:tcPr>
          <w:p w14:paraId="4D05A7E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€ 6,325.04 </w:t>
            </w:r>
          </w:p>
        </w:tc>
        <w:tc>
          <w:tcPr>
            <w:tcW w:w="0" w:type="auto"/>
            <w:tcBorders>
              <w:top w:val="nil"/>
              <w:left w:val="nil"/>
              <w:bottom w:val="single" w:sz="4" w:space="0" w:color="203764"/>
              <w:right w:val="single" w:sz="4" w:space="0" w:color="203764"/>
            </w:tcBorders>
            <w:shd w:val="clear" w:color="000000" w:fill="FFFFFF"/>
            <w:noWrap/>
            <w:vAlign w:val="bottom"/>
            <w:hideMark/>
          </w:tcPr>
          <w:p w14:paraId="6D06156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€ 6,410.73 </w:t>
            </w:r>
          </w:p>
        </w:tc>
        <w:tc>
          <w:tcPr>
            <w:tcW w:w="0" w:type="auto"/>
            <w:tcBorders>
              <w:top w:val="nil"/>
              <w:left w:val="nil"/>
              <w:bottom w:val="single" w:sz="4" w:space="0" w:color="203764"/>
              <w:right w:val="single" w:sz="4" w:space="0" w:color="203764"/>
            </w:tcBorders>
            <w:shd w:val="clear" w:color="000000" w:fill="FFFFFF"/>
            <w:noWrap/>
            <w:vAlign w:val="bottom"/>
            <w:hideMark/>
          </w:tcPr>
          <w:p w14:paraId="1D6F6F1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€ 85.69</w:t>
            </w:r>
          </w:p>
        </w:tc>
      </w:tr>
      <w:tr w:rsidR="00B30DDC" w:rsidRPr="007F2703" w14:paraId="13CB3790"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77B71050"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Myocardial infarction, month 2-12 -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44F9BB6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€ 6,406.96 </w:t>
            </w:r>
          </w:p>
        </w:tc>
        <w:tc>
          <w:tcPr>
            <w:tcW w:w="0" w:type="auto"/>
            <w:tcBorders>
              <w:top w:val="nil"/>
              <w:left w:val="nil"/>
              <w:bottom w:val="single" w:sz="4" w:space="0" w:color="203764"/>
              <w:right w:val="single" w:sz="4" w:space="0" w:color="203764"/>
            </w:tcBorders>
            <w:shd w:val="clear" w:color="000000" w:fill="FFFFFF"/>
            <w:noWrap/>
            <w:vAlign w:val="bottom"/>
            <w:hideMark/>
          </w:tcPr>
          <w:p w14:paraId="3B985A3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€ 6,321.44 </w:t>
            </w:r>
          </w:p>
        </w:tc>
        <w:tc>
          <w:tcPr>
            <w:tcW w:w="0" w:type="auto"/>
            <w:tcBorders>
              <w:top w:val="nil"/>
              <w:left w:val="nil"/>
              <w:bottom w:val="single" w:sz="4" w:space="0" w:color="203764"/>
              <w:right w:val="single" w:sz="4" w:space="0" w:color="203764"/>
            </w:tcBorders>
            <w:shd w:val="clear" w:color="000000" w:fill="FFFFFF"/>
            <w:noWrap/>
            <w:vAlign w:val="bottom"/>
            <w:hideMark/>
          </w:tcPr>
          <w:p w14:paraId="5ECA592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€ 85.51</w:t>
            </w:r>
          </w:p>
        </w:tc>
      </w:tr>
      <w:tr w:rsidR="00B30DDC" w:rsidRPr="007F2703" w14:paraId="3FF2AF1F"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761F5598"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Cost of aortic valve rehospitalization (beyond index)   </w:t>
            </w:r>
          </w:p>
        </w:tc>
        <w:tc>
          <w:tcPr>
            <w:tcW w:w="0" w:type="auto"/>
            <w:tcBorders>
              <w:top w:val="nil"/>
              <w:left w:val="nil"/>
              <w:bottom w:val="single" w:sz="4" w:space="0" w:color="203764"/>
              <w:right w:val="single" w:sz="4" w:space="0" w:color="203764"/>
            </w:tcBorders>
            <w:shd w:val="clear" w:color="000000" w:fill="FFFFFF"/>
            <w:noWrap/>
            <w:vAlign w:val="bottom"/>
            <w:hideMark/>
          </w:tcPr>
          <w:p w14:paraId="2B23909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€ 6,409.92 </w:t>
            </w:r>
          </w:p>
        </w:tc>
        <w:tc>
          <w:tcPr>
            <w:tcW w:w="0" w:type="auto"/>
            <w:tcBorders>
              <w:top w:val="nil"/>
              <w:left w:val="nil"/>
              <w:bottom w:val="single" w:sz="4" w:space="0" w:color="203764"/>
              <w:right w:val="single" w:sz="4" w:space="0" w:color="203764"/>
            </w:tcBorders>
            <w:shd w:val="clear" w:color="000000" w:fill="FFFFFF"/>
            <w:noWrap/>
            <w:vAlign w:val="bottom"/>
            <w:hideMark/>
          </w:tcPr>
          <w:p w14:paraId="0E6EF21C"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€ 6,325.85 </w:t>
            </w:r>
          </w:p>
        </w:tc>
        <w:tc>
          <w:tcPr>
            <w:tcW w:w="0" w:type="auto"/>
            <w:tcBorders>
              <w:top w:val="nil"/>
              <w:left w:val="nil"/>
              <w:bottom w:val="single" w:sz="4" w:space="0" w:color="203764"/>
              <w:right w:val="single" w:sz="4" w:space="0" w:color="203764"/>
            </w:tcBorders>
            <w:shd w:val="clear" w:color="000000" w:fill="FFFFFF"/>
            <w:noWrap/>
            <w:vAlign w:val="bottom"/>
            <w:hideMark/>
          </w:tcPr>
          <w:p w14:paraId="514ADC4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€ 84.07</w:t>
            </w:r>
          </w:p>
        </w:tc>
      </w:tr>
      <w:tr w:rsidR="00B30DDC" w:rsidRPr="007F2703" w14:paraId="4EC9098F"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C350BBB"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Proportion of PPI during first month in separate admission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7A0FEC1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€ 6,397.31 </w:t>
            </w:r>
          </w:p>
        </w:tc>
        <w:tc>
          <w:tcPr>
            <w:tcW w:w="0" w:type="auto"/>
            <w:tcBorders>
              <w:top w:val="nil"/>
              <w:left w:val="nil"/>
              <w:bottom w:val="single" w:sz="4" w:space="0" w:color="203764"/>
              <w:right w:val="single" w:sz="4" w:space="0" w:color="203764"/>
            </w:tcBorders>
            <w:shd w:val="clear" w:color="000000" w:fill="FFFFFF"/>
            <w:noWrap/>
            <w:vAlign w:val="bottom"/>
            <w:hideMark/>
          </w:tcPr>
          <w:p w14:paraId="4FE1CC9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€ 6,330.61 </w:t>
            </w:r>
          </w:p>
        </w:tc>
        <w:tc>
          <w:tcPr>
            <w:tcW w:w="0" w:type="auto"/>
            <w:tcBorders>
              <w:top w:val="nil"/>
              <w:left w:val="nil"/>
              <w:bottom w:val="single" w:sz="4" w:space="0" w:color="203764"/>
              <w:right w:val="single" w:sz="4" w:space="0" w:color="203764"/>
            </w:tcBorders>
            <w:shd w:val="clear" w:color="000000" w:fill="FFFFFF"/>
            <w:noWrap/>
            <w:vAlign w:val="bottom"/>
            <w:hideMark/>
          </w:tcPr>
          <w:p w14:paraId="247244E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€ 66.69</w:t>
            </w:r>
          </w:p>
        </w:tc>
      </w:tr>
      <w:tr w:rsidR="00B30DDC" w:rsidRPr="007F2703" w14:paraId="736AB6F5"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11809808"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Cost of MI AE (beyond index)  </w:t>
            </w:r>
          </w:p>
        </w:tc>
        <w:tc>
          <w:tcPr>
            <w:tcW w:w="0" w:type="auto"/>
            <w:tcBorders>
              <w:top w:val="nil"/>
              <w:left w:val="nil"/>
              <w:bottom w:val="single" w:sz="4" w:space="0" w:color="203764"/>
              <w:right w:val="single" w:sz="4" w:space="0" w:color="203764"/>
            </w:tcBorders>
            <w:shd w:val="clear" w:color="000000" w:fill="FFFFFF"/>
            <w:noWrap/>
            <w:vAlign w:val="bottom"/>
            <w:hideMark/>
          </w:tcPr>
          <w:p w14:paraId="0D551FA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€ 6,339.97 </w:t>
            </w:r>
          </w:p>
        </w:tc>
        <w:tc>
          <w:tcPr>
            <w:tcW w:w="0" w:type="auto"/>
            <w:tcBorders>
              <w:top w:val="nil"/>
              <w:left w:val="nil"/>
              <w:bottom w:val="single" w:sz="4" w:space="0" w:color="203764"/>
              <w:right w:val="single" w:sz="4" w:space="0" w:color="203764"/>
            </w:tcBorders>
            <w:shd w:val="clear" w:color="000000" w:fill="FFFFFF"/>
            <w:noWrap/>
            <w:vAlign w:val="bottom"/>
            <w:hideMark/>
          </w:tcPr>
          <w:p w14:paraId="15AC451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€ 6,395.84 </w:t>
            </w:r>
          </w:p>
        </w:tc>
        <w:tc>
          <w:tcPr>
            <w:tcW w:w="0" w:type="auto"/>
            <w:tcBorders>
              <w:top w:val="nil"/>
              <w:left w:val="nil"/>
              <w:bottom w:val="single" w:sz="4" w:space="0" w:color="203764"/>
              <w:right w:val="single" w:sz="4" w:space="0" w:color="203764"/>
            </w:tcBorders>
            <w:shd w:val="clear" w:color="000000" w:fill="FFFFFF"/>
            <w:noWrap/>
            <w:vAlign w:val="bottom"/>
            <w:hideMark/>
          </w:tcPr>
          <w:p w14:paraId="0CE2C9F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€ 55.87</w:t>
            </w:r>
          </w:p>
        </w:tc>
      </w:tr>
      <w:tr w:rsidR="00B30DDC" w:rsidRPr="007F2703" w14:paraId="2E72D29F"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FF9D7FA"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Atrial fibrillation, month 2-12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0EDF7F25"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€ 6,394.93 </w:t>
            </w:r>
          </w:p>
        </w:tc>
        <w:tc>
          <w:tcPr>
            <w:tcW w:w="0" w:type="auto"/>
            <w:tcBorders>
              <w:top w:val="nil"/>
              <w:left w:val="nil"/>
              <w:bottom w:val="single" w:sz="4" w:space="0" w:color="203764"/>
              <w:right w:val="single" w:sz="4" w:space="0" w:color="203764"/>
            </w:tcBorders>
            <w:shd w:val="clear" w:color="000000" w:fill="FFFFFF"/>
            <w:noWrap/>
            <w:vAlign w:val="bottom"/>
            <w:hideMark/>
          </w:tcPr>
          <w:p w14:paraId="2F1D627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€ 6,340.67 </w:t>
            </w:r>
          </w:p>
        </w:tc>
        <w:tc>
          <w:tcPr>
            <w:tcW w:w="0" w:type="auto"/>
            <w:tcBorders>
              <w:top w:val="nil"/>
              <w:left w:val="nil"/>
              <w:bottom w:val="single" w:sz="4" w:space="0" w:color="203764"/>
              <w:right w:val="single" w:sz="4" w:space="0" w:color="203764"/>
            </w:tcBorders>
            <w:shd w:val="clear" w:color="000000" w:fill="FFFFFF"/>
            <w:noWrap/>
            <w:vAlign w:val="bottom"/>
            <w:hideMark/>
          </w:tcPr>
          <w:p w14:paraId="1556652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€ 54.26</w:t>
            </w:r>
          </w:p>
        </w:tc>
      </w:tr>
      <w:tr w:rsidR="00B30DDC" w:rsidRPr="007F2703" w14:paraId="6E7E7524"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0606EE9D"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Rehab cost TAVI</w:t>
            </w:r>
          </w:p>
        </w:tc>
        <w:tc>
          <w:tcPr>
            <w:tcW w:w="0" w:type="auto"/>
            <w:tcBorders>
              <w:top w:val="nil"/>
              <w:left w:val="nil"/>
              <w:bottom w:val="single" w:sz="4" w:space="0" w:color="203764"/>
              <w:right w:val="single" w:sz="4" w:space="0" w:color="203764"/>
            </w:tcBorders>
            <w:shd w:val="clear" w:color="000000" w:fill="FFFFFF"/>
            <w:noWrap/>
            <w:vAlign w:val="bottom"/>
            <w:hideMark/>
          </w:tcPr>
          <w:p w14:paraId="52FCB02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€ 6,344.98 </w:t>
            </w:r>
          </w:p>
        </w:tc>
        <w:tc>
          <w:tcPr>
            <w:tcW w:w="0" w:type="auto"/>
            <w:tcBorders>
              <w:top w:val="nil"/>
              <w:left w:val="nil"/>
              <w:bottom w:val="single" w:sz="4" w:space="0" w:color="203764"/>
              <w:right w:val="single" w:sz="4" w:space="0" w:color="203764"/>
            </w:tcBorders>
            <w:shd w:val="clear" w:color="000000" w:fill="FFFFFF"/>
            <w:noWrap/>
            <w:vAlign w:val="bottom"/>
            <w:hideMark/>
          </w:tcPr>
          <w:p w14:paraId="42FE03E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€ 6,390.79 </w:t>
            </w:r>
          </w:p>
        </w:tc>
        <w:tc>
          <w:tcPr>
            <w:tcW w:w="0" w:type="auto"/>
            <w:tcBorders>
              <w:top w:val="nil"/>
              <w:left w:val="nil"/>
              <w:bottom w:val="single" w:sz="4" w:space="0" w:color="203764"/>
              <w:right w:val="single" w:sz="4" w:space="0" w:color="203764"/>
            </w:tcBorders>
            <w:shd w:val="clear" w:color="000000" w:fill="FFFFFF"/>
            <w:noWrap/>
            <w:vAlign w:val="bottom"/>
            <w:hideMark/>
          </w:tcPr>
          <w:p w14:paraId="25E8C94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€ 45.80</w:t>
            </w:r>
          </w:p>
        </w:tc>
      </w:tr>
      <w:tr w:rsidR="00B30DDC" w:rsidRPr="007F2703" w14:paraId="1B37723B"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0460E9CE"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Cost of major vascular complication (beyond index)   </w:t>
            </w:r>
          </w:p>
        </w:tc>
        <w:tc>
          <w:tcPr>
            <w:tcW w:w="0" w:type="auto"/>
            <w:tcBorders>
              <w:top w:val="nil"/>
              <w:left w:val="nil"/>
              <w:bottom w:val="single" w:sz="4" w:space="0" w:color="203764"/>
              <w:right w:val="single" w:sz="4" w:space="0" w:color="203764"/>
            </w:tcBorders>
            <w:shd w:val="clear" w:color="000000" w:fill="FFFFFF"/>
            <w:noWrap/>
            <w:vAlign w:val="bottom"/>
            <w:hideMark/>
          </w:tcPr>
          <w:p w14:paraId="14F643E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€ 6,381.85 </w:t>
            </w:r>
          </w:p>
        </w:tc>
        <w:tc>
          <w:tcPr>
            <w:tcW w:w="0" w:type="auto"/>
            <w:tcBorders>
              <w:top w:val="nil"/>
              <w:left w:val="nil"/>
              <w:bottom w:val="single" w:sz="4" w:space="0" w:color="203764"/>
              <w:right w:val="single" w:sz="4" w:space="0" w:color="203764"/>
            </w:tcBorders>
            <w:shd w:val="clear" w:color="000000" w:fill="FFFFFF"/>
            <w:noWrap/>
            <w:vAlign w:val="bottom"/>
            <w:hideMark/>
          </w:tcPr>
          <w:p w14:paraId="4697B40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€ 6,353.89 </w:t>
            </w:r>
          </w:p>
        </w:tc>
        <w:tc>
          <w:tcPr>
            <w:tcW w:w="0" w:type="auto"/>
            <w:tcBorders>
              <w:top w:val="nil"/>
              <w:left w:val="nil"/>
              <w:bottom w:val="single" w:sz="4" w:space="0" w:color="203764"/>
              <w:right w:val="single" w:sz="4" w:space="0" w:color="203764"/>
            </w:tcBorders>
            <w:shd w:val="clear" w:color="000000" w:fill="FFFFFF"/>
            <w:noWrap/>
            <w:vAlign w:val="bottom"/>
            <w:hideMark/>
          </w:tcPr>
          <w:p w14:paraId="44E18851"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€ 27.96</w:t>
            </w:r>
          </w:p>
        </w:tc>
      </w:tr>
      <w:tr w:rsidR="00B30DDC" w:rsidRPr="007F2703" w14:paraId="4355E746"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3925FD01" w14:textId="5283C514"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Follow-up cost TAVI &amp; SAVR, 1 yr. </w:t>
            </w:r>
          </w:p>
        </w:tc>
        <w:tc>
          <w:tcPr>
            <w:tcW w:w="0" w:type="auto"/>
            <w:tcBorders>
              <w:top w:val="nil"/>
              <w:left w:val="nil"/>
              <w:bottom w:val="single" w:sz="4" w:space="0" w:color="203764"/>
              <w:right w:val="single" w:sz="4" w:space="0" w:color="203764"/>
            </w:tcBorders>
            <w:shd w:val="clear" w:color="000000" w:fill="FFFFFF"/>
            <w:noWrap/>
            <w:vAlign w:val="bottom"/>
            <w:hideMark/>
          </w:tcPr>
          <w:p w14:paraId="0167D25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€ 6,354.44 </w:t>
            </w:r>
          </w:p>
        </w:tc>
        <w:tc>
          <w:tcPr>
            <w:tcW w:w="0" w:type="auto"/>
            <w:tcBorders>
              <w:top w:val="nil"/>
              <w:left w:val="nil"/>
              <w:bottom w:val="single" w:sz="4" w:space="0" w:color="203764"/>
              <w:right w:val="single" w:sz="4" w:space="0" w:color="203764"/>
            </w:tcBorders>
            <w:shd w:val="clear" w:color="000000" w:fill="FFFFFF"/>
            <w:noWrap/>
            <w:vAlign w:val="bottom"/>
            <w:hideMark/>
          </w:tcPr>
          <w:p w14:paraId="06FD890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€ 6,381.33 </w:t>
            </w:r>
          </w:p>
        </w:tc>
        <w:tc>
          <w:tcPr>
            <w:tcW w:w="0" w:type="auto"/>
            <w:tcBorders>
              <w:top w:val="nil"/>
              <w:left w:val="nil"/>
              <w:bottom w:val="single" w:sz="4" w:space="0" w:color="203764"/>
              <w:right w:val="single" w:sz="4" w:space="0" w:color="203764"/>
            </w:tcBorders>
            <w:shd w:val="clear" w:color="000000" w:fill="FFFFFF"/>
            <w:noWrap/>
            <w:vAlign w:val="bottom"/>
            <w:hideMark/>
          </w:tcPr>
          <w:p w14:paraId="477DE20D"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€ 26.89</w:t>
            </w:r>
          </w:p>
        </w:tc>
      </w:tr>
      <w:tr w:rsidR="00B30DDC" w:rsidRPr="007F2703" w14:paraId="42300F9D"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19642CB"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End-of-life costs  </w:t>
            </w:r>
          </w:p>
        </w:tc>
        <w:tc>
          <w:tcPr>
            <w:tcW w:w="0" w:type="auto"/>
            <w:tcBorders>
              <w:top w:val="nil"/>
              <w:left w:val="nil"/>
              <w:bottom w:val="single" w:sz="4" w:space="0" w:color="203764"/>
              <w:right w:val="single" w:sz="4" w:space="0" w:color="203764"/>
            </w:tcBorders>
            <w:shd w:val="clear" w:color="000000" w:fill="FFFFFF"/>
            <w:noWrap/>
            <w:vAlign w:val="bottom"/>
            <w:hideMark/>
          </w:tcPr>
          <w:p w14:paraId="0C8D41D6"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€ 6,377.51 </w:t>
            </w:r>
          </w:p>
        </w:tc>
        <w:tc>
          <w:tcPr>
            <w:tcW w:w="0" w:type="auto"/>
            <w:tcBorders>
              <w:top w:val="nil"/>
              <w:left w:val="nil"/>
              <w:bottom w:val="single" w:sz="4" w:space="0" w:color="203764"/>
              <w:right w:val="single" w:sz="4" w:space="0" w:color="203764"/>
            </w:tcBorders>
            <w:shd w:val="clear" w:color="000000" w:fill="FFFFFF"/>
            <w:noWrap/>
            <w:vAlign w:val="bottom"/>
            <w:hideMark/>
          </w:tcPr>
          <w:p w14:paraId="22236B49"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€ 6,358.27 </w:t>
            </w:r>
          </w:p>
        </w:tc>
        <w:tc>
          <w:tcPr>
            <w:tcW w:w="0" w:type="auto"/>
            <w:tcBorders>
              <w:top w:val="nil"/>
              <w:left w:val="nil"/>
              <w:bottom w:val="single" w:sz="4" w:space="0" w:color="203764"/>
              <w:right w:val="single" w:sz="4" w:space="0" w:color="203764"/>
            </w:tcBorders>
            <w:shd w:val="clear" w:color="000000" w:fill="FFFFFF"/>
            <w:noWrap/>
            <w:vAlign w:val="bottom"/>
            <w:hideMark/>
          </w:tcPr>
          <w:p w14:paraId="43D7A05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€ 19.24</w:t>
            </w:r>
          </w:p>
        </w:tc>
      </w:tr>
      <w:tr w:rsidR="00B30DDC" w:rsidRPr="007F2703" w14:paraId="208F4B33"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48D3CF3A"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Cost of stroke AE (beyond index)  </w:t>
            </w:r>
          </w:p>
        </w:tc>
        <w:tc>
          <w:tcPr>
            <w:tcW w:w="0" w:type="auto"/>
            <w:tcBorders>
              <w:top w:val="nil"/>
              <w:left w:val="nil"/>
              <w:bottom w:val="single" w:sz="4" w:space="0" w:color="203764"/>
              <w:right w:val="single" w:sz="4" w:space="0" w:color="203764"/>
            </w:tcBorders>
            <w:shd w:val="clear" w:color="000000" w:fill="FFFFFF"/>
            <w:noWrap/>
            <w:vAlign w:val="bottom"/>
            <w:hideMark/>
          </w:tcPr>
          <w:p w14:paraId="00C1D212"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€ 6,364.32 </w:t>
            </w:r>
          </w:p>
        </w:tc>
        <w:tc>
          <w:tcPr>
            <w:tcW w:w="0" w:type="auto"/>
            <w:tcBorders>
              <w:top w:val="nil"/>
              <w:left w:val="nil"/>
              <w:bottom w:val="single" w:sz="4" w:space="0" w:color="203764"/>
              <w:right w:val="single" w:sz="4" w:space="0" w:color="203764"/>
            </w:tcBorders>
            <w:shd w:val="clear" w:color="000000" w:fill="FFFFFF"/>
            <w:noWrap/>
            <w:vAlign w:val="bottom"/>
            <w:hideMark/>
          </w:tcPr>
          <w:p w14:paraId="26A4A28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€ 6,371.48 </w:t>
            </w:r>
          </w:p>
        </w:tc>
        <w:tc>
          <w:tcPr>
            <w:tcW w:w="0" w:type="auto"/>
            <w:tcBorders>
              <w:top w:val="nil"/>
              <w:left w:val="nil"/>
              <w:bottom w:val="single" w:sz="4" w:space="0" w:color="203764"/>
              <w:right w:val="single" w:sz="4" w:space="0" w:color="203764"/>
            </w:tcBorders>
            <w:shd w:val="clear" w:color="000000" w:fill="FFFFFF"/>
            <w:noWrap/>
            <w:vAlign w:val="bottom"/>
            <w:hideMark/>
          </w:tcPr>
          <w:p w14:paraId="14FBF26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€ 7.16</w:t>
            </w:r>
          </w:p>
        </w:tc>
      </w:tr>
      <w:tr w:rsidR="00B30DDC" w:rsidRPr="007F2703" w14:paraId="200DF1C8"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3444A354"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Atrial fibrillation, month 13-24  - SAVR</w:t>
            </w:r>
          </w:p>
        </w:tc>
        <w:tc>
          <w:tcPr>
            <w:tcW w:w="0" w:type="auto"/>
            <w:tcBorders>
              <w:top w:val="nil"/>
              <w:left w:val="nil"/>
              <w:bottom w:val="single" w:sz="4" w:space="0" w:color="203764"/>
              <w:right w:val="single" w:sz="4" w:space="0" w:color="203764"/>
            </w:tcBorders>
            <w:shd w:val="clear" w:color="000000" w:fill="FFFFFF"/>
            <w:noWrap/>
            <w:vAlign w:val="bottom"/>
            <w:hideMark/>
          </w:tcPr>
          <w:p w14:paraId="483AADC3"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€ 6,365.57 </w:t>
            </w:r>
          </w:p>
        </w:tc>
        <w:tc>
          <w:tcPr>
            <w:tcW w:w="0" w:type="auto"/>
            <w:tcBorders>
              <w:top w:val="nil"/>
              <w:left w:val="nil"/>
              <w:bottom w:val="single" w:sz="4" w:space="0" w:color="203764"/>
              <w:right w:val="single" w:sz="4" w:space="0" w:color="203764"/>
            </w:tcBorders>
            <w:shd w:val="clear" w:color="000000" w:fill="FFFFFF"/>
            <w:noWrap/>
            <w:vAlign w:val="bottom"/>
            <w:hideMark/>
          </w:tcPr>
          <w:p w14:paraId="0E28E4AD"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€ 6,372.41 </w:t>
            </w:r>
          </w:p>
        </w:tc>
        <w:tc>
          <w:tcPr>
            <w:tcW w:w="0" w:type="auto"/>
            <w:tcBorders>
              <w:top w:val="nil"/>
              <w:left w:val="nil"/>
              <w:bottom w:val="single" w:sz="4" w:space="0" w:color="203764"/>
              <w:right w:val="single" w:sz="4" w:space="0" w:color="203764"/>
            </w:tcBorders>
            <w:shd w:val="clear" w:color="000000" w:fill="FFFFFF"/>
            <w:noWrap/>
            <w:vAlign w:val="bottom"/>
            <w:hideMark/>
          </w:tcPr>
          <w:p w14:paraId="51D97FF0"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€ 6.84</w:t>
            </w:r>
          </w:p>
        </w:tc>
      </w:tr>
      <w:tr w:rsidR="00B30DDC" w:rsidRPr="007F2703" w14:paraId="71422C5D"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2014618"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Cost of reintervention (surgical) (beyond index)   </w:t>
            </w:r>
          </w:p>
        </w:tc>
        <w:tc>
          <w:tcPr>
            <w:tcW w:w="0" w:type="auto"/>
            <w:tcBorders>
              <w:top w:val="nil"/>
              <w:left w:val="nil"/>
              <w:bottom w:val="single" w:sz="4" w:space="0" w:color="203764"/>
              <w:right w:val="single" w:sz="4" w:space="0" w:color="203764"/>
            </w:tcBorders>
            <w:shd w:val="clear" w:color="000000" w:fill="FFFFFF"/>
            <w:noWrap/>
            <w:vAlign w:val="bottom"/>
            <w:hideMark/>
          </w:tcPr>
          <w:p w14:paraId="15EAE8A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€ 6,365.76 </w:t>
            </w:r>
          </w:p>
        </w:tc>
        <w:tc>
          <w:tcPr>
            <w:tcW w:w="0" w:type="auto"/>
            <w:tcBorders>
              <w:top w:val="nil"/>
              <w:left w:val="nil"/>
              <w:bottom w:val="single" w:sz="4" w:space="0" w:color="203764"/>
              <w:right w:val="single" w:sz="4" w:space="0" w:color="203764"/>
            </w:tcBorders>
            <w:shd w:val="clear" w:color="000000" w:fill="FFFFFF"/>
            <w:noWrap/>
            <w:vAlign w:val="bottom"/>
            <w:hideMark/>
          </w:tcPr>
          <w:p w14:paraId="6FEC11A7"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€ 6,370.02 </w:t>
            </w:r>
          </w:p>
        </w:tc>
        <w:tc>
          <w:tcPr>
            <w:tcW w:w="0" w:type="auto"/>
            <w:tcBorders>
              <w:top w:val="nil"/>
              <w:left w:val="nil"/>
              <w:bottom w:val="single" w:sz="4" w:space="0" w:color="203764"/>
              <w:right w:val="single" w:sz="4" w:space="0" w:color="203764"/>
            </w:tcBorders>
            <w:shd w:val="clear" w:color="000000" w:fill="FFFFFF"/>
            <w:noWrap/>
            <w:vAlign w:val="bottom"/>
            <w:hideMark/>
          </w:tcPr>
          <w:p w14:paraId="4E6E1C5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€ 4.26</w:t>
            </w:r>
          </w:p>
        </w:tc>
      </w:tr>
      <w:tr w:rsidR="00B30DDC" w:rsidRPr="007F2703" w14:paraId="5688DB6E"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12ACE82B"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Cost of AKI (beyond index)  </w:t>
            </w:r>
          </w:p>
        </w:tc>
        <w:tc>
          <w:tcPr>
            <w:tcW w:w="0" w:type="auto"/>
            <w:tcBorders>
              <w:top w:val="nil"/>
              <w:left w:val="nil"/>
              <w:bottom w:val="single" w:sz="4" w:space="0" w:color="203764"/>
              <w:right w:val="single" w:sz="4" w:space="0" w:color="203764"/>
            </w:tcBorders>
            <w:shd w:val="clear" w:color="000000" w:fill="FFFFFF"/>
            <w:noWrap/>
            <w:vAlign w:val="bottom"/>
            <w:hideMark/>
          </w:tcPr>
          <w:p w14:paraId="0E53812E"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€ 6,366.83 </w:t>
            </w:r>
          </w:p>
        </w:tc>
        <w:tc>
          <w:tcPr>
            <w:tcW w:w="0" w:type="auto"/>
            <w:tcBorders>
              <w:top w:val="nil"/>
              <w:left w:val="nil"/>
              <w:bottom w:val="single" w:sz="4" w:space="0" w:color="203764"/>
              <w:right w:val="single" w:sz="4" w:space="0" w:color="203764"/>
            </w:tcBorders>
            <w:shd w:val="clear" w:color="000000" w:fill="FFFFFF"/>
            <w:noWrap/>
            <w:vAlign w:val="bottom"/>
            <w:hideMark/>
          </w:tcPr>
          <w:p w14:paraId="348F8718"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€ 6,368.96 </w:t>
            </w:r>
          </w:p>
        </w:tc>
        <w:tc>
          <w:tcPr>
            <w:tcW w:w="0" w:type="auto"/>
            <w:tcBorders>
              <w:top w:val="nil"/>
              <w:left w:val="nil"/>
              <w:bottom w:val="single" w:sz="4" w:space="0" w:color="203764"/>
              <w:right w:val="single" w:sz="4" w:space="0" w:color="203764"/>
            </w:tcBorders>
            <w:shd w:val="clear" w:color="000000" w:fill="FFFFFF"/>
            <w:noWrap/>
            <w:vAlign w:val="bottom"/>
            <w:hideMark/>
          </w:tcPr>
          <w:p w14:paraId="013E8534"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€ 2.13</w:t>
            </w:r>
          </w:p>
        </w:tc>
      </w:tr>
      <w:tr w:rsidR="00B30DDC" w:rsidRPr="007F2703" w14:paraId="431CF9FD" w14:textId="77777777" w:rsidTr="007F2703">
        <w:trPr>
          <w:trHeight w:val="240"/>
        </w:trPr>
        <w:tc>
          <w:tcPr>
            <w:tcW w:w="0" w:type="auto"/>
            <w:tcBorders>
              <w:top w:val="nil"/>
              <w:left w:val="single" w:sz="4" w:space="0" w:color="203764"/>
              <w:bottom w:val="single" w:sz="4" w:space="0" w:color="203764"/>
              <w:right w:val="single" w:sz="4" w:space="0" w:color="203764"/>
            </w:tcBorders>
            <w:shd w:val="clear" w:color="000000" w:fill="FFFFFF"/>
            <w:noWrap/>
            <w:vAlign w:val="bottom"/>
            <w:hideMark/>
          </w:tcPr>
          <w:p w14:paraId="5B56E600" w14:textId="77777777" w:rsidR="007F2703" w:rsidRPr="007F2703" w:rsidRDefault="007F2703" w:rsidP="007F2703">
            <w:pPr>
              <w:spacing w:after="0" w:line="240" w:lineRule="auto"/>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Cost of transportation  </w:t>
            </w:r>
          </w:p>
        </w:tc>
        <w:tc>
          <w:tcPr>
            <w:tcW w:w="0" w:type="auto"/>
            <w:tcBorders>
              <w:top w:val="nil"/>
              <w:left w:val="nil"/>
              <w:bottom w:val="single" w:sz="4" w:space="0" w:color="203764"/>
              <w:right w:val="single" w:sz="4" w:space="0" w:color="203764"/>
            </w:tcBorders>
            <w:shd w:val="clear" w:color="000000" w:fill="FFFFFF"/>
            <w:noWrap/>
            <w:vAlign w:val="bottom"/>
            <w:hideMark/>
          </w:tcPr>
          <w:p w14:paraId="2FC2678A"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€ 6,366.87 </w:t>
            </w:r>
          </w:p>
        </w:tc>
        <w:tc>
          <w:tcPr>
            <w:tcW w:w="0" w:type="auto"/>
            <w:tcBorders>
              <w:top w:val="nil"/>
              <w:left w:val="nil"/>
              <w:bottom w:val="single" w:sz="4" w:space="0" w:color="203764"/>
              <w:right w:val="single" w:sz="4" w:space="0" w:color="203764"/>
            </w:tcBorders>
            <w:shd w:val="clear" w:color="000000" w:fill="FFFFFF"/>
            <w:noWrap/>
            <w:vAlign w:val="bottom"/>
            <w:hideMark/>
          </w:tcPr>
          <w:p w14:paraId="500AF54B"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xml:space="preserve">€ 6,368.90 </w:t>
            </w:r>
          </w:p>
        </w:tc>
        <w:tc>
          <w:tcPr>
            <w:tcW w:w="0" w:type="auto"/>
            <w:tcBorders>
              <w:top w:val="nil"/>
              <w:left w:val="nil"/>
              <w:bottom w:val="single" w:sz="4" w:space="0" w:color="203764"/>
              <w:right w:val="single" w:sz="4" w:space="0" w:color="203764"/>
            </w:tcBorders>
            <w:shd w:val="clear" w:color="000000" w:fill="FFFFFF"/>
            <w:noWrap/>
            <w:vAlign w:val="bottom"/>
            <w:hideMark/>
          </w:tcPr>
          <w:p w14:paraId="4F71281F" w14:textId="77777777" w:rsidR="007F2703" w:rsidRPr="007F2703" w:rsidRDefault="007F2703" w:rsidP="007F2703">
            <w:pPr>
              <w:spacing w:after="0" w:line="240" w:lineRule="auto"/>
              <w:jc w:val="right"/>
              <w:rPr>
                <w:rFonts w:ascii="Arial Narrow" w:eastAsia="Times New Roman" w:hAnsi="Arial Narrow" w:cs="Arial"/>
                <w:color w:val="000000"/>
                <w:sz w:val="16"/>
                <w:szCs w:val="16"/>
              </w:rPr>
            </w:pPr>
            <w:r w:rsidRPr="007F2703">
              <w:rPr>
                <w:rFonts w:ascii="Arial Narrow" w:eastAsia="Times New Roman" w:hAnsi="Arial Narrow" w:cs="Arial"/>
                <w:color w:val="000000"/>
                <w:sz w:val="16"/>
                <w:szCs w:val="16"/>
              </w:rPr>
              <w:t>€ 2.03</w:t>
            </w:r>
          </w:p>
        </w:tc>
      </w:tr>
    </w:tbl>
    <w:p w14:paraId="5EB8B3D4" w14:textId="5B0665C2" w:rsidR="00265227" w:rsidRDefault="009813EF">
      <w:r>
        <w:t>AKI: acute kidney injury; MI: myocardial infarction; PPI: permanent pacemaker implantation; SAVR: surgical aortic valve replacement; TAVI: transcatheter aortic valve implantation.</w:t>
      </w:r>
    </w:p>
    <w:sectPr w:rsidR="0026522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DD259" w14:textId="77777777" w:rsidR="005F113C" w:rsidRDefault="005F113C" w:rsidP="005E408A">
      <w:pPr>
        <w:spacing w:after="0" w:line="240" w:lineRule="auto"/>
      </w:pPr>
      <w:r>
        <w:separator/>
      </w:r>
    </w:p>
  </w:endnote>
  <w:endnote w:type="continuationSeparator" w:id="0">
    <w:p w14:paraId="24E92750" w14:textId="77777777" w:rsidR="005F113C" w:rsidRDefault="005F113C" w:rsidP="005E4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8105016"/>
      <w:docPartObj>
        <w:docPartGallery w:val="Page Numbers (Bottom of Page)"/>
        <w:docPartUnique/>
      </w:docPartObj>
    </w:sdtPr>
    <w:sdtEndPr>
      <w:rPr>
        <w:noProof/>
      </w:rPr>
    </w:sdtEndPr>
    <w:sdtContent>
      <w:p w14:paraId="679DD31A" w14:textId="3AF93C04" w:rsidR="005E408A" w:rsidRDefault="005E408A">
        <w:pPr>
          <w:pStyle w:val="Footer"/>
          <w:jc w:val="right"/>
        </w:pPr>
        <w:r>
          <w:fldChar w:fldCharType="begin"/>
        </w:r>
        <w:r>
          <w:instrText xml:space="preserve"> PAGE   \* MERGEFORMAT </w:instrText>
        </w:r>
        <w:r>
          <w:fldChar w:fldCharType="separate"/>
        </w:r>
        <w:r w:rsidR="00AF7747">
          <w:rPr>
            <w:noProof/>
          </w:rPr>
          <w:t>3</w:t>
        </w:r>
        <w:r>
          <w:rPr>
            <w:noProof/>
          </w:rPr>
          <w:fldChar w:fldCharType="end"/>
        </w:r>
      </w:p>
    </w:sdtContent>
  </w:sdt>
  <w:p w14:paraId="6AA1D3BE" w14:textId="77777777" w:rsidR="005E408A" w:rsidRDefault="005E40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312157" w14:textId="77777777" w:rsidR="005F113C" w:rsidRDefault="005F113C" w:rsidP="005E408A">
      <w:pPr>
        <w:spacing w:after="0" w:line="240" w:lineRule="auto"/>
      </w:pPr>
      <w:r>
        <w:separator/>
      </w:r>
    </w:p>
  </w:footnote>
  <w:footnote w:type="continuationSeparator" w:id="0">
    <w:p w14:paraId="290FC598" w14:textId="77777777" w:rsidR="005F113C" w:rsidRDefault="005F113C" w:rsidP="005E408A">
      <w:pPr>
        <w:spacing w:after="0" w:line="240" w:lineRule="auto"/>
      </w:pPr>
      <w:r>
        <w:continuationSeparator/>
      </w:r>
    </w:p>
  </w:footnote>
  <w:footnote w:id="1">
    <w:p w14:paraId="0A069263" w14:textId="75FA7C94" w:rsidR="001A2FC3" w:rsidRDefault="001A2FC3">
      <w:pPr>
        <w:pStyle w:val="FootnoteText"/>
      </w:pPr>
      <w:r>
        <w:rPr>
          <w:rStyle w:val="FootnoteReference"/>
        </w:rPr>
        <w:footnoteRef/>
      </w:r>
      <w:r>
        <w:t xml:space="preserve"> </w:t>
      </w:r>
      <w:hyperlink r:id="rId1" w:history="1">
        <w:r w:rsidRPr="00DA2F56">
          <w:rPr>
            <w:rStyle w:val="Hyperlink"/>
          </w:rPr>
          <w:t>https://www.has-sante.fr/upload/docs/application/pdf/2021-07/corevalve_evolut_r_evolut_pro_11052021_avis_economique.pdf</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7B515F"/>
    <w:multiLevelType w:val="hybridMultilevel"/>
    <w:tmpl w:val="69160A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227"/>
    <w:rsid w:val="000138F8"/>
    <w:rsid w:val="00023372"/>
    <w:rsid w:val="000F7930"/>
    <w:rsid w:val="001639D7"/>
    <w:rsid w:val="001876F9"/>
    <w:rsid w:val="00195C4A"/>
    <w:rsid w:val="00197811"/>
    <w:rsid w:val="001A2FC3"/>
    <w:rsid w:val="001C78EE"/>
    <w:rsid w:val="002036B5"/>
    <w:rsid w:val="00250236"/>
    <w:rsid w:val="002539F9"/>
    <w:rsid w:val="00265227"/>
    <w:rsid w:val="00281B0F"/>
    <w:rsid w:val="002B03E5"/>
    <w:rsid w:val="002D4D76"/>
    <w:rsid w:val="002D79B0"/>
    <w:rsid w:val="00301DE8"/>
    <w:rsid w:val="003247F9"/>
    <w:rsid w:val="00361E70"/>
    <w:rsid w:val="00364CB5"/>
    <w:rsid w:val="003D1AA6"/>
    <w:rsid w:val="00462BDA"/>
    <w:rsid w:val="00521491"/>
    <w:rsid w:val="00532F73"/>
    <w:rsid w:val="0056760E"/>
    <w:rsid w:val="0057501B"/>
    <w:rsid w:val="0058001A"/>
    <w:rsid w:val="005A1F1A"/>
    <w:rsid w:val="005D4923"/>
    <w:rsid w:val="005D5E01"/>
    <w:rsid w:val="005E408A"/>
    <w:rsid w:val="005F113C"/>
    <w:rsid w:val="006074CC"/>
    <w:rsid w:val="006157DF"/>
    <w:rsid w:val="007165DF"/>
    <w:rsid w:val="00736238"/>
    <w:rsid w:val="00766211"/>
    <w:rsid w:val="00780693"/>
    <w:rsid w:val="007B6602"/>
    <w:rsid w:val="007F2703"/>
    <w:rsid w:val="008365F0"/>
    <w:rsid w:val="00870587"/>
    <w:rsid w:val="00875B17"/>
    <w:rsid w:val="008B1B63"/>
    <w:rsid w:val="008F23D7"/>
    <w:rsid w:val="008F487A"/>
    <w:rsid w:val="0097792A"/>
    <w:rsid w:val="009813EF"/>
    <w:rsid w:val="00A01C46"/>
    <w:rsid w:val="00A61283"/>
    <w:rsid w:val="00A7353B"/>
    <w:rsid w:val="00A87508"/>
    <w:rsid w:val="00A9576B"/>
    <w:rsid w:val="00AF7747"/>
    <w:rsid w:val="00B01ACB"/>
    <w:rsid w:val="00B30DDC"/>
    <w:rsid w:val="00B36A82"/>
    <w:rsid w:val="00B40B08"/>
    <w:rsid w:val="00B80A84"/>
    <w:rsid w:val="00BC3704"/>
    <w:rsid w:val="00BD3E59"/>
    <w:rsid w:val="00BD47A4"/>
    <w:rsid w:val="00BF145E"/>
    <w:rsid w:val="00C0430D"/>
    <w:rsid w:val="00CF6F6A"/>
    <w:rsid w:val="00D0550E"/>
    <w:rsid w:val="00D3747A"/>
    <w:rsid w:val="00D428D9"/>
    <w:rsid w:val="00D55F37"/>
    <w:rsid w:val="00D804A6"/>
    <w:rsid w:val="00DA2349"/>
    <w:rsid w:val="00DE26B4"/>
    <w:rsid w:val="00E70533"/>
    <w:rsid w:val="00F515F6"/>
    <w:rsid w:val="00F56CC0"/>
    <w:rsid w:val="00F57672"/>
    <w:rsid w:val="00FA2ACF"/>
    <w:rsid w:val="00FB713C"/>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E880E"/>
  <w15:chartTrackingRefBased/>
  <w15:docId w15:val="{773F7DA4-971B-48D8-A6E6-6D0754343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0693"/>
    <w:pPr>
      <w:spacing w:after="0" w:line="240" w:lineRule="auto"/>
    </w:pPr>
    <w:rPr>
      <w:rFonts w:ascii="Times New Roman" w:eastAsiaTheme="minorHAnsi" w:hAnsi="Times New Roman"/>
      <w:sz w:val="20"/>
      <w:lang w:eastAsia="en-US"/>
    </w:rPr>
  </w:style>
  <w:style w:type="table" w:styleId="PlainTable3">
    <w:name w:val="Plain Table 3"/>
    <w:basedOn w:val="TableNormal"/>
    <w:uiPriority w:val="43"/>
    <w:rsid w:val="00780693"/>
    <w:pPr>
      <w:spacing w:after="0" w:line="240" w:lineRule="auto"/>
    </w:pPr>
    <w:rPr>
      <w:rFonts w:eastAsiaTheme="minorHAnsi"/>
      <w:lang w:eastAsia="en-US"/>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next w:val="Normal"/>
    <w:link w:val="TitleChar"/>
    <w:uiPriority w:val="10"/>
    <w:qFormat/>
    <w:rsid w:val="00780693"/>
    <w:pPr>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780693"/>
    <w:rPr>
      <w:rFonts w:asciiTheme="majorHAnsi" w:eastAsiaTheme="majorEastAsia" w:hAnsiTheme="majorHAnsi" w:cstheme="majorBidi"/>
      <w:spacing w:val="-10"/>
      <w:kern w:val="28"/>
      <w:sz w:val="56"/>
      <w:szCs w:val="56"/>
      <w:lang w:eastAsia="en-US"/>
    </w:rPr>
  </w:style>
  <w:style w:type="paragraph" w:styleId="Header">
    <w:name w:val="header"/>
    <w:basedOn w:val="Normal"/>
    <w:link w:val="HeaderChar"/>
    <w:uiPriority w:val="99"/>
    <w:unhideWhenUsed/>
    <w:rsid w:val="005E4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08A"/>
  </w:style>
  <w:style w:type="paragraph" w:styleId="Footer">
    <w:name w:val="footer"/>
    <w:basedOn w:val="Normal"/>
    <w:link w:val="FooterChar"/>
    <w:uiPriority w:val="99"/>
    <w:unhideWhenUsed/>
    <w:rsid w:val="005E4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08A"/>
  </w:style>
  <w:style w:type="paragraph" w:styleId="ListParagraph">
    <w:name w:val="List Paragraph"/>
    <w:basedOn w:val="Normal"/>
    <w:uiPriority w:val="34"/>
    <w:qFormat/>
    <w:rsid w:val="00A61283"/>
    <w:pPr>
      <w:ind w:left="720"/>
      <w:contextualSpacing/>
    </w:pPr>
  </w:style>
  <w:style w:type="character" w:styleId="CommentReference">
    <w:name w:val="annotation reference"/>
    <w:basedOn w:val="DefaultParagraphFont"/>
    <w:uiPriority w:val="99"/>
    <w:semiHidden/>
    <w:unhideWhenUsed/>
    <w:rsid w:val="00F515F6"/>
    <w:rPr>
      <w:sz w:val="16"/>
      <w:szCs w:val="16"/>
    </w:rPr>
  </w:style>
  <w:style w:type="paragraph" w:styleId="CommentText">
    <w:name w:val="annotation text"/>
    <w:basedOn w:val="Normal"/>
    <w:link w:val="CommentTextChar"/>
    <w:uiPriority w:val="99"/>
    <w:semiHidden/>
    <w:unhideWhenUsed/>
    <w:rsid w:val="00F515F6"/>
    <w:pPr>
      <w:spacing w:line="240" w:lineRule="auto"/>
    </w:pPr>
    <w:rPr>
      <w:sz w:val="20"/>
      <w:szCs w:val="20"/>
    </w:rPr>
  </w:style>
  <w:style w:type="character" w:customStyle="1" w:styleId="CommentTextChar">
    <w:name w:val="Comment Text Char"/>
    <w:basedOn w:val="DefaultParagraphFont"/>
    <w:link w:val="CommentText"/>
    <w:uiPriority w:val="99"/>
    <w:semiHidden/>
    <w:rsid w:val="00F515F6"/>
    <w:rPr>
      <w:sz w:val="20"/>
      <w:szCs w:val="20"/>
    </w:rPr>
  </w:style>
  <w:style w:type="paragraph" w:styleId="CommentSubject">
    <w:name w:val="annotation subject"/>
    <w:basedOn w:val="CommentText"/>
    <w:next w:val="CommentText"/>
    <w:link w:val="CommentSubjectChar"/>
    <w:uiPriority w:val="99"/>
    <w:semiHidden/>
    <w:unhideWhenUsed/>
    <w:rsid w:val="00F515F6"/>
    <w:rPr>
      <w:b/>
      <w:bCs/>
    </w:rPr>
  </w:style>
  <w:style w:type="character" w:customStyle="1" w:styleId="CommentSubjectChar">
    <w:name w:val="Comment Subject Char"/>
    <w:basedOn w:val="CommentTextChar"/>
    <w:link w:val="CommentSubject"/>
    <w:uiPriority w:val="99"/>
    <w:semiHidden/>
    <w:rsid w:val="00F515F6"/>
    <w:rPr>
      <w:b/>
      <w:bCs/>
      <w:sz w:val="20"/>
      <w:szCs w:val="20"/>
    </w:rPr>
  </w:style>
  <w:style w:type="paragraph" w:styleId="Revision">
    <w:name w:val="Revision"/>
    <w:hidden/>
    <w:uiPriority w:val="99"/>
    <w:semiHidden/>
    <w:rsid w:val="009813EF"/>
    <w:pPr>
      <w:spacing w:after="0" w:line="240" w:lineRule="auto"/>
    </w:pPr>
  </w:style>
  <w:style w:type="character" w:styleId="Hyperlink">
    <w:name w:val="Hyperlink"/>
    <w:basedOn w:val="DefaultParagraphFont"/>
    <w:uiPriority w:val="99"/>
    <w:unhideWhenUsed/>
    <w:rsid w:val="008F487A"/>
    <w:rPr>
      <w:color w:val="0000FF"/>
      <w:u w:val="single"/>
    </w:rPr>
  </w:style>
  <w:style w:type="character" w:customStyle="1" w:styleId="UnresolvedMention">
    <w:name w:val="Unresolved Mention"/>
    <w:basedOn w:val="DefaultParagraphFont"/>
    <w:uiPriority w:val="99"/>
    <w:semiHidden/>
    <w:unhideWhenUsed/>
    <w:rsid w:val="00532F73"/>
    <w:rPr>
      <w:color w:val="605E5C"/>
      <w:shd w:val="clear" w:color="auto" w:fill="E1DFDD"/>
    </w:rPr>
  </w:style>
  <w:style w:type="paragraph" w:styleId="FootnoteText">
    <w:name w:val="footnote text"/>
    <w:basedOn w:val="Normal"/>
    <w:link w:val="FootnoteTextChar"/>
    <w:uiPriority w:val="99"/>
    <w:semiHidden/>
    <w:unhideWhenUsed/>
    <w:rsid w:val="001A2F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2FC3"/>
    <w:rPr>
      <w:sz w:val="20"/>
      <w:szCs w:val="20"/>
    </w:rPr>
  </w:style>
  <w:style w:type="character" w:styleId="FootnoteReference">
    <w:name w:val="footnote reference"/>
    <w:basedOn w:val="DefaultParagraphFont"/>
    <w:uiPriority w:val="99"/>
    <w:semiHidden/>
    <w:unhideWhenUsed/>
    <w:rsid w:val="001A2F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446362">
      <w:bodyDiv w:val="1"/>
      <w:marLeft w:val="0"/>
      <w:marRight w:val="0"/>
      <w:marTop w:val="0"/>
      <w:marBottom w:val="0"/>
      <w:divBdr>
        <w:top w:val="none" w:sz="0" w:space="0" w:color="auto"/>
        <w:left w:val="none" w:sz="0" w:space="0" w:color="auto"/>
        <w:bottom w:val="none" w:sz="0" w:space="0" w:color="auto"/>
        <w:right w:val="none" w:sz="0" w:space="0" w:color="auto"/>
      </w:divBdr>
    </w:div>
    <w:div w:id="1206064431">
      <w:bodyDiv w:val="1"/>
      <w:marLeft w:val="0"/>
      <w:marRight w:val="0"/>
      <w:marTop w:val="0"/>
      <w:marBottom w:val="0"/>
      <w:divBdr>
        <w:top w:val="none" w:sz="0" w:space="0" w:color="auto"/>
        <w:left w:val="none" w:sz="0" w:space="0" w:color="auto"/>
        <w:bottom w:val="none" w:sz="0" w:space="0" w:color="auto"/>
        <w:right w:val="none" w:sz="0" w:space="0" w:color="auto"/>
      </w:divBdr>
    </w:div>
    <w:div w:id="1309942456">
      <w:bodyDiv w:val="1"/>
      <w:marLeft w:val="0"/>
      <w:marRight w:val="0"/>
      <w:marTop w:val="0"/>
      <w:marBottom w:val="0"/>
      <w:divBdr>
        <w:top w:val="none" w:sz="0" w:space="0" w:color="auto"/>
        <w:left w:val="none" w:sz="0" w:space="0" w:color="auto"/>
        <w:bottom w:val="none" w:sz="0" w:space="0" w:color="auto"/>
        <w:right w:val="none" w:sz="0" w:space="0" w:color="auto"/>
      </w:divBdr>
    </w:div>
    <w:div w:id="158553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has-sante.fr/upload/docs/application/pdf/2021-07/corevalve_evolut_r_evolut_pro_11052021_avis_economiqu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3EC82-791B-445C-B5E0-17C4AB831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3772</Words>
  <Characters>21506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Benjamin Pietzsch</dc:creator>
  <cp:keywords/>
  <dc:description/>
  <cp:lastModifiedBy>Mohamad Basha</cp:lastModifiedBy>
  <cp:revision>5</cp:revision>
  <dcterms:created xsi:type="dcterms:W3CDTF">2023-02-17T09:15:00Z</dcterms:created>
  <dcterms:modified xsi:type="dcterms:W3CDTF">2023-04-26T06:49:00Z</dcterms:modified>
</cp:coreProperties>
</file>