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634E3" w14:textId="0C2617C9" w:rsidR="0090645A" w:rsidRDefault="00021B8B" w:rsidP="00DA6993">
      <w:pPr>
        <w:pStyle w:val="Heading1"/>
        <w:rPr>
          <w:lang w:val="en-GB"/>
        </w:rPr>
      </w:pPr>
      <w:r>
        <w:rPr>
          <w:lang w:val="en-GB"/>
        </w:rPr>
        <w:t>Online Resource</w:t>
      </w:r>
      <w:r w:rsidR="00DA6993" w:rsidRPr="006A2D59">
        <w:rPr>
          <w:lang w:val="en-GB"/>
        </w:rPr>
        <w:t xml:space="preserve"> </w:t>
      </w:r>
      <w:r w:rsidR="00574B02">
        <w:rPr>
          <w:lang w:val="en-GB"/>
        </w:rPr>
        <w:t>4</w:t>
      </w:r>
      <w:r w:rsidR="00DA6993" w:rsidRPr="006A2D59">
        <w:rPr>
          <w:lang w:val="en-GB"/>
        </w:rPr>
        <w:t>: Access-related impact and organisational (dis-)advantages of applied quantitative pricing policy interventions</w:t>
      </w:r>
      <w:r w:rsidR="00134D28">
        <w:rPr>
          <w:lang w:val="en-GB"/>
        </w:rPr>
        <w:t xml:space="preserve"> </w:t>
      </w:r>
      <w:r w:rsidR="00DA6993" w:rsidRPr="006A2D59">
        <w:rPr>
          <w:lang w:val="en-GB"/>
        </w:rPr>
        <w:t>– detailed overview</w:t>
      </w:r>
    </w:p>
    <w:p w14:paraId="46950731" w14:textId="77777777" w:rsidR="00134D28" w:rsidRPr="00134D28" w:rsidRDefault="00134D28" w:rsidP="00134D28">
      <w:pPr>
        <w:rPr>
          <w:lang w:val="en-GB"/>
        </w:rPr>
      </w:pPr>
    </w:p>
    <w:p w14:paraId="3F865382" w14:textId="0E9B3EF0" w:rsidR="00603C7C" w:rsidRPr="00603C7C" w:rsidRDefault="00134D28" w:rsidP="00134D28">
      <w:pPr>
        <w:pStyle w:val="Caption"/>
        <w:keepNext/>
        <w:rPr>
          <w:lang w:val="en-GB"/>
        </w:rPr>
      </w:pPr>
      <w:r w:rsidRPr="003E33B6">
        <w:rPr>
          <w:lang w:val="en-GB"/>
        </w:rPr>
        <w:t xml:space="preserve">Table </w:t>
      </w:r>
      <w:r w:rsidR="00021B8B">
        <w:rPr>
          <w:lang w:val="en-GB"/>
        </w:rPr>
        <w:t>S4-</w:t>
      </w:r>
      <w:r w:rsidRPr="003E33B6">
        <w:rPr>
          <w:color w:val="2B579A"/>
          <w:shd w:val="clear" w:color="auto" w:fill="E6E6E6"/>
          <w:lang w:val="en-GB"/>
        </w:rPr>
        <w:fldChar w:fldCharType="begin"/>
      </w:r>
      <w:r w:rsidRPr="003E33B6">
        <w:rPr>
          <w:lang w:val="en-GB"/>
        </w:rPr>
        <w:instrText xml:space="preserve"> SEQ Table \* ARABIC </w:instrText>
      </w:r>
      <w:r w:rsidRPr="003E33B6">
        <w:rPr>
          <w:color w:val="2B579A"/>
          <w:shd w:val="clear" w:color="auto" w:fill="E6E6E6"/>
          <w:lang w:val="en-GB"/>
        </w:rPr>
        <w:fldChar w:fldCharType="separate"/>
      </w:r>
      <w:r w:rsidR="008B716D">
        <w:rPr>
          <w:noProof/>
          <w:lang w:val="en-GB"/>
        </w:rPr>
        <w:t>1</w:t>
      </w:r>
      <w:r w:rsidRPr="003E33B6">
        <w:rPr>
          <w:color w:val="2B579A"/>
          <w:shd w:val="clear" w:color="auto" w:fill="E6E6E6"/>
          <w:lang w:val="en-GB"/>
        </w:rPr>
        <w:fldChar w:fldCharType="end"/>
      </w:r>
      <w:r w:rsidRPr="003E33B6">
        <w:rPr>
          <w:lang w:val="en-GB"/>
        </w:rPr>
        <w:t>: Sources of evidence on access-related impact and</w:t>
      </w:r>
      <w:r w:rsidRPr="006D2019">
        <w:rPr>
          <w:lang w:val="en-GB"/>
        </w:rPr>
        <w:t xml:space="preserve"> </w:t>
      </w:r>
      <w:r>
        <w:rPr>
          <w:lang w:val="en-GB"/>
        </w:rPr>
        <w:t>organisational</w:t>
      </w:r>
      <w:r w:rsidRPr="003E33B6">
        <w:rPr>
          <w:lang w:val="en-GB"/>
        </w:rPr>
        <w:t xml:space="preserve"> (dis-)advantages of applied </w:t>
      </w:r>
      <w:r>
        <w:rPr>
          <w:lang w:val="en-GB"/>
        </w:rPr>
        <w:t xml:space="preserve">quantitative pricing policy interventions </w:t>
      </w:r>
      <w:r w:rsidRPr="003E33B6">
        <w:rPr>
          <w:lang w:val="en-GB"/>
        </w:rPr>
        <w:t>in EEA/OECD member states</w:t>
      </w:r>
      <w:r>
        <w:rPr>
          <w:lang w:val="en-GB"/>
        </w:rPr>
        <w:t xml:space="preserve"> (detailed overview)</w:t>
      </w:r>
    </w:p>
    <w:tbl>
      <w:tblPr>
        <w:tblStyle w:val="TableGrid"/>
        <w:tblW w:w="0" w:type="auto"/>
        <w:tblLayout w:type="fixed"/>
        <w:tblLook w:val="04A0" w:firstRow="1" w:lastRow="0" w:firstColumn="1" w:lastColumn="0" w:noHBand="0" w:noVBand="1"/>
      </w:tblPr>
      <w:tblGrid>
        <w:gridCol w:w="1529"/>
        <w:gridCol w:w="2861"/>
        <w:gridCol w:w="6662"/>
        <w:gridCol w:w="2896"/>
      </w:tblGrid>
      <w:tr w:rsidR="006A2D59" w:rsidRPr="006A2D59" w14:paraId="2D571DB9" w14:textId="77777777" w:rsidTr="00D922B3">
        <w:tc>
          <w:tcPr>
            <w:tcW w:w="1529" w:type="dxa"/>
          </w:tcPr>
          <w:p w14:paraId="4BECB5C7" w14:textId="77777777" w:rsidR="006A2D59" w:rsidRPr="006A2D59" w:rsidRDefault="006A2D59" w:rsidP="00A74265">
            <w:pPr>
              <w:pStyle w:val="Caption"/>
              <w:spacing w:after="0"/>
              <w:jc w:val="center"/>
              <w:rPr>
                <w:rFonts w:ascii="Aptos" w:hAnsi="Aptos"/>
                <w:b/>
                <w:bCs/>
                <w:i w:val="0"/>
                <w:iCs w:val="0"/>
                <w:color w:val="auto"/>
                <w:lang w:val="en-GB"/>
              </w:rPr>
            </w:pPr>
            <w:r w:rsidRPr="006A2D59">
              <w:rPr>
                <w:rFonts w:ascii="Aptos" w:hAnsi="Aptos"/>
                <w:b/>
                <w:bCs/>
                <w:i w:val="0"/>
                <w:iCs w:val="0"/>
                <w:color w:val="auto"/>
                <w:lang w:val="en-GB"/>
              </w:rPr>
              <w:t>Policy intervention</w:t>
            </w:r>
          </w:p>
        </w:tc>
        <w:tc>
          <w:tcPr>
            <w:tcW w:w="2861" w:type="dxa"/>
          </w:tcPr>
          <w:p w14:paraId="5306629B" w14:textId="77777777" w:rsidR="006A2D59" w:rsidRPr="006A2D59" w:rsidRDefault="006A2D59" w:rsidP="00A74265">
            <w:pPr>
              <w:pStyle w:val="Caption"/>
              <w:spacing w:after="0"/>
              <w:jc w:val="center"/>
              <w:rPr>
                <w:rFonts w:ascii="Aptos" w:hAnsi="Aptos"/>
                <w:b/>
                <w:bCs/>
                <w:i w:val="0"/>
                <w:iCs w:val="0"/>
                <w:color w:val="auto"/>
                <w:lang w:val="en-GB"/>
              </w:rPr>
            </w:pPr>
            <w:r w:rsidRPr="006A2D59">
              <w:rPr>
                <w:rFonts w:ascii="Aptos" w:hAnsi="Aptos"/>
                <w:b/>
                <w:bCs/>
                <w:i w:val="0"/>
                <w:iCs w:val="0"/>
                <w:color w:val="auto"/>
                <w:lang w:val="en-GB"/>
              </w:rPr>
              <w:t>References</w:t>
            </w:r>
          </w:p>
        </w:tc>
        <w:tc>
          <w:tcPr>
            <w:tcW w:w="6662" w:type="dxa"/>
          </w:tcPr>
          <w:p w14:paraId="3701A53B" w14:textId="77777777" w:rsidR="006A2D59" w:rsidRPr="006A2D59" w:rsidRDefault="006A2D59" w:rsidP="00A74265">
            <w:pPr>
              <w:pStyle w:val="Caption"/>
              <w:spacing w:after="0"/>
              <w:jc w:val="center"/>
              <w:rPr>
                <w:rFonts w:ascii="Aptos" w:hAnsi="Aptos"/>
                <w:b/>
                <w:bCs/>
                <w:i w:val="0"/>
                <w:iCs w:val="0"/>
                <w:color w:val="auto"/>
                <w:lang w:val="en-GB"/>
              </w:rPr>
            </w:pPr>
            <w:r w:rsidRPr="006A2D59">
              <w:rPr>
                <w:rFonts w:ascii="Aptos" w:hAnsi="Aptos"/>
                <w:b/>
                <w:bCs/>
                <w:i w:val="0"/>
                <w:iCs w:val="0"/>
                <w:color w:val="auto"/>
                <w:lang w:val="en-GB"/>
              </w:rPr>
              <w:t>Description of impact</w:t>
            </w:r>
            <w:r w:rsidRPr="006A2D59">
              <w:rPr>
                <w:rFonts w:ascii="Aptos" w:hAnsi="Aptos"/>
                <w:b/>
                <w:bCs/>
                <w:i w:val="0"/>
                <w:iCs w:val="0"/>
                <w:color w:val="auto"/>
                <w:vertAlign w:val="superscript"/>
                <w:lang w:val="en-GB"/>
              </w:rPr>
              <w:t>1</w:t>
            </w:r>
          </w:p>
        </w:tc>
        <w:tc>
          <w:tcPr>
            <w:tcW w:w="2896" w:type="dxa"/>
          </w:tcPr>
          <w:p w14:paraId="552CA8DE" w14:textId="77777777" w:rsidR="006A2D59" w:rsidRPr="006A2D59" w:rsidRDefault="006A2D59" w:rsidP="00A74265">
            <w:pPr>
              <w:pStyle w:val="Caption"/>
              <w:spacing w:after="0"/>
              <w:jc w:val="center"/>
              <w:rPr>
                <w:rFonts w:ascii="Aptos" w:hAnsi="Aptos"/>
                <w:b/>
                <w:bCs/>
                <w:i w:val="0"/>
                <w:iCs w:val="0"/>
                <w:color w:val="auto"/>
                <w:lang w:val="en-GB"/>
              </w:rPr>
            </w:pPr>
            <w:r w:rsidRPr="006A2D59">
              <w:rPr>
                <w:rFonts w:ascii="Aptos" w:hAnsi="Aptos"/>
                <w:b/>
                <w:bCs/>
                <w:i w:val="0"/>
                <w:iCs w:val="0"/>
                <w:color w:val="auto"/>
                <w:lang w:val="en-GB"/>
              </w:rPr>
              <w:t>Description of (dis-)advantages</w:t>
            </w:r>
            <w:r w:rsidRPr="006A2D59">
              <w:rPr>
                <w:rFonts w:ascii="Aptos" w:hAnsi="Aptos"/>
                <w:b/>
                <w:bCs/>
                <w:i w:val="0"/>
                <w:iCs w:val="0"/>
                <w:color w:val="auto"/>
                <w:vertAlign w:val="superscript"/>
                <w:lang w:val="en-GB"/>
              </w:rPr>
              <w:t>2</w:t>
            </w:r>
          </w:p>
        </w:tc>
      </w:tr>
      <w:tr w:rsidR="006A2D59" w:rsidRPr="006A2D59" w14:paraId="6BE60FC5" w14:textId="77777777" w:rsidTr="00D922B3">
        <w:tc>
          <w:tcPr>
            <w:tcW w:w="1529" w:type="dxa"/>
          </w:tcPr>
          <w:p w14:paraId="021C0A38" w14:textId="77777777" w:rsidR="006A2D59" w:rsidRPr="006A2D59" w:rsidRDefault="006A2D59" w:rsidP="00A74265">
            <w:pPr>
              <w:pStyle w:val="Caption"/>
              <w:spacing w:after="0"/>
              <w:rPr>
                <w:rFonts w:ascii="Aptos" w:hAnsi="Aptos"/>
                <w:i w:val="0"/>
                <w:iCs w:val="0"/>
                <w:color w:val="auto"/>
                <w:lang w:val="en-GB"/>
              </w:rPr>
            </w:pPr>
            <w:r w:rsidRPr="006A2D59">
              <w:rPr>
                <w:rFonts w:ascii="Aptos" w:hAnsi="Aptos"/>
                <w:i w:val="0"/>
                <w:iCs w:val="0"/>
                <w:color w:val="auto"/>
                <w:lang w:val="en-GB"/>
              </w:rPr>
              <w:t>Free pricing</w:t>
            </w:r>
          </w:p>
        </w:tc>
        <w:tc>
          <w:tcPr>
            <w:tcW w:w="2861" w:type="dxa"/>
          </w:tcPr>
          <w:p w14:paraId="08C0A8D1" w14:textId="12068DAE" w:rsidR="006A2D59" w:rsidRPr="00FE2DC6" w:rsidRDefault="00FE2DC6" w:rsidP="00A74265">
            <w:pPr>
              <w:pStyle w:val="Table"/>
              <w:rPr>
                <w:i/>
              </w:rPr>
            </w:pPr>
            <w:r w:rsidRPr="00FE2DC6">
              <w:rPr>
                <w:rFonts w:eastAsia="Yu Gothic" w:cs="Times New Roman"/>
                <w:kern w:val="2"/>
                <w:shd w:val="clear" w:color="auto" w:fill="E6E6E6"/>
                <w:lang w:val="en-US" w:eastAsia="ja-JP"/>
                <w14:ligatures w14:val="standardContextual"/>
              </w:rPr>
              <w:fldChar w:fldCharType="begin"/>
            </w:r>
            <w:r w:rsidRPr="00FE2DC6">
              <w:rPr>
                <w:rFonts w:cs="Times New Roman"/>
              </w:rPr>
              <w:instrText xml:space="preserve"> ADDIN ZOTERO_ITEM CSL_CITATION {"citationID":"PMrJIJ41","properties":{"formattedCitation":"[35, 43\\uc0\\u8211{}45, 48, 49, 65, 71]","plainCitation":"[35, 43–45, 48, 49, 65, 71]","noteIndex":0},"citationItems":[{"id":15875,"uris":["http://zotero.org/users/10480792/items/FL5LTGYY"],"itemData":{"id":15875,"type":"article-journal","abstract":"PURPOSE OF REVIEW: The launch of new effective and safe cardiovascular drugs has produced large gains in health outcomes for several cardiovascular conditions. But this innovation comes at the cost of rapidly increasing pharmaceutical spending and high out-of-pocket costs. RECENT FINDINGS: In the USA, manufacturers are able to set prices according to what the market will bear rather than value to patients or society, with a complicated system of discounts and rebates obscuring the final price borne by payors. Some of these costs are passed on to patients in the form of co-payments or co-insurance, making these effective but high-cost medications unaffordable for many patients. Orphan drugs developed to treat rare diseases-for which manufactures are presented substantial financial and regulatory benefits-are particularly problematic, as they typically enter the market at very high prices compared with drugs for other indications. Systematic cost-effectiveness analyses from the healthcare sector or societal perspectives can help identify the value-based price of a medication at market entry as well as later in the lifecycle of the drug when more data on effectiveness and safety becomes available. Despite bipartisan support, legislative progress on drug pricing has been slow. Clinicians should know the cost of the drugs they prescribe frequently, use generics where feasible, and regularly discuss out-of-pocket costs with patients to pre-empt cost-related non-adherence. Copyright © 2021. The Author(s), under exclusive licence to Springer Science+Business Media, LLC, part of Springer Nature.","archive_location":"34599393","container-title":"Curr Cardiol Rep","DOI":"10.1007/s11886-021-01598-w","ISSN":"1534-3170","issue":"11","page":"163","title":"The Price of Progress: Cost, Access, and Adoption of Novel Cardiovascular Drugs in Clinical Practice","volume":"23","author":[{"family":"Varghese","given":"M. S."},{"family":"Liu","given":"C. L."},{"family":"Kazi","given":"D. S."}],"issued":{"date-parts":[["2021",10,1]]},"citation-key":"varghesePriceProgressCost2021"}},{"id":16045,"uris":["http://zotero.org/users/10480792/items/UQ4VQU7E"],"itemData":{"id":16045,"type":"article-journal","abstract":"The United States relies primarily on market forces to determine prices for drugs, whereas most other industrialized countries use a variety of approaches to determine drug prices. Branded drug companies have patents and market exclusivity periods in most industrialized countries. During this period, pharmaceutical companies are allowed to set their list price as high as they prefer in the United States owing to the absence of government price control mechanisms that exist in other countries. Insured patients often pay a percentage of the list price, and cost sharing creates some pressure to lower the list price. Pharmacy benefit managers negotiate with drug companies for lower prices by offering the drug company favorable formulary placement and fewer utilization controls. However, these approaches appear to be less effective, compared with other countries' approaches to containing branded drug prices, because prices are substantially higher in the United States. Other industrialized countries employ various forms of rate setting and price regulation, such as external reference pricing, therapeutic valuation, and health technology assessment to determine the appropriate price.","archive_location":"31874070","container-title":"Annu Rev Public Health","DOI":"10.1146/annurev-publhealth-040119-094305","ISSN":"1545-2093","page":"499-512","title":"Comparative Approaches to Drug Pricing","volume":"41","author":[{"family":"Kang","given":"S. Y."},{"family":"Bai","given":"G."},{"family":"DiStefano","given":"M. J."},{"family":"Socal","given":"M. P."},{"family":"Yehia","given":"F."},{"family":"Anderson","given":"G. F."}],"issued":{"date-parts":[["2020",4]]},"citation-key":"kangComparativeApproachesDrug2020"}},{"id":16027,"uris":["http://zotero.org/users/10480792/items/D4L4G6AH"],"itemData":{"id":16027,"type":"article-journal","abstract":"This article compares the pharmaceutical pricing policies employed by public and private insurers in the United States with seven price and spending control strategies employed in the United Kingdom, France, and Germany. Differences between American and European policies explain why American pharmaceutical prices and per capita spending are higher than in European nations. The article then analyzes two recent bills as examples of significant American reform ideas-H.R. 3, the Elijah E. Cummings Lower Drug Costs Now Act (introduced in 2019) and the Build Back Better Act (BBBA, introduced in 2021)-and compares them with European cost control strategies. Key drug price provisions of the BBBA were incorporated into the recently enacted Inflation Reduction Act (IRA). H.R. 3 would have used an international (mostly European) price index to cap U.S. prices; the BBBA would cap Medicare prices at a discount from average U.S. market prices. Neither bill would employ the key cost control strategies that European nations do. Both bills would have significantly less impact on prices than legislation that employs European-style cost controls. This article proposes steps that Congress could take in line with European strategies to lower purchase prices and costs for patients. These measures would have to overcome political obstacles that currently stymie reform. Copyright © 2022 by Duke University Press.","archive_location":"35867553","container-title":"J Health Polit Policy Law","DOI":"10.1215/03616878-10041163","ISSN":"1527-1927","issue":"6","page":"755-778","title":"Assessing US Pharmaceutical Policy and Pricing Reform Legislation in Light of European Price and Cost Control Strategies","volume":"47","author":[{"family":"Rodwin","given":"M. A."}],"issued":{"date-parts":[["2022",12,1]]},"citation-key":"rodwinAssessingUSPharmaceutical2022"}},{"id":16034,"uris":["http://zotero.org/users/10480792/items/6ZU9G3R7"],"itemData":{"id":16034,"type":"article-journal","abstract":"To control pharmaceutical spending and improve access, the United States could adopt strategies similar to those introduced in Germany by the 2011 German Pharmaceutical Market Reorganization Act. In Germany, manufacturers sell new drugs immediately upon receiving marketing approval. During the first year, the German Federal Joint Committee assesses new drugs to determine their added medical benefit. It assigns them a score indicating their added benefit. New drugs comparable to drugs in a reference price group are assigned to that group and receive the same reimbursement, unless they are therapeutically superior. The National Association of Statutory Health Insurance Funds then negotiates with manufacturers the maximum reimbursement starting the 13th month, consistent with the drug's added benefit assessment and price caps in other European countries. In the absence of agreement, an arbitration board sets the price. Manufacturers accept the price resolution or exit the market. Thereafter, prices generally are not increased, even for inflation. US public and private insurers control prices in diverse ways, but typically obtain discounts by designating certain drugs as preferred and by restricting patient access or charging high copayment for nonpreferred drugs. This article draws 10 lessons for drug pricing reform in US federal programs and private insurance.","archive_location":"34668806","container-title":"Int J Health Serv","DOI":"10.1177/00207314211040948","ISSN":"1541-4469","issue":"1","page":"146-158","title":"German Pharmaceutical Pricing: Lessons for the United States","volume":"52","author":[{"family":"Rodwin","given":"M. A."},{"family":"Gerke","given":"S."}],"issued":{"date-parts":[["2022",1]]},"citation-key":"rodwinGermanPharmaceuticalPricing2022"}},{"id":16048,"uris":["http://zotero.org/users/10480792/items/4YAFVCXS"],"itemData":{"id":16048,"type":"article-journal","abstract":"IMPORTANCE: The increasing cost of prescription drugs in the United States has become a source of concern for patients, prescribers, payers, and policy makers. OBJECTIVES: To review the origins and effects of high drug prices in the US market and to consider policy options that could contain the cost of prescription drugs. EVIDENCE: We reviewed the peer-reviewed medical and health policy literature from January 2005 to July 2016 for articles addressing the sources of drug prices in the United States, the justifications and consequences of high prices, and possible solutions. FINDINGS: Per capita prescription drug spending in the United States exceeds that in all other countries, largely driven by brand-name drug prices that have been increasing in recent years at rates far beyond the consumer price index. In 2013, per capita spending on prescription drugs was $858 compared with an average of $400 for 19 other industrialized nations. In the United States, prescription medications now comprise an estimated 17% of overall personal health care services. The most important factor that allows manufacturers to set high drug prices is market exclusivity, protected by monopoly rights awarded upon Food and Drug Administration approval and by patents. The availability of generic drugs after this exclusivity period is the main means of reducing prices in the United States, but access to them may be delayed by numerous business and legal strategies. The primary counterweight against excessive pricing during market exclusivity is the negotiating power of the payer, which is currently constrained by several factors, including the requirement that most government drug payment plans cover nearly all products. Another key contributor to drug spending is physician prescribing choices when comparable alternatives are available at different costs. Although prices are often justified by the high cost of drug development, there is no evidence of an association between research and development costs and prices; rather, prescription drugs are priced in the United States primarily on the basis of what the market will bear. CONCLUSIONS AND RELEVANCE: High drug prices are the result of the approach the United States has taken to granting government-protected monopolies to drug manufacturers, combined with coverage requirements imposed on government-funded drug benefits. The most realistic short-term strategies to address high prices include enforcing more stringent requirements for the award and extension of exclusivity rights; enhancing competition by ensuring timely generic drug availability; providing greater opportunities for meaningful price negotiation by governmental payers; generating more evidence about comparative cost-effectiveness of therapeutic alternatives; and more effectively educating patients, prescribers, payers, and policy makers about these choices.","archive_location":"27552619","container-title":"JAMA","DOI":"10.1001/jama.2016.11237","ISSN":"1538-3598","issue":"8","page":"858-871","title":"The High Cost of Prescription Drugs in the United States: Origins and Prospects for Reform","volume":"316","author":[{"family":"Kesselheim","given":"A. S."},{"family":"Avorn","given":"J."},{"family":"Sarpatwari","given":"A."}],"issued":{"date-parts":[["2016",8,23]]},"citation-key":"kesselheimHighCostPrescription2016"}},{"id":15687,"uris":["http://zotero.org/users/10480792/items/5M7F6JZ2"],"itemData":{"id":15687,"type":"article-journal","abstract":"Differential pricing-manufacturers varying prices for on-patent pharmaceuticals across markets-can, in theory, lead to increased patient access and improved research and development (R&amp;D) incentives compared with charging a uniform price across markets. Theoretical models of price discrimination and Ramsey pricing support differentials based inversely on price elasticities, which are plausibly related to average per capita income. However, these models do not address absolute price levels and dynamic efficiency. Value-based differential pricing theory incorporates insurance coverage and addresses static and dynamic efficiency. Limited empirical evidence indicates a weak positive relationship between prices and gross domestic product (GDP) per capita. External referencing and parallel trade undermine differential pricing. We discuss previously neglected factors that undermine differential pricing in practice. High price growth relative to GDP in the USA leads to widening differentials between the USA and other countries. Concerns over the effects of confidential rebating challenges acceptance of this approach to implementing price differentials. The growth of branded generics in low- and middle-income countries leads to complex markets with product and price differentiation.","archive_location":"30062518","container-title":"Pharmacoeconomics","DOI":"10.1007/s40273-018-0696-4","ISSN":"1179-2027","issue":"12","page":"1395-1405","title":"Differential Pricing of Pharmaceuticals: Theory, Evidence and Emerging Issues","volume":"36","author":[{"family":"Danzon","given":"P. M."}],"issued":{"date-parts":[["2018"]]},"citation-key":"danzonDifferentialPricingPharmaceuticals2018"}},{"id":15811,"uris":["http://zotero.org/users/10480792/items/6TBCGJES"],"itemData":{"id":15811,"type":"article-journal","abstract":"Pricing is always important, because it facilitates growing of sales, and finally business. There is nothing like a magical pricing strategy. Nevertheless, we can get more money by actually adding some strategy flavor to our pricing. Pricing in the case of pharmaceuticals is unique, since while framing a strategy for it, the industry, the health authorities, pricing authorities, reimbursement authorities, physicians, insurance companies and regulatory government agencies to be considered. That is why always there comes a plethora of strategic questions, because at each stage of the Product lifecycle, roadmap for pricing needs to be strategically architected. The aim of this manuscript is to give the insight regarding the basics of pricing, concepts, uniqueness of pharmaceutical environment and tools which can help in formulating winning &amp; smart pricing strategies. Along with that an attempt has been made to highlight the various life stages of the drug product and their relevance to pricing at each stage and the brief comparison of some drug price regulations among developed, and emerging nations.","archive":"Embase","container-title":"Appl Clin Res Clin Trials Redul Aff","ISSN":"2213-4778 2213-476X","issue":"3","language":"English","page":"151-156","title":"Prospective of pricing in pharmaceutical environment","volume":"1","author":[{"family":"Kaushik","given":"P."},{"family":"Tripathy","given":"S."},{"family":"Dureja","given":"H."}],"issued":{"date-parts":[["2014"]]},"citation-key":"kaushikProspectivePricingPharmaceutical2014"}},{"id":16547,"uris":["http://zotero.org/users/10480792/items/JN8FERCP"],"itemData":{"id":16547,"type":"book","edition":"Fourth edition","event-place":"Amsterdam","ISBN":"978-90-828642-5-0","language":"eng","note":"OCLC: 1413497342","publisher":"EIT Health","publisher-place":"Amsterdam","source":"Open WorldCat","title":"Healthcare in Europe 2019: the finance and reimbursement systems of 11 European countries : Austria, Czech Republic, Denmark, Ireland, Luxembourg, Norway, Poland, Portugal, Romania, Slovakia, Turkey","title-short":"Healthcare in Europe 2019","author":[{"family":"Kemenade","given":"Y. W.","dropping-particle":"van"}],"issued":{"date-parts":[["2019"]]},"citation-key":"kemenadeHealthcareEurope20192019"}}],"schema":"https://github.com/citation-style-language/schema/raw/master/csl-citation.json"} </w:instrText>
            </w:r>
            <w:r w:rsidRPr="00FE2DC6">
              <w:rPr>
                <w:rFonts w:eastAsia="Yu Gothic" w:cs="Times New Roman"/>
                <w:kern w:val="2"/>
                <w:shd w:val="clear" w:color="auto" w:fill="E6E6E6"/>
                <w:lang w:val="en-US" w:eastAsia="ja-JP"/>
                <w14:ligatures w14:val="standardContextual"/>
              </w:rPr>
              <w:fldChar w:fldCharType="separate"/>
            </w:r>
            <w:r w:rsidRPr="00FE2DC6">
              <w:rPr>
                <w:rFonts w:cs="Times New Roman"/>
              </w:rPr>
              <w:t>[35, 43–45, 48, 49, 65, 71]</w:t>
            </w:r>
            <w:r w:rsidRPr="00FE2DC6">
              <w:rPr>
                <w:rFonts w:eastAsia="Yu Gothic" w:cs="Times New Roman"/>
                <w:kern w:val="2"/>
                <w:shd w:val="clear" w:color="auto" w:fill="E6E6E6"/>
                <w:lang w:val="en-US" w:eastAsia="ja-JP"/>
                <w14:ligatures w14:val="standardContextual"/>
              </w:rPr>
              <w:fldChar w:fldCharType="end"/>
            </w:r>
          </w:p>
        </w:tc>
        <w:tc>
          <w:tcPr>
            <w:tcW w:w="6662" w:type="dxa"/>
          </w:tcPr>
          <w:p w14:paraId="6218FC52" w14:textId="77777777" w:rsidR="006A2D59" w:rsidRPr="00061112" w:rsidRDefault="006A2D59" w:rsidP="00A74265">
            <w:pPr>
              <w:pStyle w:val="Caption"/>
              <w:spacing w:after="0"/>
              <w:rPr>
                <w:rFonts w:asciiTheme="minorHAnsi" w:hAnsiTheme="minorHAnsi"/>
                <w:b/>
                <w:bCs/>
                <w:i w:val="0"/>
                <w:iCs w:val="0"/>
                <w:color w:val="auto"/>
                <w:lang w:val="en-GB"/>
              </w:rPr>
            </w:pPr>
            <w:r w:rsidRPr="00061112">
              <w:rPr>
                <w:rFonts w:asciiTheme="minorHAnsi" w:hAnsiTheme="minorHAnsi"/>
                <w:b/>
                <w:bCs/>
                <w:i w:val="0"/>
                <w:iCs w:val="0"/>
                <w:color w:val="auto"/>
                <w:lang w:val="en-GB"/>
              </w:rPr>
              <w:t>Affordability:</w:t>
            </w:r>
          </w:p>
          <w:p w14:paraId="3A4D3B63" w14:textId="7A154C12" w:rsidR="00A603F0" w:rsidRPr="00061112" w:rsidRDefault="00A603F0" w:rsidP="00A603F0">
            <w:pPr>
              <w:pStyle w:val="Table"/>
            </w:pPr>
            <w:r w:rsidRPr="00061112">
              <w:t xml:space="preserve">DK: </w:t>
            </w:r>
          </w:p>
          <w:p w14:paraId="7394AE91" w14:textId="3B786A8A" w:rsidR="006A2D59" w:rsidRPr="00061112" w:rsidRDefault="006A2D59" w:rsidP="00061112">
            <w:pPr>
              <w:pStyle w:val="Table"/>
              <w:numPr>
                <w:ilvl w:val="0"/>
                <w:numId w:val="1"/>
              </w:numPr>
              <w:ind w:left="410"/>
            </w:pPr>
            <w:r w:rsidRPr="00061112">
              <w:t xml:space="preserve">Strong competition through frequent price changes, thus lower </w:t>
            </w:r>
            <w:r w:rsidR="008E76A9">
              <w:t>MP</w:t>
            </w:r>
            <w:r w:rsidRPr="00061112">
              <w:t xml:space="preserve"> prices</w:t>
            </w:r>
          </w:p>
          <w:p w14:paraId="11D2F0DB" w14:textId="77777777" w:rsidR="00CC6F1A" w:rsidRPr="00061112" w:rsidRDefault="00CC6F1A" w:rsidP="00CC6F1A">
            <w:pPr>
              <w:pStyle w:val="Table"/>
              <w:ind w:left="410"/>
            </w:pPr>
          </w:p>
          <w:p w14:paraId="30849F31" w14:textId="77777777" w:rsidR="00A603F0" w:rsidRPr="00061112" w:rsidRDefault="00A603F0" w:rsidP="00A603F0">
            <w:pPr>
              <w:rPr>
                <w:rFonts w:asciiTheme="minorHAnsi" w:hAnsiTheme="minorHAnsi"/>
                <w:sz w:val="18"/>
                <w:szCs w:val="18"/>
              </w:rPr>
            </w:pPr>
            <w:r w:rsidRPr="00061112">
              <w:rPr>
                <w:rFonts w:asciiTheme="minorHAnsi" w:hAnsiTheme="minorHAnsi"/>
                <w:sz w:val="18"/>
                <w:szCs w:val="18"/>
              </w:rPr>
              <w:t>US:</w:t>
            </w:r>
          </w:p>
          <w:p w14:paraId="6ADBEFEB" w14:textId="48EC1643" w:rsidR="00A603F0" w:rsidRPr="00061112" w:rsidRDefault="00A603F0" w:rsidP="00061112">
            <w:pPr>
              <w:pStyle w:val="Table"/>
              <w:numPr>
                <w:ilvl w:val="0"/>
                <w:numId w:val="1"/>
              </w:numPr>
              <w:ind w:left="410"/>
            </w:pPr>
            <w:r w:rsidRPr="00061112">
              <w:t xml:space="preserve">Payment-related impact (increased deductibles and co-payments); for specialty </w:t>
            </w:r>
            <w:r w:rsidR="00F272D3">
              <w:t>MP</w:t>
            </w:r>
            <w:r w:rsidRPr="00061112">
              <w:t>s, patients must pay coinsurance.</w:t>
            </w:r>
          </w:p>
          <w:p w14:paraId="128FF167" w14:textId="77777777" w:rsidR="00A603F0" w:rsidRPr="00061112" w:rsidRDefault="00A603F0" w:rsidP="00061112">
            <w:pPr>
              <w:pStyle w:val="Table"/>
              <w:numPr>
                <w:ilvl w:val="0"/>
                <w:numId w:val="1"/>
              </w:numPr>
              <w:ind w:left="410"/>
            </w:pPr>
            <w:r w:rsidRPr="00061112">
              <w:t>Circumvention of co-payment system by manufacturers through coupon system to reimburse OOP expenses and facilitate affordability for patients.</w:t>
            </w:r>
          </w:p>
          <w:p w14:paraId="372CA69A" w14:textId="77777777" w:rsidR="00A603F0" w:rsidRPr="00061112" w:rsidRDefault="00A603F0" w:rsidP="00061112">
            <w:pPr>
              <w:pStyle w:val="Table"/>
              <w:numPr>
                <w:ilvl w:val="0"/>
                <w:numId w:val="1"/>
              </w:numPr>
              <w:ind w:left="410"/>
            </w:pPr>
            <w:r w:rsidRPr="00061112">
              <w:t>Free pricing has enabled originator price growth exceeding inflation (rising launch prices, price increases).</w:t>
            </w:r>
          </w:p>
          <w:p w14:paraId="470045E6" w14:textId="77777777" w:rsidR="00A603F0" w:rsidRPr="00061112" w:rsidRDefault="00A603F0" w:rsidP="00061112">
            <w:pPr>
              <w:pStyle w:val="Table"/>
              <w:numPr>
                <w:ilvl w:val="0"/>
                <w:numId w:val="1"/>
              </w:numPr>
              <w:ind w:left="410"/>
            </w:pPr>
            <w:r w:rsidRPr="00061112">
              <w:t>Substantially higher prices in comparison to neighbouring countries.</w:t>
            </w:r>
          </w:p>
          <w:p w14:paraId="29F9EAF6" w14:textId="70866E3B" w:rsidR="006A2D59" w:rsidRPr="00061112" w:rsidRDefault="00A603F0" w:rsidP="00061112">
            <w:pPr>
              <w:pStyle w:val="Table"/>
              <w:numPr>
                <w:ilvl w:val="0"/>
                <w:numId w:val="1"/>
              </w:numPr>
              <w:ind w:left="410"/>
            </w:pPr>
            <w:r w:rsidRPr="00061112">
              <w:t>High prices have detrimental effect on affordability for payers and patients.</w:t>
            </w:r>
          </w:p>
          <w:p w14:paraId="73B7A3A0" w14:textId="77777777" w:rsidR="006A2D59" w:rsidRPr="00061112" w:rsidRDefault="006A2D59" w:rsidP="00A74265">
            <w:pPr>
              <w:rPr>
                <w:rFonts w:asciiTheme="minorHAnsi" w:hAnsiTheme="minorHAnsi"/>
                <w:sz w:val="18"/>
                <w:szCs w:val="18"/>
              </w:rPr>
            </w:pPr>
          </w:p>
          <w:p w14:paraId="670D1D2B" w14:textId="77777777" w:rsidR="006A2D59" w:rsidRPr="00061112" w:rsidRDefault="006A2D59" w:rsidP="00A74265">
            <w:pPr>
              <w:rPr>
                <w:rFonts w:asciiTheme="minorHAnsi" w:hAnsiTheme="minorHAnsi"/>
                <w:b/>
                <w:bCs/>
                <w:sz w:val="18"/>
                <w:szCs w:val="18"/>
              </w:rPr>
            </w:pPr>
            <w:r w:rsidRPr="00061112">
              <w:rPr>
                <w:rFonts w:asciiTheme="minorHAnsi" w:hAnsiTheme="minorHAnsi"/>
                <w:b/>
                <w:bCs/>
                <w:sz w:val="18"/>
                <w:szCs w:val="18"/>
              </w:rPr>
              <w:t>Availability:</w:t>
            </w:r>
          </w:p>
          <w:p w14:paraId="7C811C2E" w14:textId="77777777" w:rsidR="00380A1F" w:rsidRPr="00061112" w:rsidRDefault="00380A1F" w:rsidP="00380A1F">
            <w:pPr>
              <w:rPr>
                <w:rFonts w:asciiTheme="minorHAnsi" w:hAnsiTheme="minorHAnsi"/>
                <w:i/>
                <w:iCs/>
                <w:sz w:val="18"/>
                <w:szCs w:val="18"/>
              </w:rPr>
            </w:pPr>
            <w:r w:rsidRPr="00061112">
              <w:rPr>
                <w:rFonts w:asciiTheme="minorHAnsi" w:hAnsiTheme="minorHAnsi"/>
                <w:i/>
                <w:iCs/>
                <w:sz w:val="18"/>
                <w:szCs w:val="18"/>
              </w:rPr>
              <w:t>DE:</w:t>
            </w:r>
          </w:p>
          <w:p w14:paraId="00231377" w14:textId="77777777" w:rsidR="00380A1F" w:rsidRPr="00061112" w:rsidRDefault="00380A1F" w:rsidP="00061112">
            <w:pPr>
              <w:pStyle w:val="Table"/>
              <w:numPr>
                <w:ilvl w:val="0"/>
                <w:numId w:val="1"/>
              </w:numPr>
              <w:ind w:left="410"/>
            </w:pPr>
            <w:r w:rsidRPr="00061112">
              <w:t>Free pricing at launch ensures rapid access.</w:t>
            </w:r>
          </w:p>
          <w:p w14:paraId="5CAE6E5B" w14:textId="77777777" w:rsidR="00380A1F" w:rsidRPr="00061112" w:rsidRDefault="00380A1F" w:rsidP="00380A1F">
            <w:pPr>
              <w:rPr>
                <w:rFonts w:asciiTheme="minorHAnsi" w:hAnsiTheme="minorHAnsi"/>
                <w:i/>
                <w:iCs/>
                <w:sz w:val="18"/>
                <w:szCs w:val="18"/>
              </w:rPr>
            </w:pPr>
          </w:p>
          <w:p w14:paraId="2ACC86C2" w14:textId="77777777" w:rsidR="00380A1F" w:rsidRPr="00061112" w:rsidRDefault="00380A1F" w:rsidP="00380A1F">
            <w:pPr>
              <w:rPr>
                <w:rFonts w:asciiTheme="minorHAnsi" w:hAnsiTheme="minorHAnsi"/>
                <w:sz w:val="18"/>
                <w:szCs w:val="18"/>
              </w:rPr>
            </w:pPr>
            <w:r w:rsidRPr="00061112">
              <w:rPr>
                <w:rFonts w:asciiTheme="minorHAnsi" w:hAnsiTheme="minorHAnsi"/>
                <w:i/>
                <w:iCs/>
                <w:sz w:val="18"/>
                <w:szCs w:val="18"/>
              </w:rPr>
              <w:t>FR:</w:t>
            </w:r>
          </w:p>
          <w:p w14:paraId="035A7F58" w14:textId="52C04EE3" w:rsidR="00380A1F" w:rsidRPr="00061112" w:rsidRDefault="00061112" w:rsidP="00061112">
            <w:pPr>
              <w:pStyle w:val="Table"/>
              <w:numPr>
                <w:ilvl w:val="0"/>
                <w:numId w:val="1"/>
              </w:numPr>
              <w:ind w:left="410"/>
            </w:pPr>
            <w:r>
              <w:t>TAU</w:t>
            </w:r>
            <w:r w:rsidR="00380A1F" w:rsidRPr="00061112">
              <w:t xml:space="preserve"> allows market launch of highly innovative </w:t>
            </w:r>
            <w:r w:rsidR="00F272D3">
              <w:t>MP</w:t>
            </w:r>
            <w:r w:rsidR="00380A1F" w:rsidRPr="00061112">
              <w:t>s before price negotiation at price chosen by manufacturer.</w:t>
            </w:r>
          </w:p>
          <w:p w14:paraId="41D415A8" w14:textId="77777777" w:rsidR="00380A1F" w:rsidRPr="00061112" w:rsidRDefault="00380A1F" w:rsidP="00380A1F">
            <w:pPr>
              <w:rPr>
                <w:rFonts w:asciiTheme="minorHAnsi" w:hAnsiTheme="minorHAnsi"/>
                <w:i/>
                <w:iCs/>
                <w:sz w:val="18"/>
                <w:szCs w:val="18"/>
              </w:rPr>
            </w:pPr>
          </w:p>
          <w:p w14:paraId="004F9AD6" w14:textId="77777777" w:rsidR="00380A1F" w:rsidRPr="00061112" w:rsidRDefault="00380A1F" w:rsidP="00380A1F">
            <w:pPr>
              <w:rPr>
                <w:rFonts w:asciiTheme="minorHAnsi" w:hAnsiTheme="minorHAnsi"/>
                <w:i/>
                <w:iCs/>
                <w:sz w:val="18"/>
                <w:szCs w:val="18"/>
              </w:rPr>
            </w:pPr>
            <w:r w:rsidRPr="00061112">
              <w:rPr>
                <w:rFonts w:asciiTheme="minorHAnsi" w:hAnsiTheme="minorHAnsi"/>
                <w:i/>
                <w:iCs/>
                <w:sz w:val="18"/>
                <w:szCs w:val="18"/>
              </w:rPr>
              <w:t>US:</w:t>
            </w:r>
          </w:p>
          <w:p w14:paraId="08F3BE31" w14:textId="159ABB05" w:rsidR="00380A1F" w:rsidRPr="00061112" w:rsidRDefault="00380A1F" w:rsidP="008B706B">
            <w:pPr>
              <w:pStyle w:val="Table"/>
              <w:numPr>
                <w:ilvl w:val="0"/>
                <w:numId w:val="1"/>
              </w:numPr>
              <w:ind w:left="410"/>
            </w:pPr>
            <w:r w:rsidRPr="00061112">
              <w:t xml:space="preserve">Higher prices make </w:t>
            </w:r>
            <w:r w:rsidR="00F272D3">
              <w:t>MP</w:t>
            </w:r>
            <w:r w:rsidRPr="00061112">
              <w:t>s more likely to be available first in the US.</w:t>
            </w:r>
          </w:p>
          <w:p w14:paraId="49048BB2" w14:textId="24C6D25C" w:rsidR="006A2D59" w:rsidRPr="00061112" w:rsidRDefault="00380A1F" w:rsidP="008B706B">
            <w:pPr>
              <w:pStyle w:val="Table"/>
              <w:numPr>
                <w:ilvl w:val="0"/>
                <w:numId w:val="1"/>
              </w:numPr>
              <w:ind w:left="410"/>
            </w:pPr>
            <w:r w:rsidRPr="00061112">
              <w:t xml:space="preserve">States with higher </w:t>
            </w:r>
            <w:r w:rsidR="00F272D3">
              <w:t>MP</w:t>
            </w:r>
            <w:r w:rsidRPr="00061112">
              <w:t xml:space="preserve"> costs for Medicaid had to cut services or increase eligibility requirements</w:t>
            </w:r>
          </w:p>
          <w:p w14:paraId="4E701204" w14:textId="77777777" w:rsidR="006A2D59" w:rsidRPr="00061112" w:rsidRDefault="006A2D59" w:rsidP="00A74265">
            <w:pPr>
              <w:rPr>
                <w:rFonts w:asciiTheme="minorHAnsi" w:hAnsiTheme="minorHAnsi"/>
                <w:sz w:val="18"/>
                <w:szCs w:val="18"/>
              </w:rPr>
            </w:pPr>
          </w:p>
          <w:p w14:paraId="3C7001F0" w14:textId="77777777" w:rsidR="006A2D59" w:rsidRPr="00061112" w:rsidRDefault="006A2D59" w:rsidP="00A74265">
            <w:pPr>
              <w:rPr>
                <w:rFonts w:asciiTheme="minorHAnsi" w:hAnsiTheme="minorHAnsi"/>
                <w:b/>
                <w:bCs/>
                <w:sz w:val="18"/>
                <w:szCs w:val="18"/>
              </w:rPr>
            </w:pPr>
            <w:r w:rsidRPr="00061112">
              <w:rPr>
                <w:rFonts w:asciiTheme="minorHAnsi" w:hAnsiTheme="minorHAnsi"/>
                <w:b/>
                <w:bCs/>
                <w:sz w:val="18"/>
                <w:szCs w:val="18"/>
              </w:rPr>
              <w:lastRenderedPageBreak/>
              <w:t xml:space="preserve">Sustainability: </w:t>
            </w:r>
            <w:r w:rsidRPr="00061112">
              <w:rPr>
                <w:rFonts w:asciiTheme="minorHAnsi" w:hAnsiTheme="minorHAnsi"/>
                <w:sz w:val="18"/>
                <w:szCs w:val="18"/>
              </w:rPr>
              <w:t>NA</w:t>
            </w:r>
          </w:p>
          <w:p w14:paraId="30072FE7" w14:textId="77777777" w:rsidR="006A2D59" w:rsidRPr="00061112" w:rsidRDefault="006A2D59" w:rsidP="00A74265">
            <w:pPr>
              <w:rPr>
                <w:rFonts w:asciiTheme="minorHAnsi" w:hAnsiTheme="minorHAnsi"/>
                <w:sz w:val="18"/>
                <w:szCs w:val="18"/>
              </w:rPr>
            </w:pPr>
          </w:p>
          <w:p w14:paraId="1EC570FC" w14:textId="77777777" w:rsidR="006A2D59" w:rsidRPr="00061112" w:rsidRDefault="006A2D59" w:rsidP="00A74265">
            <w:pPr>
              <w:rPr>
                <w:rFonts w:asciiTheme="minorHAnsi" w:hAnsiTheme="minorHAnsi"/>
                <w:b/>
                <w:bCs/>
                <w:sz w:val="18"/>
                <w:szCs w:val="18"/>
              </w:rPr>
            </w:pPr>
            <w:r w:rsidRPr="00061112">
              <w:rPr>
                <w:rFonts w:asciiTheme="minorHAnsi" w:hAnsiTheme="minorHAnsi"/>
                <w:b/>
                <w:bCs/>
                <w:sz w:val="18"/>
                <w:szCs w:val="18"/>
              </w:rPr>
              <w:t>Equity:</w:t>
            </w:r>
          </w:p>
          <w:p w14:paraId="674EBFDF" w14:textId="77777777" w:rsidR="00B20DAA" w:rsidRPr="00061112" w:rsidRDefault="00B20DAA" w:rsidP="00B20DAA">
            <w:pPr>
              <w:rPr>
                <w:rFonts w:asciiTheme="minorHAnsi" w:hAnsiTheme="minorHAnsi"/>
                <w:i/>
                <w:iCs/>
                <w:sz w:val="18"/>
                <w:szCs w:val="18"/>
              </w:rPr>
            </w:pPr>
            <w:r w:rsidRPr="00061112">
              <w:rPr>
                <w:rFonts w:asciiTheme="minorHAnsi" w:hAnsiTheme="minorHAnsi"/>
                <w:i/>
                <w:iCs/>
                <w:sz w:val="18"/>
                <w:szCs w:val="18"/>
              </w:rPr>
              <w:t>US:</w:t>
            </w:r>
          </w:p>
          <w:p w14:paraId="5323C752" w14:textId="3E23C022" w:rsidR="00B20DAA" w:rsidRPr="00061112" w:rsidRDefault="00B20DAA" w:rsidP="008B706B">
            <w:pPr>
              <w:pStyle w:val="Table"/>
              <w:numPr>
                <w:ilvl w:val="0"/>
                <w:numId w:val="1"/>
              </w:numPr>
              <w:ind w:left="410"/>
            </w:pPr>
            <w:r w:rsidRPr="00061112">
              <w:t xml:space="preserve">Uninsured patients cannot afford expensive </w:t>
            </w:r>
            <w:r w:rsidR="00F272D3">
              <w:t>MP</w:t>
            </w:r>
            <w:r w:rsidRPr="00061112">
              <w:t>s.</w:t>
            </w:r>
          </w:p>
          <w:p w14:paraId="768CBF7A" w14:textId="0AA44479" w:rsidR="00E9783E" w:rsidRPr="00061112" w:rsidRDefault="00B20DAA" w:rsidP="008B706B">
            <w:pPr>
              <w:pStyle w:val="Table"/>
              <w:numPr>
                <w:ilvl w:val="0"/>
                <w:numId w:val="1"/>
              </w:numPr>
              <w:ind w:left="410"/>
            </w:pPr>
            <w:r w:rsidRPr="00061112">
              <w:t xml:space="preserve">High prices of orphan </w:t>
            </w:r>
            <w:r w:rsidR="00F272D3">
              <w:t>MP</w:t>
            </w:r>
            <w:r w:rsidRPr="00061112">
              <w:t>s limit patient access.</w:t>
            </w:r>
          </w:p>
          <w:p w14:paraId="787F6ECE" w14:textId="77777777" w:rsidR="006A2D59" w:rsidRPr="00061112" w:rsidRDefault="006A2D59" w:rsidP="00A74265">
            <w:pPr>
              <w:rPr>
                <w:rFonts w:asciiTheme="minorHAnsi" w:hAnsiTheme="minorHAnsi"/>
                <w:sz w:val="18"/>
                <w:szCs w:val="18"/>
              </w:rPr>
            </w:pPr>
          </w:p>
          <w:p w14:paraId="4BCABBA3" w14:textId="77777777" w:rsidR="006A2D59" w:rsidRPr="00061112" w:rsidRDefault="006A2D59" w:rsidP="00A74265">
            <w:pPr>
              <w:rPr>
                <w:rFonts w:asciiTheme="minorHAnsi" w:hAnsiTheme="minorHAnsi"/>
                <w:b/>
                <w:bCs/>
                <w:sz w:val="18"/>
                <w:szCs w:val="18"/>
              </w:rPr>
            </w:pPr>
            <w:r w:rsidRPr="00061112">
              <w:rPr>
                <w:rFonts w:asciiTheme="minorHAnsi" w:hAnsiTheme="minorHAnsi"/>
                <w:b/>
                <w:bCs/>
                <w:sz w:val="18"/>
                <w:szCs w:val="18"/>
              </w:rPr>
              <w:t>Other impact:</w:t>
            </w:r>
          </w:p>
          <w:p w14:paraId="1EADDA65" w14:textId="77777777" w:rsidR="00061112" w:rsidRPr="00061112" w:rsidRDefault="00061112" w:rsidP="00061112">
            <w:pPr>
              <w:rPr>
                <w:rFonts w:asciiTheme="minorHAnsi" w:hAnsiTheme="minorHAnsi"/>
                <w:i/>
                <w:iCs/>
                <w:sz w:val="18"/>
                <w:szCs w:val="18"/>
              </w:rPr>
            </w:pPr>
            <w:r w:rsidRPr="00061112">
              <w:rPr>
                <w:rFonts w:asciiTheme="minorHAnsi" w:hAnsiTheme="minorHAnsi"/>
                <w:i/>
                <w:iCs/>
                <w:sz w:val="18"/>
                <w:szCs w:val="18"/>
              </w:rPr>
              <w:t>US:</w:t>
            </w:r>
          </w:p>
          <w:p w14:paraId="0EA0192E" w14:textId="77777777" w:rsidR="00061112" w:rsidRPr="00061112" w:rsidRDefault="00061112" w:rsidP="008B706B">
            <w:pPr>
              <w:pStyle w:val="Table"/>
              <w:numPr>
                <w:ilvl w:val="0"/>
                <w:numId w:val="1"/>
              </w:numPr>
              <w:ind w:left="410"/>
            </w:pPr>
            <w:r w:rsidRPr="00061112">
              <w:t>Increased deductibles and co-payments/coinsurance may reduce use of/adherence to effective medications.</w:t>
            </w:r>
          </w:p>
          <w:p w14:paraId="2EF2ADF0" w14:textId="69245613" w:rsidR="00061112" w:rsidRPr="00061112" w:rsidRDefault="00061112" w:rsidP="008B706B">
            <w:pPr>
              <w:pStyle w:val="Table"/>
              <w:numPr>
                <w:ilvl w:val="0"/>
                <w:numId w:val="1"/>
              </w:numPr>
              <w:ind w:left="410"/>
            </w:pPr>
            <w:r w:rsidRPr="00061112">
              <w:t xml:space="preserve">Divergent growth of US </w:t>
            </w:r>
            <w:r w:rsidR="00F272D3">
              <w:t>MP</w:t>
            </w:r>
            <w:r w:rsidRPr="00061112">
              <w:t xml:space="preserve"> prices implies increasing strain on reimbursement negotiations outside the US if manufacturers seek to maintain income-related differentials.</w:t>
            </w:r>
          </w:p>
          <w:p w14:paraId="3495FACB" w14:textId="2F079AD1" w:rsidR="006A2D59" w:rsidRPr="00061112" w:rsidRDefault="00061112" w:rsidP="008B706B">
            <w:pPr>
              <w:pStyle w:val="Table"/>
              <w:numPr>
                <w:ilvl w:val="0"/>
                <w:numId w:val="1"/>
              </w:numPr>
              <w:ind w:left="410"/>
            </w:pPr>
            <w:r w:rsidRPr="00061112">
              <w:t>Novel products may be utilised more.</w:t>
            </w:r>
          </w:p>
        </w:tc>
        <w:tc>
          <w:tcPr>
            <w:tcW w:w="2896" w:type="dxa"/>
          </w:tcPr>
          <w:p w14:paraId="78C3000E" w14:textId="77777777" w:rsidR="006A2D59" w:rsidRPr="006A2D59" w:rsidRDefault="006A2D59" w:rsidP="00A74265">
            <w:pPr>
              <w:pStyle w:val="Caption"/>
              <w:spacing w:after="0"/>
              <w:rPr>
                <w:rFonts w:ascii="Aptos" w:hAnsi="Aptos"/>
                <w:i w:val="0"/>
                <w:iCs w:val="0"/>
                <w:color w:val="auto"/>
                <w:lang w:val="en-GB"/>
              </w:rPr>
            </w:pPr>
            <w:r w:rsidRPr="006A2D59">
              <w:rPr>
                <w:rFonts w:ascii="Aptos" w:hAnsi="Aptos"/>
                <w:i w:val="0"/>
                <w:iCs w:val="0"/>
                <w:color w:val="auto"/>
                <w:lang w:val="en-GB"/>
              </w:rPr>
              <w:lastRenderedPageBreak/>
              <w:t>NA</w:t>
            </w:r>
          </w:p>
        </w:tc>
      </w:tr>
      <w:tr w:rsidR="00091CE5" w:rsidRPr="006A2D59" w14:paraId="64D1586A" w14:textId="77777777" w:rsidTr="00D922B3">
        <w:tc>
          <w:tcPr>
            <w:tcW w:w="1529" w:type="dxa"/>
          </w:tcPr>
          <w:p w14:paraId="73F7EDFA" w14:textId="77777777" w:rsidR="00091CE5" w:rsidRPr="006A2D59" w:rsidRDefault="00091CE5" w:rsidP="00091CE5">
            <w:pPr>
              <w:pStyle w:val="Caption"/>
              <w:spacing w:after="0"/>
              <w:rPr>
                <w:rFonts w:ascii="Aptos" w:hAnsi="Aptos"/>
                <w:i w:val="0"/>
                <w:iCs w:val="0"/>
                <w:color w:val="auto"/>
                <w:lang w:val="en-GB"/>
              </w:rPr>
            </w:pPr>
            <w:r w:rsidRPr="006A2D59">
              <w:rPr>
                <w:rFonts w:ascii="Aptos" w:hAnsi="Aptos"/>
                <w:i w:val="0"/>
                <w:iCs w:val="0"/>
                <w:color w:val="auto"/>
                <w:lang w:val="en-GB"/>
              </w:rPr>
              <w:t>Reference-based pricing</w:t>
            </w:r>
          </w:p>
        </w:tc>
        <w:tc>
          <w:tcPr>
            <w:tcW w:w="2861" w:type="dxa"/>
          </w:tcPr>
          <w:p w14:paraId="097181F1" w14:textId="35FC156D" w:rsidR="00091CE5" w:rsidRPr="00091CE5" w:rsidRDefault="00091CE5" w:rsidP="00091CE5">
            <w:pPr>
              <w:pStyle w:val="Table"/>
              <w:rPr>
                <w:shd w:val="clear" w:color="auto" w:fill="E6E6E6"/>
              </w:rPr>
            </w:pPr>
            <w:r w:rsidRPr="00091CE5">
              <w:rPr>
                <w:rFonts w:cs="Times New Roman"/>
                <w:shd w:val="clear" w:color="auto" w:fill="E6E6E6"/>
              </w:rPr>
              <w:fldChar w:fldCharType="begin"/>
            </w:r>
            <w:r w:rsidRPr="00091CE5">
              <w:rPr>
                <w:rFonts w:cs="Times New Roman"/>
              </w:rPr>
              <w:instrText xml:space="preserve"> ADDIN ZOTERO_ITEM CSL_CITATION {"citationID":"OEoPxChQ","properties":{"formattedCitation":"[10, 12, 33, 52, 75, 76, 78\\uc0\\u8211{}86, 91, 93, 96, 101, 103, 105, 108, 112, 113, 115, 120, 153\\uc0\\u8211{}155]","plainCitation":"[10, 12, 33, 52, 75, 76, 78–86, 91, 93, 96, 101, 103, 105, 108, 112, 113, 115, 120, 153–155]","noteIndex":0},"citationItems":[{"id":4261,"uris":["http://zotero.org/users/10480792/items/2GBZH6ZP"],"itemData":{"id":4261,"type":"article-journal","abstract":"Objectives  The aim of this review is to assess the current state of empirical research regarding the effectiveness of national pricing regulations of the patent-protected market for prescription pharmaceuticals. Effectiveness is understood to be the capacity of policies to have a desired impact on outcomes, such as health status, patient access, healthcare expenditure, and research investments, among others.\nMethods  A systematic review of the published literature on pricing regulations in OECD countries was performed. The PubMed, MEDLINE, Scopus, Web of Science, Cochrane Library and the OECD iLibrary databases were searched in September 2016 and December 2017, with an update in August 2018. Interrupted time series studies and additional empirical studies were included, as well as systematic reviews if appropriate methods were applied. The risk of bias was assessed based on the recommendations of the BMJ guidelines, Cochrane EPOC criteria, QHES instrument, HTA good practice guidelines, CRD’s guidance and the CHEC criteria. The quality of evidence was evaluated using the suggestions from EPOC and GRADE.\nResults  Thirty-one publications met the inclusion criteria. Most of the assessed empirical research included therapeutic (TRP) and/or external reference pricing (ERP), with a clear majority focusing on TRP. The main outcomes that were analysed were drug prices, expenditures and drug use. For value-based pricing (VBP), only limited empirical data were found.\nConclusions  We found evidence that TRP may reduce pharmaceutical prices and expenditures in the short term. Furthermore, TRP may lead to substitution effects towards lower-priced pharmaceuticals. The effects of TRP on patient access, healthcare utilisation and R&amp;D investments were found to be uncertain. No conclusions were drawn for ERP and VBP. No evidence was found for the effects on health outcomes for any of the analysed policies. There is a strong need for evidence generation regarding effective pricing policies, particularly for VBP, managed entry agreements and non-financial outcomes.","container-title":"Applied Health Economics and Health Policy","DOI":"10.1007/s40258-018-0437-z","ISSN":"1175-5652, 1179-1896","issue":"2","journalAbbreviation":"Appl Health Econ Health Policy","language":"en","page":"143-162","source":"DOI.org (Crossref)","title":"Effectiveness of National Pricing Policies for Patent-Protected Pharmaceuticals in the OECD: A Systematic Literature Review","title-short":"Effectiveness of National Pricing Policies for Patent-Protected Pharmaceuticals in the OECD","volume":"17","author":[{"family":"Wettstein","given":"Dominik J."},{"family":"Boes","given":"Stefan"}],"issued":{"date-parts":[["2019",4]]},"citation-key":"wettsteinEffectivenessNationalPricing2019"}},{"id":4255,"uris":["http://zotero.org/users/10480792/items/NA5MRKXI"],"itemData":{"id":4255,"type":"article-journal","container-title":"Applied Health Economics and Health Policy","DOI":"10.1007/s40258-016-0300-z","ISSN":"1175-5652, 1179-1896","issue":"3","journalAbbreviation":"Appl Health Econ Health Policy","language":"en","page":"307-321","source":"DOI.org (Crossref)","title":"How Can Pricing and Reimbursement Policies Improve Affordable Access to Medicines? Lessons Learned from European Countries","title-short":"How Can Pricing and Reimbursement Policies Improve Affordable Access to Medicines?","volume":"15","author":[{"family":"Vogler","given":"Sabine"},{"family":"Paris","given":"Valérie"},{"family":"Ferrario","given":"Alessandra"},{"family":"Wirtz","given":"Veronika J."},{"family":"Joncheere","given":"Kees","non-dropping-particle":"de"},{"family":"Schneider","given":"Peter"},{"family":"Pedersen","given":"Hanne Bak"},{"family":"Dedet","given":"Guillaume"},{"family":"Babar","given":"Zaheer-Ud-Din"}],"issued":{"date-parts":[["2017",6]]},"citation-key":"voglerHowCanPricing2017"}},{"id":16199,"uris":["http://zotero.org/users/10480792/items/UJN2CXVP"],"itemData":{"id":16199,"type":"report","abstract":"International reference pricing (IRP) is a widely used element of price regulation in the vast majority of EU and EFTA countries. While IRP is inherently problematic as a means of ensuring optimal prices, these negative consequences could be at least reduced if international reference pricing systems were operated according to an established set of principles. Poorly designed pricing systems can have major negative consequences on access and affordability.","publisher":"EFPIA","title":"EFPIA: Principles for application of international reference pricing systems","URL":"https://www.efpia.eu/media/15406/efpia-position-paper-principles-for-application-of-international-reference-pricing-systems-june-2014.pdf","author":[{"literal":"EFPIA"}],"issued":{"date-parts":[["2014"]]},"citation-key":"efpiaEFPIAPrinciplesApplication2014"}},{"id":16205,"uris":["http://zotero.org/users/10480792/items/MFWLNNAI"],"itemData":{"id":16205,"type":"report","abstract":"European patients and citizens need access to safe, effective and affordable medicines while the health care system should be financially sustainable, and innovation should be encouraged. This is perhaps the key challenge for the national competent authorities and public payers as pharmaceutical pricing and reimbursement remains the competence of EU Member States. In the light of increasing financial pressure while further new high-priced medicines are expected to come to the market, new approaches to achieve the above-mentioned objectives might be required. Without disregarding the subsidiarity principle, possible benefits of cooperative approaches should be studied and discussed. In this context, a consortium of Gesundheit Österreich Forschungs- und Planungs GmbH, SOGETI Luxembourg S.A. and the University for Health Sciences, Medical Informatics and Technology was commissioned by the European Commission (DG SANTÉ / Chafea) to explore the pharmaceutical pricing policies of external price referencing (EPR) and differential pricing (DP) with regard to their ability to achieve two of the three abovementioned policy objectives: to improve patients’ access to medicines and to generate savings for public payers. In particular, this ‘study on enhanced cross-country coordination in the area of pharmaceutical product pricing’ aimed to survey existing EPR schemes in European countries and to develop possible improvements to the current EPR practice, as well as to analyse how DP schemes could possibly be designed for European countries, including addressing identified constraints to DP in Europe. Furthermore, it should be explored how EU-level coordination mechanisms could support the improvement of EPR systems and the establishment of a DP scheme. To achieve these research objectives, the authors relied upon a range of methods including a literature review, a survey of competent authorities for pharmaceutical pricing, interviews with procurement experts, price simulations, a legal analysis, research of cooperation models and SWOT (strengths, weaknesses, opportunities, and threats) analyses. Extensive reviews involving the services of the EC, stakeholders and academics (‘peers’) were performed to ensure the high quality of the report. External price referencing for medicines – Use and impact External price referencing (EPR), also known under different names such as external reference pricing or international price comparison / benchmarking, is defined as the practice of using the price(s) of a medicine in one or several countries in order to derive a benchmark or reference price for the purposes of setting or negotiating the price of a medicine in a given country. EPR is the most commonly applied pricing policy in European countries. As of 2015, apart from Germany, Sweden and the UK, all other EU Member States, as well as Iceland, Norway, Switzerland and Turkey, set the prices of (some of) their medicines based on price comparisons with other countries. In Germany, though the law provides for prices in other countries to be considered as an additional piece of information in pricing of new medicines, it is claimed that EPR is not applied in the follow-up procedure. In Denmark, EPR is only applied as a supportive pricing policy in the hospital sector. According to a survey undertaken in April/May 2015, 20 of the 29 countries that apply EPR use this policy as sole or main pricing policy. Typically, EPR is limited to specific medicines, such as originator, prescription-only or new medicines. The number of reference countries included in the basket varies between one country (Luxembourg) and 30 countries (Hungary and Poland). Countries most frequently referenced to are France, Belgium, Denmark and Spain followed by Italy, the UK and by, to a lesser extent, Austria, Germany and Slovakia. Major criteria defining the composition of country baskets are geographic neighbourhood or a comparable economic situation in the reference countries. The methodological specifications of how an EPR scheme is designed differ between the mentioned countries. For instance, 21 countries do the comparisons of medicine prices at the level of ex-factory prices, and eight countries at pharmacy purchasing price (wholesale price) level. The EPR applying countries refer to the officially published list prices, thus taking neither statutory nor negotiated discounts into account. Germany, though not applying EPR, specified in its law that discounted prices are to be reported by the manufacturers. The most commonly applied method to calculate a reference price is an average, or some kind of modified average, of the prices in the reference countries. The price data required for EPR are provided by the marketing authorisation holder in 23 countries, and 26 countries validate the price information provided. Though price monitoring is provided for in the legislation of 25 countries, it is actually done on a regular basis solely in 17 countries. These regular intervals vary between countries and range from three months to five years. A literature review conducted as part of the study suggests that EPR has proven to be effective in generating, sometimes substantial, savings for public payers. The extent of savings has considerably depended on the methodology applied. There are lost opportunities due to discounts, rebates and similar arrangements in the reference countries that are not considered in EPR. As illustrated by simulations done by the authors of this study, it may be possible to achieve major impacts on price reductions by referencing to discounted prices and by performing regular EPR reviews. With regards to patient access, EPR is likely to have a negative impact since it incentivises the pharmaceutical industry to first launch in higher-priced countries and delay, and refrain from entering the market in lower-priced countries, and may also inhibit them from offering medicines at lower prices in lower-priced countries. External price referencing – Options for improvement and cooperation mechanisms EPR is a pricing policy that considers the prices in other countries, but it is not a cooperation tool per se. However, both changes in the methodology undertaken unilaterally by countries as well as cooperative approaches between Member States can help improve the performance of EPR which is a resource- and time-consuming activity, and thus possibly positively impact the outlined policy objectives. The report discusses four options for improvement: 1) a central price database, 2) the consideration of discounts, 3) regular price monitoring, and 4) the coordination of EPR formulae. A major tool to facilitate price comparisons could be a European medicine price database, such as the existing Euripid database of competent authorities of EU Member States and a few further European countries. According to its users, Euripid has proven to be extremely supportive for competent authorities when they carry out technical work related to EPR (price surveys, validation and comparisons). Thus, the authors consider a centralised price database as a promising cooperation mechanism that should be continued and possibly extended in future. It would be highly recommended to have a centralised database that covers all EU Member States. However, some countries may not be able to join a European price database (e.g. no possibility to share the price data of the own country due to a lack of ownership) which would limit the effectiveness of the database. A current limitation to a European price database is the provision of undiscounted list price data only. The inclusion of discounted prices could significantly improve the relevance and quality of such a database. If the inclusion of discounted prices is not possible, it is recommended to consider alternative approaches, such as at least an indication in the price database of whether, or not, discounts have been granted to that product. As the analysis has shown, EPR could provide lower prices if the price comparisons were done at the level of real prices paid by payers (discounted prices) instead of list prices. As a unilateral measure, EPR applying countries could take into account, as a minimum, statutory manufacturer discounts in the reference countries (e.g. Germany) that are officially published. However, this would only cover parts, possibly small ones, of the discounts granted. Higher savings might be generated if prices actually paid by public payers are referenced to, i.e. considering also confidential discounts, rebates, and similar financial arrangements in the other countries. One option to receive this information is a sharing of these data among Member States. Another option to improve EPR would be regular price reviews with subsequent price revisions whose impact on reducing prices has been evidenced by simulations. However, industry could also benefit from regular price revisions if price increases (e.g. due to exchange rate fluctuations) were also considered. There is room for improvement since several Member States do not seem to perform regular (i.e. bi-annually, annually or at other defined time intervals) price re-evaluations even if provided for in the legislation. Finally, another consideration could be the adaptation of the EPR formulae. For instance, countries could adjust prices by reference countries’ purchasing power parities, rather than merely by nominal exchange rates, when performing EPR. This is a step that could be taken unilaterally by any EPR applying country. If several countries consider such changes, an exchange of information and best practice on criteria and methods for adjustment, which would support capacity building is recommended. A multi-national agreement on adjusting formulae in a particular method would be similar to the implementation of differential pricing in Europe (see below). The four options presented can support policy-makers to improve the efficiency of performing price comparisons under EPR, and can help generating further savings for public payers. However, apart from the fourth option which contains traits of differential pricing, the other three options are not necessarily expected to impact the differentiation of prices between countries along the lines of ability-to-pay and thus improve access to medicines. The four options presented are not mutually exclusive, and it is recommended to consider a combination of these options. Differential pricing for medicines – Use and impact Overall, differential pricing (DP) describes the strategy of having different prices for the same product charged to different customers. This study regards differential pricing which is understood as an international, governmental policy defining the prices of medicines according to the ability-to-pay, and/or the economic situation of the countries under DP. There is a difference to ‘price discrimination’ (‘market discrimination’, ‘Ramsey pricing’) that describes a business strategy of economic actors to segment the market according to the observed demand-elasticity of consumers and that is not the focus of this study. Experience with DP exists with medicines for specific indications (particularly HIV/AIDS, tuberculosis, malaria, vaccines) that were procured under DP by international agencies and programmes (UNICEF, PAHO, GAVI, Global Fund, UNITAID) for low- and middleincome countries, including least-developed countries. There is no experience with DP, as defined above, applied for high-income countries, such as European countries.\nThe applied DP schemes aimed to ensure access to medicines that would otherwise have been unaffordable for these countries. Though the results are mixed, it was found that in some cases DP might have resulted in an improved access to medicines for lowincome countries. In addition, there was some evidence that DP helped to reduce prices and thus made medicines more affordable. However, the entry of generic medicines into the market was seen to be more effective in driving prices down than DP. It has been argued that DP may benefit manufacturers as well since they gain additional markets, and low profit margins in these markets might be out-weighted by increased unit sales. Under specific conditions DP might serve as a, however second-best, policy option to ensure short-term access to medicines, particularly new on-patent medicines. It should be supported by other policy options including generic competition, joint procurement, voluntary licensing and compulsory licensing. A global legal framework for DP has been suggested by researchers advocating for access to medicines globally. Differential pricing – Proposal for an EU coordination mechanism The report discusses a possible outline of a DP scheme for medicines in Europe as requested by the project tender specifications. This possible DP framework is described for analytical purposes, to illustrate what DP could mean in practice and to be able to assess its feasibility; but it should be noted that the authors do not necessarily recommend that a DP scheme should be implemented in Europe. Such a scheme would require the agreement on principles and mechanisms of the countries included (in case of a collaborative approach for the EU, these were all 28 Member States) which is a challenge and might not be politically feasible in the short term. Mechanisms to be agreed upon would involve a maximum or minimum entry price, one of the biggest challenges by itself, and the size of the mark-ups or mark-downs. When designing such mechanisms, economic indicators, such as the gross domestic product or the purchasing power parities, should be taken into consideration. Some would argue that a DP scheme should be designed in a way that prevents higher prices in the higher-income countries compared to a situation without DP; others that these higher price levels might be justified. In any case, if the DP approach is chosen, it is recommended to start with a pilot project for one, or a few products, defined according to some eligibility criteria (candidate medicines could include orphan medicinal products, or other high-priced medicines, for instance). EU Member States are advised to accompany any DP pilots, and later possibly regular DP schemes, by evaluations, with the possibility to feed-in lessons learned in future mechanisms. The pilots could be launched in cooperation with pharmaceutical companies interested in marketing their product in the European Union under a DP scheme. Trust and better planning between the two parties could be ensured if both supply and purchase guarantees would be integrated into contracts for medicines procured under DP. Notwithstanding the subsidiarity principle, operationally, the DP schemes would benefit from a central coordinating structure. A key constraint that limits any differential pricing in Europe is parallel trade. Parallel trade occurs, if a genuine product originally sold under the patent protection is traded in another country without control or permission from the original patent holder. This leads to the re-importation of medicines from lower-priced to higher-priced countries and thus contradicts the principles of DP in which prices vary according to economic parameters. From a legal perspective, medicines as such are no exception to the free mobility of goods in the internal market. Thus, though parallel trade should not be interfered with in order to not distort competition within the Union, export bans and notification/authorisation procedures related of exports of medicines might be justified if considered suitable, proportionate and necessary for achieving health and life protection goals. However, no legally binding Commission decision or European Court of Justice rule has yet been issued on this matter, although the effects of parallel trade on health and safe access to medicines remain a matter of strong controversy. Policy options for the future The exact impacts of a possible DP scheme within the European market are still unclear. It is evident, however, that the implementation of a DP scheme would be extremely challenging and would require enormous political will to address legal constraints and achieve agreements between Member States on principles and mechanisms. However, the challenge of ensuring patient access to new, possibly innovative medicines has become an urgent need in the light of new high-priced medicines. Thus, while the implementation of a DP appears to be unfeasible in the EU in the short run, EU Member States could consider using DP traits in EPR schemes. In the short term, EU Member States could improve their EPR systems, particularly by doing regular price revisions and considering (statutory) discounts, but these measures primarily help generate savings, and do not necessarily improve access to medicines. Some of the latter measures can be taken unilaterally by EU Member States, and cooperation would mainly regard the exchange of good practise on the methodology to be employed. Moreover, EU Member States could consider exploring other new pharmaceutical (pricing) policies such as joint procurement initiatives which were not within the scope of this study. It is recommended using fora, such as the stakeholder review meeting of this project, to openly discuss strategies among stakeholders on how to deal with new high-cost medicines.","language":"en","publisher":"European Commission","source":"DOI.org (CSL JSON)","title":"Study on enhanced cross-country coordination in the area of pharmaceutical product pricing: final report.","title-short":"Study on enhanced cross-country coordination in the area of pharmaceutical product pricing","URL":"https://data.europa.eu/doi/10.2875/631265","author":[{"family":"Vogler","given":"Sabine"},{"family":"Lepuschütz","given":"Lena"},{"family":"Schneider","given":"Peter"},{"family":"Stühlinger","given":"Verena"}],"accessed":{"date-parts":[["2024",3,22]]},"issued":{"date-parts":[["2015"]]},"citation-key":"voglerStudyEnhancedCrosscountry2015"}},{"id":4271,"uris":["http://zotero.org/users/10480792/items/2UQK54UD"],"itemData":{"id":4271,"type":"article-journal","abstract":"Background: Countries with expanding healthcare coverage (CEHCs) increasingly use external reference pricing (ERP) for pharmaceuticals. The ERP policies must aim to optimize efﬁciency, minimize disturbances, and maximize access to effective therapies for all patients. Objective: This research aims to deduce best practices for prudent ERP regulations from past experiences and currently applied policies and to guide policymakers in CEHCs in implementing robust ERP policies. Methods: The literature was reviewed for methods and effects of ERP for pharmaceuticals. Pharmaceutical pricing experts from Asia, the Middle East, Russia, and South Africa were surveyed for current approaches to ERP in their respective countries. Results: Key determinants of ERP relate to scope, number, and choice of reference countries; price deﬁnitions; computation rules; frequency; and stringency of applying ERP. The scarce evidence shows that ERP seems to lead to narrower price windows with the risk of reducing prices in high-price countries and raising prices in low-price countries. Moreover, launch delays and indirect price effects are often observed. The ERP policies in CEHCs are often applied in isolation, not always in a consistent and transparent manner, neglecting its indirect effects.","container-title":"Value in Health Regional Issues","DOI":"10.1016/j.vhri.2019.04.003","ISSN":"22121099","journalAbbreviation":"Value in Health Regional Issues","language":"en","page":"122-131","source":"DOI.org (Crossref)","title":"External Reference Pricing for Pharmaceuticals—A Survey and Literature Review to Describe Best Practices for Countries With Expanding Healthcare Coverage","volume":"19","author":[{"family":"Holtorf","given":"Anke-Peggy"},{"family":"Gialama","given":"Fotini"},{"family":"Wijaya","given":"Kalman Emry"},{"family":"Kaló","given":"Zoltán"}],"issued":{"date-parts":[["2019",9]]},"citation-key":"holtorfExternalReferencePricing2019"}},{"id":15792,"uris":["http://zotero.org/users/10480792/items/7VYTR69U"],"itemData":{"id":15792,"type":"article-journal","abstract":"BACKGROUND AND OBJECTIVES: External reference pricing (ERP) is a price regulation tool widely used by policy makers in the European Union (EU) Member States (MS) to contain drug cost, although in theory, it may contribute to modulate prices up and down. The objective of this article was to summarise and discuss the main findings of part of a large project conducted for the European Commission ('External reference pricing of medicinal products: simulation-based considerations for cross-country coordination'; see www.ec.europa.eu/health/healthcare/docs/erp_reimbursement_medicinal_products_en.pdf) that aimed to provide an overview of ERP systems, both on processes and potential issues in 31 European countries (28 EU MS, Iceland, Norway, and Switzerland). METHODS: A systematic structured literature review was conducted to identify and characterise the use of ERP in the selected countries, to describe its impact on the prices of pharmaceuticals, and to discuss the possible cross-country coordination issues in EU MS. This research was complemented with a consultation of competent authorities' and international organisations' representatives to address the main issues or uncertainties identified through the literature review. RESULTS: All selected countries applied ERP, except the United Kingdom and Sweden. Twenty-three countries used ERP as the main systematic criterion for pricing. In the majority of European countries, ERP was based on legislated pricing rules with different levels of accuracy. ERP was applied either for all marketed drugs or for specific categories of medicines; it was mainly used for publicly reimbursed medicines. The number of reference countries included in the basket varied from 1 to 31. There was a great variation in the calculation methods used to compute the price; 15 countries used the average price, 7 countries used the lowest price, and 7 countries used other calculation methods. Reported limitations of ERP application included the lack of reliable sources of price information, price heterogeneity, exchange rate volatility, and hidden discounts. Spill-over effect and downward price convergence have often been mentioned as ERP's consequences leading to pricing strategies from pharmaceutical companies. CONCLUSION: While ERP is widely used in Europe, processes and availability of price information vary from one country to another, thus limiting ERP implementation. Furthermore, ERP spill-over effect is a major concern of pharmaceutical firms leading to implementation of the so-called 'launch sequence strategies'.","archive_location":"27123181","container-title":"J. Mark. Access Health Policy","DOI":"10.3402/jmahp.v3.27675","ISSN":"2001-6689","issue":"1","page":"27675","title":"Overview of external reference pricing systems in Europe","volume":"3","author":[{"family":"Rémuzat","given":"C."},{"family":"Urbinati","given":"D."},{"family":"Mzoughi","given":"O."},{"family":"El Hammi","given":"E."},{"family":"Belgaied","given":"W."},{"family":"Toumi","given":"M."}],"issued":{"date-parts":[["2015"]]},"citation-key":"remuzatOverviewExternalReference2015"}},{"id":16206,"uris":["http://zotero.org/users/10480792/items/SXT7AYDU"],"itemData":{"id":16206,"type":"report","language":"en","publisher":"European Commission","title":"External reference pricing of medicinal products: simulation-based considerations for cross-country coordination. Final Report.","URL":"https://health.ec.europa.eu/document/download/c937630e-7039-43db-87d0-eb782573ba5b_en","author":[{"family":"Toumi","given":"M."},{"family":"Rémuzat","given":"C."},{"family":"Vataire","given":"A. L."},{"family":"Urbinati","given":"D."}],"accessed":{"date-parts":[["2024",3,22]]},"issued":{"date-parts":[["2014"]]},"citation-key":"toumiExternalReferencePricing2014"}},{"id":15815,"uris":["http://zotero.org/users/10480792/items/RV2JJVG7"],"itemData":{"id":15815,"type":"article-journal","abstract":"BACKGROUND: External reference pricing (ERP) seeks to rationalize prices and contain costs using foreign prices as a reference for the determination of domestic prices and is often used as the starting point for the facilitation of negotiations between health authorities and pharmaceutical manufacturers. METHODS: A systematic literature review was used to identify characteristics of ERP implementation across 29 countries. Primary data collection, in the form of surveys directed at key stakeholders, was also used to supplement data in instances where information received from the systematic literature review was outdated or minimal. Findings from the systematic literature review and primary evidence from key stakeholders were bench-marked against 14 best practice principles inherent to an optimal ERP system. RESULTS: Significant heterogeneity in ERP implementation across countries was identified. Country basket size, pricing calculation, and frequency of price revisions varied between countries. Belgium, France, and South Africa were more likely to adhere to the best practice principles, whilst Bulgaria, Hungary, and Romania had the most instances of non-adherence. CONCLUSION: The observed heterogeneity has policy implications for governments including globally declining pharmaceutical prices, launch delays in lower income countries, reduced incentive for continued R&amp;D, and reduced access to medicines. Overcoming this issue to ensure that ERP is beneficial to all stakeholders will require a focus on developing sustainable, transparent, simple, and stable systems using a set of key guidelines that should maximize the benefits of the pricing policy.","archive_location":"31444673","container-title":"Eur J Health Econ","DOI":"10.1007/s10198-019-01100-y","ISSN":"1618-7601","issue":"9","page":"1375-1397","title":"Variations in external reference pricing implementation: does it matter for public policy?","volume":"20","author":[{"family":"Gill","given":"J."},{"family":"Fontrier","given":"A. M."},{"family":"Kyriopoulos","given":"D."},{"family":"Kanavos","given":"P."}],"issued":{"date-parts":[["2019",12]]},"citation-key":"gillVariationsExternalReference2019"}},{"id":16208,"uris":["http://zotero.org/users/10480792/items/Q989H9TC"],"itemData":{"id":16208,"type":"article-journal","abstract":"Background 7\nMethod 7\nResults 7\nConclusion","DOI":"10.21953/LSE.Y1TBIZSXRL3N","language":"en","note":"publisher: [object Object]","source":"DOI.org (Datacite)","title":"The Implementation of External Reference Pricing within and across Country Borders","URL":"http://eprints.lse.ac.uk/84223/","author":[{"family":"Kanavos","given":"Panos"},{"family":"Fontrier","given":"Anna-Maria"},{"family":"Gill","given":"Jennifer"},{"family":"Efthymiadou","given":"Olina"},{"family":"Boekstein","given":"Nicola"}],"accessed":{"date-parts":[["2024",3,21]]},"issued":{"date-parts":[["2017"]]},"citation-key":"kanavosImplementationExternalReference2017"},"label":"page"},{"id":15979,"uris":["http://zotero.org/users/10480792/items/3WVZHWIG"],"itemData":{"id":15979,"type":"book","abstract":"The pharmaceutical market in Cyprus is characterised by several country- and system specific peculiarities and challenges, including: • Small market size; • The system of external price referencing (ERP) does not enable the country to capitalise on transaction prices in reference countries; • The absence of a health insurance scheme and the resulting absence of a suitable reimbursement system does not allow the country to exercise any form of market power; this may lead to inequities in access and expose citizens to undue financial and health risks; • There are no mechanisms in place to monitor and control the prescribing behaviour of physicians; coupled with brand awareness, this likely encourages the over-prescribing of expensive, on-patent products; • There do not appear to be any limits on promotional activities by manufacturers and distributors or any self-regulating practices (such as a code of practice), potentially incentivising providers to induce demand; • The pharmacy remuneration structure and the absence of generic substitution favour the dispensing of expensive products; • For patients, there is little cost-sharing in the public sector, whereas drug costs are borne out-of-pocket in the private sector. A World Health Organization (WHO) mission to study the current system of pharmaceutical pricing and coverage decisions resulted in a series of recommendations. Chronologically, these have been divided into three categories: first, interventions for the short-term to refine the way the current system works, aiming to increase its efficiency and economise on resources; second, interventions aiming to address gaps in the organisation and delivery of health and pharmaceutical services in anticipation of the introduction of a general health insurance scheme (GeSY); and, third, interventions aiming to ensure the sustainability of health and pharmaceutical care provision following GeSY implementation.","language":"en ; eng","publisher":"World Health Organization","title":"Pharmaceutical policies in Cyprus: a review of the current system and future options","URL":"http://eprints.lse.ac.uk/67343/","author":[{"family":"Kanavos","given":"Panos"},{"family":"Wouters","given":"Olivier J."}],"issued":{"date-parts":[["2014"]]},"citation-key":"kanavosPharmaceuticalPoliciesCyprus2014"}},{"id":15827,"uris":["http://zotero.org/users/10480792/items/IAZ5GABV"],"itemData":{"id":15827,"type":"article-journal","abstract":"BACKGROUND: External reference pricing (ERP) is widely used to regulate pharmaceutical prices and help determine reimbursement. Its implementation varies substantially across countries, making it difficult to study and understand its impact on key policy objectives. OBJECTIVES: To assess the evidence on ERP in different settings and its impact on key health policy objectives, notably, cost-containment, pharmaceutical price levels, drug use, equity, efficiency, availability, affordability and industrial policy; and second, to critically assess the quality of evidence on ERP. METHODS: Primary and secondary data collection through a survey of leading experts and a systematic literature review, respectively, over the 2000-2017 period. RESULTS: Forty five studies were included in the systematic review (January 2000-December 2016). Primary evidence was gathered via survey distribution to experts in 21 countries (January-July 2017). ERP contributes to cost-containment, but this is a short-term effect highly dependent on the way ERP is designed and implemented. Low prices, as a result of ERP, can undermine the availability of medicines and lead to launch delays or product withdrawals. Downward price convergence can hamper investment in innovation. ERP does not seem to promote efficiency in achieving health system goals. As evidence is weak, results need to be interpreted with caution. CONCLUSIONS: ERP has not regulated prices efficiently and has unintended consequences that reduce the benefits arising from it. If ERP is carefully designed with minimal price revisions, prudent selection of basket size and countries, and consideration of transaction prices, it could be a more effective mechanism enhancing welfare, equitable access to medicines within countries and help promote industry innovation.","archive_location":"31583483","container-title":"Eur J Health Econ","DOI":"10.1007/s10198-019-01116-4","ISSN":"1618-7601","issue":"1","page":"129-151","title":"Does external reference pricing deliver what it promises? Evidence on its impact at national level","volume":"21","author":[{"family":"Kanavos","given":"P."},{"family":"Fontrier","given":"A. M."},{"family":"Gill","given":"J."},{"family":"Efthymiadou","given":"O."}],"issued":{"date-parts":[["2020",2]]},"citation-key":"kanavosDoesExternalReference2020"}},{"id":15897,"uris":["http://zotero.org/users/10480792/items/7PQKGX56"],"itemData":{"id":15897,"type":"article-journal","abstract":"OBJECTIVES: The aim of this study was to investigate the analysis, discussion, and challenges of the price and reimbursement process of medicinal products in Bulgaria in the period 2000-15 and health technology assessment (HTA) role in these processes. METHODS: The dynamics of the reform, with respect to the healthcare and pharmaceutical sectors, are tracked by documentary review of regulations, articles, and reports in the European Union (EU), as well as analytical and historical analysis. RESULTS: Pricing and reimbursement processes have passed through a variety of committees between 2003 and 2012. Separate units for pricing and reimbursement of medicinal products were established in Bulgaria for the first time, in 2013, when an independent body, the National Council at Prices and Reimbursement of Medicinal Products, was set up to approve medicinal products with new international nonproprietary names (INN) for reimbursement in Bulgaria. Over the course of 2 years (2013-14), thirty-three new INNs were approved for reimbursement. In December 2015, a new HTA body was introduced, and assigned to the National Centre for Public Health and Analyses. CONCLUSIONS: Although Bulgaria has current legislation on pricing and reimbursement which is in accordance with the EU rules, there is no mechanism for reporting and monitoring these processes or the financial resources annually, so as to provide an overall objective assessment and analysis by year. Therefore, this financial assessment should become a national policy objective for the future.","archive_location":"28831942","container-title":"Int J Technol Assess Health Care","DOI":"10.1017/s0266462317000551","ISSN":"1471-6348","issue":"3","page":"365-370","title":"Pricing, Reimbursement, and Health Technology Assessment of Medicinal Products in Bulgaria","volume":"33","author":[{"family":"Benisheva-Dimitrova","given":"T."},{"family":"Sidjimova","given":"D."},{"family":"Cherneva","given":"D."},{"family":"Kralimarkov","given":"N."}],"issued":{"date-parts":[["2017",1]]},"citation-key":"benisheva-dimitrovaPricingReimbursementHealth2017"}},{"id":15904,"uris":["http://zotero.org/users/10480792/items/3M7RSA79"],"itemData":{"id":15904,"type":"article-journal","abstract":"Bulgaria has a mixed public-private health care financing system. Health care is financed mainly from compulsory health insurance contributions and out-of-pocket payments. Out-of-pocket payments constitute a large share of the total health care expenditure (44.14% in 2014). The share of drugs expenditure for outpatient treatment was 42.3% of the total health care expenditure in 2014, covered mainly by private payments (78.6% of the total pharmaceutical expenditure). The drug policy is run by the Ministry of Health (MoH), the National Council on Prices and Reimbursement of Medicinal Products, and the Health Technology Assessment Commission. The MoH defines diseases for which the National Health Insurance Fund (NHIF) pays for medicines. The National Council on Prices and Reimbursement of Medicinal Products maintains a positive drug list (PDL) and sets drug prices. Health technology assessment was introduced in 2015 for medicinal products belonging to a new international nonproprietary name group. The PDL defines prescription medicines that are paid for by the NHIF, the MoH, and the health care establishments; exact patient co-payments and reimbursement levels; as well as the ceiling prices for drugs not covered by the NHIF, including over-the-counter medicines. The reimbursement level can be 100%, 75%, or up to 50%. The PDL is revised monthly in all cases except for price increase. Physicians are not assigned with pharmaceutical budgets, there is a brand prescribing practice, and the substitution of prescribed medicines by pharmacists is prohibited. Policies toward cost containment and effectiveness increase include introduction of a reference pricing system, obligation to the NHIF to conduct mandatory centralized bargaining of discounts for medicinal products included in the PDL, public tendering for medicines for hospital treatment, reduction of markup margins of wholesalers and retailers, patient co-payment, and the introduction of health technology assessment. Although most of the policies have been introduced since 2011, there is still weak evidence for improvement regarding cost containment and effectiveness. Copyright © 2017. Published by Elsevier Inc.","archive_location":"29073988","container-title":"Value Health Reg Issues","DOI":"10.1016/j.vhri.2017.08.001","ISSN":"2212-1102","page":"50-54","title":"Drug Policy in Bulgaria","volume":"13","author":[{"family":"Dimova","given":"A."},{"family":"Rohova","given":"M."},{"family":"Atanasova","given":"E."},{"family":"Kawalec","given":"P."},{"family":"Czok","given":"K."}],"issued":{"date-parts":[["2017",9]]},"citation-key":"dimovaDrugPolicyBulgaria2017"}},{"id":15910,"uris":["http://zotero.org/users/10480792/items/9MKJIE4B"],"itemData":{"id":15910,"type":"article-journal","abstract":"Objectives: The current study aims to analyze, from a historical perspective, the regulatory framework of prices and reimbursement in Bulgaria with emphasis on the introduction of economic evaluation. Methods: The study explores all regulatory changes during the period 1995-2016 combining the macroeconomic and regulatory analysis on medicines pricing and reimbursement. A roadmap summarizing the current regulatory requirements for the medicinal product entrance on national market and access to public funding was elaborated. Results: Demographic processes in the country have been negative for the past decade. On the other hand, health care and pharmaceutical expenditures experienced a growth up to 8.6% and 3% of total GDP, respectively. The total pharmaceutical market permanently grew from 309 to 1409 million of Euro. During the last 20 years, the pricing and reimbursement legislation of medicines in Bulgaria was changed extensively. Conclusion: Pricing policy remains oriented toward the lowest European prices and reimbursement policy impose cost containment measures. Appraisal of the obligatory Health Technology Assessment Dossiers and pharmacoeconomic analysis is in accordance with world recommendations. Main regulatory issues that still remain to be tackled are the slower entrance of medicines on the national market and lower national prices that often lead to parallel import.","archive_location":"30900482","container-title":"Expert rev. pharmacoecon. outcomes res.","DOI":"10.1080/14737167.2019.1592680","ISSN":"1744-8379","issue":"6","page":"733-742","title":"Historical overview of regulatory framework development on pricing and reimbursement of medicines in Bulgaria","volume":"19","author":[{"family":"Vassileva","given":"M."},{"family":"Kamusheva","given":"M."},{"family":"Manova","given":"M."},{"family":"Savova","given":"A."},{"family":"Tachkov","given":"K."},{"family":"Petrova","given":"G."}],"issued":{"date-parts":[["2019",12]]},"citation-key":"vassilevaHistoricalOverviewRegulatory2019"}},{"id":15895,"uris":["http://zotero.org/users/10480792/items/6428V5J5"],"itemData":{"id":15895,"type":"article-journal","abstract":"Introduction: Croatia has introduced a number of reforms to contain pharmaceutical expenditure whilst increasing access to new medicines. These include new regulations and new ordinances in 2013 including the pricing of new medicines and lowering the price of generics. Aims: Describe changes in the 2013 ordinance for new and established medicines in Croatia and the potential savings to provide future guidance. Methods: Descriptive review of the new ordinances for pricing and reimbursement of pharmaceuticals and calculations of potential savings from the various initiatives. Results: There were changes in the ordinance for the pricing of new medicines in Croatia including the order of reference priced countries. There were also changes in the pricing of biosimilars as well as comparator levels with other countries. Projections show that with the new ordinance, ambulatory care expenditure for the 54 product groups (internal reference price system) will be reduced by 9.64% (Kunas 318.4 million) and prices of medicines lowered by 8% to 10% based on external reference pricing following changes in the order of referenced price countries. Conclusion: This paper demonstrates that changes in the reference pricing system can lead to considerable differences in overall reimbursed expenditure. In addition, European countries with smaller populations can be active with introducing a variety of measures to keep pharmaceutical expenditure under control whilst increasing access to new medicines. Further reforms will be needed to improve the quality of prescribing. It is also likely further ordinances will be needed to keep pharmaceutical expenditure under control.","archive":"Embase","container-title":"GaBI J","DOI":"10.5639/gabij.2015.0402.017","ISSN":"2033-6772 2033-6403","issue":"2","language":"English","page":"79-89","title":"Pharmaceutical pricing in Croatia: a comparison of ordinances in 2013 versus 2009 and their potential savings to provide future guidance","volume":"4","author":[{"family":"Brkičić","given":"L. S."},{"family":"Godman","given":"B."},{"family":"Bogut","given":"M."},{"family":"Sršen","given":"M."},{"family":"Kwon","given":"H. Y."},{"family":"Bruyn","given":"W.","non-dropping-particle":"de"},{"family":"Tabain","given":"T."}],"issued":{"date-parts":[["2015"]]},"citation-key":"brkicicPharmaceuticalPricingCroatia2015"}},{"id":15745,"uris":["http://zotero.org/users/10480792/items/EUBZZ6KV"],"itemData":{"id":15745,"type":"article-journal","abstract":"OBJECTIVES: The objectives of this article were to describe the characteristics of the drug policy in Romania in the last 10 years and to present the consequences in terms of patient accessibility to drugs. METHODS: The Romanian health care system with pricing and reimbursement legislation was studied while considering the evolution of pricing and reimbursement processes, the key stakeholders, and the reasons behind changes. A critical appraisal was done covering published materials on the effects of pricing and reimbursement decisions. RESULTS: Romania uses an external reference pricing model considering the lowest price from 12 European Union countries. The result is the visible list price, which is used by the payer as the basis for the reimbursement prices. The reimbursed price depends on the type of drug and the therapeutic area. The claw-back taxation reduces the reimbursement prices by another 12% to 75%, depending on the type of reimbursement for each drug: unconditional (more than 4000 drugs) or conditional (19 drugs) reimbursement. As a consequence, the Romanian prices are one of the cheapest in the European Union, some drugs are leaving the country subject to intracommunity trade and more than 2000 drugs have disappeared from the market in the last 5 years. CONCLUSIONS: The drug policy in Romania is centered on price reduction using different techniques and no value-based criteria are used. The pricing is not included in the health technology assessment system, managed entry agreements are not used, and the main effect visible at the patient level is the lack of drugs for some therapeutic areas. Copyright © 2018 International Society for Pharmacoeconomics and Outcomes Research (ISPOR). Published by Elsevier Inc. All rights reserved.","archive_location":"29704726","container-title":"Value Health Reg Issues","DOI":"10.1016/j.vhri.2017.11.003","ISSN":"2212-1102","page":"28-32","title":"Drug Policy in Romania","volume":"16","author":[{"family":"Radu","given":"C. P."},{"family":"Pana","given":"B. C."},{"family":"Furtunescu","given":"F. L."}],"issued":{"date-parts":[["2018",9]]},"citation-key":"raduDrugPolicyRomania2018"}},{"id":15993,"uris":["http://zotero.org/users/10480792/items/T3S6X3IY"],"itemData":{"id":15993,"type":"article-journal","abstract":"Background From 2007 to 2012 five changes of the Rules defining Slovenian external reference pricing (ERP) were introduced to reduce medicine expenditure. Objective To assess the cost-saving effect of five ERP updates and the cost-saving effect of specific price reduction agreements, and to identify potential inconsistencies in determining the maximum allowed prices (MAPs) based on ERP. Methods To obtain MAPs from 2012 and four sets of MAPs that would be valid if ERP upgrades did not occur, Rules from 2012 and four previous Rules were applied to the same data on prices in reference countries. To assess the ERP updates cost-saving effect, one-year validity of each Rules was assumed. The assumed annual medicine expenditure was calculated considering MAPs according to each Rules and medicine consumption. To detect inconsistencies in determining MAPs, the official MAPs were compared to the MAPs calculated within the study. Results The total cost-saving effect resulting from the difference in assumed medicine expenditure based on the 2012 Rules and 2007 Rules was 5.45%. The greatest cost-saving effect of 3.59% was observed for the 2012 Rules compared to the 2010 Rules, while a 2.28% cost increase was detected when comparing the 2009 Rules to those from 2008. Specific price reduction agreements contributed to 2.32%, 4.51% and 6.74% expenditure reductions, respectively. Inconsistences in the formulation of MAPs were found as 4.75% lower monthly expenditure based on the calculated MAPs. Conclusions ERP system upgrades affected medicine expenditure; however, specific price reduction agreements were shown as a more effective cost-containment measure.","archive":"Embase","container-title":"Health Policy Technol","DOI":"10.1016/j.hlpt.2017.06.005","ISSN":"2211-8845 2211-8837","issue":"3","language":"English","page":"348-357","title":"Development and performance of the external reference pricing system in Slovenia from 2007 to 2012","volume":"6","author":[{"family":"Marđetko","given":"N."},{"family":"Rijavec","given":"N."},{"family":"Kos","given":"M."}],"issued":{"date-parts":[["2017"]]},"citation-key":"mardetkoDevelopmentPerformanceExternal2017"}},{"id":15735,"uris":["http://zotero.org/users/10480792/items/BCF2SUIU"],"itemData":{"id":15735,"type":"article-journal","archive_location":"32000577","container-title":"Int J Health Serv","DOI":"10.1177/0020731419897580","ISSN":"1541-4469","issue":"2","page":"156-165","title":"Pharmaceutical Price and Spending Controls in France: Lessons for the United States","volume":"50","author":[{"family":"Rodwin","given":"M. A."}],"issued":{"date-parts":[["2020"]]},"citation-key":"rodwinPharmaceuticalPriceSpending2020"}},{"id":15790,"uris":["http://zotero.org/users/10480792/items/HMYFDCWI"],"itemData":{"id":15790,"type":"article-journal","abstract":"Background and objectives: Governments in Asia Pacific (APAC) are increasingly using pharmaceutical pricing strategies to contain rising healthcare costs. The objective of this narrative review is to discuss formal pricing strategies for reimbursed prescription medication in APAC, supported by relevant examples of implementation differences across countries. In the discussion section, we examine key advantages and disadvantages of each strategy. Methods: A narrative review of the peer-reviewed and grey literature was undertaken to retrieve information, including strategy definitions, practising countries, country-specific implementation considerations, and merits and demerits of each strategy. Results: Seven strategies (Internal Reference Pricing, External Reference Pricing, Special Pricing Agreements, Pharmacoeconomic Evaluation, Cost plus pricing, Price Maintenance Premium, and Tendering and negotiations) were identified as most commonly practised in APAC through the review process. Most countries use multiple strategies that differ in how they are implemented. Conclusion: APAC countries use multiple strategies simultaneously with varying implementation methods, including different formulae and sub-types of medication that a strategy applies to, whether the strategy is a mandate or guideline, and the extent of negotiations and transparency. Strategies are instituted partly with the aim of cost containment, and may also promote price stability, innovation, and increased access in the short and longer term. Abbreviations: APAC - Asia Pacific; WHO - World Health Organisation; IRP - Internal Reference Pricing; ERP - External Reference Pricing; SPA - Special Pricing Agreement; MES - Managed Entry Scheme; PVA - Price-Volume Agreement; RSA - Risk Sharing Agreement; NHIS - National Health Insurance System; PE - Pharmacoeconomic Evaluation; CEA - Cost-Effectiveness Analysis; QALY - Quality-adjusted Life Year; BIA - Budget Impact Analysis; PMP - Price Maintenance Premium; R&amp;D - Research &amp; Development.","archive_location":"31007877","container-title":"J Mark Access Health Policy","DOI":"10.1080/20016689.2019.1601060","ISSN":"2001-6689","issue":"1","page":"1601060","title":"Government pharmaceutical pricing strategies in the Asia-Pacific region: an overview","volume":"7","author":[{"family":"Verghese","given":"N. R."},{"family":"Barrenetxea","given":"J."},{"family":"Bhargava","given":"Y."},{"family":"Agrawal","given":"S."},{"family":"Finkelstein","given":"E. A."}],"issued":{"date-parts":[["2019"]]},"citation-key":"vergheseGovernmentPharmaceuticalPricing2019"}},{"id":16196,"uris":["http://zotero.org/users/10480792/items/SXHKV85G"],"itemData":{"id":16196,"type":"article-journal","abstract":"An assessment of the impact of external reference pricing (ERP) systems on important health system goals such as availability, affordability and diffusion/utilisation of pharmaceuticals; and an analysis of the impact that ERP systems have at the domestic and international levels, particularly considering their likely spillover effects.","DOI":"10.21953/LSE.M0BLUQCV10G6","language":"en","note":"publisher: [object Object]","source":"DOI.org (Datacite)","title":"The Impact of External Reference Pricing within and across Countries","URL":"http://eprints.lse.ac.uk/id/eprint/84222","author":[{"family":"Kanavos","given":"Panos"},{"family":"Fontrier","given":"Anna-Maria"},{"family":"Gill","given":"Jennifer"},{"family":"Efthymiadou","given":"Olina"},{"family":"Boekstein","given":"Nicola"}],"accessed":{"date-parts":[["2024",3,27]]},"issued":{"date-parts":[["2017"]]},"citation-key":"kanavosImpactExternalReference2017"}},{"id":16191,"uris":["http://zotero.org/users/10480792/items/ALZVSU3H"],"itemData":{"id":16191,"type":"article-journal","container-title":"Applied Health Economics and Health Policy","DOI":"10.1007/s40258-015-0182-5","ISSN":"1175-5652, 1179-1896","issue":"1","journalAbbreviation":"Appl Health Econ Health Policy","language":"en","page":"1-8","source":"DOI.org (Crossref)","title":"The End of the International Reference Pricing System?","volume":"14","author":[{"family":"Persson","given":"Ulf"},{"family":"Jönsson","given":"Bengt"}],"issued":{"date-parts":[["2016",2]]},"citation-key":"perssonEndInternationalReference2016"}},{"id":16102,"uris":["http://zotero.org/users/10480792/items/7TEB5WAD"],"itemData":{"id":16102,"type":"article-journal","abstract":"Ontario is a strong candidate for a comprehensive pharmacare program, given that it has a pre-existing public drug benefit program (the Ontario Drug Benefit Program [ODBP]). This paper outlines strategies from New Zealand's national pharmacare program (the Pharmaceutical Management Agency [PHARMAC]) and compares these strategies to other international examples. It is recommended that the ODBP engage in three strategies currently utilized by the PHARMAC to achieve significant cost savings and create potential to increase their insurance coverage: (i) strict budgeting; (ii) tendering and negotiating; and (iii) reference pricing. Copyright © 2018 Longwoods Publishing.","archive_location":"30052187","container-title":"Healthc Policy","DOI":"10.12927/hcpol.2018.25496","ISSN":"1715-6580","issue":"4","page":"23-34","title":"Ontario and New Zealand Pharmaceuticals: Cost and Coverage","volume":"13","author":[{"family":"Kelley","given":"L. T."},{"family":"Tenbensel","given":"T."},{"family":"Johnson","given":"A."}],"issued":{"date-parts":[["2018"]]},"citation-key":"kelleyOntarioNewZealand2018"}},{"id":16307,"uris":["http://zotero.org/users/10480792/items/QPL47S94"],"itemData":{"id":16307,"type":"report","abstract":"• Policy-makers and purchasers increasingly face very high\nprice tags for new medicines, and some worry that these\nprices challenge the financial sustainability of solidarity-\nbased, publicly funded health care systems.\n• EU Member States use a mix of policy instruments to\nregulate the prices and determine the reimbursement of\nmedicines. Different policies are applied for different\nsectors, market segments and medicines. Some pricing,\nprocurement and reimbursement policies are more\nfrequently used for new, potentially high-priced\nmedicines.\n• Popular policies and tools include external price\nreferencing, managed entry agreements, health\ntechnology assessment (HTA) and tendering, but each\none of these comes with limitations.\n• Adaptations of these policies, such as value-based\npricing, strategic procurement and differential pricing\ntraits, are also being explored and could be a first step in\nthis direction.\n• Further, more far-reaching measures and initiatives may\nalso be needed to fundamentally tackle the issue of high\nmedicine prices and to overcome information asymmetry\nand a lack of transparency about the real prices paid and\nthe real development costs of medicines.\n• Collaborative efforts, at both intra-country and cross-\ncountry levels, in terms of joint price negotiations and\nprocurement and enhanced collaboration for horizon\nscanning and HTA appear to be promising but require\nstrong commitment from national policy-makers.\n• Pricing, reimbursement and procurement policies are\nimportant elements in the ‘tool-box’ to improve\naffordable access to new high-priced medicines but\nfurther interventions in other pharmaceutical policy areas\nmay be required to supplement them.","collection-title":"ADDRESSING POLICY FAILURES IN PHARMACEUTICALS","event-place":"Copenhagen","genre":"Policy Brief","language":"en","number":"30","publisher":"WHO Regional Office for Europe","publisher-place":"Copenhagen","title":"Ensuring access to medicines: how to redesign pricing, reimbursement and procurement?","URL":"https://iris.who.int/handle/10665/331972","author":[{"family":"Vogler","given":"Sabine"},{"family":"Paris","given":"Valérie"},{"family":"Panteli","given":"Dimitra"}],"accessed":{"date-parts":[["2024",5,24]]},"issued":{"date-parts":[["2018"]]},"citation-key":"voglerEnsuringAccessMedicines2018"}},{"id":15842,"uris":["http://zotero.org/users/10480792/items/E6P6ZAM9"],"itemData":{"id":15842,"type":"report","abstract":"This policy brief summarises the key points\nfrom the review on external reference pricing\n(ERP), which included a systematic literature\nreview and a survey of nine predominantly\nmiddle-income countries that use ERP.","collection-title":"PHARMACEUTICAL PRICING POLICIES AND INTERVENTIONS","genre":"Policy Brief","language":"en","number":"1","publisher":"World Health Organization, Health Action International","title":"EXTERNAL REFERENCE PRICING","URL":"https://haiweb.org/wp-content/uploads/2015/07/Policy-Brief-1-External-Reference-Pricing.pdf","author":[{"family":"Espin","given":"Jaime"},{"family":"Rovira","given":"Joan"},{"family":"Olry de Labry","given":"Antonio"}],"issued":{"date-parts":[["2014",2]]},"citation-key":"espinEXTERNALREFERENCEPRICING2014"}},{"id":15928,"uris":["http://zotero.org/users/10480792/items/S8E6S7NR"],"itemData":{"id":15928,"type":"article-journal","abstract":"BACKGROUND: High pharmaceutical expenditure is one of the main concerns for policymakers worldwide. In Colombia, a middle-income country, outpatient prescription represents over 10% of total health expenditure in the mandatory benefits package (POS), and close to 90% in the complementary government fund (No POS). In order to control expenditure, since 2011, the Ministry of Health introduced price caps on inpatient drugs reimbursements by active ingredient. By 2013, more than 400 different products, covering 80% of public pharmaceutical expenditure were controlled. This paper investigates the effects of the Colombian policy efforts to control expenditure by controlling prices. METHODS: Using SISMED data, the official database for prices and quantities sold in the domestic market, we estimate a Laspeyres price index for 90 relevant markets in the period 2011-2015, and, then, we estimate real pharmaceutical expenditure. RESULTS: Results show that, after direct price controls were enacted, price inflation decreased almost - 43%, but real pharmaceutical expenditure almost doubled due mainly to an increase in units sold. Such disproportionate increase in units sold maybe attributable to better access to drugs due to lower prices, and/or to an increase in marketing efforts by the pharmaceutical industry to maintain profits. CONCLUSIONS: We conclude that pricing interventions should be implemented along with a strong market monitoring to prevent market distortions such as inappropriate and unnecessary drug use.","archive_location":"29507533","container-title":"Cost Eff Resour Alloc","DOI":"10.1186/s12962-018-0092-0","ISSN":"1478-7547","page":"8","title":"Higher pharmaceutical public expenditure after direct price control: improved access or induced demand? The Colombian case","volume":"16","author":[{"family":"Prada","given":"S. I."},{"family":"Soto","given":"V. E."},{"family":"Andia","given":"T. S."},{"family":"Vaca","given":"C. P."},{"family":"Morales","given":"A. A."},{"family":"Marquez","given":"S. R."},{"family":"Gaviria","given":"A."}],"issued":{"date-parts":[["2018"]]},"citation-key":"pradaHigherPharmaceuticalPublic2018"}},{"id":16126,"uris":["http://zotero.org/users/10480792/items/UYWETAGD"],"itemData":{"id":16126,"type":"article-journal","abstract":"Recently, both the Canadian and provincial governments have instituted policies to reduce manufacturers' prices for generic ($250 million sales annually) and brand name ($1,300 million sales annually) drugs. Both government groups made estimates of the financial magnitude of changes in drug prices, but neither has estimated the impact on retail pharmacies. We used a Cost-Volume-Profit model combined with operational data collected nationally to estimate the national impact of the pricing policy changes on pharmacy gross profits. Results show the average value of gross profits per pharmacy per year was approximately $440,000. It is estimated that the policy changes will lead to a 6.8% reduction in gross profits. Adding reductions in rebates for generic drugs, the pharmacies' reductions in gross profits will be 7.2%. In conclusion, policy-makers often ignore how their pricing changes influence the financial position of pharmacies, even though the impact can be substantial.","archive_location":"32552055","container-title":"Healthc Manage Forum","DOI":"10.1177/0840470420932185","ISSN":"0840-4704","issue":"5","page":"228-232","title":"Gross profits of Canadian pharmacies: A changing policy regime","volume":"33","author":[{"family":"Thanh","given":"N. X."},{"family":"Jacobs","given":"P."},{"family":"Husereau","given":"D."}],"issued":{"date-parts":[["2020",9]]},"citation-key":"thanhGrossProfitsCanadian2020"}},{"id":15860,"uris":["http://zotero.org/users/10480792/items/X6KAWZA4"],"itemData":{"id":15860,"type":"article-journal","abstract":"Objective: The study compared the relative cost differences of similar orphan drugs among high and low GDP countries in Europe: Bulgaria, France, Germany, Greece, Hungary, Italy, Norway, Poland, Romania, Spain, Sweden, UK. Methods: Annual treatment costs per patient were calculated. Relative costs were computed by dividing the costs by each economic parameter: nominal GDP per capita, GDP in PPP per capita, % GDP contributed by the government, government budget per inhabitant, % GDP spent on healthcare, % GDP spent on pharmaceuticals, and average annual salary. An international comparison of the relative costs was done using UK as the reference country and results were analysed descriptively. Results: 120 orphan drugs were included. The median annual costs of orphan drugs in all countries varied minimally (cost ratios: 0.87 to 1.08). When the costs were adjusted using GDP per capita, the EU-5 and Nordic countries maintained minimal difference in median cost. However, the lower GDP countries showed three to six times higher relative costs. The same pattern was evident when costs were adjusted using the other economic parameters. Conclusion: When the country's ability to pay is taken into consideration, lower GDP countries pay relatively higher costs for similarly available orphan drugs in Europe.","archive_location":"29081920","container-title":"J Mark Access Health Policy","DOI":"10.1080/20016689.2017.1369817","ISSN":"2001-6689","issue":"1","page":"1369817","title":"The perverse impact of external reference pricing (ERP): a comparison of orphan drugs affordability in 12 European countries. A call for policy change","volume":"5","author":[{"family":"Young","given":"K. E."},{"family":"Soussi","given":"I."},{"family":"Toumi","given":"M."}],"issued":{"date-parts":[["2017"]]},"citation-key":"youngPerverseImpactExternal2017"}},{"id":15846,"uris":["http://zotero.org/users/10480792/items/6DPCSMBZ"],"itemData":{"id":15846,"type":"article-journal","abstract":"BACKGROUND: External reference pricing (ERP) is widely used to regulate drug prices. Although the literature has largely focused on the impact of ERP on a number of policy endpoints and its impact from a geographical perspective, a comparative study drawing on evidence from different settings does not exist to date. METHODS: A systematic literature review was conducted on pre-defined endpoints on the impact of ERP across countries, such as price stability, price convergence and launch delays. Expert consultation was undertaken to analyse whether or not the international implications of ERP are considered during its design. RESULTS: 46 studies were included in the analysis. Across countries, ERP may cause launch delays, price instability and lead to price convergence. However, these effects cannot be solely attributed to ERP, as there may be other factors at play, such as the size and the GDP of a country and other regulations in place, which can trigger these effects or reduce their effect. Nevertheless, the nature of ERP facilitates these unintended consequences and directly links them to it. Despite these cross-country implications being well known to decision-makers, they are not necessarily considered during the design of ERP. CONCLUSIONS: As the effects of ERP as a stand alone policy are very difficult to isolate in the presence of other regulatory measures implemented within countries and the presence of other extrinsic factors across countries, our findings are inconclusive. Still, there is an unquestionable unmet need related to the design of ERP systems to attain a positive impact internationally.","archive_location":"31289948","container-title":"Eur J Health Econ","DOI":"10.1007/s10198-019-01083-w","ISSN":"1618-7601","issue":"8","page":"1147-1164","title":"International impact of external reference pricing: should national policy-makers care?","volume":"20","author":[{"family":"Fontrier","given":"A. M."},{"family":"Gill","given":"J."},{"family":"Kanavos","given":"P."}],"issued":{"date-parts":[["2019",11]]},"citation-key":"fontrierInternationalImpactExternal2019"}},{"id":15699,"uris":["http://zotero.org/users/10480792/items/3UNUQYDM"],"itemData":{"id":15699,"type":"article-journal","abstract":"This paper analyzes the timing decisions of pharmaceutical firms to launch a new drug in countries involved in international reference pricing. We show three important features of launch timing when all countries refer to the prices in all other countries and in all previous periods of time. First, there is no withdrawal of drugs in any country and in any period. Second, whenever the drug is sold in a country, it is also sold in all countries with larger willingness to pay. Third, there is no strict incentive to delay the launch of a drug in any country. We then show that the first and third results continue to hold when the countries only refer to the prices of a subset of all countries in a transitive way and in any period. We also show that the second result continues to hold when the reference is on the last period prices only. Last, we show that the seller's profits increase as the sets of reference countries decrease with respect to inclusion. Copyright © 2014 John Wiley &amp; Sons, Ltd.","archive_location":"25044582","container-title":"Health Econ","DOI":"10.1002/hec.3078","ISSN":"1099-1050","issue":"8","page":"978-989","title":"Drug Launch Timing and International Reference Pricing","volume":"24","author":[{"family":"Houy","given":"N."},{"family":"Jelovac","given":"I."}],"issued":{"date-parts":[["2015",8]]},"citation-key":"houyDrugLaunchTiming2015"}}],"schema":"https://github.com/citation-style-language/schema/raw/master/csl-citation.json"} </w:instrText>
            </w:r>
            <w:r w:rsidRPr="00091CE5">
              <w:rPr>
                <w:rFonts w:cs="Times New Roman"/>
                <w:shd w:val="clear" w:color="auto" w:fill="E6E6E6"/>
              </w:rPr>
              <w:fldChar w:fldCharType="separate"/>
            </w:r>
            <w:r w:rsidRPr="00091CE5">
              <w:rPr>
                <w:rFonts w:cs="Times New Roman"/>
              </w:rPr>
              <w:t>[10, 12, 33, 52, 75, 76, 78–86, 91, 93, 96, 101, 103, 105, 108, 112, 113, 115, 120, 153–155]</w:t>
            </w:r>
            <w:r w:rsidRPr="00091CE5">
              <w:rPr>
                <w:rFonts w:cs="Times New Roman"/>
                <w:shd w:val="clear" w:color="auto" w:fill="E6E6E6"/>
              </w:rPr>
              <w:fldChar w:fldCharType="end"/>
            </w:r>
          </w:p>
        </w:tc>
        <w:tc>
          <w:tcPr>
            <w:tcW w:w="6662" w:type="dxa"/>
          </w:tcPr>
          <w:p w14:paraId="6292A03D" w14:textId="77777777" w:rsidR="00091CE5" w:rsidRPr="006A2D59" w:rsidRDefault="00091CE5" w:rsidP="00091CE5">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Affordability:</w:t>
            </w:r>
          </w:p>
          <w:p w14:paraId="63588E64"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General:</w:t>
            </w:r>
          </w:p>
          <w:p w14:paraId="575B8E42"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No substantial reduction in international price differences has occurred within EU countries; some reduction suggested on global scale.</w:t>
            </w:r>
          </w:p>
          <w:p w14:paraId="6E6D6472"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can lead to substantial savings for public payers (short-term).</w:t>
            </w:r>
          </w:p>
          <w:p w14:paraId="75B36DE2" w14:textId="54F73984"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 xml:space="preserve">EPR: decrease of net prices for orphan </w:t>
            </w:r>
            <w:r w:rsidR="00F272D3">
              <w:rPr>
                <w:rFonts w:asciiTheme="minorHAnsi" w:hAnsiTheme="minorHAnsi"/>
                <w:sz w:val="18"/>
                <w:szCs w:val="18"/>
              </w:rPr>
              <w:t>MP</w:t>
            </w:r>
            <w:r w:rsidRPr="00FD0CC4">
              <w:rPr>
                <w:rFonts w:asciiTheme="minorHAnsi" w:hAnsiTheme="minorHAnsi"/>
                <w:sz w:val="18"/>
                <w:szCs w:val="18"/>
              </w:rPr>
              <w:t>s suggested.</w:t>
            </w:r>
          </w:p>
          <w:p w14:paraId="7F8B7CB2"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reducing manufacturers’ willingness to price to market leads to affordability problems.</w:t>
            </w:r>
          </w:p>
          <w:p w14:paraId="253BB3C6"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Pharmaceutical companies may increase target price to avoid negative impact on revenues and parallel trade.</w:t>
            </w:r>
          </w:p>
          <w:p w14:paraId="7E6C7730"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Referencing official list prices instead of adjusting for discounts/rebates leads to risk for payers of (substantial) overpaying.</w:t>
            </w:r>
          </w:p>
          <w:p w14:paraId="2225587C"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information asymmetry limits payers’ purchasing power (also for potential follow-up negotiations).</w:t>
            </w:r>
          </w:p>
          <w:p w14:paraId="0DC0640B"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companies might respond by reducing price transparency (offering discounts/rebates to reference country payers)</w:t>
            </w:r>
          </w:p>
          <w:p w14:paraId="28CAA90E" w14:textId="6A7AE605"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 xml:space="preserve">EPR: Lack in pricing-related equity undermines affordability – low relative price levels in countries with high absolute prices levels and vice versa – might also partially be explained by parallel trade; also involves innovative and highly efficacious </w:t>
            </w:r>
            <w:r w:rsidR="00F272D3">
              <w:rPr>
                <w:rFonts w:asciiTheme="minorHAnsi" w:hAnsiTheme="minorHAnsi"/>
                <w:sz w:val="18"/>
                <w:szCs w:val="18"/>
              </w:rPr>
              <w:t>MP</w:t>
            </w:r>
            <w:r w:rsidRPr="00FD0CC4">
              <w:rPr>
                <w:rFonts w:asciiTheme="minorHAnsi" w:hAnsiTheme="minorHAnsi"/>
                <w:sz w:val="18"/>
                <w:szCs w:val="18"/>
              </w:rPr>
              <w:t xml:space="preserve">s and </w:t>
            </w:r>
            <w:r w:rsidR="00F272D3">
              <w:rPr>
                <w:rFonts w:asciiTheme="minorHAnsi" w:hAnsiTheme="minorHAnsi"/>
                <w:sz w:val="18"/>
                <w:szCs w:val="18"/>
              </w:rPr>
              <w:t>OMPs</w:t>
            </w:r>
            <w:r w:rsidRPr="00FD0CC4">
              <w:rPr>
                <w:rFonts w:asciiTheme="minorHAnsi" w:hAnsiTheme="minorHAnsi"/>
                <w:sz w:val="18"/>
                <w:szCs w:val="18"/>
              </w:rPr>
              <w:t>.</w:t>
            </w:r>
          </w:p>
          <w:p w14:paraId="01C43443"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price instability as cross-border spill-over effect.</w:t>
            </w:r>
          </w:p>
          <w:p w14:paraId="5F15AE54"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when used to define price ceilings, it may inhibit further price reduction below the ceiling.</w:t>
            </w:r>
          </w:p>
          <w:p w14:paraId="5DCDAB00"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lastRenderedPageBreak/>
              <w:t>EPR: if implementation does not align with public policy objectives, may influence price levels and lead to inflated prices in LICs, jeopardising affordability.</w:t>
            </w:r>
          </w:p>
          <w:p w14:paraId="362611B7"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irregular monitoring might lead to price reductions in reference countries not automatically being translated into price decreases in referencing country.</w:t>
            </w:r>
          </w:p>
          <w:p w14:paraId="6D8276D7" w14:textId="5253898E"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 xml:space="preserve">IPR may reduce </w:t>
            </w:r>
            <w:r w:rsidR="00F272D3">
              <w:rPr>
                <w:rFonts w:asciiTheme="minorHAnsi" w:hAnsiTheme="minorHAnsi"/>
                <w:sz w:val="18"/>
                <w:szCs w:val="18"/>
              </w:rPr>
              <w:t>MP</w:t>
            </w:r>
            <w:r w:rsidRPr="00FD0CC4">
              <w:rPr>
                <w:rFonts w:asciiTheme="minorHAnsi" w:hAnsiTheme="minorHAnsi"/>
                <w:sz w:val="18"/>
                <w:szCs w:val="18"/>
              </w:rPr>
              <w:t xml:space="preserve"> prices.</w:t>
            </w:r>
          </w:p>
          <w:p w14:paraId="4115FC62" w14:textId="77777777" w:rsidR="00091CE5" w:rsidRPr="00FD0CC4" w:rsidRDefault="00091CE5" w:rsidP="00091CE5">
            <w:pPr>
              <w:rPr>
                <w:rFonts w:asciiTheme="minorHAnsi" w:hAnsiTheme="minorHAnsi"/>
                <w:i/>
                <w:iCs/>
                <w:sz w:val="18"/>
                <w:szCs w:val="18"/>
              </w:rPr>
            </w:pPr>
          </w:p>
          <w:p w14:paraId="03801332"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BG:</w:t>
            </w:r>
          </w:p>
          <w:p w14:paraId="636D259A" w14:textId="10E23643"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 xml:space="preserve">EPR made </w:t>
            </w:r>
            <w:r w:rsidR="008E76A9">
              <w:rPr>
                <w:rFonts w:asciiTheme="minorHAnsi" w:hAnsiTheme="minorHAnsi"/>
                <w:sz w:val="18"/>
                <w:szCs w:val="18"/>
              </w:rPr>
              <w:t>MP</w:t>
            </w:r>
            <w:r w:rsidRPr="00FD0CC4">
              <w:rPr>
                <w:rFonts w:asciiTheme="minorHAnsi" w:hAnsiTheme="minorHAnsi"/>
                <w:sz w:val="18"/>
                <w:szCs w:val="18"/>
              </w:rPr>
              <w:t xml:space="preserve"> market low-price.</w:t>
            </w:r>
          </w:p>
          <w:p w14:paraId="6D4866E0" w14:textId="57F51A7B"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 xml:space="preserve">EPR: Led to decrease of price of reimbursed </w:t>
            </w:r>
            <w:r w:rsidR="003551AA">
              <w:rPr>
                <w:rFonts w:asciiTheme="minorHAnsi" w:hAnsiTheme="minorHAnsi"/>
                <w:sz w:val="18"/>
                <w:szCs w:val="18"/>
              </w:rPr>
              <w:t>MP</w:t>
            </w:r>
            <w:r w:rsidRPr="00FD0CC4">
              <w:rPr>
                <w:rFonts w:asciiTheme="minorHAnsi" w:hAnsiTheme="minorHAnsi"/>
                <w:sz w:val="18"/>
                <w:szCs w:val="18"/>
              </w:rPr>
              <w:t>s.</w:t>
            </w:r>
          </w:p>
          <w:p w14:paraId="0D9F88BA" w14:textId="77777777" w:rsidR="00091CE5" w:rsidRPr="00BD59DB" w:rsidRDefault="00091CE5" w:rsidP="00091CE5">
            <w:pPr>
              <w:ind w:left="30"/>
              <w:rPr>
                <w:rFonts w:asciiTheme="minorHAnsi" w:hAnsiTheme="minorHAnsi"/>
                <w:sz w:val="18"/>
                <w:szCs w:val="18"/>
              </w:rPr>
            </w:pPr>
          </w:p>
          <w:p w14:paraId="3C4D09E2"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CA:</w:t>
            </w:r>
          </w:p>
          <w:p w14:paraId="7280F36C" w14:textId="5E7B8761"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 xml:space="preserve">EPR/IPR: change of reference basket, comparison of costs of more expensive </w:t>
            </w:r>
            <w:r w:rsidR="00F272D3">
              <w:rPr>
                <w:rFonts w:asciiTheme="minorHAnsi" w:hAnsiTheme="minorHAnsi"/>
                <w:sz w:val="18"/>
                <w:szCs w:val="18"/>
              </w:rPr>
              <w:t>MP</w:t>
            </w:r>
            <w:r w:rsidRPr="00FD0CC4">
              <w:rPr>
                <w:rFonts w:asciiTheme="minorHAnsi" w:hAnsiTheme="minorHAnsi"/>
                <w:sz w:val="18"/>
                <w:szCs w:val="18"/>
              </w:rPr>
              <w:t xml:space="preserve">s with patient outcomes may lead to lower prices for new branded </w:t>
            </w:r>
            <w:r w:rsidR="00F272D3">
              <w:rPr>
                <w:rFonts w:asciiTheme="minorHAnsi" w:hAnsiTheme="minorHAnsi"/>
                <w:sz w:val="18"/>
                <w:szCs w:val="18"/>
              </w:rPr>
              <w:t>MP</w:t>
            </w:r>
            <w:r w:rsidRPr="00FD0CC4">
              <w:rPr>
                <w:rFonts w:asciiTheme="minorHAnsi" w:hAnsiTheme="minorHAnsi"/>
                <w:sz w:val="18"/>
                <w:szCs w:val="18"/>
              </w:rPr>
              <w:t>s.</w:t>
            </w:r>
          </w:p>
          <w:p w14:paraId="58076BA5" w14:textId="77777777" w:rsidR="00091CE5" w:rsidRPr="004834EE" w:rsidRDefault="00091CE5" w:rsidP="00091CE5">
            <w:pPr>
              <w:pStyle w:val="ListParagraph"/>
              <w:ind w:left="456"/>
              <w:rPr>
                <w:rFonts w:asciiTheme="minorHAnsi" w:hAnsiTheme="minorHAnsi"/>
                <w:sz w:val="18"/>
                <w:szCs w:val="18"/>
              </w:rPr>
            </w:pPr>
          </w:p>
          <w:p w14:paraId="2FB98B0F"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CO:</w:t>
            </w:r>
          </w:p>
          <w:p w14:paraId="7C188A6C"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Fast decrease of prices.</w:t>
            </w:r>
          </w:p>
          <w:p w14:paraId="5483587B" w14:textId="77777777" w:rsidR="00091CE5" w:rsidRPr="00FD0CC4" w:rsidRDefault="00091CE5" w:rsidP="00091CE5">
            <w:pPr>
              <w:rPr>
                <w:rFonts w:asciiTheme="minorHAnsi" w:hAnsiTheme="minorHAnsi"/>
                <w:i/>
                <w:iCs/>
                <w:sz w:val="18"/>
                <w:szCs w:val="18"/>
              </w:rPr>
            </w:pPr>
          </w:p>
          <w:p w14:paraId="4DE63B47"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EE:</w:t>
            </w:r>
          </w:p>
          <w:p w14:paraId="147CEF68"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no detectable affordability issues.</w:t>
            </w:r>
          </w:p>
          <w:p w14:paraId="17F92FBE" w14:textId="77777777" w:rsidR="00091CE5" w:rsidRPr="00FD0CC4" w:rsidRDefault="00091CE5" w:rsidP="00091CE5">
            <w:pPr>
              <w:rPr>
                <w:rFonts w:asciiTheme="minorHAnsi" w:hAnsiTheme="minorHAnsi"/>
                <w:sz w:val="18"/>
                <w:szCs w:val="18"/>
              </w:rPr>
            </w:pPr>
          </w:p>
          <w:p w14:paraId="4DA94006"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FR:</w:t>
            </w:r>
          </w:p>
          <w:p w14:paraId="710A0244"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as policy component disincentivises line extension/new indication approval during first 5 years.</w:t>
            </w:r>
          </w:p>
          <w:p w14:paraId="2805CD9C" w14:textId="77777777" w:rsidR="00091CE5" w:rsidRPr="00FD0CC4" w:rsidRDefault="00091CE5" w:rsidP="00091CE5">
            <w:pPr>
              <w:rPr>
                <w:rFonts w:asciiTheme="minorHAnsi" w:hAnsiTheme="minorHAnsi"/>
                <w:sz w:val="18"/>
                <w:szCs w:val="18"/>
              </w:rPr>
            </w:pPr>
          </w:p>
          <w:p w14:paraId="01ADAA86"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GR:</w:t>
            </w:r>
          </w:p>
          <w:p w14:paraId="7E7389C7" w14:textId="03E59773"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 xml:space="preserve">EPR: Lower </w:t>
            </w:r>
            <w:r w:rsidR="003551AA">
              <w:rPr>
                <w:rFonts w:asciiTheme="minorHAnsi" w:hAnsiTheme="minorHAnsi"/>
                <w:sz w:val="18"/>
                <w:szCs w:val="18"/>
              </w:rPr>
              <w:t>MP</w:t>
            </w:r>
            <w:r w:rsidRPr="00FD0CC4">
              <w:rPr>
                <w:rFonts w:asciiTheme="minorHAnsi" w:hAnsiTheme="minorHAnsi"/>
                <w:sz w:val="18"/>
                <w:szCs w:val="18"/>
              </w:rPr>
              <w:t xml:space="preserve"> prices after implementation (9.5% in 2010).</w:t>
            </w:r>
          </w:p>
          <w:p w14:paraId="317992DA" w14:textId="77777777" w:rsidR="00091CE5" w:rsidRPr="00FD0CC4" w:rsidRDefault="00091CE5" w:rsidP="00091CE5">
            <w:pPr>
              <w:rPr>
                <w:rFonts w:asciiTheme="minorHAnsi" w:hAnsiTheme="minorHAnsi"/>
                <w:i/>
                <w:iCs/>
                <w:sz w:val="18"/>
                <w:szCs w:val="18"/>
              </w:rPr>
            </w:pPr>
          </w:p>
          <w:p w14:paraId="200393D5"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HR:</w:t>
            </w:r>
          </w:p>
          <w:p w14:paraId="444B15AA"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Launch strategies by manufacturers may increase prices in countries that (in-)directly reference them.</w:t>
            </w:r>
          </w:p>
          <w:p w14:paraId="0F8AF8F2"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Price reductions in one reference country may not automatically apply to other reference countries, reducing potential savings (unless there are rapid assessment mechanisms).</w:t>
            </w:r>
          </w:p>
          <w:p w14:paraId="617D1BC0" w14:textId="77777777" w:rsidR="00091CE5" w:rsidRPr="00FD0CC4" w:rsidRDefault="00091CE5" w:rsidP="00091CE5">
            <w:pPr>
              <w:rPr>
                <w:rFonts w:asciiTheme="minorHAnsi" w:hAnsiTheme="minorHAnsi"/>
                <w:i/>
                <w:iCs/>
                <w:sz w:val="18"/>
                <w:szCs w:val="18"/>
              </w:rPr>
            </w:pPr>
          </w:p>
          <w:p w14:paraId="179E8BAA"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HU:</w:t>
            </w:r>
          </w:p>
          <w:p w14:paraId="3860B65A"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Price decreases in country basket could not be reflected in reimbursement system since EPR is only used at launch.</w:t>
            </w:r>
          </w:p>
          <w:p w14:paraId="71405A02" w14:textId="77777777" w:rsidR="00091CE5" w:rsidRPr="00FD0CC4" w:rsidRDefault="00091CE5" w:rsidP="00091CE5">
            <w:pPr>
              <w:rPr>
                <w:rFonts w:asciiTheme="minorHAnsi" w:hAnsiTheme="minorHAnsi"/>
                <w:i/>
                <w:iCs/>
                <w:sz w:val="18"/>
                <w:szCs w:val="18"/>
              </w:rPr>
            </w:pPr>
          </w:p>
          <w:p w14:paraId="4CC9EB39"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IE:</w:t>
            </w:r>
          </w:p>
          <w:p w14:paraId="7951C424"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Relatively high prices due to reference basket and calculation method.</w:t>
            </w:r>
          </w:p>
          <w:p w14:paraId="50DEA27F" w14:textId="77777777" w:rsidR="00091CE5" w:rsidRPr="00FD0CC4" w:rsidRDefault="00091CE5" w:rsidP="00091CE5">
            <w:pPr>
              <w:rPr>
                <w:rFonts w:asciiTheme="minorHAnsi" w:hAnsiTheme="minorHAnsi"/>
                <w:i/>
                <w:iCs/>
                <w:sz w:val="18"/>
                <w:szCs w:val="18"/>
              </w:rPr>
            </w:pPr>
          </w:p>
          <w:p w14:paraId="080CC0ED"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LV:</w:t>
            </w:r>
          </w:p>
          <w:p w14:paraId="6C51EEF4"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no detectable affordability issues.</w:t>
            </w:r>
          </w:p>
          <w:p w14:paraId="1E4902F3" w14:textId="77777777" w:rsidR="00091CE5" w:rsidRPr="00FD0CC4" w:rsidRDefault="00091CE5" w:rsidP="00091CE5">
            <w:pPr>
              <w:rPr>
                <w:rFonts w:asciiTheme="minorHAnsi" w:hAnsiTheme="minorHAnsi"/>
                <w:sz w:val="18"/>
                <w:szCs w:val="18"/>
              </w:rPr>
            </w:pPr>
          </w:p>
          <w:p w14:paraId="7202E4F0"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NL:</w:t>
            </w:r>
          </w:p>
          <w:p w14:paraId="7415C205"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considerably lower prices in general.</w:t>
            </w:r>
          </w:p>
          <w:p w14:paraId="01C13D2B" w14:textId="77777777" w:rsidR="00091CE5" w:rsidRPr="00FD0CC4" w:rsidRDefault="00091CE5" w:rsidP="00091CE5">
            <w:pPr>
              <w:rPr>
                <w:rFonts w:asciiTheme="minorHAnsi" w:hAnsiTheme="minorHAnsi"/>
                <w:i/>
                <w:iCs/>
                <w:sz w:val="18"/>
                <w:szCs w:val="18"/>
              </w:rPr>
            </w:pPr>
          </w:p>
          <w:p w14:paraId="6D545E21"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RO:</w:t>
            </w:r>
          </w:p>
          <w:p w14:paraId="58AC0B14"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Romanian prices are among cheapest in EU.</w:t>
            </w:r>
          </w:p>
          <w:p w14:paraId="5B31EF08" w14:textId="77777777" w:rsidR="00091CE5" w:rsidRPr="00FD0CC4" w:rsidRDefault="00091CE5" w:rsidP="00091CE5">
            <w:pPr>
              <w:rPr>
                <w:rFonts w:asciiTheme="minorHAnsi" w:hAnsiTheme="minorHAnsi"/>
                <w:sz w:val="18"/>
                <w:szCs w:val="18"/>
              </w:rPr>
            </w:pPr>
          </w:p>
          <w:p w14:paraId="25ABEDE9"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SK:</w:t>
            </w:r>
          </w:p>
          <w:p w14:paraId="4FD2BB9E" w14:textId="77777777" w:rsidR="00091CE5" w:rsidRPr="00FD0CC4" w:rsidRDefault="00091CE5" w:rsidP="00091CE5">
            <w:pPr>
              <w:pStyle w:val="ListParagraph"/>
              <w:numPr>
                <w:ilvl w:val="0"/>
                <w:numId w:val="1"/>
              </w:numPr>
              <w:ind w:left="456" w:hanging="426"/>
              <w:rPr>
                <w:rFonts w:asciiTheme="minorHAnsi" w:hAnsiTheme="minorHAnsi"/>
                <w:sz w:val="18"/>
                <w:szCs w:val="18"/>
              </w:rPr>
            </w:pPr>
            <w:r w:rsidRPr="00FD0CC4">
              <w:rPr>
                <w:rFonts w:asciiTheme="minorHAnsi" w:hAnsiTheme="minorHAnsi"/>
                <w:sz w:val="18"/>
                <w:szCs w:val="18"/>
              </w:rPr>
              <w:t>EPR: Expected price reductions of €75 million by 2012.</w:t>
            </w:r>
          </w:p>
          <w:p w14:paraId="62746A2C" w14:textId="77777777" w:rsidR="00091CE5" w:rsidRPr="00FD0CC4" w:rsidRDefault="00091CE5" w:rsidP="00091CE5">
            <w:pPr>
              <w:rPr>
                <w:rFonts w:asciiTheme="minorHAnsi" w:hAnsiTheme="minorHAnsi"/>
                <w:sz w:val="18"/>
                <w:szCs w:val="18"/>
              </w:rPr>
            </w:pPr>
          </w:p>
          <w:p w14:paraId="271A08A8" w14:textId="77777777" w:rsidR="00091CE5" w:rsidRPr="00FD0CC4" w:rsidRDefault="00091CE5" w:rsidP="00091CE5">
            <w:pPr>
              <w:rPr>
                <w:rFonts w:asciiTheme="minorHAnsi" w:hAnsiTheme="minorHAnsi"/>
                <w:i/>
                <w:iCs/>
                <w:sz w:val="18"/>
                <w:szCs w:val="18"/>
              </w:rPr>
            </w:pPr>
            <w:r w:rsidRPr="00FD0CC4">
              <w:rPr>
                <w:rFonts w:asciiTheme="minorHAnsi" w:hAnsiTheme="minorHAnsi"/>
                <w:i/>
                <w:iCs/>
                <w:sz w:val="18"/>
                <w:szCs w:val="18"/>
              </w:rPr>
              <w:t>TR:</w:t>
            </w:r>
          </w:p>
          <w:p w14:paraId="081B820B" w14:textId="47F39D37" w:rsidR="00091CE5" w:rsidRPr="008D792B" w:rsidRDefault="00091CE5" w:rsidP="00091CE5">
            <w:pPr>
              <w:pStyle w:val="ListParagraph"/>
              <w:numPr>
                <w:ilvl w:val="0"/>
                <w:numId w:val="1"/>
              </w:numPr>
              <w:ind w:left="456" w:hanging="426"/>
              <w:rPr>
                <w:sz w:val="18"/>
                <w:szCs w:val="18"/>
              </w:rPr>
            </w:pPr>
            <w:r w:rsidRPr="00FD0CC4">
              <w:rPr>
                <w:rFonts w:asciiTheme="minorHAnsi" w:hAnsiTheme="minorHAnsi"/>
                <w:sz w:val="18"/>
                <w:szCs w:val="18"/>
              </w:rPr>
              <w:t>EPR: Considerable price reductions</w:t>
            </w:r>
          </w:p>
          <w:p w14:paraId="00449A83" w14:textId="77777777" w:rsidR="00091CE5" w:rsidRPr="006A2D59" w:rsidRDefault="00091CE5" w:rsidP="00091CE5">
            <w:pPr>
              <w:rPr>
                <w:rFonts w:asciiTheme="minorHAnsi" w:hAnsiTheme="minorHAnsi"/>
                <w:sz w:val="18"/>
                <w:szCs w:val="18"/>
                <w:lang w:eastAsia="ja-JP"/>
              </w:rPr>
            </w:pPr>
          </w:p>
          <w:p w14:paraId="62E85321" w14:textId="77777777" w:rsidR="00091CE5" w:rsidRPr="006A2D59" w:rsidRDefault="00091CE5" w:rsidP="00091CE5">
            <w:pPr>
              <w:rPr>
                <w:rFonts w:asciiTheme="minorHAnsi" w:hAnsiTheme="minorHAnsi"/>
                <w:b/>
                <w:bCs/>
                <w:sz w:val="18"/>
                <w:szCs w:val="18"/>
                <w:lang w:eastAsia="ja-JP"/>
              </w:rPr>
            </w:pPr>
            <w:r w:rsidRPr="006A2D59">
              <w:rPr>
                <w:rFonts w:asciiTheme="minorHAnsi" w:hAnsiTheme="minorHAnsi"/>
                <w:b/>
                <w:bCs/>
                <w:sz w:val="18"/>
                <w:szCs w:val="18"/>
                <w:lang w:eastAsia="ja-JP"/>
              </w:rPr>
              <w:t>Availability:</w:t>
            </w:r>
          </w:p>
          <w:p w14:paraId="79107ED4" w14:textId="77777777" w:rsidR="00091CE5" w:rsidRPr="00D07901" w:rsidRDefault="00091CE5" w:rsidP="00091CE5">
            <w:pPr>
              <w:rPr>
                <w:rFonts w:asciiTheme="minorHAnsi" w:hAnsiTheme="minorHAnsi"/>
                <w:i/>
                <w:iCs/>
                <w:sz w:val="18"/>
                <w:szCs w:val="18"/>
              </w:rPr>
            </w:pPr>
            <w:r w:rsidRPr="00D07901">
              <w:rPr>
                <w:rFonts w:asciiTheme="minorHAnsi" w:hAnsiTheme="minorHAnsi"/>
                <w:i/>
                <w:iCs/>
                <w:sz w:val="18"/>
                <w:szCs w:val="18"/>
              </w:rPr>
              <w:t>General:</w:t>
            </w:r>
          </w:p>
          <w:p w14:paraId="08DE9231" w14:textId="1F40083C"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 xml:space="preserve">EPR: Manufacturers may refrain from launching product in a country only accepting low prices (not to jeopardise product’s prices in other market), apply launch sequence strategies to avoid launching new </w:t>
            </w:r>
            <w:r w:rsidR="00F272D3">
              <w:rPr>
                <w:rFonts w:asciiTheme="minorHAnsi" w:hAnsiTheme="minorHAnsi"/>
                <w:sz w:val="18"/>
                <w:szCs w:val="18"/>
              </w:rPr>
              <w:t>MP</w:t>
            </w:r>
            <w:r w:rsidRPr="00D07901">
              <w:rPr>
                <w:rFonts w:asciiTheme="minorHAnsi" w:hAnsiTheme="minorHAnsi"/>
                <w:sz w:val="18"/>
                <w:szCs w:val="18"/>
              </w:rPr>
              <w:t>s in countries with potential lower prices, lower market volume, strict price setting regulations (contribution of EPR itself unclear, as parallel trade may also contribute to this), or change pricing strategies. Launch delays limit access to innovative and potentially life-saving treatments.</w:t>
            </w:r>
          </w:p>
          <w:p w14:paraId="5D9B08FD"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launch strategies prioritise early entry in DE, UK (countries without direct price controls).</w:t>
            </w:r>
          </w:p>
          <w:p w14:paraId="1FB4ABAD"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Price revisions in one country may trigger sequence of circular price revisions, further contributing to strategic launching.</w:t>
            </w:r>
          </w:p>
          <w:p w14:paraId="712AD68C"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 xml:space="preserve">EPR: if WTP is similar across countries: likely not to cause launch delays. </w:t>
            </w:r>
          </w:p>
          <w:p w14:paraId="1375BCBC"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Sizes of reference country baskets increasing might lead to countries with low WTP not being served and is associated with some price convergence.</w:t>
            </w:r>
          </w:p>
          <w:p w14:paraId="26D64626"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Availability in European LIC negatively impacted; conversely, accelerated access in high-GDP EU countries.</w:t>
            </w:r>
          </w:p>
          <w:p w14:paraId="054DEF15"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lastRenderedPageBreak/>
              <w:t>EPR: parallel trade subjects EU MS more to spill-over effects compared to non-EU countries.</w:t>
            </w:r>
          </w:p>
          <w:p w14:paraId="19D9B2DA"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withdrawals from market due to unsatisfactory price levels possible.</w:t>
            </w:r>
          </w:p>
          <w:p w14:paraId="4FAF0DD7"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IPR: may lead to delayed launch of new products by manufacturers wary to accept a low price.</w:t>
            </w:r>
          </w:p>
          <w:p w14:paraId="09B2D73D" w14:textId="77777777" w:rsidR="00091CE5" w:rsidRPr="00D07901" w:rsidRDefault="00091CE5" w:rsidP="00091CE5">
            <w:pPr>
              <w:rPr>
                <w:rFonts w:asciiTheme="minorHAnsi" w:hAnsiTheme="minorHAnsi"/>
                <w:sz w:val="18"/>
                <w:szCs w:val="18"/>
              </w:rPr>
            </w:pPr>
          </w:p>
          <w:p w14:paraId="2CF7E261" w14:textId="77777777" w:rsidR="00091CE5" w:rsidRPr="00D07901" w:rsidRDefault="00091CE5" w:rsidP="00091CE5">
            <w:pPr>
              <w:rPr>
                <w:rFonts w:asciiTheme="minorHAnsi" w:hAnsiTheme="minorHAnsi"/>
                <w:sz w:val="18"/>
                <w:szCs w:val="18"/>
              </w:rPr>
            </w:pPr>
            <w:r w:rsidRPr="00D07901">
              <w:rPr>
                <w:rFonts w:asciiTheme="minorHAnsi" w:hAnsiTheme="minorHAnsi"/>
                <w:i/>
                <w:iCs/>
                <w:sz w:val="18"/>
                <w:szCs w:val="18"/>
              </w:rPr>
              <w:t>BE:</w:t>
            </w:r>
          </w:p>
          <w:p w14:paraId="3CB464F3"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Systematic dossier submission delay by manufacturers to avoid lower prices that would affect other countries in Europe.</w:t>
            </w:r>
          </w:p>
          <w:p w14:paraId="6F91A394" w14:textId="77777777" w:rsidR="00091CE5" w:rsidRPr="00D07901" w:rsidRDefault="00091CE5" w:rsidP="00091CE5">
            <w:pPr>
              <w:ind w:left="52"/>
              <w:rPr>
                <w:rFonts w:asciiTheme="minorHAnsi" w:hAnsiTheme="minorHAnsi"/>
                <w:sz w:val="18"/>
                <w:szCs w:val="18"/>
              </w:rPr>
            </w:pPr>
          </w:p>
          <w:p w14:paraId="413D54C9" w14:textId="77777777" w:rsidR="00091CE5" w:rsidRPr="00D07901" w:rsidRDefault="00091CE5" w:rsidP="00091CE5">
            <w:pPr>
              <w:ind w:left="52"/>
              <w:rPr>
                <w:rFonts w:asciiTheme="minorHAnsi" w:hAnsiTheme="minorHAnsi"/>
                <w:i/>
                <w:iCs/>
                <w:sz w:val="18"/>
                <w:szCs w:val="18"/>
              </w:rPr>
            </w:pPr>
            <w:r w:rsidRPr="00D07901">
              <w:rPr>
                <w:rFonts w:asciiTheme="minorHAnsi" w:hAnsiTheme="minorHAnsi"/>
                <w:i/>
                <w:iCs/>
                <w:sz w:val="18"/>
                <w:szCs w:val="18"/>
              </w:rPr>
              <w:t>BG:</w:t>
            </w:r>
          </w:p>
          <w:p w14:paraId="68EA6BC6" w14:textId="69FCD5BB"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 xml:space="preserve">EPR: Withdrawal of products from the market due to low reference prices creates shortages of certain </w:t>
            </w:r>
            <w:r w:rsidR="00047CAA">
              <w:rPr>
                <w:rFonts w:asciiTheme="minorHAnsi" w:hAnsiTheme="minorHAnsi"/>
                <w:sz w:val="18"/>
                <w:szCs w:val="18"/>
              </w:rPr>
              <w:t>MPs</w:t>
            </w:r>
            <w:r w:rsidRPr="00D07901">
              <w:rPr>
                <w:rFonts w:asciiTheme="minorHAnsi" w:hAnsiTheme="minorHAnsi"/>
                <w:sz w:val="18"/>
                <w:szCs w:val="18"/>
              </w:rPr>
              <w:t>.</w:t>
            </w:r>
          </w:p>
          <w:p w14:paraId="04357316"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Strategy of referring to the ex-factory manufactory prices leads to serious difficulties in the supply of medicinal products.</w:t>
            </w:r>
          </w:p>
          <w:p w14:paraId="118CB28A"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200 products have been withdrawn since 2012 due to low prices attained by EPR.</w:t>
            </w:r>
          </w:p>
          <w:p w14:paraId="5DAA1DAA" w14:textId="77777777" w:rsidR="00091CE5" w:rsidRPr="00D07901" w:rsidRDefault="00091CE5" w:rsidP="00091CE5">
            <w:pPr>
              <w:rPr>
                <w:rFonts w:asciiTheme="minorHAnsi" w:hAnsiTheme="minorHAnsi"/>
                <w:sz w:val="18"/>
                <w:szCs w:val="18"/>
              </w:rPr>
            </w:pPr>
          </w:p>
          <w:p w14:paraId="6240F22D" w14:textId="77777777" w:rsidR="00091CE5" w:rsidRPr="00D07901" w:rsidRDefault="00091CE5" w:rsidP="00091CE5">
            <w:pPr>
              <w:ind w:left="52"/>
              <w:rPr>
                <w:rFonts w:asciiTheme="minorHAnsi" w:hAnsiTheme="minorHAnsi"/>
                <w:i/>
                <w:iCs/>
                <w:sz w:val="18"/>
                <w:szCs w:val="18"/>
              </w:rPr>
            </w:pPr>
            <w:r w:rsidRPr="00D07901">
              <w:rPr>
                <w:rFonts w:asciiTheme="minorHAnsi" w:hAnsiTheme="minorHAnsi"/>
                <w:i/>
                <w:iCs/>
                <w:sz w:val="18"/>
                <w:szCs w:val="18"/>
              </w:rPr>
              <w:t>GR:</w:t>
            </w:r>
          </w:p>
          <w:p w14:paraId="70978601"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Launch delays may lead to access issues.</w:t>
            </w:r>
          </w:p>
          <w:p w14:paraId="7FFCD683" w14:textId="77777777" w:rsidR="00091CE5" w:rsidRPr="00D07901" w:rsidRDefault="00091CE5" w:rsidP="00091CE5">
            <w:pPr>
              <w:rPr>
                <w:rFonts w:asciiTheme="minorHAnsi" w:hAnsiTheme="minorHAnsi"/>
                <w:sz w:val="18"/>
                <w:szCs w:val="18"/>
              </w:rPr>
            </w:pPr>
          </w:p>
          <w:p w14:paraId="21BE4D10" w14:textId="77777777" w:rsidR="00091CE5" w:rsidRPr="00D07901" w:rsidRDefault="00091CE5" w:rsidP="00091CE5">
            <w:pPr>
              <w:rPr>
                <w:rFonts w:asciiTheme="minorHAnsi" w:hAnsiTheme="minorHAnsi"/>
                <w:i/>
                <w:iCs/>
                <w:sz w:val="18"/>
                <w:szCs w:val="18"/>
              </w:rPr>
            </w:pPr>
            <w:r w:rsidRPr="00D07901">
              <w:rPr>
                <w:rFonts w:asciiTheme="minorHAnsi" w:hAnsiTheme="minorHAnsi"/>
                <w:i/>
                <w:iCs/>
                <w:sz w:val="18"/>
                <w:szCs w:val="18"/>
              </w:rPr>
              <w:t>HR:</w:t>
            </w:r>
          </w:p>
          <w:p w14:paraId="1C9F20D4" w14:textId="0AD7A0F2"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 xml:space="preserve">EPR: No automatic price reductions for new </w:t>
            </w:r>
            <w:r w:rsidR="00047CAA">
              <w:rPr>
                <w:rFonts w:asciiTheme="minorHAnsi" w:hAnsiTheme="minorHAnsi"/>
                <w:sz w:val="18"/>
                <w:szCs w:val="18"/>
              </w:rPr>
              <w:t>MP</w:t>
            </w:r>
            <w:r w:rsidRPr="00D07901">
              <w:rPr>
                <w:rFonts w:asciiTheme="minorHAnsi" w:hAnsiTheme="minorHAnsi"/>
                <w:sz w:val="18"/>
                <w:szCs w:val="18"/>
              </w:rPr>
              <w:t xml:space="preserve">s should enhance desire to launch </w:t>
            </w:r>
            <w:r w:rsidR="00047CAA">
              <w:rPr>
                <w:rFonts w:asciiTheme="minorHAnsi" w:hAnsiTheme="minorHAnsi"/>
                <w:sz w:val="18"/>
                <w:szCs w:val="18"/>
              </w:rPr>
              <w:t>MP</w:t>
            </w:r>
            <w:r w:rsidRPr="00D07901">
              <w:rPr>
                <w:rFonts w:asciiTheme="minorHAnsi" w:hAnsiTheme="minorHAnsi"/>
                <w:sz w:val="18"/>
                <w:szCs w:val="18"/>
              </w:rPr>
              <w:t xml:space="preserve">s in HR. </w:t>
            </w:r>
          </w:p>
          <w:p w14:paraId="1FBB1978" w14:textId="77777777" w:rsidR="00091CE5" w:rsidRPr="00D07901" w:rsidRDefault="00091CE5" w:rsidP="00091CE5">
            <w:pPr>
              <w:rPr>
                <w:rFonts w:asciiTheme="minorHAnsi" w:hAnsiTheme="minorHAnsi"/>
                <w:sz w:val="18"/>
                <w:szCs w:val="18"/>
              </w:rPr>
            </w:pPr>
          </w:p>
          <w:p w14:paraId="67CCC9C3" w14:textId="77777777" w:rsidR="00091CE5" w:rsidRPr="00D07901" w:rsidRDefault="00091CE5" w:rsidP="00091CE5">
            <w:pPr>
              <w:rPr>
                <w:rFonts w:asciiTheme="minorHAnsi" w:hAnsiTheme="minorHAnsi"/>
                <w:i/>
                <w:iCs/>
                <w:sz w:val="18"/>
                <w:szCs w:val="18"/>
              </w:rPr>
            </w:pPr>
            <w:r w:rsidRPr="00D07901">
              <w:rPr>
                <w:rFonts w:asciiTheme="minorHAnsi" w:hAnsiTheme="minorHAnsi"/>
                <w:i/>
                <w:iCs/>
                <w:sz w:val="18"/>
                <w:szCs w:val="18"/>
              </w:rPr>
              <w:t>IE:</w:t>
            </w:r>
          </w:p>
          <w:p w14:paraId="36652E62" w14:textId="0AC1510A"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 xml:space="preserve">EPR: </w:t>
            </w:r>
            <w:r w:rsidR="00402A99">
              <w:rPr>
                <w:rFonts w:asciiTheme="minorHAnsi" w:hAnsiTheme="minorHAnsi"/>
                <w:sz w:val="18"/>
                <w:szCs w:val="18"/>
              </w:rPr>
              <w:t>MP</w:t>
            </w:r>
            <w:r w:rsidRPr="00D07901">
              <w:rPr>
                <w:rFonts w:asciiTheme="minorHAnsi" w:hAnsiTheme="minorHAnsi"/>
                <w:sz w:val="18"/>
                <w:szCs w:val="18"/>
              </w:rPr>
              <w:t>s are on the market relatively early.</w:t>
            </w:r>
          </w:p>
          <w:p w14:paraId="62B138B2" w14:textId="77777777" w:rsidR="00091CE5" w:rsidRPr="00D07901" w:rsidRDefault="00091CE5" w:rsidP="00091CE5">
            <w:pPr>
              <w:rPr>
                <w:rFonts w:asciiTheme="minorHAnsi" w:hAnsiTheme="minorHAnsi"/>
                <w:sz w:val="18"/>
                <w:szCs w:val="18"/>
              </w:rPr>
            </w:pPr>
          </w:p>
          <w:p w14:paraId="43D8EF5D" w14:textId="77777777" w:rsidR="00091CE5" w:rsidRPr="00D07901" w:rsidRDefault="00091CE5" w:rsidP="00091CE5">
            <w:pPr>
              <w:rPr>
                <w:rFonts w:asciiTheme="minorHAnsi" w:hAnsiTheme="minorHAnsi"/>
                <w:i/>
                <w:iCs/>
                <w:sz w:val="18"/>
                <w:szCs w:val="18"/>
              </w:rPr>
            </w:pPr>
            <w:r w:rsidRPr="00D07901">
              <w:rPr>
                <w:rFonts w:asciiTheme="minorHAnsi" w:hAnsiTheme="minorHAnsi"/>
                <w:i/>
                <w:iCs/>
                <w:sz w:val="18"/>
                <w:szCs w:val="18"/>
              </w:rPr>
              <w:t>PT:</w:t>
            </w:r>
          </w:p>
          <w:p w14:paraId="74638F6F"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led to longer launch delays.</w:t>
            </w:r>
          </w:p>
          <w:p w14:paraId="2A828E8F" w14:textId="77777777" w:rsidR="00091CE5" w:rsidRPr="00D07901" w:rsidRDefault="00091CE5" w:rsidP="00091CE5">
            <w:pPr>
              <w:rPr>
                <w:rFonts w:asciiTheme="minorHAnsi" w:hAnsiTheme="minorHAnsi"/>
                <w:sz w:val="18"/>
                <w:szCs w:val="18"/>
              </w:rPr>
            </w:pPr>
          </w:p>
          <w:p w14:paraId="6DA3D9BD" w14:textId="77777777" w:rsidR="00091CE5" w:rsidRPr="00D07901" w:rsidRDefault="00091CE5" w:rsidP="00091CE5">
            <w:pPr>
              <w:rPr>
                <w:rFonts w:asciiTheme="minorHAnsi" w:hAnsiTheme="minorHAnsi"/>
                <w:i/>
                <w:iCs/>
                <w:sz w:val="18"/>
                <w:szCs w:val="18"/>
              </w:rPr>
            </w:pPr>
            <w:r w:rsidRPr="00D07901">
              <w:rPr>
                <w:rFonts w:asciiTheme="minorHAnsi" w:hAnsiTheme="minorHAnsi"/>
                <w:i/>
                <w:iCs/>
                <w:sz w:val="18"/>
                <w:szCs w:val="18"/>
              </w:rPr>
              <w:t>RO:</w:t>
            </w:r>
          </w:p>
          <w:p w14:paraId="41E5270A" w14:textId="71C8DFF6"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 xml:space="preserve">EPR: More than 1175 </w:t>
            </w:r>
            <w:r w:rsidR="00F272D3">
              <w:rPr>
                <w:rFonts w:asciiTheme="minorHAnsi" w:hAnsiTheme="minorHAnsi"/>
                <w:sz w:val="18"/>
                <w:szCs w:val="18"/>
              </w:rPr>
              <w:t>MP</w:t>
            </w:r>
            <w:r w:rsidRPr="00D07901">
              <w:rPr>
                <w:rFonts w:asciiTheme="minorHAnsi" w:hAnsiTheme="minorHAnsi"/>
                <w:sz w:val="18"/>
                <w:szCs w:val="18"/>
              </w:rPr>
              <w:t>s have disappeared from the market (impact of both pricing and reimbursement mechanism)</w:t>
            </w:r>
          </w:p>
          <w:p w14:paraId="0F177C62" w14:textId="64D2F08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 xml:space="preserve">EPR: Parallel trade causes some </w:t>
            </w:r>
            <w:r w:rsidR="00F272D3">
              <w:rPr>
                <w:rFonts w:asciiTheme="minorHAnsi" w:hAnsiTheme="minorHAnsi"/>
                <w:sz w:val="18"/>
                <w:szCs w:val="18"/>
              </w:rPr>
              <w:t>MP</w:t>
            </w:r>
            <w:r w:rsidRPr="00D07901">
              <w:rPr>
                <w:rFonts w:asciiTheme="minorHAnsi" w:hAnsiTheme="minorHAnsi"/>
                <w:sz w:val="18"/>
                <w:szCs w:val="18"/>
              </w:rPr>
              <w:t>s to leave the country.</w:t>
            </w:r>
          </w:p>
          <w:p w14:paraId="130B7599" w14:textId="77777777" w:rsidR="00091CE5" w:rsidRPr="00D07901" w:rsidRDefault="00091CE5" w:rsidP="00091CE5">
            <w:pPr>
              <w:rPr>
                <w:rFonts w:asciiTheme="minorHAnsi" w:hAnsiTheme="minorHAnsi"/>
                <w:sz w:val="18"/>
                <w:szCs w:val="18"/>
              </w:rPr>
            </w:pPr>
          </w:p>
          <w:p w14:paraId="39AB38B0" w14:textId="77777777" w:rsidR="00091CE5" w:rsidRPr="00D07901" w:rsidRDefault="00091CE5" w:rsidP="00091CE5">
            <w:pPr>
              <w:rPr>
                <w:rFonts w:asciiTheme="minorHAnsi" w:hAnsiTheme="minorHAnsi"/>
                <w:i/>
                <w:iCs/>
                <w:sz w:val="18"/>
                <w:szCs w:val="18"/>
              </w:rPr>
            </w:pPr>
            <w:r w:rsidRPr="00D07901">
              <w:rPr>
                <w:rFonts w:asciiTheme="minorHAnsi" w:hAnsiTheme="minorHAnsi"/>
                <w:i/>
                <w:iCs/>
                <w:sz w:val="18"/>
                <w:szCs w:val="18"/>
              </w:rPr>
              <w:t>SK:</w:t>
            </w:r>
          </w:p>
          <w:p w14:paraId="78AA8410" w14:textId="77777777" w:rsidR="00091CE5" w:rsidRPr="00D07901" w:rsidRDefault="00091CE5" w:rsidP="00091CE5">
            <w:pPr>
              <w:pStyle w:val="ListParagraph"/>
              <w:numPr>
                <w:ilvl w:val="0"/>
                <w:numId w:val="1"/>
              </w:numPr>
              <w:ind w:left="456" w:hanging="426"/>
              <w:rPr>
                <w:rFonts w:asciiTheme="minorHAnsi" w:hAnsiTheme="minorHAnsi"/>
                <w:sz w:val="18"/>
                <w:szCs w:val="18"/>
              </w:rPr>
            </w:pPr>
            <w:r w:rsidRPr="00D07901">
              <w:rPr>
                <w:rFonts w:asciiTheme="minorHAnsi" w:hAnsiTheme="minorHAnsi"/>
                <w:sz w:val="18"/>
                <w:szCs w:val="18"/>
              </w:rPr>
              <w:t>EPR: Expansion of reference basket resulted in companies disregarding newly implemented prices or lobbying for exemptions</w:t>
            </w:r>
          </w:p>
          <w:p w14:paraId="409948A2" w14:textId="77777777" w:rsidR="00091CE5" w:rsidRPr="00D07901" w:rsidRDefault="00091CE5" w:rsidP="00091CE5">
            <w:pPr>
              <w:rPr>
                <w:rFonts w:asciiTheme="minorHAnsi" w:hAnsiTheme="minorHAnsi"/>
                <w:sz w:val="18"/>
                <w:szCs w:val="18"/>
              </w:rPr>
            </w:pPr>
          </w:p>
          <w:p w14:paraId="53843B34" w14:textId="77777777" w:rsidR="00091CE5" w:rsidRPr="00D07901" w:rsidRDefault="00091CE5" w:rsidP="00091CE5">
            <w:pPr>
              <w:rPr>
                <w:rFonts w:asciiTheme="minorHAnsi" w:hAnsiTheme="minorHAnsi"/>
                <w:i/>
                <w:iCs/>
                <w:sz w:val="18"/>
                <w:szCs w:val="18"/>
              </w:rPr>
            </w:pPr>
            <w:r w:rsidRPr="00D07901">
              <w:rPr>
                <w:rFonts w:asciiTheme="minorHAnsi" w:hAnsiTheme="minorHAnsi"/>
                <w:i/>
                <w:iCs/>
                <w:sz w:val="18"/>
                <w:szCs w:val="18"/>
              </w:rPr>
              <w:t>TR:</w:t>
            </w:r>
          </w:p>
          <w:p w14:paraId="22B0769D" w14:textId="249201A6" w:rsidR="00091CE5" w:rsidRPr="006A2D59" w:rsidRDefault="00091CE5" w:rsidP="00091CE5">
            <w:pPr>
              <w:pStyle w:val="ListParagraph"/>
              <w:numPr>
                <w:ilvl w:val="0"/>
                <w:numId w:val="1"/>
              </w:numPr>
              <w:ind w:left="456" w:hanging="426"/>
            </w:pPr>
            <w:r w:rsidRPr="00D07901">
              <w:rPr>
                <w:rFonts w:asciiTheme="minorHAnsi" w:hAnsiTheme="minorHAnsi"/>
                <w:sz w:val="18"/>
                <w:szCs w:val="18"/>
              </w:rPr>
              <w:t xml:space="preserve">EPR; Manufacturers are reluctant to launch new </w:t>
            </w:r>
            <w:r w:rsidR="00402A99">
              <w:rPr>
                <w:rFonts w:asciiTheme="minorHAnsi" w:hAnsiTheme="minorHAnsi"/>
                <w:sz w:val="18"/>
                <w:szCs w:val="18"/>
              </w:rPr>
              <w:t>MP</w:t>
            </w:r>
            <w:r w:rsidRPr="00D07901">
              <w:rPr>
                <w:rFonts w:asciiTheme="minorHAnsi" w:hAnsiTheme="minorHAnsi"/>
                <w:sz w:val="18"/>
                <w:szCs w:val="18"/>
              </w:rPr>
              <w:t>s in TR</w:t>
            </w:r>
          </w:p>
          <w:p w14:paraId="66C3289E" w14:textId="77777777" w:rsidR="00091CE5" w:rsidRPr="006A2D59" w:rsidRDefault="00091CE5" w:rsidP="00091CE5">
            <w:pPr>
              <w:rPr>
                <w:rFonts w:asciiTheme="minorHAnsi" w:hAnsiTheme="minorHAnsi"/>
                <w:b/>
                <w:bCs/>
                <w:sz w:val="18"/>
                <w:szCs w:val="18"/>
                <w:lang w:eastAsia="ja-JP"/>
              </w:rPr>
            </w:pPr>
          </w:p>
          <w:p w14:paraId="67FA2F74" w14:textId="77777777" w:rsidR="00091CE5" w:rsidRPr="006A2D59" w:rsidRDefault="00091CE5" w:rsidP="00091CE5">
            <w:pPr>
              <w:rPr>
                <w:rFonts w:asciiTheme="minorHAnsi" w:hAnsiTheme="minorHAnsi"/>
                <w:b/>
                <w:bCs/>
                <w:sz w:val="18"/>
                <w:szCs w:val="18"/>
                <w:lang w:eastAsia="ja-JP"/>
              </w:rPr>
            </w:pPr>
            <w:r w:rsidRPr="006A2D59">
              <w:rPr>
                <w:rFonts w:asciiTheme="minorHAnsi" w:hAnsiTheme="minorHAnsi"/>
                <w:b/>
                <w:bCs/>
                <w:sz w:val="18"/>
                <w:szCs w:val="18"/>
                <w:lang w:eastAsia="ja-JP"/>
              </w:rPr>
              <w:t>Sustainability:</w:t>
            </w:r>
          </w:p>
          <w:p w14:paraId="2352E3D4" w14:textId="77777777" w:rsidR="00091CE5" w:rsidRPr="003600C7" w:rsidRDefault="00091CE5" w:rsidP="00091CE5">
            <w:pPr>
              <w:rPr>
                <w:rFonts w:asciiTheme="minorHAnsi" w:hAnsiTheme="minorHAnsi"/>
                <w:sz w:val="18"/>
                <w:szCs w:val="18"/>
              </w:rPr>
            </w:pPr>
            <w:r w:rsidRPr="003600C7">
              <w:rPr>
                <w:rFonts w:asciiTheme="minorHAnsi" w:hAnsiTheme="minorHAnsi"/>
                <w:i/>
                <w:iCs/>
                <w:sz w:val="18"/>
                <w:szCs w:val="18"/>
              </w:rPr>
              <w:t>General:</w:t>
            </w:r>
          </w:p>
          <w:p w14:paraId="3DFAF569" w14:textId="77777777" w:rsidR="00091CE5" w:rsidRPr="003600C7" w:rsidRDefault="00091CE5" w:rsidP="00091CE5">
            <w:pPr>
              <w:pStyle w:val="ListParagraph"/>
              <w:numPr>
                <w:ilvl w:val="0"/>
                <w:numId w:val="1"/>
              </w:numPr>
              <w:ind w:left="456" w:hanging="426"/>
              <w:rPr>
                <w:rFonts w:asciiTheme="minorHAnsi" w:hAnsiTheme="minorHAnsi"/>
                <w:sz w:val="18"/>
                <w:szCs w:val="18"/>
              </w:rPr>
            </w:pPr>
            <w:r w:rsidRPr="003600C7">
              <w:rPr>
                <w:rFonts w:asciiTheme="minorHAnsi" w:hAnsiTheme="minorHAnsi"/>
                <w:sz w:val="18"/>
                <w:szCs w:val="18"/>
              </w:rPr>
              <w:t>EPR and IPR: can contribute to cost-containment in the short term; effect appears to decrease over time; focus on short-term financial gains could negatively impact healthcare systems in the long run (as a result of ‘path dependence’).</w:t>
            </w:r>
          </w:p>
          <w:p w14:paraId="5FA59C3A" w14:textId="77777777" w:rsidR="00091CE5" w:rsidRPr="003600C7" w:rsidRDefault="00091CE5" w:rsidP="00091CE5">
            <w:pPr>
              <w:pStyle w:val="ListParagraph"/>
              <w:numPr>
                <w:ilvl w:val="0"/>
                <w:numId w:val="1"/>
              </w:numPr>
              <w:ind w:left="456" w:hanging="426"/>
              <w:rPr>
                <w:rFonts w:asciiTheme="minorHAnsi" w:hAnsiTheme="minorHAnsi"/>
                <w:sz w:val="18"/>
                <w:szCs w:val="18"/>
              </w:rPr>
            </w:pPr>
            <w:r w:rsidRPr="003600C7">
              <w:rPr>
                <w:rFonts w:asciiTheme="minorHAnsi" w:hAnsiTheme="minorHAnsi"/>
                <w:sz w:val="18"/>
                <w:szCs w:val="18"/>
              </w:rPr>
              <w:t>EPR: regular price revisions can lead to greater short-term cost containment due to lower price levels.</w:t>
            </w:r>
          </w:p>
          <w:p w14:paraId="6F674A2A" w14:textId="77777777" w:rsidR="00091CE5" w:rsidRPr="003600C7" w:rsidRDefault="00091CE5" w:rsidP="00091CE5">
            <w:pPr>
              <w:rPr>
                <w:rFonts w:asciiTheme="minorHAnsi" w:hAnsiTheme="minorHAnsi"/>
                <w:sz w:val="18"/>
                <w:szCs w:val="18"/>
              </w:rPr>
            </w:pPr>
          </w:p>
          <w:p w14:paraId="68951914" w14:textId="77777777" w:rsidR="00091CE5" w:rsidRPr="003600C7" w:rsidRDefault="00091CE5" w:rsidP="00091CE5">
            <w:pPr>
              <w:rPr>
                <w:rFonts w:asciiTheme="minorHAnsi" w:hAnsiTheme="minorHAnsi"/>
                <w:i/>
                <w:iCs/>
                <w:sz w:val="18"/>
                <w:szCs w:val="18"/>
              </w:rPr>
            </w:pPr>
            <w:r w:rsidRPr="003600C7">
              <w:rPr>
                <w:rFonts w:asciiTheme="minorHAnsi" w:hAnsiTheme="minorHAnsi"/>
                <w:i/>
                <w:iCs/>
                <w:sz w:val="18"/>
                <w:szCs w:val="18"/>
              </w:rPr>
              <w:t>BG:</w:t>
            </w:r>
          </w:p>
          <w:p w14:paraId="3AEFFCCB" w14:textId="0E7478F0" w:rsidR="00091CE5" w:rsidRPr="003600C7" w:rsidRDefault="00091CE5" w:rsidP="00091CE5">
            <w:pPr>
              <w:pStyle w:val="ListParagraph"/>
              <w:numPr>
                <w:ilvl w:val="0"/>
                <w:numId w:val="1"/>
              </w:numPr>
              <w:ind w:left="456" w:hanging="426"/>
              <w:rPr>
                <w:rFonts w:asciiTheme="minorHAnsi" w:hAnsiTheme="minorHAnsi"/>
                <w:sz w:val="18"/>
                <w:szCs w:val="18"/>
              </w:rPr>
            </w:pPr>
            <w:r w:rsidRPr="003600C7">
              <w:rPr>
                <w:rFonts w:asciiTheme="minorHAnsi" w:hAnsiTheme="minorHAnsi"/>
                <w:sz w:val="18"/>
                <w:szCs w:val="18"/>
              </w:rPr>
              <w:t xml:space="preserve">EPR: Only partial effect on cost-containment due to increasing number of </w:t>
            </w:r>
            <w:r w:rsidR="00402A99">
              <w:rPr>
                <w:rFonts w:asciiTheme="minorHAnsi" w:hAnsiTheme="minorHAnsi"/>
                <w:sz w:val="18"/>
                <w:szCs w:val="18"/>
              </w:rPr>
              <w:t>MP</w:t>
            </w:r>
            <w:r w:rsidRPr="003600C7">
              <w:rPr>
                <w:rFonts w:asciiTheme="minorHAnsi" w:hAnsiTheme="minorHAnsi"/>
                <w:sz w:val="18"/>
                <w:szCs w:val="18"/>
              </w:rPr>
              <w:t xml:space="preserve">s in </w:t>
            </w:r>
            <w:r w:rsidR="00AF1B9B">
              <w:rPr>
                <w:rFonts w:asciiTheme="minorHAnsi" w:hAnsiTheme="minorHAnsi"/>
                <w:sz w:val="18"/>
                <w:szCs w:val="18"/>
              </w:rPr>
              <w:t>PDL</w:t>
            </w:r>
            <w:r w:rsidRPr="003600C7">
              <w:rPr>
                <w:rFonts w:asciiTheme="minorHAnsi" w:hAnsiTheme="minorHAnsi"/>
                <w:sz w:val="18"/>
                <w:szCs w:val="18"/>
              </w:rPr>
              <w:t>, increased reimbursement, increased number of patients entitled to reimbursement.</w:t>
            </w:r>
          </w:p>
          <w:p w14:paraId="23C1BA22" w14:textId="77777777" w:rsidR="00091CE5" w:rsidRPr="003600C7" w:rsidRDefault="00091CE5" w:rsidP="00091CE5">
            <w:pPr>
              <w:rPr>
                <w:rFonts w:asciiTheme="minorHAnsi" w:hAnsiTheme="minorHAnsi"/>
                <w:sz w:val="18"/>
                <w:szCs w:val="18"/>
              </w:rPr>
            </w:pPr>
          </w:p>
          <w:p w14:paraId="5A0E81A4" w14:textId="77777777" w:rsidR="00091CE5" w:rsidRPr="003600C7" w:rsidRDefault="00091CE5" w:rsidP="00091CE5">
            <w:pPr>
              <w:rPr>
                <w:rFonts w:asciiTheme="minorHAnsi" w:hAnsiTheme="minorHAnsi"/>
                <w:i/>
                <w:iCs/>
                <w:sz w:val="18"/>
                <w:szCs w:val="18"/>
              </w:rPr>
            </w:pPr>
            <w:r w:rsidRPr="003600C7">
              <w:rPr>
                <w:rFonts w:asciiTheme="minorHAnsi" w:hAnsiTheme="minorHAnsi"/>
                <w:i/>
                <w:iCs/>
                <w:sz w:val="18"/>
                <w:szCs w:val="18"/>
              </w:rPr>
              <w:t>British Columbia (CA):</w:t>
            </w:r>
          </w:p>
          <w:p w14:paraId="799061DE" w14:textId="77777777" w:rsidR="00091CE5" w:rsidRPr="003600C7" w:rsidRDefault="00091CE5" w:rsidP="00091CE5">
            <w:pPr>
              <w:pStyle w:val="ListParagraph"/>
              <w:numPr>
                <w:ilvl w:val="0"/>
                <w:numId w:val="1"/>
              </w:numPr>
              <w:ind w:left="456" w:hanging="426"/>
              <w:rPr>
                <w:rFonts w:asciiTheme="minorHAnsi" w:hAnsiTheme="minorHAnsi"/>
                <w:i/>
                <w:iCs/>
                <w:sz w:val="18"/>
                <w:szCs w:val="18"/>
              </w:rPr>
            </w:pPr>
            <w:r w:rsidRPr="003600C7">
              <w:rPr>
                <w:rFonts w:asciiTheme="minorHAnsi" w:hAnsiTheme="minorHAnsi"/>
                <w:sz w:val="18"/>
                <w:szCs w:val="18"/>
              </w:rPr>
              <w:t>IPR: savings of CA$161 million in first six years after implementation against total budget of CA$3.07 billion.</w:t>
            </w:r>
          </w:p>
          <w:p w14:paraId="33077411" w14:textId="77777777" w:rsidR="00091CE5" w:rsidRPr="003600C7" w:rsidRDefault="00091CE5" w:rsidP="00091CE5">
            <w:pPr>
              <w:rPr>
                <w:rFonts w:asciiTheme="minorHAnsi" w:hAnsiTheme="minorHAnsi"/>
                <w:sz w:val="18"/>
                <w:szCs w:val="18"/>
              </w:rPr>
            </w:pPr>
          </w:p>
          <w:p w14:paraId="3FFC71BD" w14:textId="77777777" w:rsidR="00091CE5" w:rsidRPr="003600C7" w:rsidRDefault="00091CE5" w:rsidP="00091CE5">
            <w:pPr>
              <w:rPr>
                <w:rFonts w:asciiTheme="minorHAnsi" w:hAnsiTheme="minorHAnsi"/>
                <w:i/>
                <w:iCs/>
                <w:sz w:val="18"/>
                <w:szCs w:val="18"/>
              </w:rPr>
            </w:pPr>
            <w:r w:rsidRPr="003600C7">
              <w:rPr>
                <w:rFonts w:asciiTheme="minorHAnsi" w:hAnsiTheme="minorHAnsi"/>
                <w:i/>
                <w:iCs/>
                <w:sz w:val="18"/>
                <w:szCs w:val="18"/>
              </w:rPr>
              <w:t>CO:</w:t>
            </w:r>
          </w:p>
          <w:p w14:paraId="52A43707" w14:textId="208DA182" w:rsidR="00091CE5" w:rsidRPr="003600C7" w:rsidRDefault="00091CE5" w:rsidP="00091CE5">
            <w:pPr>
              <w:pStyle w:val="ListParagraph"/>
              <w:numPr>
                <w:ilvl w:val="0"/>
                <w:numId w:val="1"/>
              </w:numPr>
              <w:ind w:left="456" w:hanging="426"/>
              <w:rPr>
                <w:rFonts w:asciiTheme="minorHAnsi" w:hAnsiTheme="minorHAnsi"/>
                <w:sz w:val="18"/>
                <w:szCs w:val="18"/>
              </w:rPr>
            </w:pPr>
            <w:r w:rsidRPr="003600C7">
              <w:rPr>
                <w:rFonts w:asciiTheme="minorHAnsi" w:hAnsiTheme="minorHAnsi"/>
                <w:sz w:val="18"/>
                <w:szCs w:val="18"/>
              </w:rPr>
              <w:t xml:space="preserve">EPR: </w:t>
            </w:r>
            <w:r w:rsidR="003551AA">
              <w:rPr>
                <w:rFonts w:asciiTheme="minorHAnsi" w:hAnsiTheme="minorHAnsi"/>
                <w:sz w:val="18"/>
                <w:szCs w:val="18"/>
              </w:rPr>
              <w:t>MP</w:t>
            </w:r>
            <w:r w:rsidRPr="003600C7">
              <w:rPr>
                <w:rFonts w:asciiTheme="minorHAnsi" w:hAnsiTheme="minorHAnsi"/>
                <w:sz w:val="18"/>
                <w:szCs w:val="18"/>
              </w:rPr>
              <w:t xml:space="preserve"> health expenditure almost doubled since introduction.</w:t>
            </w:r>
          </w:p>
          <w:p w14:paraId="00DFD972" w14:textId="77777777" w:rsidR="00091CE5" w:rsidRPr="003600C7" w:rsidRDefault="00091CE5" w:rsidP="00091CE5">
            <w:pPr>
              <w:rPr>
                <w:rFonts w:asciiTheme="minorHAnsi" w:hAnsiTheme="minorHAnsi"/>
                <w:sz w:val="18"/>
                <w:szCs w:val="18"/>
              </w:rPr>
            </w:pPr>
          </w:p>
          <w:p w14:paraId="26A58BFC" w14:textId="77777777" w:rsidR="00091CE5" w:rsidRPr="003600C7" w:rsidRDefault="00091CE5" w:rsidP="00091CE5">
            <w:pPr>
              <w:rPr>
                <w:rFonts w:asciiTheme="minorHAnsi" w:hAnsiTheme="minorHAnsi"/>
                <w:i/>
                <w:iCs/>
                <w:sz w:val="18"/>
                <w:szCs w:val="18"/>
              </w:rPr>
            </w:pPr>
            <w:r w:rsidRPr="003600C7">
              <w:rPr>
                <w:rFonts w:asciiTheme="minorHAnsi" w:hAnsiTheme="minorHAnsi"/>
                <w:i/>
                <w:iCs/>
                <w:sz w:val="18"/>
                <w:szCs w:val="18"/>
              </w:rPr>
              <w:t>GR:</w:t>
            </w:r>
          </w:p>
          <w:p w14:paraId="37F80469" w14:textId="77777777" w:rsidR="00091CE5" w:rsidRPr="003600C7" w:rsidRDefault="00091CE5" w:rsidP="00091CE5">
            <w:pPr>
              <w:pStyle w:val="ListParagraph"/>
              <w:numPr>
                <w:ilvl w:val="0"/>
                <w:numId w:val="1"/>
              </w:numPr>
              <w:ind w:left="456" w:hanging="426"/>
              <w:rPr>
                <w:rFonts w:asciiTheme="minorHAnsi" w:hAnsiTheme="minorHAnsi"/>
                <w:sz w:val="18"/>
                <w:szCs w:val="18"/>
              </w:rPr>
            </w:pPr>
            <w:r w:rsidRPr="003600C7">
              <w:rPr>
                <w:rFonts w:asciiTheme="minorHAnsi" w:hAnsiTheme="minorHAnsi"/>
                <w:sz w:val="18"/>
                <w:szCs w:val="18"/>
              </w:rPr>
              <w:t>EPR: proved ineffective in the long run (expenditure continued to rise at similar levels compared to before introduction).</w:t>
            </w:r>
          </w:p>
          <w:p w14:paraId="40CE0886" w14:textId="77777777" w:rsidR="00091CE5" w:rsidRPr="003600C7" w:rsidRDefault="00091CE5" w:rsidP="00091CE5">
            <w:pPr>
              <w:rPr>
                <w:rFonts w:asciiTheme="minorHAnsi" w:hAnsiTheme="minorHAnsi"/>
                <w:sz w:val="18"/>
                <w:szCs w:val="18"/>
              </w:rPr>
            </w:pPr>
          </w:p>
          <w:p w14:paraId="3B29CCC7" w14:textId="77777777" w:rsidR="00091CE5" w:rsidRPr="003600C7" w:rsidRDefault="00091CE5" w:rsidP="00091CE5">
            <w:pPr>
              <w:rPr>
                <w:rFonts w:asciiTheme="minorHAnsi" w:hAnsiTheme="minorHAnsi"/>
                <w:i/>
                <w:iCs/>
                <w:sz w:val="18"/>
                <w:szCs w:val="18"/>
              </w:rPr>
            </w:pPr>
            <w:r w:rsidRPr="003600C7">
              <w:rPr>
                <w:rFonts w:asciiTheme="minorHAnsi" w:hAnsiTheme="minorHAnsi"/>
                <w:i/>
                <w:iCs/>
                <w:sz w:val="18"/>
                <w:szCs w:val="18"/>
              </w:rPr>
              <w:t>SK:</w:t>
            </w:r>
          </w:p>
          <w:p w14:paraId="4DA1CECD" w14:textId="7FD02F9B" w:rsidR="00091CE5" w:rsidRPr="003600C7" w:rsidRDefault="00091CE5" w:rsidP="00091CE5">
            <w:pPr>
              <w:pStyle w:val="ListParagraph"/>
              <w:numPr>
                <w:ilvl w:val="0"/>
                <w:numId w:val="1"/>
              </w:numPr>
              <w:ind w:left="456" w:hanging="426"/>
              <w:rPr>
                <w:rFonts w:asciiTheme="minorHAnsi" w:hAnsiTheme="minorHAnsi"/>
                <w:sz w:val="18"/>
                <w:szCs w:val="18"/>
              </w:rPr>
            </w:pPr>
            <w:r w:rsidRPr="003600C7">
              <w:rPr>
                <w:rFonts w:asciiTheme="minorHAnsi" w:hAnsiTheme="minorHAnsi"/>
                <w:sz w:val="18"/>
                <w:szCs w:val="18"/>
              </w:rPr>
              <w:t xml:space="preserve">EPR: 25% reduction in </w:t>
            </w:r>
            <w:r w:rsidR="003551AA">
              <w:rPr>
                <w:rFonts w:asciiTheme="minorHAnsi" w:hAnsiTheme="minorHAnsi"/>
                <w:sz w:val="18"/>
                <w:szCs w:val="18"/>
              </w:rPr>
              <w:t>MP</w:t>
            </w:r>
            <w:r w:rsidRPr="003600C7">
              <w:rPr>
                <w:rFonts w:asciiTheme="minorHAnsi" w:hAnsiTheme="minorHAnsi"/>
                <w:sz w:val="18"/>
                <w:szCs w:val="18"/>
              </w:rPr>
              <w:t xml:space="preserve"> expenditure as proportion to total healthcare spending.</w:t>
            </w:r>
          </w:p>
          <w:p w14:paraId="53876683" w14:textId="77777777" w:rsidR="00091CE5" w:rsidRPr="003600C7" w:rsidRDefault="00091CE5" w:rsidP="00091CE5">
            <w:pPr>
              <w:rPr>
                <w:rFonts w:asciiTheme="minorHAnsi" w:hAnsiTheme="minorHAnsi"/>
                <w:sz w:val="18"/>
                <w:szCs w:val="18"/>
              </w:rPr>
            </w:pPr>
          </w:p>
          <w:p w14:paraId="0C7499D7" w14:textId="77777777" w:rsidR="00091CE5" w:rsidRPr="003600C7" w:rsidRDefault="00091CE5" w:rsidP="00091CE5">
            <w:pPr>
              <w:rPr>
                <w:rFonts w:asciiTheme="minorHAnsi" w:hAnsiTheme="minorHAnsi"/>
                <w:i/>
                <w:iCs/>
                <w:sz w:val="18"/>
                <w:szCs w:val="18"/>
              </w:rPr>
            </w:pPr>
            <w:r w:rsidRPr="003600C7">
              <w:rPr>
                <w:rFonts w:asciiTheme="minorHAnsi" w:hAnsiTheme="minorHAnsi"/>
                <w:i/>
                <w:iCs/>
                <w:sz w:val="18"/>
                <w:szCs w:val="18"/>
              </w:rPr>
              <w:t>TR:</w:t>
            </w:r>
          </w:p>
          <w:p w14:paraId="603369C0" w14:textId="703E964F" w:rsidR="00091CE5" w:rsidRPr="006A2D59" w:rsidRDefault="00091CE5" w:rsidP="00091CE5">
            <w:pPr>
              <w:pStyle w:val="ListParagraph"/>
              <w:numPr>
                <w:ilvl w:val="0"/>
                <w:numId w:val="1"/>
              </w:numPr>
              <w:ind w:left="456" w:hanging="426"/>
            </w:pPr>
            <w:r w:rsidRPr="003600C7">
              <w:rPr>
                <w:rFonts w:asciiTheme="minorHAnsi" w:hAnsiTheme="minorHAnsi"/>
                <w:sz w:val="18"/>
                <w:szCs w:val="18"/>
              </w:rPr>
              <w:t>EPR: Achieved savings of around US$1 billion</w:t>
            </w:r>
          </w:p>
          <w:p w14:paraId="2F6CE6FC" w14:textId="77777777" w:rsidR="00091CE5" w:rsidRPr="006A2D59" w:rsidRDefault="00091CE5" w:rsidP="00091CE5">
            <w:pPr>
              <w:pStyle w:val="Table"/>
              <w:ind w:left="287" w:hanging="284"/>
            </w:pPr>
          </w:p>
          <w:p w14:paraId="7FE60B2A" w14:textId="77777777" w:rsidR="00091CE5" w:rsidRPr="006A2D59" w:rsidRDefault="00091CE5" w:rsidP="00091CE5">
            <w:pPr>
              <w:rPr>
                <w:rFonts w:asciiTheme="minorHAnsi" w:hAnsiTheme="minorHAnsi"/>
                <w:b/>
                <w:bCs/>
                <w:sz w:val="18"/>
                <w:szCs w:val="18"/>
                <w:lang w:eastAsia="ja-JP"/>
              </w:rPr>
            </w:pPr>
            <w:r w:rsidRPr="006A2D59">
              <w:rPr>
                <w:rFonts w:asciiTheme="minorHAnsi" w:hAnsiTheme="minorHAnsi"/>
                <w:b/>
                <w:bCs/>
                <w:sz w:val="18"/>
                <w:szCs w:val="18"/>
                <w:lang w:eastAsia="ja-JP"/>
              </w:rPr>
              <w:t>Equity:</w:t>
            </w:r>
          </w:p>
          <w:p w14:paraId="064DFB22" w14:textId="77777777" w:rsidR="00091CE5" w:rsidRPr="004834EE" w:rsidRDefault="00091CE5" w:rsidP="00091CE5">
            <w:pPr>
              <w:rPr>
                <w:rFonts w:asciiTheme="minorHAnsi" w:hAnsiTheme="minorHAnsi"/>
                <w:sz w:val="18"/>
                <w:szCs w:val="18"/>
              </w:rPr>
            </w:pPr>
            <w:r w:rsidRPr="004834EE">
              <w:rPr>
                <w:rFonts w:asciiTheme="minorHAnsi" w:hAnsiTheme="minorHAnsi"/>
                <w:i/>
                <w:iCs/>
                <w:sz w:val="18"/>
                <w:szCs w:val="18"/>
              </w:rPr>
              <w:t>General:</w:t>
            </w:r>
          </w:p>
          <w:p w14:paraId="78A80A56" w14:textId="72CBD1D7" w:rsidR="00091CE5" w:rsidRPr="004834EE" w:rsidRDefault="00091CE5" w:rsidP="00091CE5">
            <w:pPr>
              <w:pStyle w:val="ListParagraph"/>
              <w:numPr>
                <w:ilvl w:val="0"/>
                <w:numId w:val="1"/>
              </w:numPr>
              <w:ind w:left="456" w:hanging="426"/>
              <w:rPr>
                <w:rFonts w:asciiTheme="minorHAnsi" w:hAnsiTheme="minorHAnsi"/>
                <w:sz w:val="18"/>
                <w:szCs w:val="18"/>
              </w:rPr>
            </w:pPr>
            <w:r w:rsidRPr="004834EE">
              <w:rPr>
                <w:rFonts w:asciiTheme="minorHAnsi" w:hAnsiTheme="minorHAnsi"/>
                <w:sz w:val="18"/>
                <w:szCs w:val="18"/>
              </w:rPr>
              <w:lastRenderedPageBreak/>
              <w:t xml:space="preserve">EPR: </w:t>
            </w:r>
            <w:r w:rsidR="003551AA">
              <w:rPr>
                <w:rFonts w:asciiTheme="minorHAnsi" w:hAnsiTheme="minorHAnsi"/>
                <w:sz w:val="18"/>
                <w:szCs w:val="18"/>
              </w:rPr>
              <w:t>MP</w:t>
            </w:r>
            <w:r w:rsidRPr="004834EE">
              <w:rPr>
                <w:rFonts w:asciiTheme="minorHAnsi" w:hAnsiTheme="minorHAnsi"/>
                <w:sz w:val="18"/>
                <w:szCs w:val="18"/>
              </w:rPr>
              <w:t xml:space="preserve"> prices remain higher in countries with lower absolute price levels compared to countries with higher absolute price levels; may undermine equitable patient access. Further consequence: such countries may face several years of excessive expenditure.</w:t>
            </w:r>
          </w:p>
          <w:p w14:paraId="37473E3F" w14:textId="61A16DEA" w:rsidR="00091CE5" w:rsidRPr="004834EE" w:rsidRDefault="00091CE5" w:rsidP="00091CE5">
            <w:pPr>
              <w:pStyle w:val="ListParagraph"/>
              <w:numPr>
                <w:ilvl w:val="0"/>
                <w:numId w:val="1"/>
              </w:numPr>
              <w:ind w:left="456" w:hanging="426"/>
              <w:rPr>
                <w:rFonts w:asciiTheme="minorHAnsi" w:hAnsiTheme="minorHAnsi"/>
                <w:sz w:val="18"/>
                <w:szCs w:val="18"/>
              </w:rPr>
            </w:pPr>
            <w:r w:rsidRPr="004834EE">
              <w:rPr>
                <w:rFonts w:asciiTheme="minorHAnsi" w:hAnsiTheme="minorHAnsi"/>
                <w:sz w:val="18"/>
                <w:szCs w:val="18"/>
              </w:rPr>
              <w:t>EPR: no evidence regarding isolated effect on social welfare</w:t>
            </w:r>
          </w:p>
          <w:p w14:paraId="432BD79F" w14:textId="77777777" w:rsidR="00091CE5" w:rsidRPr="006A2D59" w:rsidRDefault="00091CE5" w:rsidP="00091CE5">
            <w:pPr>
              <w:rPr>
                <w:rFonts w:asciiTheme="minorHAnsi" w:hAnsiTheme="minorHAnsi"/>
                <w:b/>
                <w:bCs/>
                <w:sz w:val="18"/>
                <w:szCs w:val="18"/>
                <w:lang w:eastAsia="ja-JP"/>
              </w:rPr>
            </w:pPr>
          </w:p>
          <w:p w14:paraId="03FBB559" w14:textId="77777777" w:rsidR="00091CE5" w:rsidRPr="006A2D59" w:rsidRDefault="00091CE5" w:rsidP="00091CE5">
            <w:pPr>
              <w:rPr>
                <w:rFonts w:asciiTheme="minorHAnsi" w:hAnsiTheme="minorHAnsi"/>
                <w:b/>
                <w:bCs/>
                <w:sz w:val="18"/>
                <w:szCs w:val="18"/>
                <w:lang w:eastAsia="ja-JP"/>
              </w:rPr>
            </w:pPr>
            <w:r w:rsidRPr="006A2D59">
              <w:rPr>
                <w:rFonts w:asciiTheme="minorHAnsi" w:hAnsiTheme="minorHAnsi"/>
                <w:b/>
                <w:bCs/>
                <w:sz w:val="18"/>
                <w:szCs w:val="18"/>
                <w:lang w:eastAsia="ja-JP"/>
              </w:rPr>
              <w:t>Other impacts:</w:t>
            </w:r>
          </w:p>
          <w:p w14:paraId="0A345271" w14:textId="77777777" w:rsidR="00091CE5" w:rsidRPr="00BD59DB" w:rsidRDefault="00091CE5" w:rsidP="00091CE5">
            <w:pPr>
              <w:rPr>
                <w:rFonts w:asciiTheme="minorHAnsi" w:hAnsiTheme="minorHAnsi"/>
                <w:i/>
                <w:iCs/>
                <w:sz w:val="18"/>
                <w:szCs w:val="18"/>
              </w:rPr>
            </w:pPr>
            <w:r w:rsidRPr="00BD59DB">
              <w:rPr>
                <w:rFonts w:asciiTheme="minorHAnsi" w:hAnsiTheme="minorHAnsi"/>
                <w:i/>
                <w:iCs/>
                <w:sz w:val="18"/>
                <w:szCs w:val="18"/>
              </w:rPr>
              <w:t>General:</w:t>
            </w:r>
          </w:p>
          <w:p w14:paraId="144B6BA1" w14:textId="328D3056"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 xml:space="preserve">EPR: real prices often remain unknown due to confidential discounts (especially for high-priced </w:t>
            </w:r>
            <w:r w:rsidR="00402A99">
              <w:rPr>
                <w:rFonts w:asciiTheme="minorHAnsi" w:hAnsiTheme="minorHAnsi"/>
                <w:sz w:val="18"/>
                <w:szCs w:val="18"/>
              </w:rPr>
              <w:t>MP</w:t>
            </w:r>
            <w:r w:rsidRPr="00BD59DB">
              <w:rPr>
                <w:rFonts w:asciiTheme="minorHAnsi" w:hAnsiTheme="minorHAnsi"/>
                <w:sz w:val="18"/>
                <w:szCs w:val="18"/>
              </w:rPr>
              <w:t>s).</w:t>
            </w:r>
          </w:p>
          <w:p w14:paraId="2C6CCA45" w14:textId="02D66F66"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 xml:space="preserve">EPR: no access improvement for oncology </w:t>
            </w:r>
            <w:r w:rsidR="00402A99">
              <w:rPr>
                <w:rFonts w:asciiTheme="minorHAnsi" w:hAnsiTheme="minorHAnsi"/>
                <w:sz w:val="18"/>
                <w:szCs w:val="18"/>
              </w:rPr>
              <w:t>MP</w:t>
            </w:r>
            <w:r w:rsidRPr="00BD59DB">
              <w:rPr>
                <w:rFonts w:asciiTheme="minorHAnsi" w:hAnsiTheme="minorHAnsi"/>
                <w:sz w:val="18"/>
                <w:szCs w:val="18"/>
              </w:rPr>
              <w:t>s, due to higher confidential discounts.</w:t>
            </w:r>
          </w:p>
          <w:p w14:paraId="6498772E"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low price in a given market might affect manufacturer’s pricing strategies elsewhere, lead to parallel trade.</w:t>
            </w:r>
          </w:p>
          <w:p w14:paraId="48210FCE"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reduces manufacturer’s willingness to price to market, contribution to access problems.</w:t>
            </w:r>
          </w:p>
          <w:p w14:paraId="3768217C"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with small reference country baskets leads to relatively low losses for seller; lower profits with larger baskets (increased constraints on international prices).</w:t>
            </w:r>
          </w:p>
          <w:p w14:paraId="30D96F1C"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spill-over effects (due to EPR and parallel trade) likely to lead to access issues and limited benefits to payers and patients in terms of cost-savings for high price markets, and to negative impact on willingness/potential/capacity to invest in R&amp;D.</w:t>
            </w:r>
          </w:p>
          <w:p w14:paraId="20884F94"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(downward) price convergence towards international average; arguably race-to-the-bottom if lowest price in reference basket is used; consequently, potential discouragement of incremental innovation (reduced revenue leading to reduced potential for R&amp;D investment).</w:t>
            </w:r>
          </w:p>
          <w:p w14:paraId="2861A268" w14:textId="6296D9EB"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 xml:space="preserve">EPR: limits ability of other methods to regulate </w:t>
            </w:r>
            <w:r w:rsidR="0013336A">
              <w:rPr>
                <w:rFonts w:asciiTheme="minorHAnsi" w:hAnsiTheme="minorHAnsi"/>
                <w:sz w:val="18"/>
                <w:szCs w:val="18"/>
              </w:rPr>
              <w:t>MP</w:t>
            </w:r>
            <w:r w:rsidRPr="00BD59DB">
              <w:rPr>
                <w:rFonts w:asciiTheme="minorHAnsi" w:hAnsiTheme="minorHAnsi"/>
                <w:sz w:val="18"/>
                <w:szCs w:val="18"/>
              </w:rPr>
              <w:t xml:space="preserve"> pricing; does not take into account role of </w:t>
            </w:r>
            <w:r>
              <w:rPr>
                <w:rFonts w:asciiTheme="minorHAnsi" w:hAnsiTheme="minorHAnsi"/>
                <w:sz w:val="18"/>
                <w:szCs w:val="18"/>
              </w:rPr>
              <w:t>VIP</w:t>
            </w:r>
            <w:r w:rsidRPr="00BD59DB">
              <w:rPr>
                <w:rFonts w:asciiTheme="minorHAnsi" w:hAnsiTheme="minorHAnsi"/>
                <w:sz w:val="18"/>
                <w:szCs w:val="18"/>
              </w:rPr>
              <w:t xml:space="preserve"> (also undermines </w:t>
            </w:r>
            <w:r>
              <w:rPr>
                <w:rFonts w:asciiTheme="minorHAnsi" w:hAnsiTheme="minorHAnsi"/>
                <w:sz w:val="18"/>
                <w:szCs w:val="18"/>
              </w:rPr>
              <w:t>VIP</w:t>
            </w:r>
            <w:r w:rsidRPr="00BD59DB">
              <w:rPr>
                <w:rFonts w:asciiTheme="minorHAnsi" w:hAnsiTheme="minorHAnsi"/>
                <w:sz w:val="18"/>
                <w:szCs w:val="18"/>
              </w:rPr>
              <w:t>).</w:t>
            </w:r>
          </w:p>
          <w:p w14:paraId="44A027C1"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Frequent price revisions may distort role of the market, reduce predictability and produce errors, especially with large reference baskets.</w:t>
            </w:r>
          </w:p>
          <w:p w14:paraId="4F21E4E3"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path dependence, observed price levels are influenced by EPR rules in individual countries, ignoring other market aspects (health needs, income, healthcare costs, extent of variations between countries).</w:t>
            </w:r>
          </w:p>
          <w:p w14:paraId="6256C722"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Exchange rate volatility can affect prices denominated in local currencies.</w:t>
            </w:r>
          </w:p>
          <w:p w14:paraId="3622480E"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Consultant forms support manufacturers in exploiting differences in price-setting algorithms and EPR baskets to explore strategies for launches.</w:t>
            </w:r>
          </w:p>
          <w:p w14:paraId="5C331FB8" w14:textId="77777777" w:rsidR="00091CE5" w:rsidRPr="00BD59DB" w:rsidRDefault="00091CE5" w:rsidP="00091CE5">
            <w:pPr>
              <w:rPr>
                <w:rFonts w:asciiTheme="minorHAnsi" w:hAnsiTheme="minorHAnsi"/>
                <w:sz w:val="18"/>
                <w:szCs w:val="18"/>
              </w:rPr>
            </w:pPr>
          </w:p>
          <w:p w14:paraId="3054BF7E" w14:textId="77777777" w:rsidR="00091CE5" w:rsidRPr="00BD59DB" w:rsidRDefault="00091CE5" w:rsidP="00091CE5">
            <w:pPr>
              <w:rPr>
                <w:rFonts w:asciiTheme="minorHAnsi" w:hAnsiTheme="minorHAnsi"/>
                <w:i/>
                <w:iCs/>
                <w:sz w:val="18"/>
                <w:szCs w:val="18"/>
              </w:rPr>
            </w:pPr>
            <w:r w:rsidRPr="00BD59DB">
              <w:rPr>
                <w:rFonts w:asciiTheme="minorHAnsi" w:hAnsiTheme="minorHAnsi"/>
                <w:i/>
                <w:iCs/>
                <w:sz w:val="18"/>
                <w:szCs w:val="18"/>
              </w:rPr>
              <w:lastRenderedPageBreak/>
              <w:t>BG:</w:t>
            </w:r>
          </w:p>
          <w:p w14:paraId="3E4322F5" w14:textId="7862964D"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 xml:space="preserve">EPR: Lowest prices of prescription </w:t>
            </w:r>
            <w:r w:rsidR="00402A99">
              <w:rPr>
                <w:rFonts w:asciiTheme="minorHAnsi" w:hAnsiTheme="minorHAnsi"/>
                <w:sz w:val="18"/>
                <w:szCs w:val="18"/>
              </w:rPr>
              <w:t>MP</w:t>
            </w:r>
            <w:r w:rsidRPr="00BD59DB">
              <w:rPr>
                <w:rFonts w:asciiTheme="minorHAnsi" w:hAnsiTheme="minorHAnsi"/>
                <w:sz w:val="18"/>
                <w:szCs w:val="18"/>
              </w:rPr>
              <w:t>s lead to significant problems parallel trade, affecting patients’ access to treatment.</w:t>
            </w:r>
          </w:p>
          <w:p w14:paraId="30A0F735" w14:textId="4CA2DA7F"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 xml:space="preserve">EPR: Unattractive market to sellers of latest new </w:t>
            </w:r>
            <w:r w:rsidR="00402A99">
              <w:rPr>
                <w:rFonts w:asciiTheme="minorHAnsi" w:hAnsiTheme="minorHAnsi"/>
                <w:sz w:val="18"/>
                <w:szCs w:val="18"/>
              </w:rPr>
              <w:t>MP</w:t>
            </w:r>
            <w:r w:rsidRPr="00BD59DB">
              <w:rPr>
                <w:rFonts w:asciiTheme="minorHAnsi" w:hAnsiTheme="minorHAnsi"/>
                <w:sz w:val="18"/>
                <w:szCs w:val="18"/>
              </w:rPr>
              <w:t>s.</w:t>
            </w:r>
          </w:p>
          <w:p w14:paraId="2A387CCE" w14:textId="77777777" w:rsidR="00091CE5" w:rsidRPr="00BD59DB" w:rsidRDefault="00091CE5" w:rsidP="00091CE5">
            <w:pPr>
              <w:rPr>
                <w:rFonts w:asciiTheme="minorHAnsi" w:hAnsiTheme="minorHAnsi"/>
                <w:sz w:val="18"/>
                <w:szCs w:val="18"/>
              </w:rPr>
            </w:pPr>
          </w:p>
          <w:p w14:paraId="5418A86D" w14:textId="77777777" w:rsidR="00091CE5" w:rsidRPr="00BD59DB" w:rsidRDefault="00091CE5" w:rsidP="00091CE5">
            <w:pPr>
              <w:ind w:left="52"/>
              <w:rPr>
                <w:rFonts w:asciiTheme="minorHAnsi" w:hAnsiTheme="minorHAnsi"/>
                <w:i/>
                <w:iCs/>
                <w:sz w:val="18"/>
                <w:szCs w:val="18"/>
              </w:rPr>
            </w:pPr>
            <w:r w:rsidRPr="00BD59DB">
              <w:rPr>
                <w:rFonts w:asciiTheme="minorHAnsi" w:hAnsiTheme="minorHAnsi"/>
                <w:i/>
                <w:iCs/>
                <w:sz w:val="18"/>
                <w:szCs w:val="18"/>
              </w:rPr>
              <w:t>CH:</w:t>
            </w:r>
          </w:p>
          <w:p w14:paraId="51024346"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price cuts reduced industry revenue in CH by €430 million, by €495.2 million worldwide.</w:t>
            </w:r>
          </w:p>
          <w:p w14:paraId="5EDBC0ED" w14:textId="77777777" w:rsidR="00091CE5" w:rsidRPr="00BD59DB" w:rsidRDefault="00091CE5" w:rsidP="00091CE5">
            <w:pPr>
              <w:rPr>
                <w:rFonts w:asciiTheme="minorHAnsi" w:hAnsiTheme="minorHAnsi"/>
                <w:sz w:val="18"/>
                <w:szCs w:val="18"/>
              </w:rPr>
            </w:pPr>
          </w:p>
          <w:p w14:paraId="2F851E8A" w14:textId="77777777" w:rsidR="00091CE5" w:rsidRPr="00BD59DB" w:rsidRDefault="00091CE5" w:rsidP="00091CE5">
            <w:pPr>
              <w:rPr>
                <w:rFonts w:asciiTheme="minorHAnsi" w:hAnsiTheme="minorHAnsi"/>
                <w:i/>
                <w:iCs/>
                <w:sz w:val="18"/>
                <w:szCs w:val="18"/>
              </w:rPr>
            </w:pPr>
            <w:r w:rsidRPr="00BD59DB">
              <w:rPr>
                <w:rFonts w:asciiTheme="minorHAnsi" w:hAnsiTheme="minorHAnsi"/>
                <w:i/>
                <w:iCs/>
                <w:sz w:val="18"/>
                <w:szCs w:val="18"/>
              </w:rPr>
              <w:t>CO:</w:t>
            </w:r>
          </w:p>
          <w:p w14:paraId="20F150D4" w14:textId="77777777"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EPR: may spur increase in demand of regulated products, defying cost control objective.</w:t>
            </w:r>
          </w:p>
          <w:p w14:paraId="64B68D6F" w14:textId="77777777" w:rsidR="00091CE5" w:rsidRPr="00BD59DB" w:rsidRDefault="00091CE5" w:rsidP="00091CE5">
            <w:pPr>
              <w:rPr>
                <w:rFonts w:asciiTheme="minorHAnsi" w:hAnsiTheme="minorHAnsi"/>
                <w:sz w:val="18"/>
                <w:szCs w:val="18"/>
              </w:rPr>
            </w:pPr>
          </w:p>
          <w:p w14:paraId="4A5CD2E9" w14:textId="77777777" w:rsidR="00091CE5" w:rsidRPr="00BD59DB" w:rsidRDefault="00091CE5" w:rsidP="00091CE5">
            <w:pPr>
              <w:rPr>
                <w:rFonts w:asciiTheme="minorHAnsi" w:hAnsiTheme="minorHAnsi"/>
                <w:i/>
                <w:iCs/>
                <w:sz w:val="18"/>
                <w:szCs w:val="18"/>
              </w:rPr>
            </w:pPr>
            <w:r w:rsidRPr="00BD59DB">
              <w:rPr>
                <w:rFonts w:asciiTheme="minorHAnsi" w:hAnsiTheme="minorHAnsi"/>
                <w:i/>
                <w:iCs/>
                <w:sz w:val="18"/>
                <w:szCs w:val="18"/>
              </w:rPr>
              <w:t>GR:</w:t>
            </w:r>
          </w:p>
          <w:p w14:paraId="66140A96" w14:textId="3C86804E"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 xml:space="preserve">EPR: failed to control </w:t>
            </w:r>
            <w:r w:rsidR="00402A99">
              <w:rPr>
                <w:rFonts w:asciiTheme="minorHAnsi" w:hAnsiTheme="minorHAnsi"/>
                <w:sz w:val="18"/>
                <w:szCs w:val="18"/>
              </w:rPr>
              <w:t>MP</w:t>
            </w:r>
            <w:r w:rsidRPr="00BD59DB">
              <w:rPr>
                <w:rFonts w:asciiTheme="minorHAnsi" w:hAnsiTheme="minorHAnsi"/>
                <w:sz w:val="18"/>
                <w:szCs w:val="18"/>
              </w:rPr>
              <w:t>s consumption.</w:t>
            </w:r>
          </w:p>
          <w:p w14:paraId="29E70372" w14:textId="77777777" w:rsidR="00091CE5" w:rsidRPr="00BD59DB" w:rsidRDefault="00091CE5" w:rsidP="00091CE5">
            <w:pPr>
              <w:rPr>
                <w:rFonts w:asciiTheme="minorHAnsi" w:hAnsiTheme="minorHAnsi"/>
                <w:sz w:val="18"/>
                <w:szCs w:val="18"/>
              </w:rPr>
            </w:pPr>
          </w:p>
          <w:p w14:paraId="1E7BF5EC" w14:textId="77777777" w:rsidR="00091CE5" w:rsidRPr="00BD59DB" w:rsidRDefault="00091CE5" w:rsidP="00091CE5">
            <w:pPr>
              <w:rPr>
                <w:rFonts w:asciiTheme="minorHAnsi" w:hAnsiTheme="minorHAnsi"/>
                <w:i/>
                <w:iCs/>
                <w:sz w:val="18"/>
                <w:szCs w:val="18"/>
              </w:rPr>
            </w:pPr>
            <w:r w:rsidRPr="00BD59DB">
              <w:rPr>
                <w:rFonts w:asciiTheme="minorHAnsi" w:hAnsiTheme="minorHAnsi"/>
                <w:i/>
                <w:iCs/>
                <w:sz w:val="18"/>
                <w:szCs w:val="18"/>
              </w:rPr>
              <w:t>HR:</w:t>
            </w:r>
          </w:p>
          <w:p w14:paraId="1496197B" w14:textId="4C37D178" w:rsidR="00091CE5" w:rsidRPr="00BD59DB" w:rsidRDefault="00091CE5" w:rsidP="00091CE5">
            <w:pPr>
              <w:pStyle w:val="ListParagraph"/>
              <w:numPr>
                <w:ilvl w:val="0"/>
                <w:numId w:val="1"/>
              </w:numPr>
              <w:ind w:left="456" w:hanging="426"/>
              <w:rPr>
                <w:rFonts w:asciiTheme="minorHAnsi" w:hAnsiTheme="minorHAnsi"/>
                <w:sz w:val="18"/>
                <w:szCs w:val="18"/>
              </w:rPr>
            </w:pPr>
            <w:r w:rsidRPr="00BD59DB">
              <w:rPr>
                <w:rFonts w:asciiTheme="minorHAnsi" w:hAnsiTheme="minorHAnsi"/>
                <w:sz w:val="18"/>
                <w:szCs w:val="18"/>
              </w:rPr>
              <w:t xml:space="preserve">EPR: Using undiscounted average comparable price of 100% for originator </w:t>
            </w:r>
            <w:r w:rsidR="0013336A">
              <w:rPr>
                <w:rFonts w:asciiTheme="minorHAnsi" w:hAnsiTheme="minorHAnsi"/>
                <w:sz w:val="18"/>
                <w:szCs w:val="18"/>
              </w:rPr>
              <w:t>MP</w:t>
            </w:r>
            <w:r w:rsidRPr="00BD59DB">
              <w:rPr>
                <w:rFonts w:asciiTheme="minorHAnsi" w:hAnsiTheme="minorHAnsi"/>
                <w:sz w:val="18"/>
                <w:szCs w:val="18"/>
              </w:rPr>
              <w:t xml:space="preserve">s enables fair market competition based on such price. </w:t>
            </w:r>
          </w:p>
          <w:p w14:paraId="5D5C46BE" w14:textId="77777777" w:rsidR="00091CE5" w:rsidRPr="00BD59DB" w:rsidRDefault="00091CE5" w:rsidP="00091CE5">
            <w:pPr>
              <w:rPr>
                <w:rFonts w:asciiTheme="minorHAnsi" w:hAnsiTheme="minorHAnsi"/>
                <w:sz w:val="18"/>
                <w:szCs w:val="18"/>
              </w:rPr>
            </w:pPr>
          </w:p>
          <w:p w14:paraId="3812D6AB" w14:textId="77777777" w:rsidR="00091CE5" w:rsidRPr="00BD59DB" w:rsidRDefault="00091CE5" w:rsidP="00091CE5">
            <w:pPr>
              <w:rPr>
                <w:rFonts w:asciiTheme="minorHAnsi" w:hAnsiTheme="minorHAnsi"/>
                <w:i/>
                <w:iCs/>
                <w:sz w:val="18"/>
                <w:szCs w:val="18"/>
              </w:rPr>
            </w:pPr>
            <w:r w:rsidRPr="00BD59DB">
              <w:rPr>
                <w:rFonts w:asciiTheme="minorHAnsi" w:hAnsiTheme="minorHAnsi"/>
                <w:i/>
                <w:iCs/>
                <w:sz w:val="18"/>
                <w:szCs w:val="18"/>
              </w:rPr>
              <w:t>NZ:</w:t>
            </w:r>
          </w:p>
          <w:p w14:paraId="5760D497" w14:textId="2F842B41" w:rsidR="00091CE5" w:rsidRPr="00BD59DB" w:rsidRDefault="00091CE5" w:rsidP="00091CE5">
            <w:pPr>
              <w:pStyle w:val="ListParagraph"/>
              <w:numPr>
                <w:ilvl w:val="0"/>
                <w:numId w:val="1"/>
              </w:numPr>
              <w:ind w:left="456" w:hanging="426"/>
              <w:rPr>
                <w:rFonts w:asciiTheme="minorHAnsi" w:hAnsiTheme="minorHAnsi"/>
                <w:sz w:val="16"/>
                <w:szCs w:val="16"/>
              </w:rPr>
            </w:pPr>
            <w:r w:rsidRPr="00BD59DB">
              <w:rPr>
                <w:rFonts w:asciiTheme="minorHAnsi" w:hAnsiTheme="minorHAnsi"/>
                <w:sz w:val="18"/>
                <w:szCs w:val="18"/>
              </w:rPr>
              <w:t>IPR: allows for potential formation of cross-product agreements (manufacturer will agree to lower price of another product within a reference group, thus lowering reimbursement price for that group, in exchange for coverage for a new product).</w:t>
            </w:r>
          </w:p>
        </w:tc>
        <w:tc>
          <w:tcPr>
            <w:tcW w:w="2896" w:type="dxa"/>
          </w:tcPr>
          <w:p w14:paraId="38C8989F" w14:textId="77777777" w:rsidR="00091CE5" w:rsidRPr="006A2D59" w:rsidRDefault="00091CE5" w:rsidP="00091CE5">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lastRenderedPageBreak/>
              <w:t>Acceptability:</w:t>
            </w:r>
          </w:p>
          <w:p w14:paraId="15D7D62F" w14:textId="77777777" w:rsidR="00091CE5" w:rsidRPr="00585DF6" w:rsidRDefault="00091CE5" w:rsidP="00091CE5">
            <w:pPr>
              <w:rPr>
                <w:rFonts w:asciiTheme="minorHAnsi" w:hAnsiTheme="minorHAnsi"/>
                <w:i/>
                <w:iCs/>
                <w:sz w:val="18"/>
                <w:szCs w:val="18"/>
              </w:rPr>
            </w:pPr>
            <w:r w:rsidRPr="00585DF6">
              <w:rPr>
                <w:rFonts w:asciiTheme="minorHAnsi" w:hAnsiTheme="minorHAnsi"/>
                <w:i/>
                <w:iCs/>
                <w:sz w:val="18"/>
                <w:szCs w:val="18"/>
              </w:rPr>
              <w:t>General:</w:t>
            </w:r>
          </w:p>
          <w:p w14:paraId="14408146" w14:textId="77777777" w:rsidR="00091CE5" w:rsidRPr="00585DF6" w:rsidRDefault="00091CE5" w:rsidP="00091CE5">
            <w:pPr>
              <w:pStyle w:val="ListParagraph"/>
              <w:numPr>
                <w:ilvl w:val="0"/>
                <w:numId w:val="1"/>
              </w:numPr>
              <w:ind w:left="331" w:hanging="284"/>
              <w:rPr>
                <w:rFonts w:asciiTheme="minorHAnsi" w:hAnsiTheme="minorHAnsi"/>
                <w:sz w:val="18"/>
                <w:szCs w:val="18"/>
              </w:rPr>
            </w:pPr>
            <w:r w:rsidRPr="00585DF6">
              <w:rPr>
                <w:rFonts w:asciiTheme="minorHAnsi" w:hAnsiTheme="minorHAnsi"/>
                <w:sz w:val="18"/>
                <w:szCs w:val="18"/>
              </w:rPr>
              <w:t>EPR is a widely accepted and commonly applied cost-containment tool.</w:t>
            </w:r>
          </w:p>
          <w:p w14:paraId="09AC16C0" w14:textId="77777777" w:rsidR="00091CE5" w:rsidRPr="00585DF6" w:rsidRDefault="00091CE5" w:rsidP="00091CE5">
            <w:pPr>
              <w:pStyle w:val="ListParagraph"/>
              <w:numPr>
                <w:ilvl w:val="0"/>
                <w:numId w:val="1"/>
              </w:numPr>
              <w:ind w:left="331" w:hanging="284"/>
              <w:rPr>
                <w:rFonts w:asciiTheme="minorHAnsi" w:hAnsiTheme="minorHAnsi"/>
                <w:sz w:val="18"/>
                <w:szCs w:val="18"/>
              </w:rPr>
            </w:pPr>
            <w:r w:rsidRPr="00585DF6">
              <w:rPr>
                <w:rFonts w:asciiTheme="minorHAnsi" w:hAnsiTheme="minorHAnsi"/>
                <w:sz w:val="18"/>
                <w:szCs w:val="18"/>
              </w:rPr>
              <w:t>EPR providing an indication of ‘benchmark’ prices is considered major benefit by several policy-makers.</w:t>
            </w:r>
          </w:p>
          <w:p w14:paraId="29F17FB2" w14:textId="77777777" w:rsidR="00091CE5" w:rsidRPr="00585DF6" w:rsidRDefault="00091CE5" w:rsidP="00091CE5">
            <w:pPr>
              <w:pStyle w:val="ListParagraph"/>
              <w:numPr>
                <w:ilvl w:val="0"/>
                <w:numId w:val="1"/>
              </w:numPr>
              <w:ind w:left="331" w:hanging="284"/>
              <w:rPr>
                <w:rFonts w:asciiTheme="minorHAnsi" w:hAnsiTheme="minorHAnsi"/>
                <w:sz w:val="18"/>
                <w:szCs w:val="18"/>
              </w:rPr>
            </w:pPr>
            <w:r w:rsidRPr="00585DF6">
              <w:rPr>
                <w:rFonts w:asciiTheme="minorHAnsi" w:hAnsiTheme="minorHAnsi"/>
                <w:sz w:val="18"/>
                <w:szCs w:val="18"/>
              </w:rPr>
              <w:t>EPR: popular starting point for further price negotiations.</w:t>
            </w:r>
          </w:p>
          <w:p w14:paraId="30BC8F21" w14:textId="77777777" w:rsidR="00091CE5" w:rsidRPr="00585DF6" w:rsidRDefault="00091CE5" w:rsidP="00091CE5">
            <w:pPr>
              <w:pStyle w:val="ListParagraph"/>
              <w:numPr>
                <w:ilvl w:val="0"/>
                <w:numId w:val="1"/>
              </w:numPr>
              <w:ind w:left="331" w:hanging="284"/>
              <w:rPr>
                <w:rFonts w:asciiTheme="minorHAnsi" w:hAnsiTheme="minorHAnsi"/>
                <w:sz w:val="18"/>
                <w:szCs w:val="18"/>
              </w:rPr>
            </w:pPr>
            <w:r w:rsidRPr="00585DF6">
              <w:rPr>
                <w:rFonts w:asciiTheme="minorHAnsi" w:hAnsiTheme="minorHAnsi"/>
                <w:sz w:val="18"/>
                <w:szCs w:val="18"/>
              </w:rPr>
              <w:t>EPR: inequity between high- and low-GDP countries resulting from EPR regulations considered unacceptable.</w:t>
            </w:r>
          </w:p>
          <w:p w14:paraId="4CCBB90F" w14:textId="77777777" w:rsidR="00091CE5" w:rsidRPr="00585DF6" w:rsidRDefault="00091CE5" w:rsidP="00091CE5">
            <w:pPr>
              <w:ind w:left="331" w:hanging="284"/>
              <w:rPr>
                <w:rFonts w:asciiTheme="minorHAnsi" w:hAnsiTheme="minorHAnsi"/>
                <w:sz w:val="18"/>
                <w:szCs w:val="18"/>
              </w:rPr>
            </w:pPr>
          </w:p>
          <w:p w14:paraId="3E8746A5" w14:textId="77777777" w:rsidR="00091CE5" w:rsidRPr="00585DF6" w:rsidRDefault="00091CE5" w:rsidP="00091CE5">
            <w:pPr>
              <w:rPr>
                <w:rFonts w:asciiTheme="minorHAnsi" w:hAnsiTheme="minorHAnsi"/>
                <w:i/>
                <w:iCs/>
                <w:sz w:val="18"/>
                <w:szCs w:val="18"/>
              </w:rPr>
            </w:pPr>
            <w:r w:rsidRPr="00585DF6">
              <w:rPr>
                <w:rFonts w:asciiTheme="minorHAnsi" w:hAnsiTheme="minorHAnsi"/>
                <w:i/>
                <w:iCs/>
                <w:sz w:val="18"/>
                <w:szCs w:val="18"/>
              </w:rPr>
              <w:t>HR:</w:t>
            </w:r>
          </w:p>
          <w:p w14:paraId="7BA0889E" w14:textId="694F351F" w:rsidR="00091CE5" w:rsidRPr="00585DF6" w:rsidRDefault="00091CE5" w:rsidP="00091CE5">
            <w:pPr>
              <w:pStyle w:val="ListParagraph"/>
              <w:numPr>
                <w:ilvl w:val="0"/>
                <w:numId w:val="1"/>
              </w:numPr>
              <w:ind w:left="331" w:hanging="284"/>
              <w:rPr>
                <w:sz w:val="18"/>
                <w:szCs w:val="18"/>
              </w:rPr>
            </w:pPr>
            <w:r w:rsidRPr="00585DF6">
              <w:rPr>
                <w:rFonts w:asciiTheme="minorHAnsi" w:hAnsiTheme="minorHAnsi"/>
                <w:sz w:val="18"/>
                <w:szCs w:val="18"/>
              </w:rPr>
              <w:t xml:space="preserve">EPR: Price calculation for new </w:t>
            </w:r>
            <w:r w:rsidR="00402A99">
              <w:rPr>
                <w:rFonts w:asciiTheme="minorHAnsi" w:hAnsiTheme="minorHAnsi"/>
                <w:sz w:val="18"/>
                <w:szCs w:val="18"/>
              </w:rPr>
              <w:t>MP</w:t>
            </w:r>
            <w:r w:rsidRPr="00585DF6">
              <w:rPr>
                <w:rFonts w:asciiTheme="minorHAnsi" w:hAnsiTheme="minorHAnsi"/>
                <w:sz w:val="18"/>
                <w:szCs w:val="18"/>
              </w:rPr>
              <w:t>s appears acceptable to all key stakeholder groups.</w:t>
            </w:r>
          </w:p>
          <w:p w14:paraId="2EFD9E22" w14:textId="77777777" w:rsidR="00091CE5" w:rsidRPr="00585DF6" w:rsidRDefault="00091CE5" w:rsidP="00091CE5">
            <w:pPr>
              <w:pStyle w:val="Table"/>
              <w:ind w:left="287"/>
            </w:pPr>
          </w:p>
          <w:p w14:paraId="58A5FDD9" w14:textId="77777777" w:rsidR="00091CE5" w:rsidRPr="006A2D59" w:rsidRDefault="00091CE5" w:rsidP="00091CE5">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Resource use:</w:t>
            </w:r>
          </w:p>
          <w:p w14:paraId="18325CD5" w14:textId="77777777" w:rsidR="00091CE5" w:rsidRPr="00DB0761" w:rsidRDefault="00091CE5" w:rsidP="00091CE5">
            <w:pPr>
              <w:rPr>
                <w:rFonts w:asciiTheme="minorHAnsi" w:hAnsiTheme="minorHAnsi"/>
                <w:i/>
                <w:iCs/>
                <w:sz w:val="18"/>
                <w:szCs w:val="18"/>
              </w:rPr>
            </w:pPr>
            <w:r w:rsidRPr="00DB0761">
              <w:rPr>
                <w:rFonts w:asciiTheme="minorHAnsi" w:hAnsiTheme="minorHAnsi"/>
                <w:i/>
                <w:iCs/>
                <w:sz w:val="18"/>
                <w:szCs w:val="18"/>
              </w:rPr>
              <w:t>General:</w:t>
            </w:r>
          </w:p>
          <w:p w14:paraId="5F20248E" w14:textId="3EEA2B72" w:rsidR="00091CE5" w:rsidRPr="00DB0761" w:rsidRDefault="00091CE5" w:rsidP="00091CE5">
            <w:pPr>
              <w:pStyle w:val="ListParagraph"/>
              <w:numPr>
                <w:ilvl w:val="0"/>
                <w:numId w:val="1"/>
              </w:numPr>
              <w:ind w:left="331" w:hanging="284"/>
              <w:rPr>
                <w:rFonts w:asciiTheme="minorHAnsi" w:hAnsiTheme="minorHAnsi"/>
                <w:sz w:val="18"/>
                <w:szCs w:val="18"/>
              </w:rPr>
            </w:pPr>
            <w:r w:rsidRPr="00DB0761">
              <w:rPr>
                <w:rFonts w:asciiTheme="minorHAnsi" w:hAnsiTheme="minorHAnsi"/>
                <w:sz w:val="18"/>
                <w:szCs w:val="18"/>
              </w:rPr>
              <w:lastRenderedPageBreak/>
              <w:t xml:space="preserve">EPR: technically and administratively more complex process than </w:t>
            </w:r>
            <w:r>
              <w:rPr>
                <w:rFonts w:asciiTheme="minorHAnsi" w:hAnsiTheme="minorHAnsi"/>
                <w:sz w:val="18"/>
                <w:szCs w:val="18"/>
              </w:rPr>
              <w:t>VIP</w:t>
            </w:r>
            <w:r w:rsidRPr="00DB0761">
              <w:rPr>
                <w:rFonts w:asciiTheme="minorHAnsi" w:hAnsiTheme="minorHAnsi"/>
                <w:sz w:val="18"/>
                <w:szCs w:val="18"/>
              </w:rPr>
              <w:t>, requires large amounts of price data.</w:t>
            </w:r>
          </w:p>
          <w:p w14:paraId="20E31573" w14:textId="6F2738DE" w:rsidR="00091CE5" w:rsidRPr="00DB0761" w:rsidRDefault="00091CE5" w:rsidP="00091CE5">
            <w:pPr>
              <w:pStyle w:val="ListParagraph"/>
              <w:numPr>
                <w:ilvl w:val="0"/>
                <w:numId w:val="1"/>
              </w:numPr>
              <w:ind w:left="331" w:hanging="284"/>
              <w:rPr>
                <w:sz w:val="18"/>
                <w:szCs w:val="18"/>
              </w:rPr>
            </w:pPr>
            <w:r w:rsidRPr="00DB0761">
              <w:rPr>
                <w:rFonts w:asciiTheme="minorHAnsi" w:hAnsiTheme="minorHAnsi"/>
                <w:sz w:val="18"/>
                <w:szCs w:val="18"/>
              </w:rPr>
              <w:t>EPR: Cost- and time-intensive in application.</w:t>
            </w:r>
          </w:p>
          <w:p w14:paraId="7A2B2911" w14:textId="77777777" w:rsidR="00091CE5" w:rsidRPr="00DB0761" w:rsidRDefault="00091CE5" w:rsidP="00091CE5">
            <w:pPr>
              <w:pStyle w:val="Table"/>
              <w:ind w:left="287"/>
            </w:pPr>
          </w:p>
          <w:p w14:paraId="42BAA755" w14:textId="77777777" w:rsidR="00091CE5" w:rsidRPr="006A2D59" w:rsidRDefault="00091CE5" w:rsidP="00091CE5">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Feasibility:</w:t>
            </w:r>
          </w:p>
          <w:p w14:paraId="68AFCC92" w14:textId="77777777" w:rsidR="00091CE5" w:rsidRPr="00D922B3" w:rsidRDefault="00091CE5" w:rsidP="00091CE5">
            <w:pPr>
              <w:rPr>
                <w:rFonts w:asciiTheme="minorHAnsi" w:hAnsiTheme="minorHAnsi"/>
                <w:i/>
                <w:iCs/>
                <w:sz w:val="18"/>
                <w:szCs w:val="18"/>
              </w:rPr>
            </w:pPr>
            <w:r w:rsidRPr="00D922B3">
              <w:rPr>
                <w:rFonts w:asciiTheme="minorHAnsi" w:hAnsiTheme="minorHAnsi"/>
                <w:i/>
                <w:iCs/>
                <w:sz w:val="18"/>
                <w:szCs w:val="18"/>
              </w:rPr>
              <w:t>General:</w:t>
            </w:r>
          </w:p>
          <w:p w14:paraId="3B47E56A" w14:textId="05F203C8" w:rsidR="00091CE5" w:rsidRPr="00D922B3" w:rsidRDefault="00091CE5" w:rsidP="00091CE5">
            <w:pPr>
              <w:pStyle w:val="ListParagraph"/>
              <w:numPr>
                <w:ilvl w:val="0"/>
                <w:numId w:val="1"/>
              </w:numPr>
              <w:ind w:left="331" w:hanging="284"/>
              <w:rPr>
                <w:rFonts w:asciiTheme="minorHAnsi" w:hAnsiTheme="minorHAnsi"/>
                <w:sz w:val="18"/>
                <w:szCs w:val="18"/>
              </w:rPr>
            </w:pPr>
            <w:r w:rsidRPr="00D922B3">
              <w:rPr>
                <w:rFonts w:asciiTheme="minorHAnsi" w:hAnsiTheme="minorHAnsi"/>
                <w:sz w:val="18"/>
                <w:szCs w:val="18"/>
              </w:rPr>
              <w:t xml:space="preserve">EPR: difficult to implement, due to lack of available information on </w:t>
            </w:r>
            <w:r w:rsidR="0013336A">
              <w:rPr>
                <w:rFonts w:asciiTheme="minorHAnsi" w:hAnsiTheme="minorHAnsi"/>
                <w:sz w:val="18"/>
                <w:szCs w:val="18"/>
              </w:rPr>
              <w:t>MP</w:t>
            </w:r>
            <w:r w:rsidRPr="00D922B3">
              <w:rPr>
                <w:rFonts w:asciiTheme="minorHAnsi" w:hAnsiTheme="minorHAnsi"/>
                <w:sz w:val="18"/>
                <w:szCs w:val="18"/>
              </w:rPr>
              <w:t>s’ prices: limited access, price heterogeneity, confidentiality of discounts/rebates, irregular price revisions, exchange rate volatility, price reductions are not automatically translated.</w:t>
            </w:r>
          </w:p>
          <w:p w14:paraId="5038EE52" w14:textId="32B5A2D4" w:rsidR="00091CE5" w:rsidRPr="00D922B3" w:rsidRDefault="00091CE5" w:rsidP="00091CE5">
            <w:pPr>
              <w:pStyle w:val="ListParagraph"/>
              <w:numPr>
                <w:ilvl w:val="0"/>
                <w:numId w:val="1"/>
              </w:numPr>
              <w:ind w:left="331" w:hanging="284"/>
              <w:rPr>
                <w:rFonts w:asciiTheme="minorHAnsi" w:hAnsiTheme="minorHAnsi"/>
                <w:sz w:val="18"/>
                <w:szCs w:val="18"/>
              </w:rPr>
            </w:pPr>
            <w:r w:rsidRPr="00D922B3">
              <w:rPr>
                <w:rFonts w:asciiTheme="minorHAnsi" w:hAnsiTheme="minorHAnsi"/>
                <w:sz w:val="18"/>
                <w:szCs w:val="18"/>
              </w:rPr>
              <w:t xml:space="preserve">EPR: does not require great investments in HTA and pharmaco-economics as would be the case for </w:t>
            </w:r>
            <w:r>
              <w:rPr>
                <w:rFonts w:asciiTheme="minorHAnsi" w:hAnsiTheme="minorHAnsi"/>
                <w:sz w:val="18"/>
                <w:szCs w:val="18"/>
              </w:rPr>
              <w:t>VIP</w:t>
            </w:r>
            <w:r w:rsidRPr="00D922B3">
              <w:rPr>
                <w:rFonts w:asciiTheme="minorHAnsi" w:hAnsiTheme="minorHAnsi"/>
                <w:sz w:val="18"/>
                <w:szCs w:val="18"/>
              </w:rPr>
              <w:t>.</w:t>
            </w:r>
          </w:p>
          <w:p w14:paraId="331B9F53" w14:textId="40D9119D" w:rsidR="00091CE5" w:rsidRPr="00D922B3" w:rsidRDefault="00091CE5" w:rsidP="00091CE5">
            <w:pPr>
              <w:pStyle w:val="ListParagraph"/>
              <w:numPr>
                <w:ilvl w:val="0"/>
                <w:numId w:val="1"/>
              </w:numPr>
              <w:ind w:left="331" w:hanging="284"/>
              <w:rPr>
                <w:rFonts w:asciiTheme="minorHAnsi" w:hAnsiTheme="minorHAnsi"/>
                <w:sz w:val="18"/>
                <w:szCs w:val="18"/>
              </w:rPr>
            </w:pPr>
            <w:r w:rsidRPr="00D922B3">
              <w:rPr>
                <w:rFonts w:asciiTheme="minorHAnsi" w:hAnsiTheme="minorHAnsi"/>
                <w:sz w:val="18"/>
                <w:szCs w:val="18"/>
              </w:rPr>
              <w:t xml:space="preserve">EPR: Identification of same </w:t>
            </w:r>
            <w:r w:rsidR="00402A99">
              <w:rPr>
                <w:rFonts w:asciiTheme="minorHAnsi" w:hAnsiTheme="minorHAnsi"/>
                <w:sz w:val="18"/>
                <w:szCs w:val="18"/>
              </w:rPr>
              <w:t>MP</w:t>
            </w:r>
            <w:r w:rsidRPr="00D922B3">
              <w:rPr>
                <w:rFonts w:asciiTheme="minorHAnsi" w:hAnsiTheme="minorHAnsi"/>
                <w:sz w:val="18"/>
                <w:szCs w:val="18"/>
              </w:rPr>
              <w:t xml:space="preserve"> in other countries can be challenging (different commercial names, formulations, dosages, pack sizes).</w:t>
            </w:r>
          </w:p>
          <w:p w14:paraId="45BBFD55" w14:textId="77777777" w:rsidR="00091CE5" w:rsidRPr="00D922B3" w:rsidRDefault="00091CE5" w:rsidP="00091CE5">
            <w:pPr>
              <w:pStyle w:val="ListParagraph"/>
              <w:numPr>
                <w:ilvl w:val="0"/>
                <w:numId w:val="1"/>
              </w:numPr>
              <w:ind w:left="331" w:hanging="284"/>
              <w:rPr>
                <w:rFonts w:asciiTheme="minorHAnsi" w:hAnsiTheme="minorHAnsi"/>
                <w:sz w:val="18"/>
                <w:szCs w:val="18"/>
              </w:rPr>
            </w:pPr>
            <w:r w:rsidRPr="00D922B3">
              <w:rPr>
                <w:rFonts w:asciiTheme="minorHAnsi" w:hAnsiTheme="minorHAnsi"/>
                <w:sz w:val="18"/>
                <w:szCs w:val="18"/>
              </w:rPr>
              <w:t>EPR: using ex-factory price is considered more suitable than wholesale price due to different distribution margins and tax rates across countries.</w:t>
            </w:r>
          </w:p>
          <w:p w14:paraId="57F278F9" w14:textId="77777777" w:rsidR="00091CE5" w:rsidRPr="00D922B3" w:rsidRDefault="00091CE5" w:rsidP="00091CE5">
            <w:pPr>
              <w:pStyle w:val="ListParagraph"/>
              <w:numPr>
                <w:ilvl w:val="0"/>
                <w:numId w:val="1"/>
              </w:numPr>
              <w:ind w:left="331" w:hanging="284"/>
              <w:rPr>
                <w:rFonts w:asciiTheme="minorHAnsi" w:hAnsiTheme="minorHAnsi"/>
                <w:sz w:val="18"/>
                <w:szCs w:val="18"/>
              </w:rPr>
            </w:pPr>
            <w:r w:rsidRPr="00D922B3">
              <w:rPr>
                <w:rFonts w:asciiTheme="minorHAnsi" w:hAnsiTheme="minorHAnsi"/>
                <w:sz w:val="18"/>
                <w:szCs w:val="18"/>
              </w:rPr>
              <w:t>EPR: described as inefficient approach to reducing prices when used in isolation.</w:t>
            </w:r>
          </w:p>
          <w:p w14:paraId="0C17D329" w14:textId="77777777" w:rsidR="00091CE5" w:rsidRPr="00D922B3" w:rsidRDefault="00091CE5" w:rsidP="00091CE5">
            <w:pPr>
              <w:rPr>
                <w:rFonts w:asciiTheme="minorHAnsi" w:hAnsiTheme="minorHAnsi"/>
                <w:sz w:val="18"/>
                <w:szCs w:val="18"/>
              </w:rPr>
            </w:pPr>
          </w:p>
          <w:p w14:paraId="090C7230" w14:textId="77777777" w:rsidR="00091CE5" w:rsidRPr="00D922B3" w:rsidRDefault="00091CE5" w:rsidP="00091CE5">
            <w:pPr>
              <w:rPr>
                <w:rFonts w:asciiTheme="minorHAnsi" w:hAnsiTheme="minorHAnsi"/>
                <w:i/>
                <w:iCs/>
                <w:sz w:val="18"/>
                <w:szCs w:val="18"/>
              </w:rPr>
            </w:pPr>
            <w:r w:rsidRPr="00D922B3">
              <w:rPr>
                <w:rFonts w:asciiTheme="minorHAnsi" w:hAnsiTheme="minorHAnsi"/>
                <w:i/>
                <w:iCs/>
                <w:sz w:val="18"/>
                <w:szCs w:val="18"/>
              </w:rPr>
              <w:t>BG:</w:t>
            </w:r>
          </w:p>
          <w:p w14:paraId="4DE85352" w14:textId="3D8547F2" w:rsidR="00091CE5" w:rsidRPr="006A2D59" w:rsidRDefault="00091CE5" w:rsidP="00091CE5">
            <w:pPr>
              <w:pStyle w:val="ListParagraph"/>
              <w:numPr>
                <w:ilvl w:val="0"/>
                <w:numId w:val="1"/>
              </w:numPr>
              <w:ind w:left="331" w:hanging="284"/>
              <w:rPr>
                <w:i/>
                <w:iCs/>
                <w:lang w:eastAsia="ja-JP"/>
              </w:rPr>
            </w:pPr>
            <w:r w:rsidRPr="00D922B3">
              <w:rPr>
                <w:rFonts w:asciiTheme="minorHAnsi" w:hAnsiTheme="minorHAnsi"/>
                <w:sz w:val="18"/>
                <w:szCs w:val="18"/>
              </w:rPr>
              <w:t>EPR: Workload for price revisions and their publication too large to keep up with the statutory terms</w:t>
            </w:r>
            <w:r w:rsidRPr="006A2D59">
              <w:t>.</w:t>
            </w:r>
          </w:p>
        </w:tc>
      </w:tr>
      <w:tr w:rsidR="00091CE5" w:rsidRPr="006A2D59" w14:paraId="2FD21C10" w14:textId="77777777" w:rsidTr="00D922B3">
        <w:tc>
          <w:tcPr>
            <w:tcW w:w="1529" w:type="dxa"/>
          </w:tcPr>
          <w:p w14:paraId="4E39BC5D" w14:textId="77777777" w:rsidR="00091CE5" w:rsidRPr="006A2D59" w:rsidRDefault="00091CE5" w:rsidP="00091CE5">
            <w:pPr>
              <w:pStyle w:val="Caption"/>
              <w:spacing w:after="0"/>
              <w:rPr>
                <w:rFonts w:ascii="Aptos" w:hAnsi="Aptos"/>
                <w:i w:val="0"/>
                <w:iCs w:val="0"/>
                <w:color w:val="auto"/>
                <w:lang w:val="en-GB" w:eastAsia="ja-JP"/>
              </w:rPr>
            </w:pPr>
            <w:r w:rsidRPr="006A2D59">
              <w:rPr>
                <w:rFonts w:ascii="Aptos" w:hAnsi="Aptos"/>
                <w:i w:val="0"/>
                <w:iCs w:val="0"/>
                <w:color w:val="auto"/>
                <w:lang w:val="en-GB" w:eastAsia="ja-JP"/>
              </w:rPr>
              <w:lastRenderedPageBreak/>
              <w:t>Cost-based pricing</w:t>
            </w:r>
          </w:p>
        </w:tc>
        <w:tc>
          <w:tcPr>
            <w:tcW w:w="2861" w:type="dxa"/>
          </w:tcPr>
          <w:p w14:paraId="17FC1E2B" w14:textId="0CAB4067" w:rsidR="00091CE5" w:rsidRPr="002F0287" w:rsidRDefault="002F0287" w:rsidP="00091CE5">
            <w:pPr>
              <w:pStyle w:val="Table"/>
              <w:rPr>
                <w:i/>
                <w:iCs/>
              </w:rPr>
            </w:pPr>
            <w:r w:rsidRPr="002F0287">
              <w:rPr>
                <w:rFonts w:cs="Times New Roman"/>
                <w:color w:val="2B579A"/>
                <w:shd w:val="clear" w:color="auto" w:fill="E6E6E6"/>
              </w:rPr>
              <w:fldChar w:fldCharType="begin"/>
            </w:r>
            <w:r w:rsidRPr="002F0287">
              <w:rPr>
                <w:rFonts w:cs="Times New Roman"/>
                <w:lang w:eastAsia="ja-JP"/>
              </w:rPr>
              <w:instrText xml:space="preserve"> ADDIN ZOTERO_ITEM CSL_CITATION {"citationID":"l8PTPfuv","properties":{"formattedCitation":"[101, 121, 122]","plainCitation":"[101, 121, 122]","noteIndex":0},"citationItems":[{"id":15790,"uris":["http://zotero.org/users/10480792/items/HMYFDCWI"],"itemData":{"id":15790,"type":"article-journal","abstract":"Background and objectives: Governments in Asia Pacific (APAC) are increasingly using pharmaceutical pricing strategies to contain rising healthcare costs. The objective of this narrative review is to discuss formal pricing strategies for reimbursed prescription medication in APAC, supported by relevant examples of implementation differences across countries. In the discussion section, we examine key advantages and disadvantages of each strategy. Methods: A narrative review of the peer-reviewed and grey literature was undertaken to retrieve information, including strategy definitions, practising countries, country-specific implementation considerations, and merits and demerits of each strategy. Results: Seven strategies (Internal Reference Pricing, External Reference Pricing, Special Pricing Agreements, Pharmacoeconomic Evaluation, Cost plus pricing, Price Maintenance Premium, and Tendering and negotiations) were identified as most commonly practised in APAC through the review process. Most countries use multiple strategies that differ in how they are implemented. Conclusion: APAC countries use multiple strategies simultaneously with varying implementation methods, including different formulae and sub-types of medication that a strategy applies to, whether the strategy is a mandate or guideline, and the extent of negotiations and transparency. Strategies are instituted partly with the aim of cost containment, and may also promote price stability, innovation, and increased access in the short and longer term. Abbreviations: APAC - Asia Pacific; WHO - World Health Organisation; IRP - Internal Reference Pricing; ERP - External Reference Pricing; SPA - Special Pricing Agreement; MES - Managed Entry Scheme; PVA - Price-Volume Agreement; RSA - Risk Sharing Agreement; NHIS - National Health Insurance System; PE - Pharmacoeconomic Evaluation; CEA - Cost-Effectiveness Analysis; QALY - Quality-adjusted Life Year; BIA - Budget Impact Analysis; PMP - Price Maintenance Premium; R&amp;D - Research &amp; Development.","archive_location":"31007877","container-title":"J Mark Access Health Policy","DOI":"10.1080/20016689.2019.1601060","ISSN":"2001-6689","issue":"1","page":"1601060","title":"Government pharmaceutical pricing strategies in the Asia-Pacific region: an overview","volume":"7","author":[{"family":"Verghese","given":"N. R."},{"family":"Barrenetxea","given":"J."},{"family":"Bhargava","given":"Y."},{"family":"Agrawal","given":"S."},{"family":"Finkelstein","given":"E. A."}],"issued":{"date-parts":[["2019"]]},"citation-key":"vergheseGovernmentPharmaceuticalPricing2019"}},{"id":15937,"uris":["http://zotero.org/users/10480792/items/392HKYPC"],"itemData":{"id":15937,"type":"report","abstract":"Pharmaceutical pricing policies are a set of written principles or requirements, agreed or adopted by a public institution (e.g. a government) or a group of purchasing organizations/individuals (e.g. health services), for managing the prices of pharmaceutical products. Governments in many countries have implemented pricing policies to ensure affordability of medicines to patients and healthcare systems.","genre":"Guideline","language":"en","source":"Zotero","title":"Systematic reviews for the update of the WHO Guideline on country pharmaceutical pricing policies","URL":"https://www.who.int/publications/i/item/9789240011892","author":[{"family":"Tordrup","given":"David"},{"family":"Ham","given":"Rianne","non-dropping-particle":"van den"},{"family":"Leopold","given":"Christine"},{"family":"Joosse","given":"Iris"},{"family":"Glanville","given":"Julie"},{"family":"Kotas","given":"Eleanor"},{"family":"Mantel-Teeuwisse","given":"Aukje"}],"issued":{"date-parts":[["2020",9,28]]},"citation-key":"tordrupSystematicReviewsUpdate2020"}},{"id":15954,"uris":["http://zotero.org/users/10480792/items/S6TXAX5E"],"itemData":{"id":15954,"type":"article-journal","abstract":"Japan is now the second largest pharmaceutical market in the world. As a unique population, it provides many opportunities for pharmaceutical companies to develop their businesses. However, the market is strictly regulated by the government, and drug prices are determined according to the rules in Japan. Nevertheless, no detailed empirical analyses have been conducted to clarify what opportunities may exist for pharmaceutical companies in the future. In the present article, we reviewed the pros and cons of the Japanese pharmaceutical market including related regulations, discussed our analyses of economic and regulatory science, and provided future perspectives on drug development and the pharmaceutical market in Japan. Specifically, we first clarified the Japanese pharmaceutical market profile using the publically available market database. Second, we reviewed the Japanese pharmaceutical pricing system, and found inconsistencies between the “pricing premium for the promotion of new drug development and the elimination/resolution of off-label use” and “repricing for market expansion” based on our literature review. Finally, we provided future perspectives on the pharmaceutical markets in Japan, as well as the direction of the research and development of new drugs.","archive":"Embase","container-title":"J Generic Med","DOI":"10.1177/1741134317737344","ISSN":"1741-7090 1741-1343","issue":"2","language":"English","page":"70-80","title":"The pharmaceutical market and drug development prognosis in Japan: Current and future perspectives according to pharmacological classes","volume":"14","author":[{"family":"Shibata","given":"S."},{"family":"Suzuki","given":"T."}],"issued":{"date-parts":[["2018"]]},"citation-key":"shibataPharmaceuticalMarketDrug2018"}}],"schema":"https://github.com/citation-style-language/schema/raw/master/csl-citation.json"} </w:instrText>
            </w:r>
            <w:r w:rsidRPr="002F0287">
              <w:rPr>
                <w:rFonts w:cs="Times New Roman"/>
                <w:color w:val="2B579A"/>
                <w:shd w:val="clear" w:color="auto" w:fill="E6E6E6"/>
              </w:rPr>
              <w:fldChar w:fldCharType="separate"/>
            </w:r>
            <w:r w:rsidRPr="002F0287">
              <w:rPr>
                <w:rFonts w:cs="Times New Roman"/>
                <w:noProof/>
                <w:lang w:eastAsia="ja-JP"/>
              </w:rPr>
              <w:t>[101, 121, 122]</w:t>
            </w:r>
            <w:r w:rsidRPr="002F0287">
              <w:rPr>
                <w:rFonts w:cs="Times New Roman"/>
                <w:color w:val="2B579A"/>
                <w:shd w:val="clear" w:color="auto" w:fill="E6E6E6"/>
              </w:rPr>
              <w:fldChar w:fldCharType="end"/>
            </w:r>
          </w:p>
        </w:tc>
        <w:tc>
          <w:tcPr>
            <w:tcW w:w="6662" w:type="dxa"/>
          </w:tcPr>
          <w:p w14:paraId="3E1E1E0E" w14:textId="77777777" w:rsidR="00091CE5" w:rsidRDefault="00091CE5" w:rsidP="00091CE5">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Affordability:</w:t>
            </w:r>
          </w:p>
          <w:p w14:paraId="541D549B" w14:textId="77777777" w:rsidR="00091CE5" w:rsidRPr="004834EE" w:rsidRDefault="00091CE5" w:rsidP="00091CE5">
            <w:pPr>
              <w:rPr>
                <w:rFonts w:asciiTheme="minorHAnsi" w:hAnsiTheme="minorHAnsi"/>
                <w:sz w:val="18"/>
                <w:szCs w:val="18"/>
              </w:rPr>
            </w:pPr>
            <w:r w:rsidRPr="004834EE">
              <w:rPr>
                <w:rFonts w:asciiTheme="minorHAnsi" w:hAnsiTheme="minorHAnsi"/>
                <w:i/>
                <w:iCs/>
                <w:sz w:val="18"/>
                <w:szCs w:val="18"/>
              </w:rPr>
              <w:t>General:</w:t>
            </w:r>
          </w:p>
          <w:p w14:paraId="323E3471" w14:textId="77777777" w:rsidR="00091CE5" w:rsidRPr="00CB2A52" w:rsidRDefault="00091CE5" w:rsidP="00091CE5">
            <w:pPr>
              <w:pStyle w:val="ListParagraph"/>
              <w:numPr>
                <w:ilvl w:val="0"/>
                <w:numId w:val="1"/>
              </w:numPr>
              <w:ind w:left="456" w:hanging="426"/>
              <w:rPr>
                <w:rFonts w:asciiTheme="minorHAnsi" w:hAnsiTheme="minorHAnsi"/>
                <w:sz w:val="18"/>
                <w:szCs w:val="18"/>
              </w:rPr>
            </w:pPr>
            <w:r w:rsidRPr="00CB2A52">
              <w:rPr>
                <w:rFonts w:asciiTheme="minorHAnsi" w:hAnsiTheme="minorHAnsi"/>
                <w:sz w:val="18"/>
                <w:szCs w:val="18"/>
              </w:rPr>
              <w:t>Helps protect patient populations with rare diseases from manufacturers dominating the market and wishing to charge monopoly prices.</w:t>
            </w:r>
          </w:p>
          <w:p w14:paraId="2473CF09" w14:textId="176EAC38" w:rsidR="00091CE5" w:rsidRPr="00CB2A52" w:rsidRDefault="00091CE5" w:rsidP="00091CE5">
            <w:pPr>
              <w:pStyle w:val="ListParagraph"/>
              <w:numPr>
                <w:ilvl w:val="0"/>
                <w:numId w:val="1"/>
              </w:numPr>
              <w:ind w:left="456" w:hanging="426"/>
              <w:rPr>
                <w:rFonts w:asciiTheme="minorHAnsi" w:hAnsiTheme="minorHAnsi"/>
                <w:sz w:val="18"/>
                <w:szCs w:val="18"/>
              </w:rPr>
            </w:pPr>
            <w:r w:rsidRPr="00CB2A52">
              <w:rPr>
                <w:rFonts w:asciiTheme="minorHAnsi" w:hAnsiTheme="minorHAnsi"/>
                <w:sz w:val="18"/>
                <w:szCs w:val="18"/>
              </w:rPr>
              <w:t>Empirical impact uncertain.</w:t>
            </w:r>
          </w:p>
          <w:p w14:paraId="09DA5ED8" w14:textId="77777777" w:rsidR="00091CE5" w:rsidRPr="006A2D59" w:rsidRDefault="00091CE5" w:rsidP="00091CE5">
            <w:pPr>
              <w:pStyle w:val="Caption"/>
              <w:spacing w:after="0"/>
              <w:rPr>
                <w:rFonts w:asciiTheme="minorHAnsi" w:hAnsiTheme="minorHAnsi"/>
                <w:b/>
                <w:bCs/>
                <w:i w:val="0"/>
                <w:iCs w:val="0"/>
                <w:color w:val="auto"/>
                <w:lang w:val="en-GB" w:eastAsia="ja-JP"/>
              </w:rPr>
            </w:pPr>
          </w:p>
          <w:p w14:paraId="19753E64" w14:textId="77777777" w:rsidR="00091CE5" w:rsidRPr="006A2D59" w:rsidRDefault="00091CE5" w:rsidP="00091CE5">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 xml:space="preserve">Availability: </w:t>
            </w:r>
          </w:p>
          <w:p w14:paraId="478523E8" w14:textId="77777777" w:rsidR="00091CE5" w:rsidRPr="006C5037" w:rsidRDefault="00091CE5" w:rsidP="00091CE5">
            <w:pPr>
              <w:pStyle w:val="Table"/>
              <w:rPr>
                <w:i/>
                <w:iCs/>
              </w:rPr>
            </w:pPr>
            <w:r w:rsidRPr="006C5037">
              <w:rPr>
                <w:i/>
                <w:iCs/>
              </w:rPr>
              <w:t>General:</w:t>
            </w:r>
          </w:p>
          <w:p w14:paraId="41E74577" w14:textId="680FF70A" w:rsidR="00091CE5" w:rsidRPr="006C5037" w:rsidRDefault="00091CE5" w:rsidP="00091CE5">
            <w:pPr>
              <w:pStyle w:val="ListParagraph"/>
              <w:numPr>
                <w:ilvl w:val="0"/>
                <w:numId w:val="1"/>
              </w:numPr>
              <w:ind w:left="456" w:hanging="426"/>
              <w:rPr>
                <w:rFonts w:ascii="Aptos" w:hAnsi="Aptos"/>
                <w:sz w:val="18"/>
                <w:szCs w:val="18"/>
              </w:rPr>
            </w:pPr>
            <w:r w:rsidRPr="006C5037">
              <w:rPr>
                <w:rFonts w:asciiTheme="minorHAnsi" w:hAnsiTheme="minorHAnsi"/>
                <w:sz w:val="18"/>
                <w:szCs w:val="18"/>
              </w:rPr>
              <w:t>Empirical</w:t>
            </w:r>
            <w:r w:rsidRPr="006C5037">
              <w:rPr>
                <w:rFonts w:ascii="Aptos" w:hAnsi="Aptos"/>
                <w:sz w:val="18"/>
                <w:szCs w:val="18"/>
              </w:rPr>
              <w:t xml:space="preserve"> effect uncertain.</w:t>
            </w:r>
          </w:p>
          <w:p w14:paraId="6060B67A" w14:textId="77777777" w:rsidR="00091CE5" w:rsidRPr="006A2D59" w:rsidRDefault="00091CE5" w:rsidP="00091CE5">
            <w:pPr>
              <w:pStyle w:val="Table"/>
              <w:ind w:left="287"/>
            </w:pPr>
          </w:p>
          <w:p w14:paraId="794554C3" w14:textId="77777777" w:rsidR="00091CE5" w:rsidRPr="006A2D59" w:rsidRDefault="00091CE5" w:rsidP="00091CE5">
            <w:pPr>
              <w:pStyle w:val="Caption"/>
              <w:spacing w:after="0"/>
              <w:rPr>
                <w:rFonts w:asciiTheme="minorHAnsi" w:hAnsiTheme="minorHAnsi"/>
                <w:i w:val="0"/>
                <w:iCs w:val="0"/>
                <w:color w:val="auto"/>
                <w:lang w:val="en-GB" w:eastAsia="ja-JP"/>
              </w:rPr>
            </w:pPr>
            <w:r w:rsidRPr="006A2D59">
              <w:rPr>
                <w:rFonts w:asciiTheme="minorHAnsi" w:hAnsiTheme="minorHAnsi"/>
                <w:b/>
                <w:bCs/>
                <w:i w:val="0"/>
                <w:iCs w:val="0"/>
                <w:color w:val="auto"/>
                <w:lang w:val="en-GB" w:eastAsia="ja-JP"/>
              </w:rPr>
              <w:t xml:space="preserve">Sustainability: </w:t>
            </w:r>
            <w:r w:rsidRPr="006A2D59">
              <w:rPr>
                <w:rFonts w:asciiTheme="minorHAnsi" w:hAnsiTheme="minorHAnsi"/>
                <w:i w:val="0"/>
                <w:iCs w:val="0"/>
                <w:color w:val="auto"/>
                <w:lang w:val="en-GB" w:eastAsia="ja-JP"/>
              </w:rPr>
              <w:t>NA</w:t>
            </w:r>
          </w:p>
          <w:p w14:paraId="73D1B300" w14:textId="77777777" w:rsidR="00091CE5" w:rsidRPr="006A2D59" w:rsidRDefault="00091CE5" w:rsidP="00091CE5">
            <w:pPr>
              <w:pStyle w:val="Caption"/>
              <w:spacing w:after="0"/>
              <w:rPr>
                <w:rFonts w:asciiTheme="minorHAnsi" w:hAnsiTheme="minorHAnsi"/>
                <w:b/>
                <w:bCs/>
                <w:i w:val="0"/>
                <w:iCs w:val="0"/>
                <w:color w:val="auto"/>
                <w:lang w:val="en-GB" w:eastAsia="ja-JP"/>
              </w:rPr>
            </w:pPr>
          </w:p>
          <w:p w14:paraId="4ECCF212" w14:textId="77777777" w:rsidR="00091CE5" w:rsidRPr="006A2D59" w:rsidRDefault="00091CE5" w:rsidP="00091CE5">
            <w:pPr>
              <w:pStyle w:val="Caption"/>
              <w:spacing w:after="0"/>
              <w:rPr>
                <w:rFonts w:asciiTheme="minorHAnsi" w:hAnsiTheme="minorHAnsi"/>
                <w:i w:val="0"/>
                <w:iCs w:val="0"/>
                <w:color w:val="auto"/>
                <w:lang w:val="en-GB" w:eastAsia="ja-JP"/>
              </w:rPr>
            </w:pPr>
            <w:r w:rsidRPr="006A2D59">
              <w:rPr>
                <w:rFonts w:asciiTheme="minorHAnsi" w:hAnsiTheme="minorHAnsi"/>
                <w:b/>
                <w:bCs/>
                <w:i w:val="0"/>
                <w:iCs w:val="0"/>
                <w:color w:val="auto"/>
                <w:lang w:val="en-GB" w:eastAsia="ja-JP"/>
              </w:rPr>
              <w:t xml:space="preserve">Equity: </w:t>
            </w:r>
            <w:r w:rsidRPr="006A2D59">
              <w:rPr>
                <w:rFonts w:asciiTheme="minorHAnsi" w:hAnsiTheme="minorHAnsi"/>
                <w:i w:val="0"/>
                <w:iCs w:val="0"/>
                <w:color w:val="auto"/>
                <w:lang w:val="en-GB" w:eastAsia="ja-JP"/>
              </w:rPr>
              <w:t>NA</w:t>
            </w:r>
          </w:p>
          <w:p w14:paraId="276F8C1C" w14:textId="77777777" w:rsidR="00091CE5" w:rsidRPr="006A2D59" w:rsidRDefault="00091CE5" w:rsidP="00091CE5">
            <w:pPr>
              <w:pStyle w:val="Caption"/>
              <w:spacing w:after="0"/>
              <w:rPr>
                <w:rFonts w:asciiTheme="minorHAnsi" w:hAnsiTheme="minorHAnsi"/>
                <w:b/>
                <w:bCs/>
                <w:i w:val="0"/>
                <w:iCs w:val="0"/>
                <w:color w:val="auto"/>
                <w:lang w:val="en-GB" w:eastAsia="ja-JP"/>
              </w:rPr>
            </w:pPr>
          </w:p>
          <w:p w14:paraId="7D5ED367" w14:textId="77777777" w:rsidR="00091CE5" w:rsidRPr="006A2D59" w:rsidRDefault="00091CE5" w:rsidP="00091CE5">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lastRenderedPageBreak/>
              <w:t>Other impacts:</w:t>
            </w:r>
          </w:p>
          <w:p w14:paraId="3F4D92B2" w14:textId="77777777" w:rsidR="00091CE5" w:rsidRPr="0055661C" w:rsidRDefault="00091CE5" w:rsidP="00091CE5">
            <w:pPr>
              <w:rPr>
                <w:rFonts w:asciiTheme="minorHAnsi" w:hAnsiTheme="minorHAnsi"/>
                <w:i/>
                <w:iCs/>
                <w:sz w:val="18"/>
                <w:szCs w:val="18"/>
              </w:rPr>
            </w:pPr>
            <w:r w:rsidRPr="0055661C">
              <w:rPr>
                <w:rFonts w:asciiTheme="minorHAnsi" w:hAnsiTheme="minorHAnsi"/>
                <w:i/>
                <w:iCs/>
                <w:sz w:val="18"/>
                <w:szCs w:val="18"/>
              </w:rPr>
              <w:t>General:</w:t>
            </w:r>
          </w:p>
          <w:p w14:paraId="39E11054" w14:textId="1E017EE6" w:rsidR="00091CE5" w:rsidRPr="006A2D59" w:rsidRDefault="00091CE5" w:rsidP="00091CE5">
            <w:pPr>
              <w:pStyle w:val="ListParagraph"/>
              <w:numPr>
                <w:ilvl w:val="0"/>
                <w:numId w:val="1"/>
              </w:numPr>
              <w:ind w:left="456" w:hanging="426"/>
            </w:pPr>
            <w:r w:rsidRPr="0055661C">
              <w:rPr>
                <w:rFonts w:asciiTheme="minorHAnsi" w:hAnsiTheme="minorHAnsi"/>
                <w:sz w:val="18"/>
                <w:szCs w:val="18"/>
              </w:rPr>
              <w:t>Costs of failed R&amp;D efforts might not be recovered, which could adversely influence investments</w:t>
            </w:r>
          </w:p>
        </w:tc>
        <w:tc>
          <w:tcPr>
            <w:tcW w:w="2896" w:type="dxa"/>
          </w:tcPr>
          <w:p w14:paraId="0A3C2E60" w14:textId="77777777" w:rsidR="00091CE5" w:rsidRPr="006A2D59" w:rsidRDefault="00091CE5" w:rsidP="00091CE5">
            <w:pPr>
              <w:pStyle w:val="Caption"/>
              <w:spacing w:after="0"/>
              <w:rPr>
                <w:rFonts w:asciiTheme="minorHAnsi" w:hAnsiTheme="minorHAnsi"/>
                <w:i w:val="0"/>
                <w:iCs w:val="0"/>
                <w:color w:val="auto"/>
                <w:lang w:val="en-GB" w:eastAsia="ja-JP"/>
              </w:rPr>
            </w:pPr>
            <w:r w:rsidRPr="006A2D59">
              <w:rPr>
                <w:rFonts w:asciiTheme="minorHAnsi" w:hAnsiTheme="minorHAnsi"/>
                <w:b/>
                <w:bCs/>
                <w:i w:val="0"/>
                <w:iCs w:val="0"/>
                <w:color w:val="auto"/>
                <w:lang w:val="en-GB" w:eastAsia="ja-JP"/>
              </w:rPr>
              <w:lastRenderedPageBreak/>
              <w:t xml:space="preserve">Acceptability: </w:t>
            </w:r>
            <w:r w:rsidRPr="006A2D59">
              <w:rPr>
                <w:rFonts w:asciiTheme="minorHAnsi" w:hAnsiTheme="minorHAnsi"/>
                <w:i w:val="0"/>
                <w:iCs w:val="0"/>
                <w:color w:val="auto"/>
                <w:lang w:val="en-GB" w:eastAsia="ja-JP"/>
              </w:rPr>
              <w:t>NA</w:t>
            </w:r>
          </w:p>
          <w:p w14:paraId="41CBD3C5" w14:textId="77777777" w:rsidR="00091CE5" w:rsidRPr="006A2D59" w:rsidRDefault="00091CE5" w:rsidP="00091CE5">
            <w:pPr>
              <w:pStyle w:val="Table"/>
              <w:ind w:left="287"/>
            </w:pPr>
          </w:p>
          <w:p w14:paraId="4387FD90" w14:textId="77777777" w:rsidR="00091CE5" w:rsidRPr="006A2D59" w:rsidRDefault="00091CE5" w:rsidP="00091CE5">
            <w:pPr>
              <w:pStyle w:val="Caption"/>
              <w:spacing w:after="0"/>
              <w:rPr>
                <w:rFonts w:asciiTheme="minorHAnsi" w:hAnsiTheme="minorHAnsi"/>
                <w:i w:val="0"/>
                <w:iCs w:val="0"/>
                <w:color w:val="auto"/>
                <w:lang w:val="en-GB" w:eastAsia="ja-JP"/>
              </w:rPr>
            </w:pPr>
            <w:r w:rsidRPr="006A2D59">
              <w:rPr>
                <w:rFonts w:asciiTheme="minorHAnsi" w:hAnsiTheme="minorHAnsi"/>
                <w:b/>
                <w:bCs/>
                <w:i w:val="0"/>
                <w:iCs w:val="0"/>
                <w:color w:val="auto"/>
                <w:lang w:val="en-GB" w:eastAsia="ja-JP"/>
              </w:rPr>
              <w:t xml:space="preserve">Resource use: </w:t>
            </w:r>
            <w:r w:rsidRPr="006A2D59">
              <w:rPr>
                <w:rFonts w:asciiTheme="minorHAnsi" w:hAnsiTheme="minorHAnsi"/>
                <w:i w:val="0"/>
                <w:iCs w:val="0"/>
                <w:color w:val="auto"/>
                <w:lang w:val="en-GB" w:eastAsia="ja-JP"/>
              </w:rPr>
              <w:t>NA</w:t>
            </w:r>
          </w:p>
          <w:p w14:paraId="531764B6" w14:textId="77777777" w:rsidR="00091CE5" w:rsidRPr="006A2D59" w:rsidRDefault="00091CE5" w:rsidP="00091CE5">
            <w:pPr>
              <w:pStyle w:val="Table"/>
              <w:ind w:left="287"/>
            </w:pPr>
          </w:p>
          <w:p w14:paraId="437F8D6F" w14:textId="77777777" w:rsidR="00091CE5" w:rsidRPr="006A2D59" w:rsidRDefault="00091CE5" w:rsidP="00091CE5">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Feasibility:</w:t>
            </w:r>
          </w:p>
          <w:p w14:paraId="16219769" w14:textId="77777777" w:rsidR="00091CE5" w:rsidRPr="009811D0" w:rsidRDefault="00091CE5" w:rsidP="00091CE5">
            <w:pPr>
              <w:rPr>
                <w:rFonts w:asciiTheme="minorHAnsi" w:hAnsiTheme="minorHAnsi"/>
                <w:i/>
                <w:iCs/>
                <w:sz w:val="18"/>
                <w:szCs w:val="18"/>
              </w:rPr>
            </w:pPr>
            <w:r w:rsidRPr="009811D0">
              <w:rPr>
                <w:rFonts w:asciiTheme="minorHAnsi" w:hAnsiTheme="minorHAnsi"/>
                <w:i/>
                <w:iCs/>
                <w:sz w:val="18"/>
                <w:szCs w:val="18"/>
              </w:rPr>
              <w:t>JP:</w:t>
            </w:r>
          </w:p>
          <w:p w14:paraId="0F61A3B5" w14:textId="21BA483A" w:rsidR="00091CE5" w:rsidRPr="006A2D59" w:rsidRDefault="00091CE5" w:rsidP="00091CE5">
            <w:pPr>
              <w:pStyle w:val="Table"/>
              <w:numPr>
                <w:ilvl w:val="0"/>
                <w:numId w:val="1"/>
              </w:numPr>
              <w:ind w:left="317" w:hanging="317"/>
            </w:pPr>
            <w:r w:rsidRPr="009811D0">
              <w:t>Calculation of manufacturer’s indirect expenses is subject to inevitable arbitrariness on part of manufacturer (overhead costs can increase depending on their intention).</w:t>
            </w:r>
          </w:p>
        </w:tc>
      </w:tr>
      <w:tr w:rsidR="002B2BAE" w:rsidRPr="006A2D59" w14:paraId="68589532" w14:textId="77777777" w:rsidTr="00D922B3">
        <w:tc>
          <w:tcPr>
            <w:tcW w:w="1529" w:type="dxa"/>
          </w:tcPr>
          <w:p w14:paraId="2A8B6C54" w14:textId="77777777" w:rsidR="002B2BAE" w:rsidRPr="006A2D59" w:rsidRDefault="002B2BAE" w:rsidP="002B2BAE">
            <w:pPr>
              <w:pStyle w:val="Caption"/>
              <w:spacing w:after="0"/>
              <w:rPr>
                <w:rFonts w:ascii="Aptos" w:hAnsi="Aptos"/>
                <w:i w:val="0"/>
                <w:iCs w:val="0"/>
                <w:color w:val="auto"/>
                <w:lang w:val="en-GB"/>
              </w:rPr>
            </w:pPr>
            <w:r w:rsidRPr="006A2D59">
              <w:rPr>
                <w:rFonts w:ascii="Aptos" w:hAnsi="Aptos"/>
                <w:i w:val="0"/>
                <w:iCs w:val="0"/>
                <w:color w:val="auto"/>
                <w:lang w:val="en-GB"/>
              </w:rPr>
              <w:t>Value-informed pricing</w:t>
            </w:r>
          </w:p>
        </w:tc>
        <w:tc>
          <w:tcPr>
            <w:tcW w:w="2861" w:type="dxa"/>
          </w:tcPr>
          <w:p w14:paraId="41C7962D" w14:textId="1CE84EB6" w:rsidR="002B2BAE" w:rsidRPr="002B2BAE" w:rsidRDefault="002B2BAE" w:rsidP="002B2BAE">
            <w:pPr>
              <w:pStyle w:val="Table"/>
            </w:pPr>
            <w:r w:rsidRPr="002B2BAE">
              <w:rPr>
                <w:rFonts w:cs="Times New Roman"/>
              </w:rPr>
              <w:fldChar w:fldCharType="begin"/>
            </w:r>
            <w:r w:rsidRPr="002B2BAE">
              <w:rPr>
                <w:rFonts w:cs="Times New Roman"/>
              </w:rPr>
              <w:instrText xml:space="preserve"> ADDIN ZOTERO_ITEM CSL_CITATION {"citationID":"SShaItse","properties":{"formattedCitation":"[12, 42\\uc0\\u8211{}45, 57, 58, 60, 72, 73, 96, 97, 103, 111, 128]","plainCitation":"[12, 42–45, 57, 58, 60, 72, 73, 96, 97, 103, 111, 128]","noteIndex":0},"citationItems":[{"id":4255,"uris":["http://zotero.org/users/10480792/items/NA5MRKXI"],"itemData":{"id":4255,"type":"article-journal","container-title":"Applied Health Economics and Health Policy","DOI":"10.1007/s40258-016-0300-z","ISSN":"1175-5652, 1179-1896","issue":"3","journalAbbreviation":"Appl Health Econ Health Policy","language":"en","page":"307-321","source":"DOI.org (Crossref)","title":"How Can Pricing and Reimbursement Policies Improve Affordable Access to Medicines? Lessons Learned from European Countries","title-short":"How Can Pricing and Reimbursement Policies Improve Affordable Access to Medicines?","volume":"15","author":[{"family":"Vogler","given":"Sabine"},{"family":"Paris","given":"Valérie"},{"family":"Ferrario","given":"Alessandra"},{"family":"Wirtz","given":"Veronika J."},{"family":"Joncheere","given":"Kees","non-dropping-particle":"de"},{"family":"Schneider","given":"Peter"},{"family":"Pedersen","given":"Hanne Bak"},{"family":"Dedet","given":"Guillaume"},{"family":"Babar","given":"Zaheer-Ud-Din"}],"issued":{"date-parts":[["2017",6]]},"citation-key":"voglerHowCanPricing2017"}},{"id":15778,"uris":["http://zotero.org/users/10480792/items/GSZH56HQ"],"itemData":{"id":15778,"type":"article-journal","abstract":"OBJECTIVES: To characterize at a global level the concept of therapeutic value (TV) and describe the experience of value-based pricing (VBP) policies in 6 reference countries. METHODS: We conducted a rapid review of the literature that addressed 2 exploratory research questions. A systematic and exhaustive search was carried out up to July 2018 in MEDLINE (Ovid), Embase, Scopus, and Web of Science. RESULTS: The concepts of TV and VBP are related; value frameworks for medicines should include social preferences, comparative effectiveness, safety, adoption viability, social impact, high quality of evidence, severity of illness, and innovation. The added therapeutic value (ATV) is the manner of measuring the therapeutic advantages of new medicines compared with existing ones in terms of comparative effectiveness and safety. There are variations in the mechanisms of reimbursement and drug pricing regulation between the countries of study. CONCLUSION: In a VBP system it is essential to establish the TV and ATV of a new medicine. Although there are no methodological guidelines for the implementation of VBP policies, the process implies from the beginning the definition of TV categories that will be included in the drug pricing and reimbursement systems. Agreements between the pharmaceutical industry and governments have become a useful tool as a negotiating mechanism in most countries. Copyright © 2020 ISPOR--The professional society for health economics and outcomes research. Published by Elsevier Inc. All rights reserved.","archive_location":"32688214","container-title":"Value Health Reg Issues","DOI":"10.1016/j.vhri.2019.11.008","ISSN":"2212-1102","page":"37-48","title":"International Experience in Therapeutic Value and Value-Based Pricing: A Rapid Review of the Literature","volume":"23","author":[{"family":"Prieto-Pinto","given":"L."},{"family":"Garzon-Orjuela","given":"N."},{"family":"Lasalvia","given":"P."},{"family":"Castaneda-Cardona","given":"C."},{"family":"Rosselli","given":"D."}],"issued":{"date-parts":[["2020",12]]},"citation-key":"prieto-pintoInternationalExperienceTherapeutic2020"}},{"id":15715,"uris":["http://zotero.org/users/10480792/items/UQ4VQU7E"],"itemData":{"id":15715,"type":"article-journal","abstract":"The United States relies primarily on market forces to determine prices for drugs, whereas most other industrialized countries use a variety of approaches to determine drug prices. Branded drug companies have patents and market exclusivity periods in most industrialized countries. During this period, pharmaceutical companies are allowed to set their list price as high as they prefer in the United States owing to the absence of government price control mechanisms that exist in other countries. Insured patients often pay a percentage of the list price, and cost sharing creates some pressure to lower the list price. Pharmacy benefit managers negotiate with drug companies for lower prices by offering the drug company favorable formulary placement and fewer utilization controls. However, these approaches appear to be less effective, compared with other countries' approaches to containing branded drug prices, because prices are substantially higher in the United States. Other industrialized countries employ various forms of rate setting and price regulation, such as external reference pricing, therapeutic valuation, and health technology assessment to determine the appropriate price.","archive_location":"31874070","container-title":"Annu Rev Public Health","DOI":"10.1146/annurev-publhealth-040119-094305","ISSN":"1545-2093","page":"499-512","title":"Comparative Approaches to Drug Pricing","volume":"41","author":[{"family":"Kang","given":"S. Y."},{"family":"Bai","given":"G."},{"family":"DiStefano","given":"M. J."},{"family":"Socal","given":"M. P."},{"family":"Yehia","given":"F."},{"family":"Anderson","given":"G. F."}],"issued":{"date-parts":[["2020",4]]},"citation-key":"kangComparativeApproachesDrug2020"}},{"id":15738,"uris":["http://zotero.org/users/10480792/items/D4L4G6AH"],"itemData":{"id":15738,"type":"article-journal","abstract":"This article compares the pharmaceutical pricing policies employed by public and private insurers in the United States with seven price and spending control strategies employed in the United Kingdom, France, and Germany. Differences between American and European policies explain why American pharmaceutical prices and per capita spending are higher than in European nations. The article then analyzes two recent bills as examples of significant American reform ideas-H.R. 3, the Elijah E. Cummings Lower Drug Costs Now Act (introduced in 2019) and the Build Back Better Act (BBBA, introduced in 2021)-and compares them with European cost control strategies. Key drug price provisions of the BBBA were incorporated into the recently enacted Inflation Reduction Act (IRA). H.R. 3 would have used an international (mostly European) price index to cap U.S. prices; the BBBA would cap Medicare prices at a discount from average U.S. market prices. Neither bill would employ the key cost control strategies that European nations do. Both bills would have significantly less impact on prices than legislation that employs European-style cost controls. This article proposes steps that Congress could take in line with European strategies to lower purchase prices and costs for patients. These measures would have to overcome political obstacles that currently stymie reform. Copyright © 2022 by Duke University Press.","archive_location":"35867553","container-title":"J Health Polit Policy Law","DOI":"10.1215/03616878-10041163","ISSN":"1527-1927","issue":"6","page":"755-778","title":"Assessing US Pharmaceutical Policy and Pricing Reform Legislation in Light of European Price and Cost Control Strategies","volume":"47","author":[{"family":"Rodwin","given":"M. A."}],"issued":{"date-parts":[["2022",12,1]]},"citation-key":"rodwinAssessingUSPharmaceutical2022"}},{"id":15728,"uris":["http://zotero.org/users/10480792/items/6ZU9G3R7"],"itemData":{"id":15728,"type":"article-journal","abstract":"To control pharmaceutical spending and improve access, the United States could adopt strategies similar to those introduced in Germany by the 2011 German Pharmaceutical Market Reorganization Act. In Germany, manufacturers sell new drugs immediately upon receiving marketing approval. During the first year, the German Federal Joint Committee assesses new drugs to determine their added medical benefit. It assigns them a score indicating their added benefit. New drugs comparable to drugs in a reference price group are assigned to that group and receive the same reimbursement, unless they are therapeutically superior. The National Association of Statutory Health Insurance Funds then negotiates with manufacturers the maximum reimbursement starting the 13th month, consistent with the drug's added benefit assessment and price caps in other European countries. In the absence of agreement, an arbitration board sets the price. Manufacturers accept the price resolution or exit the market. Thereafter, prices generally are not increased, even for inflation. US public and private insurers control prices in diverse ways, but typically obtain discounts by designating certain drugs as preferred and by restricting patient access or charging high copayment for nonpreferred drugs. This article draws 10 lessons for drug pricing reform in US federal programs and private insurance.","archive_location":"34668806","container-title":"Int J Health Serv","DOI":"10.1177/00207314211040948","ISSN":"1541-4469","issue":"1","page":"146-158","title":"German Pharmaceutical Pricing: Lessons for the United States","volume":"52","author":[{"family":"Rodwin","given":"M. A."},{"family":"Gerke","given":"S."}],"issued":{"date-parts":[["2022",1]]},"citation-key":"rodwinGermanPharmaceuticalPricing2022"}},{"id":15726,"uris":["http://zotero.org/users/10480792/items/6TK5UURX"],"itemData":{"id":15726,"type":"article-journal","abstract":"Worldwide spending on prescription drugs has increased dramatically in recent years. Although this increase has been particularly pronounced in the US, it remains largely unaddressed there. In Europe, however, different approaches to regulating drug prices have been implemented. Under the 2011 German Pharmaceutical Market Restructuring Act (Arzneimittelmarktneuordnungsgesetz, or AMNOG), for example, manufacturers freely set the prices of newly authorized drugs during their first year on the market. Benefit assessments are carried out during this year and then used in price negotiations between manufacturers and representatives of the country's statutory health insurers. Using data on fifty-seven anticancer drugs launched in Germany from 2002 to 2017, we found that implementation of AMNOG was associated with drug prices being more closely aligned with clinical benefit. Introducing price negotiations led to a 24.5 percent decrease in negotiated prices relative to launch prices. We did not find evidence that manufacturers responded by setting higher launch prices. AMNOG is an example of how government price negotiation can be designed to better align prices with clinical benefit without delaying patient access.","archive_location":"32634355","container-title":"Health Aff (Millwood)","DOI":"10.1377/hlthaff.2019.01122","ISSN":"1544-5208","issue":"7","page":"1185-1193","title":"Lessons From The Impact Of Price Regulation On The Pricing Of Anticancer Drugs In Germany","volume":"39","author":[{"family":"Lauenroth","given":"V. D."},{"family":"Kesselheim","given":"A. S."},{"family":"Sarpatwari","given":"A."},{"family":"Stern","given":"A. D."}],"issued":{"date-parts":[["2020"]]},"citation-key":"lauenrothLessonsImpactPrice2020"}},{"id":15718,"uris":["http://zotero.org/users/10480792/items/VXQ86UWS"],"itemData":{"id":15718,"type":"article-journal","abstract":"BACKGROUND: Payers and purchasers in the United States seek to moderate drug prices and align them with the incremental clinical benefit offered by individual medications; some policymakers have proposed linking U.S. prices to an index of prices paid in other nations. The German health care system resembles that of the United States in featuring multiple private payers but differs in featuring a highly coordinated process of comparative clinical assessment and price negotiations for drugs. OBJECTIVES: To (a) measure trends in prices paid for physician-administered drugs in Germany before and after the mandate for comparative effectiveness assessment and price negotiations in 2011 and (b) compare them with price trends for the same drugs in the United States. METHODS: This study observed trends in the prices paid for 80 physician-administered drugs, which account for approximately half of Medicare Part B drug spending. Quarterly data covering 2004-2018 were obtained for Germany from the Lauer-Taxe database, which contains net prices paid by all German payers. U.S. data were obtained from the Centers for Medicare &amp; Medicaid Services, which publishes net prices paid by private U.S. payers and the Medicare Part B program. These data contain the net prices actually paid after accounting for all discounts and rebates, not merely the manufacturer's list price. Statistical analyses were conducted with multivariable difference-in-differences regression methods. RESULTS: Before implementation in Germany of comparative effectiveness analysis and collective price negotiations, net U.S. prices for physician-administered drugs averaged 29.2% higher (95% CI = 26.6%-31.7) than those in Germany. After implementation of comparative effectiveness assessments and price negotiations in 2011, the divergence between U.S. and German prices increased another 28.9% (95% CI = 23.7%-34.3%). CONCLUSIONS: Commercial health insurers and Medicare pay significantly higher net prices for physician-administered drugs than do insurers in Germany, with the divergence growing after the mandate in Germany that new drugs be subject to comparative effectiveness assessment and collective price negotiations. The experience of Germany may be of special value for the current U.S. debate over pharmaceutical pricing reform, given the demographic, economic, and health system similarities between the 2 nations. DISCLOSURES: This study was supported by the Commonwealth Fund, New York. The sponsor had no role in the study design, conduct, interpretation, or writing up of results. Whaley reports a grant from the National Institute on Aging, unrelated to this work. The other authors have no potential conflicts of interest to report.","archive_location":"31778624","container-title":"J Manag Care Spec Pharm","DOI":"10.18553/jmcp.2019.25.12.1310","ISSN":"2376-1032","issue":"12","page":"1310-1317","title":"Increasing Divergence in Drug Prices Between the United States and Germany After Implementation of Comparative Effectiveness Analysis and Collective Price Negotiations","volume":"25","author":[{"family":"Berkemeier","given":"F."},{"family":"Whaley","given":"C."},{"family":"Robinson","given":"J. C."}],"issued":{"date-parts":[["2019",12]]},"citation-key":"berkemeierIncreasingDivergenceDrug2019"}},{"id":16207,"uris":["http://zotero.org/users/10480792/items/PTGNFMYY"],"itemData":{"id":16207,"type":"article-journal","abstract":"The 2011 German Pharmaceutical Market Restructuring Act subjected brand-name drugs for nonrare diseases to price regulation based on an assessment of their clinical benefit. Indication-specific assessment outcomes range from major added benefit to less benefit than the appropriate comparator(s) and affect price negotiations beyond the first year on the market. Using data on drugs that entered the market in the period 2012–16, we evaluated benefit assessment findings, subsequent drug exits, and their correlates. We considered 171 drug-indication pairs, corresponding to 138 different drugs. Of these, 66 drug-indication pairs (55 different drugs) were found to have added benefit. Almost all drugs with a positive benefit assessment (98 percent) remained on the market, while drugs without a positive benefit assessment were over ten times more likely to exit (25 percent versus 2 percent). US policy makers considering how to address rapidly increasing drug costs may draw valuable lessons from the German experience.","container-title":"Health Affairs","DOI":"10.1377/hlthaff.2018.05142","ISSN":"0278-2715, 1544-5208","issue":"7","journalAbbreviation":"Health Affairs","language":"en","page":"1182-1187","source":"DOI.org (Crossref)","title":"The Impact Of Price Regulation On The Availability Of New Drugs In Germany","volume":"38","author":[{"family":"Stern","given":"Ariel D."},{"family":"Pietrulla","given":"Felicitas"},{"family":"Herr","given":"Annika"},{"family":"Kesselheim","given":"Aaron S."},{"family":"Sarpatwari","given":"Ameet"}],"issued":{"date-parts":[["2019",7]]},"citation-key":"sternImpactPriceRegulation2019"}},{"id":15758,"uris":["http://zotero.org/users/10480792/items/BAX3LQBJ"],"itemData":{"id":15758,"type":"article-journal","abstract":"Value-based pricing (VBP) is well established in markets for common goods and services, but wide consensus on VBP for pharmaceuticals is lacking. In principle, VBP implies that prices are mainly driven by a drug's value (value for money) and that the impact on budget (sustainability) is a second-order driver of price regulation. Although the literature provides descriptive analyses on regulations governing medicine price negotiation, there are few insights on whether and how price negotiation regulations have been implemented. The goal of this article was to cover this information gap for 5 European countries and the United States. VBP has been applied according to two models: (1) direct models in which cost-effectiveness is a driver; and (2) indirect, multi-attribute models characterized by greater discretion on the integration between the different value domains and the evaluation of consistency between costs and value. In these models, cost-effectiveness is not a driver. In addition, it is hard to evaluate within these models the actual implementation of VBP. Identifying whether and how VBP is applied requires a clear predefined link between added value and the premium price, as well as transparency in the way added value is converted into a premium price. In general, for these countries, it remains difficult to determine whether pricing is mostly driven by value (value-for-money) or impact on budget (sustainability). In instances in which thresholds on the incremental cost-effectiveness ratio are used, it becomes easier to understand whether VBP has been implemented. If VBP relies on a multi-criteria approach, greater transparency on which criteria have been used to assess a new drug and how they have been converted into a reasonable price may help in understanding whether a value-based approach has been used. Copyright © 2019 Elsevier Inc. All rights reserved.","archive_location":"31882225","container-title":"Clin Ther","DOI":"10.1016/j.clinthera.2019.11.006","ISSN":"1879-114X","issue":"1","page":"15-24","title":"Implementation of Value-based Pricing for Medicines","volume":"42","author":[{"family":"Jommi","given":"C."},{"family":"Armeni","given":"P."},{"family":"Costa","given":"F."},{"family":"Bertolani","given":"A."},{"family":"Otto","given":"M."}],"issued":{"date-parts":[["2020",1]]},"citation-key":"jommiImplementationValuebasedPricing2020"}},{"id":16675,"uris":["http://zotero.org/users/10480792/items/X39QT5GN","http://zotero.org/users/10480792/items/E7D923E9"],"itemData":{"id":16675,"type":"article-journal","abstract":"Abstract\n            \n              Introduction\n              Since 2011, the prices for all new drugs in Germany are negotiated based on a benefit assessment. The purpose of this study was to analyze the price regulation of drugs with unproven additional benefit.\n            \n            \n              Methods\n              Benefit assessment procedures from 2011 to 2020 were reviewed and selected through AMNOG Monitor and Lauer Taxe. Negotiated annual therapy costs, the annual costs of the most cost-efficient appropriate comparative therapy (ACT) and the potential budget impact for 33 included procedures were calculated.\n            \n            \n              Results\n              55% of the included drugs achieved a negotiated price higher than the most cost-efficient ACT, 3% were identified as equal and 42% showed lower negotiated prices. The potential savings exceeded expenditures by around EUR 523.5 m. After price flexibility was adopted by the legislator in 2017, the overall potential savings still outweighed the expenditures by around EUR 62 m.\n            \n            \n              Conclusions\n              Our analysis shows that making price negotiations more flexible by law does not undermine the fundamental aim of the AMNOG, which is to avoid additional expenditure without increased patient benefit. The regulation can thus fulfill the objective provided by the legislature of keeping drugs without proven additional benefits in the German healthcare system.","container-title":"Health Economics, Policy and Law","DOI":"10.1017/S1744133123000117","ISSN":"1744-1331, 1744-134X","issue":"2","journalAbbreviation":"HEPL","language":"en","page":"216-233","source":"DOI.org (Crossref)","title":"Ten years of German benefit assessment: price analysis for drugs with unproven additional benefit","title-short":"Ten years of German benefit assessment","volume":"19","author":[{"family":"Kleining","given":"Katrin"},{"family":"Laufenberg","given":"Jan"},{"family":"Thrun","given":"Philip"},{"family":"Ehlert","given":"Dorothee"},{"family":"Wasem","given":"Jürgen"},{"family":"Bartol","given":"Arne"}],"issued":{"date-parts":[["2024",4]]},"citation-key":"kleiningTenYearsGerman2024"}},{"id":15735,"uris":["http://zotero.org/users/10480792/items/BCF2SUIU"],"itemData":{"id":15735,"type":"article-journal","archive_location":"32000577","container-title":"Int J Health Serv","DOI":"10.1177/0020731419897580","ISSN":"1541-4469","issue":"2","page":"156-165","title":"Pharmaceutical Price and Spending Controls in France: Lessons for the United States","volume":"50","author":[{"family":"Rodwin","given":"M. A."}],"issued":{"date-parts":[["2020"]]},"citation-key":"rodwinPharmaceuticalPriceSpending2020"}},{"id":15908,"uris":["http://zotero.org/users/10480792/items/IRRT6EYR"],"itemData":{"id":15908,"type":"article-journal","abstract":"Between 2000 and 2013, spending on medicines in Korea increased by 275.3%. In order to curb this trend, several pricing policies and measures were introduced. This study reviews these policies and their implications based on pricing regulations as well as a literature review. New medicines now undergo both a reimbursement assessment and price negotiations. The reimbursement of new medicines is based on their cost effectiveness. The prices of new medicines are subsequently fixed through negotiations between the payer, the National Health Insurance Service, and the relevant manufacturer. Generic drugs are automatically priced via a new standard methodology. Repricing mechanisms were complicated and now redundant. Simple and efficient measures rather than complex and inefficient measures are needed to maintain the value-for-money principle for new medicines as well as achieve financial efficiency through price competition among generic drugs.","archive_location":"28138932","container-title":"Appl Health Econ Health Policy","DOI":"10.1007/s40258-017-0307-0","ISSN":"1179-1896","issue":"4","page":"447-453","title":"Drug Pricing in South Korea","volume":"15","author":[{"family":"Kwon","given":"H. Y."},{"family":"Godman","given":"B."}],"issued":{"date-parts":[["2017",8]]},"citation-key":"kwonDrugPricingSouth2017"}},{"id":16196,"uris":["http://zotero.org/users/10480792/items/SXHKV85G"],"itemData":{"id":16196,"type":"article-journal","abstract":"An assessment of the impact of external reference pricing (ERP) systems on important health system goals such as availability, affordability and diffusion/utilisation of pharmaceuticals; and an analysis of the impact that ERP systems have at the domestic and international levels, particularly considering their likely spillover effects.","DOI":"10.21953/LSE.M0BLUQCV10G6","language":"en","note":"publisher: [object Object]","source":"DOI.org (Datacite)","title":"The Impact of External Reference Pricing within and across Countries","URL":"http://eprints.lse.ac.uk/id/eprint/84222","author":[{"family":"Kanavos","given":"Panos"},{"family":"Fontrier","given":"Anna-Maria"},{"family":"Gill","given":"Jennifer"},{"family":"Efthymiadou","given":"Olina"},{"family":"Boekstein","given":"Nicola"}],"accessed":{"date-parts":[["2024",3,27]]},"issued":{"date-parts":[["2017"]]},"citation-key":"kanavosImpactExternalReference2017"}},{"id":15813,"uris":["http://zotero.org/users/10480792/items/HESTSZVK"],"itemData":{"id":15813,"type":"article-journal","abstract":"Indication value-based pricing (IBP) has been proposed in the United States as a tool to capture the differential value of drugs across indications or patient groups and is in the early phases of implementation. In Europe, no major country has experimented with IBP or is seriously discussing its use. We assessed how the reimbursement and pricing environment allows for IBP in seven European countries, evaluating both incentives and hurdles. In price setting countries such as France and Germany, the Health Technology Assessment and pricing process already accounts for differences of value across indications. In countries where differential value drives coverage decisions such as the United Kingdom and Sweden, IBP is likely to be used, at least partially, but not in the short-term. Italy is already achieving some form of differential value through managed entry agreements, whereas in Spain the electronic prescription system provides the infrastructure necessary for IBP but other hurdles exist.","archive_location":"27226845","container-title":"J. Mark. Access Health Policy","DOI":"10.3402/jmahp.v4.30970","ISSN":"2001-6689","issue":"1","page":"30970","title":"Feasibility and attractiveness of indication value-based pricing in key EU countries","volume":"4","author":[{"family":"Flume","given":"M."},{"family":"Bardou","given":"M."},{"family":"Capri","given":"S."},{"family":"Sola-Morales","given":"O."},{"family":"Cunningham","given":"D."},{"family":"Levin","given":"L. A."},{"family":"Touchot","given":"N."}],"issued":{"date-parts":[["2016"]]},"citation-key":"flumeFeasibilityAttractivenessIndication2016"}},{"id":15784,"uris":["http://zotero.org/users/10480792/items/6HB5YYEB"],"itemData":{"id":15784,"type":"article-journal","abstract":"Many pharmaceuticals are effective in multiple indications and the degree of effectiveness may differ. A product-based pricing and reimbursement system with a single price per product is insufficient to reflect the variable values between different indications. The objective of this article is to present examples of actual pricing and reimbursement decisions using current value-based pricing in Sweden and to discuss their implications and possible solutions. The value of several cancer drugs was estimated for various indications based on a willingness-to-pay threshold of 1 million SEK (EUR 104,000) per QALY gained. For some drugs, the estimated value was higher than the drug acquisition cost in several indications, whilst in others, the estimated value was lower than the drug acquisition cost. Drugs used in combination present a special case. If a drug prolongs survival and consequently also a continued use of the anchor drug, the combination use may not be cost effective even at a zero price. In a product-based pricing and reimbursement system, patients may not get access to drugs or access may be delayed and manufacturers may be discouraged to invest in future indications. To overcome these issues, there are several approaches to link price and value. One approach is a \"weighted-average\" price based on an average of the value across all indications. Another is \"multi-indication pricing,\" which enables price differentiation between indications. However, there are several barriers for applying multi-indication pricing and reimbursement schemes. One barrier is the lack of existing administrative infrastructure to track patients' indications.","archive_location":"29470774","container-title":"Appl Health Econ Health Policy","DOI":"10.1007/s40258-018-0377-7","ISSN":"1179-1896","issue":"2","page":"157-165","title":"Multi-indication and Combination Pricing and Reimbursement of Pharmaceuticals: Opportunities for Improved Health Care through Faster Uptake of New Innovations","volume":"16","author":[{"family":"Persson","given":"U."},{"family":"Norlin","given":"J. M."}],"issued":{"date-parts":[["2018"]]},"citation-key":"perssonMultiindicationCombinationPricing2018"}}],"schema":"https://github.com/citation-style-language/schema/raw/master/csl-citation.json"} </w:instrText>
            </w:r>
            <w:r w:rsidRPr="002B2BAE">
              <w:rPr>
                <w:rFonts w:cs="Times New Roman"/>
              </w:rPr>
              <w:fldChar w:fldCharType="separate"/>
            </w:r>
            <w:r w:rsidRPr="002B2BAE">
              <w:rPr>
                <w:rFonts w:cs="Times New Roman"/>
              </w:rPr>
              <w:t>[12, 42–45, 57, 58, 60, 72, 73, 96, 97, 103, 111, 128]</w:t>
            </w:r>
            <w:r w:rsidRPr="002B2BAE">
              <w:rPr>
                <w:rFonts w:cs="Times New Roman"/>
              </w:rPr>
              <w:fldChar w:fldCharType="end"/>
            </w:r>
          </w:p>
        </w:tc>
        <w:tc>
          <w:tcPr>
            <w:tcW w:w="6662" w:type="dxa"/>
          </w:tcPr>
          <w:p w14:paraId="20D91703" w14:textId="77777777" w:rsidR="002B2BAE" w:rsidRPr="006A2D59" w:rsidRDefault="002B2BAE" w:rsidP="002B2BAE">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Affordability:</w:t>
            </w:r>
          </w:p>
          <w:p w14:paraId="34529E4F" w14:textId="77777777" w:rsidR="002B2BAE" w:rsidRPr="00842D22" w:rsidRDefault="002B2BAE" w:rsidP="002B2BAE">
            <w:pPr>
              <w:rPr>
                <w:rFonts w:asciiTheme="minorHAnsi" w:hAnsiTheme="minorHAnsi"/>
                <w:i/>
                <w:iCs/>
                <w:sz w:val="18"/>
                <w:szCs w:val="18"/>
              </w:rPr>
            </w:pPr>
            <w:r w:rsidRPr="00842D22">
              <w:rPr>
                <w:rFonts w:asciiTheme="minorHAnsi" w:hAnsiTheme="minorHAnsi"/>
                <w:i/>
                <w:iCs/>
                <w:sz w:val="18"/>
                <w:szCs w:val="18"/>
              </w:rPr>
              <w:t>DE:</w:t>
            </w:r>
          </w:p>
          <w:p w14:paraId="60900275" w14:textId="77777777" w:rsidR="002B2BAE" w:rsidRPr="00842D22" w:rsidRDefault="002B2BAE" w:rsidP="002B2BAE">
            <w:pPr>
              <w:pStyle w:val="ListParagraph"/>
              <w:numPr>
                <w:ilvl w:val="0"/>
                <w:numId w:val="1"/>
              </w:numPr>
              <w:ind w:left="456" w:hanging="426"/>
              <w:rPr>
                <w:rFonts w:asciiTheme="minorHAnsi" w:hAnsiTheme="minorHAnsi"/>
                <w:sz w:val="18"/>
                <w:szCs w:val="18"/>
              </w:rPr>
            </w:pPr>
            <w:r w:rsidRPr="00842D22">
              <w:rPr>
                <w:rFonts w:asciiTheme="minorHAnsi" w:hAnsiTheme="minorHAnsi"/>
                <w:sz w:val="18"/>
                <w:szCs w:val="18"/>
              </w:rPr>
              <w:t>AMNOG resulted in relative decrease in incremental treatment costs between launch and price negotiation (24.5%).</w:t>
            </w:r>
          </w:p>
          <w:p w14:paraId="0FBB2078" w14:textId="77777777" w:rsidR="002B2BAE" w:rsidRPr="00842D22" w:rsidRDefault="002B2BAE" w:rsidP="002B2BAE">
            <w:pPr>
              <w:pStyle w:val="ListParagraph"/>
              <w:numPr>
                <w:ilvl w:val="0"/>
                <w:numId w:val="1"/>
              </w:numPr>
              <w:ind w:left="456" w:hanging="426"/>
              <w:rPr>
                <w:rFonts w:asciiTheme="minorHAnsi" w:hAnsiTheme="minorHAnsi"/>
                <w:sz w:val="18"/>
                <w:szCs w:val="18"/>
              </w:rPr>
            </w:pPr>
            <w:r w:rsidRPr="00842D22">
              <w:rPr>
                <w:rFonts w:asciiTheme="minorHAnsi" w:hAnsiTheme="minorHAnsi"/>
                <w:sz w:val="18"/>
                <w:szCs w:val="18"/>
              </w:rPr>
              <w:t>Prices are among the highest among European countries, relatively low price levels.</w:t>
            </w:r>
          </w:p>
          <w:p w14:paraId="18D94688" w14:textId="77777777" w:rsidR="002B2BAE" w:rsidRPr="00842D22" w:rsidRDefault="002B2BAE" w:rsidP="002B2BAE">
            <w:pPr>
              <w:pStyle w:val="ListParagraph"/>
              <w:numPr>
                <w:ilvl w:val="0"/>
                <w:numId w:val="1"/>
              </w:numPr>
              <w:ind w:left="456" w:hanging="426"/>
              <w:rPr>
                <w:rFonts w:asciiTheme="minorHAnsi" w:hAnsiTheme="minorHAnsi"/>
                <w:sz w:val="18"/>
                <w:szCs w:val="18"/>
              </w:rPr>
            </w:pPr>
            <w:r w:rsidRPr="00842D22">
              <w:rPr>
                <w:rFonts w:asciiTheme="minorHAnsi" w:hAnsiTheme="minorHAnsi"/>
                <w:sz w:val="18"/>
                <w:szCs w:val="18"/>
              </w:rPr>
              <w:t>DE approach takes into account high- and low-value indications; perceived to be the best way to ensure affordability of novel therapies.</w:t>
            </w:r>
          </w:p>
          <w:p w14:paraId="627385F4" w14:textId="77777777" w:rsidR="002B2BAE" w:rsidRPr="00842D22" w:rsidRDefault="002B2BAE" w:rsidP="002B2BAE">
            <w:pPr>
              <w:rPr>
                <w:rFonts w:asciiTheme="minorHAnsi" w:hAnsiTheme="minorHAnsi"/>
                <w:i/>
                <w:iCs/>
                <w:sz w:val="18"/>
                <w:szCs w:val="18"/>
              </w:rPr>
            </w:pPr>
          </w:p>
          <w:p w14:paraId="04E6C47A" w14:textId="77777777" w:rsidR="002B2BAE" w:rsidRPr="00842D22" w:rsidRDefault="002B2BAE" w:rsidP="002B2BAE">
            <w:pPr>
              <w:rPr>
                <w:rFonts w:asciiTheme="minorHAnsi" w:hAnsiTheme="minorHAnsi"/>
                <w:i/>
                <w:iCs/>
                <w:sz w:val="18"/>
                <w:szCs w:val="18"/>
                <w:lang w:val="en-US"/>
              </w:rPr>
            </w:pPr>
            <w:r w:rsidRPr="00842D22">
              <w:rPr>
                <w:rFonts w:asciiTheme="minorHAnsi" w:hAnsiTheme="minorHAnsi"/>
                <w:i/>
                <w:iCs/>
                <w:sz w:val="18"/>
                <w:szCs w:val="18"/>
                <w:lang w:val="en-US"/>
              </w:rPr>
              <w:t>FR:</w:t>
            </w:r>
          </w:p>
          <w:p w14:paraId="240C1FD7" w14:textId="77777777" w:rsidR="002B2BAE" w:rsidRPr="00842D22" w:rsidRDefault="002B2BAE" w:rsidP="002B2BAE">
            <w:pPr>
              <w:pStyle w:val="ListParagraph"/>
              <w:numPr>
                <w:ilvl w:val="0"/>
                <w:numId w:val="1"/>
              </w:numPr>
              <w:ind w:left="456" w:hanging="426"/>
              <w:rPr>
                <w:rFonts w:asciiTheme="minorHAnsi" w:hAnsiTheme="minorHAnsi"/>
                <w:sz w:val="18"/>
                <w:szCs w:val="18"/>
                <w:lang w:val="en-US"/>
              </w:rPr>
            </w:pPr>
            <w:r w:rsidRPr="00842D22">
              <w:rPr>
                <w:rFonts w:asciiTheme="minorHAnsi" w:hAnsiTheme="minorHAnsi"/>
                <w:sz w:val="18"/>
                <w:szCs w:val="18"/>
                <w:lang w:val="en-US"/>
              </w:rPr>
              <w:t>Added value approach saves money (compared to US).</w:t>
            </w:r>
          </w:p>
          <w:p w14:paraId="002E3255" w14:textId="77777777" w:rsidR="002B2BAE" w:rsidRPr="00842D22" w:rsidRDefault="002B2BAE" w:rsidP="002B2BAE">
            <w:pPr>
              <w:rPr>
                <w:rFonts w:asciiTheme="minorHAnsi" w:hAnsiTheme="minorHAnsi"/>
                <w:i/>
                <w:iCs/>
                <w:sz w:val="18"/>
                <w:szCs w:val="18"/>
                <w:lang w:val="en-US"/>
              </w:rPr>
            </w:pPr>
          </w:p>
          <w:p w14:paraId="074D9557" w14:textId="77777777" w:rsidR="002B2BAE" w:rsidRPr="00842D22" w:rsidRDefault="002B2BAE" w:rsidP="002B2BAE">
            <w:pPr>
              <w:rPr>
                <w:rFonts w:asciiTheme="minorHAnsi" w:hAnsiTheme="minorHAnsi"/>
                <w:sz w:val="18"/>
                <w:szCs w:val="18"/>
              </w:rPr>
            </w:pPr>
            <w:r w:rsidRPr="00842D22">
              <w:rPr>
                <w:rFonts w:asciiTheme="minorHAnsi" w:hAnsiTheme="minorHAnsi"/>
                <w:i/>
                <w:iCs/>
                <w:sz w:val="18"/>
                <w:szCs w:val="18"/>
              </w:rPr>
              <w:t>UK</w:t>
            </w:r>
            <w:r w:rsidRPr="00842D22">
              <w:rPr>
                <w:rFonts w:asciiTheme="minorHAnsi" w:hAnsiTheme="minorHAnsi"/>
                <w:sz w:val="18"/>
                <w:szCs w:val="18"/>
              </w:rPr>
              <w:t>:</w:t>
            </w:r>
          </w:p>
          <w:p w14:paraId="41979CC5" w14:textId="4666CF66" w:rsidR="002B2BAE" w:rsidRPr="00842D22" w:rsidRDefault="002B2BAE" w:rsidP="002B2BAE">
            <w:pPr>
              <w:pStyle w:val="ListParagraph"/>
              <w:numPr>
                <w:ilvl w:val="0"/>
                <w:numId w:val="1"/>
              </w:numPr>
              <w:ind w:left="456" w:hanging="426"/>
              <w:rPr>
                <w:sz w:val="18"/>
                <w:szCs w:val="18"/>
              </w:rPr>
            </w:pPr>
            <w:r w:rsidRPr="00842D22">
              <w:rPr>
                <w:rFonts w:asciiTheme="minorHAnsi" w:hAnsiTheme="minorHAnsi"/>
                <w:sz w:val="18"/>
                <w:szCs w:val="18"/>
              </w:rPr>
              <w:t xml:space="preserve">Potential </w:t>
            </w:r>
            <w:r w:rsidRPr="00842D22">
              <w:rPr>
                <w:rFonts w:asciiTheme="minorHAnsi" w:hAnsiTheme="minorHAnsi"/>
                <w:sz w:val="18"/>
                <w:szCs w:val="18"/>
                <w:lang w:val="en-US"/>
              </w:rPr>
              <w:t>affordability</w:t>
            </w:r>
            <w:r w:rsidRPr="00842D22">
              <w:rPr>
                <w:rFonts w:asciiTheme="minorHAnsi" w:hAnsiTheme="minorHAnsi"/>
                <w:sz w:val="18"/>
                <w:szCs w:val="18"/>
              </w:rPr>
              <w:t xml:space="preserve"> issues despite cost-effectiveness given the allocated healthcare budget.</w:t>
            </w:r>
          </w:p>
          <w:p w14:paraId="7065FCF1" w14:textId="77777777" w:rsidR="002B2BAE" w:rsidRPr="006A2D59" w:rsidRDefault="002B2BAE" w:rsidP="002B2BAE">
            <w:pPr>
              <w:pStyle w:val="Table"/>
            </w:pPr>
          </w:p>
          <w:p w14:paraId="13A59F6B" w14:textId="77777777" w:rsidR="002B2BAE" w:rsidRPr="006A2D59" w:rsidRDefault="002B2BAE" w:rsidP="002B2BAE">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Availability:</w:t>
            </w:r>
          </w:p>
          <w:p w14:paraId="52378E87" w14:textId="77777777" w:rsidR="002B2BAE" w:rsidRPr="001628AA" w:rsidRDefault="002B2BAE" w:rsidP="002B2BAE">
            <w:pPr>
              <w:rPr>
                <w:rFonts w:asciiTheme="minorHAnsi" w:hAnsiTheme="minorHAnsi"/>
                <w:i/>
                <w:iCs/>
                <w:sz w:val="18"/>
                <w:szCs w:val="18"/>
              </w:rPr>
            </w:pPr>
            <w:r w:rsidRPr="001628AA">
              <w:rPr>
                <w:rFonts w:asciiTheme="minorHAnsi" w:hAnsiTheme="minorHAnsi"/>
                <w:i/>
                <w:iCs/>
                <w:sz w:val="18"/>
                <w:szCs w:val="18"/>
              </w:rPr>
              <w:t>DE:</w:t>
            </w:r>
          </w:p>
          <w:p w14:paraId="3863C3C2" w14:textId="66387FC9" w:rsidR="002B2BAE" w:rsidRPr="001628AA" w:rsidRDefault="002B2BAE" w:rsidP="002B2BAE">
            <w:pPr>
              <w:pStyle w:val="ListParagraph"/>
              <w:numPr>
                <w:ilvl w:val="0"/>
                <w:numId w:val="1"/>
              </w:numPr>
              <w:ind w:left="456" w:hanging="426"/>
              <w:rPr>
                <w:rFonts w:asciiTheme="minorHAnsi" w:hAnsiTheme="minorHAnsi"/>
                <w:sz w:val="18"/>
                <w:szCs w:val="18"/>
                <w:lang w:val="en-US"/>
              </w:rPr>
            </w:pPr>
            <w:r w:rsidRPr="001628AA">
              <w:rPr>
                <w:rFonts w:asciiTheme="minorHAnsi" w:hAnsiTheme="minorHAnsi"/>
                <w:sz w:val="18"/>
                <w:szCs w:val="18"/>
                <w:lang w:val="en-US"/>
              </w:rPr>
              <w:t xml:space="preserve">No withdrawals observed for </w:t>
            </w:r>
            <w:r w:rsidR="0013336A">
              <w:rPr>
                <w:rFonts w:asciiTheme="minorHAnsi" w:hAnsiTheme="minorHAnsi"/>
                <w:sz w:val="18"/>
                <w:szCs w:val="18"/>
                <w:lang w:val="en-US"/>
              </w:rPr>
              <w:t>MP</w:t>
            </w:r>
            <w:r w:rsidRPr="001628AA">
              <w:rPr>
                <w:rFonts w:asciiTheme="minorHAnsi" w:hAnsiTheme="minorHAnsi"/>
                <w:sz w:val="18"/>
                <w:szCs w:val="18"/>
                <w:lang w:val="en-US"/>
              </w:rPr>
              <w:t>s with added benefit for at least one patient group of an indication.</w:t>
            </w:r>
          </w:p>
          <w:p w14:paraId="6659C6D6" w14:textId="77777777" w:rsidR="002B2BAE" w:rsidRPr="001628AA" w:rsidRDefault="002B2BAE" w:rsidP="002B2BAE">
            <w:pPr>
              <w:pStyle w:val="ListParagraph"/>
              <w:numPr>
                <w:ilvl w:val="0"/>
                <w:numId w:val="1"/>
              </w:numPr>
              <w:ind w:left="456" w:hanging="426"/>
              <w:rPr>
                <w:rFonts w:asciiTheme="minorHAnsi" w:hAnsiTheme="minorHAnsi"/>
                <w:sz w:val="18"/>
                <w:szCs w:val="18"/>
                <w:lang w:val="en-US"/>
              </w:rPr>
            </w:pPr>
            <w:r w:rsidRPr="001628AA">
              <w:rPr>
                <w:rFonts w:asciiTheme="minorHAnsi" w:hAnsiTheme="minorHAnsi"/>
                <w:sz w:val="18"/>
                <w:szCs w:val="18"/>
                <w:lang w:val="en-US"/>
              </w:rPr>
              <w:t>AMNOG did not significantly affect patient’s access; price negotiation after market entry should not delay patient access.</w:t>
            </w:r>
          </w:p>
          <w:p w14:paraId="1D2DE606" w14:textId="77777777" w:rsidR="002B2BAE" w:rsidRPr="001628AA" w:rsidRDefault="002B2BAE" w:rsidP="002B2BAE">
            <w:pPr>
              <w:pStyle w:val="ListParagraph"/>
              <w:numPr>
                <w:ilvl w:val="0"/>
                <w:numId w:val="1"/>
              </w:numPr>
              <w:ind w:left="456" w:hanging="426"/>
              <w:rPr>
                <w:rFonts w:asciiTheme="minorHAnsi" w:hAnsiTheme="minorHAnsi"/>
                <w:sz w:val="18"/>
                <w:szCs w:val="18"/>
                <w:lang w:val="en-US"/>
              </w:rPr>
            </w:pPr>
            <w:r w:rsidRPr="001628AA">
              <w:rPr>
                <w:rFonts w:asciiTheme="minorHAnsi" w:hAnsiTheme="minorHAnsi"/>
                <w:sz w:val="18"/>
                <w:szCs w:val="18"/>
                <w:lang w:val="en-US"/>
              </w:rPr>
              <w:t>Availability is among the highest in Europe.</w:t>
            </w:r>
          </w:p>
          <w:p w14:paraId="04DE2556" w14:textId="77777777" w:rsidR="002B2BAE" w:rsidRPr="001628AA" w:rsidRDefault="002B2BAE" w:rsidP="002B2BAE">
            <w:pPr>
              <w:rPr>
                <w:rFonts w:asciiTheme="minorHAnsi" w:hAnsiTheme="minorHAnsi"/>
                <w:i/>
                <w:iCs/>
                <w:sz w:val="18"/>
                <w:szCs w:val="18"/>
              </w:rPr>
            </w:pPr>
          </w:p>
          <w:p w14:paraId="594B0DB6" w14:textId="77777777" w:rsidR="002B2BAE" w:rsidRPr="001628AA" w:rsidRDefault="002B2BAE" w:rsidP="002B2BAE">
            <w:pPr>
              <w:rPr>
                <w:rFonts w:asciiTheme="minorHAnsi" w:hAnsiTheme="minorHAnsi"/>
                <w:i/>
                <w:iCs/>
                <w:sz w:val="18"/>
                <w:szCs w:val="18"/>
              </w:rPr>
            </w:pPr>
            <w:r w:rsidRPr="001628AA">
              <w:rPr>
                <w:rFonts w:asciiTheme="minorHAnsi" w:hAnsiTheme="minorHAnsi"/>
                <w:i/>
                <w:iCs/>
                <w:sz w:val="18"/>
                <w:szCs w:val="18"/>
              </w:rPr>
              <w:t>UK:</w:t>
            </w:r>
          </w:p>
          <w:p w14:paraId="423E8247" w14:textId="7FE18B57" w:rsidR="002B2BAE" w:rsidRDefault="002B2BAE" w:rsidP="002B2BAE">
            <w:pPr>
              <w:pStyle w:val="ListParagraph"/>
              <w:numPr>
                <w:ilvl w:val="0"/>
                <w:numId w:val="1"/>
              </w:numPr>
              <w:ind w:left="456" w:hanging="426"/>
            </w:pPr>
            <w:r w:rsidRPr="001628AA">
              <w:rPr>
                <w:rFonts w:asciiTheme="minorHAnsi" w:hAnsiTheme="minorHAnsi"/>
                <w:sz w:val="18"/>
                <w:szCs w:val="18"/>
                <w:lang w:val="en-US"/>
              </w:rPr>
              <w:t>Incentive</w:t>
            </w:r>
            <w:r w:rsidRPr="001628AA">
              <w:rPr>
                <w:rFonts w:asciiTheme="minorHAnsi" w:hAnsiTheme="minorHAnsi"/>
                <w:sz w:val="18"/>
                <w:szCs w:val="18"/>
              </w:rPr>
              <w:t xml:space="preserve"> of 90-day deadline for launch following positive NICE recommendation incentivises threshold-compliant pricing; thus</w:t>
            </w:r>
            <w:r>
              <w:rPr>
                <w:rFonts w:asciiTheme="minorHAnsi" w:hAnsiTheme="minorHAnsi"/>
                <w:sz w:val="18"/>
                <w:szCs w:val="18"/>
              </w:rPr>
              <w:t>,</w:t>
            </w:r>
            <w:r w:rsidRPr="001628AA">
              <w:rPr>
                <w:rFonts w:asciiTheme="minorHAnsi" w:hAnsiTheme="minorHAnsi"/>
                <w:sz w:val="18"/>
                <w:szCs w:val="18"/>
              </w:rPr>
              <w:t xml:space="preserve"> faster availability; access is automatic.</w:t>
            </w:r>
          </w:p>
          <w:p w14:paraId="2248618E" w14:textId="77777777" w:rsidR="002B2BAE" w:rsidRPr="001628AA" w:rsidRDefault="002B2BAE" w:rsidP="002B2BAE">
            <w:pPr>
              <w:pStyle w:val="Table"/>
              <w:ind w:left="287"/>
            </w:pPr>
          </w:p>
          <w:p w14:paraId="7318C38B" w14:textId="77777777" w:rsidR="002B2BAE" w:rsidRPr="006A2D59" w:rsidRDefault="002B2BAE" w:rsidP="002B2BAE">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Sustainability:</w:t>
            </w:r>
          </w:p>
          <w:p w14:paraId="46C421B6" w14:textId="77777777" w:rsidR="002B2BAE" w:rsidRPr="00543EB6" w:rsidRDefault="002B2BAE" w:rsidP="002B2BAE">
            <w:pPr>
              <w:rPr>
                <w:rFonts w:asciiTheme="minorHAnsi" w:hAnsiTheme="minorHAnsi"/>
                <w:i/>
                <w:iCs/>
                <w:sz w:val="18"/>
                <w:szCs w:val="18"/>
              </w:rPr>
            </w:pPr>
            <w:r w:rsidRPr="00543EB6">
              <w:rPr>
                <w:rFonts w:asciiTheme="minorHAnsi" w:hAnsiTheme="minorHAnsi"/>
                <w:i/>
                <w:iCs/>
                <w:sz w:val="18"/>
                <w:szCs w:val="18"/>
              </w:rPr>
              <w:t>DE:</w:t>
            </w:r>
          </w:p>
          <w:p w14:paraId="6D4E2F89" w14:textId="77777777" w:rsidR="002B2BAE" w:rsidRPr="00543EB6" w:rsidRDefault="002B2BAE" w:rsidP="002B2BAE">
            <w:pPr>
              <w:pStyle w:val="ListParagraph"/>
              <w:numPr>
                <w:ilvl w:val="0"/>
                <w:numId w:val="1"/>
              </w:numPr>
              <w:ind w:left="456" w:hanging="426"/>
              <w:rPr>
                <w:rFonts w:asciiTheme="minorHAnsi" w:hAnsiTheme="minorHAnsi"/>
                <w:sz w:val="18"/>
                <w:szCs w:val="18"/>
                <w:lang w:val="en-US"/>
              </w:rPr>
            </w:pPr>
            <w:r w:rsidRPr="00543EB6">
              <w:rPr>
                <w:rFonts w:asciiTheme="minorHAnsi" w:hAnsiTheme="minorHAnsi"/>
                <w:sz w:val="18"/>
                <w:szCs w:val="18"/>
                <w:lang w:val="en-US"/>
              </w:rPr>
              <w:t>Savings of €14 billion for health insurance funds accumulated 2011–2021.</w:t>
            </w:r>
          </w:p>
          <w:p w14:paraId="0B8BBF20" w14:textId="15E91F61" w:rsidR="002B2BAE" w:rsidRPr="00710D50" w:rsidRDefault="002B2BAE" w:rsidP="002B2BAE">
            <w:pPr>
              <w:pStyle w:val="ListParagraph"/>
              <w:numPr>
                <w:ilvl w:val="0"/>
                <w:numId w:val="1"/>
              </w:numPr>
              <w:ind w:left="456" w:hanging="426"/>
              <w:rPr>
                <w:rFonts w:asciiTheme="minorHAnsi" w:hAnsiTheme="minorHAnsi"/>
                <w:sz w:val="18"/>
                <w:szCs w:val="18"/>
              </w:rPr>
            </w:pPr>
            <w:r w:rsidRPr="00543EB6">
              <w:rPr>
                <w:rFonts w:asciiTheme="minorHAnsi" w:hAnsiTheme="minorHAnsi"/>
                <w:sz w:val="18"/>
                <w:szCs w:val="18"/>
                <w:lang w:val="en-US"/>
              </w:rPr>
              <w:t>Uncert</w:t>
            </w:r>
            <w:r w:rsidRPr="00710D50">
              <w:rPr>
                <w:rFonts w:asciiTheme="minorHAnsi" w:hAnsiTheme="minorHAnsi"/>
                <w:sz w:val="18"/>
                <w:szCs w:val="18"/>
                <w:lang w:val="en-US"/>
              </w:rPr>
              <w:t>ainty</w:t>
            </w:r>
            <w:r w:rsidRPr="00543EB6">
              <w:rPr>
                <w:rFonts w:asciiTheme="minorHAnsi" w:hAnsiTheme="minorHAnsi"/>
                <w:sz w:val="18"/>
                <w:szCs w:val="18"/>
              </w:rPr>
              <w:t xml:space="preserve"> of effect on prescription </w:t>
            </w:r>
            <w:r w:rsidR="0013336A">
              <w:rPr>
                <w:rFonts w:asciiTheme="minorHAnsi" w:hAnsiTheme="minorHAnsi"/>
                <w:sz w:val="18"/>
                <w:szCs w:val="18"/>
              </w:rPr>
              <w:t>MP</w:t>
            </w:r>
            <w:r w:rsidRPr="00543EB6">
              <w:rPr>
                <w:rFonts w:asciiTheme="minorHAnsi" w:hAnsiTheme="minorHAnsi"/>
                <w:sz w:val="18"/>
                <w:szCs w:val="18"/>
              </w:rPr>
              <w:t xml:space="preserve"> expenditure.</w:t>
            </w:r>
          </w:p>
          <w:p w14:paraId="0B2FE6C0" w14:textId="77777777" w:rsidR="002B2BAE" w:rsidRPr="00543EB6" w:rsidRDefault="002B2BAE" w:rsidP="002B2BAE">
            <w:pPr>
              <w:rPr>
                <w:rFonts w:asciiTheme="minorHAnsi" w:hAnsiTheme="minorHAnsi"/>
                <w:sz w:val="18"/>
                <w:szCs w:val="18"/>
              </w:rPr>
            </w:pPr>
          </w:p>
          <w:p w14:paraId="47B40919" w14:textId="77777777" w:rsidR="002B2BAE" w:rsidRPr="00543EB6" w:rsidRDefault="002B2BAE" w:rsidP="002B2BAE">
            <w:pPr>
              <w:rPr>
                <w:rFonts w:asciiTheme="minorHAnsi" w:hAnsiTheme="minorHAnsi"/>
                <w:i/>
                <w:iCs/>
                <w:sz w:val="18"/>
                <w:szCs w:val="18"/>
              </w:rPr>
            </w:pPr>
            <w:r w:rsidRPr="00543EB6">
              <w:rPr>
                <w:rFonts w:asciiTheme="minorHAnsi" w:hAnsiTheme="minorHAnsi"/>
                <w:i/>
                <w:iCs/>
                <w:sz w:val="18"/>
                <w:szCs w:val="18"/>
              </w:rPr>
              <w:t>FR:</w:t>
            </w:r>
          </w:p>
          <w:p w14:paraId="60CDEA82" w14:textId="77777777" w:rsidR="002B2BAE" w:rsidRPr="00543EB6" w:rsidRDefault="002B2BAE" w:rsidP="002B2BAE">
            <w:pPr>
              <w:pStyle w:val="ListParagraph"/>
              <w:numPr>
                <w:ilvl w:val="0"/>
                <w:numId w:val="1"/>
              </w:numPr>
              <w:ind w:left="456" w:hanging="426"/>
              <w:rPr>
                <w:rFonts w:asciiTheme="minorHAnsi" w:hAnsiTheme="minorHAnsi"/>
                <w:sz w:val="18"/>
                <w:szCs w:val="18"/>
                <w:lang w:val="en-US"/>
              </w:rPr>
            </w:pPr>
            <w:r w:rsidRPr="00543EB6">
              <w:rPr>
                <w:rFonts w:asciiTheme="minorHAnsi" w:hAnsiTheme="minorHAnsi"/>
                <w:sz w:val="18"/>
                <w:szCs w:val="18"/>
                <w:lang w:val="en-US"/>
              </w:rPr>
              <w:lastRenderedPageBreak/>
              <w:t>Added value approach allocates funds better (compared to US).</w:t>
            </w:r>
          </w:p>
          <w:p w14:paraId="56AA62AE" w14:textId="701DBE6F" w:rsidR="002B2BAE" w:rsidRPr="00543EB6" w:rsidRDefault="002B2BAE" w:rsidP="002B2BAE">
            <w:pPr>
              <w:pStyle w:val="ListParagraph"/>
              <w:numPr>
                <w:ilvl w:val="0"/>
                <w:numId w:val="1"/>
              </w:numPr>
              <w:ind w:left="456" w:hanging="426"/>
              <w:rPr>
                <w:rFonts w:asciiTheme="minorHAnsi" w:hAnsiTheme="minorHAnsi"/>
                <w:sz w:val="18"/>
                <w:szCs w:val="18"/>
              </w:rPr>
            </w:pPr>
            <w:r w:rsidRPr="00543EB6">
              <w:rPr>
                <w:rFonts w:asciiTheme="minorHAnsi" w:hAnsiTheme="minorHAnsi"/>
                <w:sz w:val="18"/>
                <w:szCs w:val="18"/>
                <w:lang w:val="en-US"/>
              </w:rPr>
              <w:t xml:space="preserve">Implementation of policy has stopped </w:t>
            </w:r>
            <w:r w:rsidR="0013336A">
              <w:rPr>
                <w:rFonts w:asciiTheme="minorHAnsi" w:hAnsiTheme="minorHAnsi"/>
                <w:sz w:val="18"/>
                <w:szCs w:val="18"/>
                <w:lang w:val="en-US"/>
              </w:rPr>
              <w:t>MP</w:t>
            </w:r>
            <w:r w:rsidRPr="00543EB6">
              <w:rPr>
                <w:rFonts w:asciiTheme="minorHAnsi" w:hAnsiTheme="minorHAnsi"/>
                <w:sz w:val="18"/>
                <w:szCs w:val="18"/>
                <w:lang w:val="en-US"/>
              </w:rPr>
              <w:t xml:space="preserve"> spending growth without slowing access</w:t>
            </w:r>
            <w:r w:rsidRPr="00543EB6">
              <w:rPr>
                <w:rFonts w:asciiTheme="minorHAnsi" w:hAnsiTheme="minorHAnsi"/>
                <w:sz w:val="18"/>
                <w:szCs w:val="18"/>
              </w:rPr>
              <w:t xml:space="preserve"> to innovative </w:t>
            </w:r>
            <w:r w:rsidR="00402A99">
              <w:rPr>
                <w:rFonts w:asciiTheme="minorHAnsi" w:hAnsiTheme="minorHAnsi"/>
                <w:sz w:val="18"/>
                <w:szCs w:val="18"/>
              </w:rPr>
              <w:t>MP</w:t>
            </w:r>
            <w:r w:rsidRPr="00543EB6">
              <w:rPr>
                <w:rFonts w:asciiTheme="minorHAnsi" w:hAnsiTheme="minorHAnsi"/>
                <w:sz w:val="18"/>
                <w:szCs w:val="18"/>
              </w:rPr>
              <w:t>s.</w:t>
            </w:r>
          </w:p>
          <w:p w14:paraId="619884CD" w14:textId="77777777" w:rsidR="002B2BAE" w:rsidRPr="00543EB6" w:rsidRDefault="002B2BAE" w:rsidP="002B2BAE">
            <w:pPr>
              <w:rPr>
                <w:rFonts w:asciiTheme="minorHAnsi" w:hAnsiTheme="minorHAnsi"/>
                <w:sz w:val="18"/>
                <w:szCs w:val="18"/>
              </w:rPr>
            </w:pPr>
          </w:p>
          <w:p w14:paraId="332B9346" w14:textId="77777777" w:rsidR="002B2BAE" w:rsidRPr="00543EB6" w:rsidRDefault="002B2BAE" w:rsidP="002B2BAE">
            <w:pPr>
              <w:rPr>
                <w:rFonts w:asciiTheme="minorHAnsi" w:hAnsiTheme="minorHAnsi"/>
                <w:i/>
                <w:iCs/>
                <w:sz w:val="18"/>
                <w:szCs w:val="18"/>
              </w:rPr>
            </w:pPr>
            <w:r w:rsidRPr="00543EB6">
              <w:rPr>
                <w:rFonts w:asciiTheme="minorHAnsi" w:hAnsiTheme="minorHAnsi"/>
                <w:i/>
                <w:iCs/>
                <w:sz w:val="18"/>
                <w:szCs w:val="18"/>
              </w:rPr>
              <w:t>KR:</w:t>
            </w:r>
          </w:p>
          <w:p w14:paraId="29BDC65D" w14:textId="1807466F" w:rsidR="002B2BAE" w:rsidRPr="00543EB6" w:rsidRDefault="002B2BAE" w:rsidP="002B2BAE">
            <w:pPr>
              <w:pStyle w:val="ListParagraph"/>
              <w:numPr>
                <w:ilvl w:val="0"/>
                <w:numId w:val="1"/>
              </w:numPr>
              <w:ind w:left="456" w:hanging="426"/>
              <w:rPr>
                <w:rFonts w:asciiTheme="minorHAnsi" w:hAnsiTheme="minorHAnsi"/>
                <w:sz w:val="18"/>
                <w:szCs w:val="18"/>
              </w:rPr>
            </w:pPr>
            <w:r w:rsidRPr="00543EB6">
              <w:rPr>
                <w:rFonts w:asciiTheme="minorHAnsi" w:hAnsiTheme="minorHAnsi"/>
                <w:sz w:val="18"/>
                <w:szCs w:val="18"/>
                <w:lang w:val="en-US"/>
              </w:rPr>
              <w:t>Policy</w:t>
            </w:r>
            <w:r w:rsidRPr="00543EB6">
              <w:rPr>
                <w:rFonts w:asciiTheme="minorHAnsi" w:hAnsiTheme="minorHAnsi"/>
                <w:sz w:val="18"/>
                <w:szCs w:val="18"/>
              </w:rPr>
              <w:t xml:space="preserve"> has worked reasonably well for lowering </w:t>
            </w:r>
            <w:r w:rsidR="0013336A">
              <w:rPr>
                <w:rFonts w:asciiTheme="minorHAnsi" w:hAnsiTheme="minorHAnsi"/>
                <w:sz w:val="18"/>
                <w:szCs w:val="18"/>
              </w:rPr>
              <w:t>MP</w:t>
            </w:r>
            <w:r w:rsidRPr="00543EB6">
              <w:rPr>
                <w:rFonts w:asciiTheme="minorHAnsi" w:hAnsiTheme="minorHAnsi"/>
                <w:sz w:val="18"/>
                <w:szCs w:val="18"/>
              </w:rPr>
              <w:t xml:space="preserve"> prices.</w:t>
            </w:r>
          </w:p>
          <w:p w14:paraId="0AD09585" w14:textId="77777777" w:rsidR="002B2BAE" w:rsidRPr="006A2D59" w:rsidRDefault="002B2BAE" w:rsidP="002B2BAE">
            <w:pPr>
              <w:pStyle w:val="Table"/>
              <w:ind w:left="287"/>
            </w:pPr>
          </w:p>
          <w:p w14:paraId="7F04CC4E" w14:textId="77777777" w:rsidR="002B2BAE" w:rsidRPr="006A2D59" w:rsidRDefault="002B2BAE" w:rsidP="002B2BAE">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Equity:</w:t>
            </w:r>
          </w:p>
          <w:p w14:paraId="6084532C" w14:textId="77777777" w:rsidR="002B2BAE" w:rsidRPr="002D2EE2" w:rsidRDefault="002B2BAE" w:rsidP="002B2BAE">
            <w:pPr>
              <w:rPr>
                <w:rFonts w:asciiTheme="minorHAnsi" w:hAnsiTheme="minorHAnsi"/>
                <w:i/>
                <w:iCs/>
                <w:sz w:val="18"/>
                <w:szCs w:val="18"/>
              </w:rPr>
            </w:pPr>
            <w:r w:rsidRPr="002D2EE2">
              <w:rPr>
                <w:rFonts w:asciiTheme="minorHAnsi" w:hAnsiTheme="minorHAnsi"/>
                <w:i/>
                <w:iCs/>
                <w:sz w:val="18"/>
                <w:szCs w:val="18"/>
              </w:rPr>
              <w:t>FR:</w:t>
            </w:r>
          </w:p>
          <w:p w14:paraId="4F77AB1B" w14:textId="0E764FCE" w:rsidR="002B2BAE" w:rsidRPr="002D2EE2" w:rsidRDefault="002B2BAE" w:rsidP="002B2BAE">
            <w:pPr>
              <w:pStyle w:val="ListParagraph"/>
              <w:numPr>
                <w:ilvl w:val="0"/>
                <w:numId w:val="1"/>
              </w:numPr>
              <w:ind w:left="456" w:hanging="426"/>
              <w:rPr>
                <w:rFonts w:asciiTheme="minorHAnsi" w:hAnsiTheme="minorHAnsi"/>
                <w:sz w:val="18"/>
                <w:szCs w:val="18"/>
                <w:lang w:val="en-US"/>
              </w:rPr>
            </w:pPr>
            <w:r w:rsidRPr="002D2EE2">
              <w:rPr>
                <w:rFonts w:asciiTheme="minorHAnsi" w:hAnsiTheme="minorHAnsi"/>
                <w:sz w:val="18"/>
                <w:szCs w:val="18"/>
                <w:lang w:val="en-US"/>
              </w:rPr>
              <w:t xml:space="preserve">Savings from price decreases of older </w:t>
            </w:r>
            <w:r w:rsidR="0013336A">
              <w:rPr>
                <w:rFonts w:asciiTheme="minorHAnsi" w:hAnsiTheme="minorHAnsi"/>
                <w:sz w:val="18"/>
                <w:szCs w:val="18"/>
                <w:lang w:val="en-US"/>
              </w:rPr>
              <w:t>MP</w:t>
            </w:r>
            <w:r w:rsidRPr="002D2EE2">
              <w:rPr>
                <w:rFonts w:asciiTheme="minorHAnsi" w:hAnsiTheme="minorHAnsi"/>
                <w:sz w:val="18"/>
                <w:szCs w:val="18"/>
                <w:lang w:val="en-US"/>
              </w:rPr>
              <w:t xml:space="preserve">s facilitate financing of innovative and expensive new </w:t>
            </w:r>
            <w:r w:rsidR="0013336A">
              <w:rPr>
                <w:rFonts w:asciiTheme="minorHAnsi" w:hAnsiTheme="minorHAnsi"/>
                <w:sz w:val="18"/>
                <w:szCs w:val="18"/>
                <w:lang w:val="en-US"/>
              </w:rPr>
              <w:t>MP</w:t>
            </w:r>
            <w:r w:rsidRPr="002D2EE2">
              <w:rPr>
                <w:rFonts w:asciiTheme="minorHAnsi" w:hAnsiTheme="minorHAnsi"/>
                <w:sz w:val="18"/>
                <w:szCs w:val="18"/>
                <w:lang w:val="en-US"/>
              </w:rPr>
              <w:t>s.</w:t>
            </w:r>
          </w:p>
          <w:p w14:paraId="15C4E574" w14:textId="18A71F05" w:rsidR="002B2BAE" w:rsidRPr="002D2EE2" w:rsidRDefault="002B2BAE" w:rsidP="002B2BAE">
            <w:pPr>
              <w:pStyle w:val="ListParagraph"/>
              <w:numPr>
                <w:ilvl w:val="0"/>
                <w:numId w:val="1"/>
              </w:numPr>
              <w:ind w:left="456" w:hanging="426"/>
              <w:rPr>
                <w:rFonts w:asciiTheme="minorHAnsi" w:hAnsiTheme="minorHAnsi"/>
                <w:sz w:val="18"/>
                <w:szCs w:val="18"/>
                <w:lang w:val="en-US"/>
              </w:rPr>
            </w:pPr>
            <w:r w:rsidRPr="002D2EE2">
              <w:rPr>
                <w:rFonts w:asciiTheme="minorHAnsi" w:hAnsiTheme="minorHAnsi"/>
                <w:sz w:val="18"/>
                <w:szCs w:val="18"/>
                <w:lang w:val="en-US"/>
              </w:rPr>
              <w:t xml:space="preserve">Implementation of policy has stopped </w:t>
            </w:r>
            <w:r w:rsidR="0013336A">
              <w:rPr>
                <w:rFonts w:asciiTheme="minorHAnsi" w:hAnsiTheme="minorHAnsi"/>
                <w:sz w:val="18"/>
                <w:szCs w:val="18"/>
                <w:lang w:val="en-US"/>
              </w:rPr>
              <w:t>MP</w:t>
            </w:r>
            <w:r w:rsidRPr="002D2EE2">
              <w:rPr>
                <w:rFonts w:asciiTheme="minorHAnsi" w:hAnsiTheme="minorHAnsi"/>
                <w:sz w:val="18"/>
                <w:szCs w:val="18"/>
                <w:lang w:val="en-US"/>
              </w:rPr>
              <w:t xml:space="preserve"> spending growth without slowing access to innovative </w:t>
            </w:r>
            <w:r w:rsidR="00402A99">
              <w:rPr>
                <w:rFonts w:asciiTheme="minorHAnsi" w:hAnsiTheme="minorHAnsi"/>
                <w:sz w:val="18"/>
                <w:szCs w:val="18"/>
                <w:lang w:val="en-US"/>
              </w:rPr>
              <w:t>MP</w:t>
            </w:r>
            <w:r w:rsidRPr="002D2EE2">
              <w:rPr>
                <w:rFonts w:asciiTheme="minorHAnsi" w:hAnsiTheme="minorHAnsi"/>
                <w:sz w:val="18"/>
                <w:szCs w:val="18"/>
                <w:lang w:val="en-US"/>
              </w:rPr>
              <w:t>s.</w:t>
            </w:r>
          </w:p>
          <w:p w14:paraId="2AC0F853" w14:textId="77777777" w:rsidR="002B2BAE" w:rsidRPr="002D2EE2" w:rsidRDefault="002B2BAE" w:rsidP="002B2BAE">
            <w:pPr>
              <w:pStyle w:val="Table"/>
              <w:ind w:left="287"/>
            </w:pPr>
          </w:p>
          <w:p w14:paraId="3DA34B43" w14:textId="77777777" w:rsidR="002B2BAE" w:rsidRPr="006A2D59" w:rsidRDefault="002B2BAE" w:rsidP="002B2BAE">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Other impacts:</w:t>
            </w:r>
          </w:p>
          <w:p w14:paraId="3611D7FB" w14:textId="77777777" w:rsidR="002B2BAE" w:rsidRPr="006D7F4F" w:rsidRDefault="002B2BAE" w:rsidP="002B2BAE">
            <w:pPr>
              <w:rPr>
                <w:rFonts w:asciiTheme="minorHAnsi" w:hAnsiTheme="minorHAnsi"/>
                <w:i/>
                <w:iCs/>
                <w:sz w:val="18"/>
                <w:szCs w:val="18"/>
              </w:rPr>
            </w:pPr>
            <w:r w:rsidRPr="006D7F4F">
              <w:rPr>
                <w:rFonts w:asciiTheme="minorHAnsi" w:hAnsiTheme="minorHAnsi"/>
                <w:i/>
                <w:iCs/>
                <w:sz w:val="18"/>
                <w:szCs w:val="18"/>
              </w:rPr>
              <w:t>General:</w:t>
            </w:r>
          </w:p>
          <w:p w14:paraId="6597856F" w14:textId="678CFEF7" w:rsidR="002B2BAE" w:rsidRPr="00710D50" w:rsidRDefault="002B2BAE" w:rsidP="002B2BAE">
            <w:pPr>
              <w:pStyle w:val="ListParagraph"/>
              <w:numPr>
                <w:ilvl w:val="0"/>
                <w:numId w:val="1"/>
              </w:numPr>
              <w:ind w:left="456" w:hanging="426"/>
              <w:rPr>
                <w:rFonts w:asciiTheme="minorHAnsi" w:hAnsiTheme="minorHAnsi"/>
                <w:sz w:val="18"/>
                <w:szCs w:val="18"/>
                <w:lang w:val="en-US"/>
              </w:rPr>
            </w:pPr>
            <w:r w:rsidRPr="00710D50">
              <w:rPr>
                <w:rFonts w:asciiTheme="minorHAnsi" w:hAnsiTheme="minorHAnsi"/>
                <w:sz w:val="18"/>
                <w:szCs w:val="18"/>
                <w:lang w:val="en-US"/>
              </w:rPr>
              <w:t>Potential incentive for development of products that generate more added value.</w:t>
            </w:r>
          </w:p>
          <w:p w14:paraId="00E6D795" w14:textId="4B133955" w:rsidR="002B2BAE" w:rsidRPr="00710D50" w:rsidRDefault="002B2BAE" w:rsidP="002B2BAE">
            <w:pPr>
              <w:pStyle w:val="ListParagraph"/>
              <w:numPr>
                <w:ilvl w:val="0"/>
                <w:numId w:val="1"/>
              </w:numPr>
              <w:ind w:left="456" w:hanging="426"/>
              <w:rPr>
                <w:rFonts w:asciiTheme="minorHAnsi" w:hAnsiTheme="minorHAnsi"/>
                <w:sz w:val="18"/>
                <w:szCs w:val="18"/>
                <w:lang w:val="en-US"/>
              </w:rPr>
            </w:pPr>
            <w:r w:rsidRPr="00710D50">
              <w:rPr>
                <w:rFonts w:asciiTheme="minorHAnsi" w:hAnsiTheme="minorHAnsi"/>
                <w:sz w:val="18"/>
                <w:szCs w:val="18"/>
                <w:lang w:val="en-US"/>
              </w:rPr>
              <w:t xml:space="preserve">Too low price in relation to value could discourage development of new </w:t>
            </w:r>
            <w:r w:rsidR="0013336A">
              <w:rPr>
                <w:rFonts w:asciiTheme="minorHAnsi" w:hAnsiTheme="minorHAnsi"/>
                <w:sz w:val="18"/>
                <w:szCs w:val="18"/>
                <w:lang w:val="en-US"/>
              </w:rPr>
              <w:t>MP</w:t>
            </w:r>
            <w:r w:rsidRPr="00710D50">
              <w:rPr>
                <w:rFonts w:asciiTheme="minorHAnsi" w:hAnsiTheme="minorHAnsi"/>
                <w:sz w:val="18"/>
                <w:szCs w:val="18"/>
                <w:lang w:val="en-US"/>
              </w:rPr>
              <w:t>s in the long run; manufacturers are not rewarded for their innovation.</w:t>
            </w:r>
          </w:p>
          <w:p w14:paraId="351523A8" w14:textId="7398B919" w:rsidR="002B2BAE" w:rsidRDefault="002B2BAE" w:rsidP="002B2BAE">
            <w:pPr>
              <w:pStyle w:val="ListParagraph"/>
              <w:numPr>
                <w:ilvl w:val="0"/>
                <w:numId w:val="1"/>
              </w:numPr>
              <w:ind w:left="456" w:hanging="426"/>
              <w:rPr>
                <w:rFonts w:asciiTheme="minorHAnsi" w:hAnsiTheme="minorHAnsi"/>
                <w:sz w:val="18"/>
                <w:szCs w:val="18"/>
                <w:lang w:val="en-US"/>
              </w:rPr>
            </w:pPr>
            <w:r w:rsidRPr="00710D50">
              <w:rPr>
                <w:rFonts w:asciiTheme="minorHAnsi" w:hAnsiTheme="minorHAnsi"/>
                <w:sz w:val="18"/>
                <w:szCs w:val="18"/>
                <w:lang w:val="en-US"/>
              </w:rPr>
              <w:t>Opportunities for manufacturers for ‘gaming’ related to cost-effectiveness threshold and choice of comparator</w:t>
            </w:r>
          </w:p>
          <w:p w14:paraId="756778E3" w14:textId="77777777" w:rsidR="002B2BAE" w:rsidRPr="00710D50" w:rsidRDefault="002B2BAE" w:rsidP="002B2BAE">
            <w:pPr>
              <w:rPr>
                <w:rFonts w:asciiTheme="minorHAnsi" w:hAnsiTheme="minorHAnsi"/>
                <w:sz w:val="18"/>
                <w:szCs w:val="18"/>
                <w:lang w:val="en-US"/>
              </w:rPr>
            </w:pPr>
          </w:p>
          <w:p w14:paraId="0705A51C" w14:textId="77777777" w:rsidR="002B2BAE" w:rsidRPr="006D7F4F" w:rsidRDefault="002B2BAE" w:rsidP="002B2BAE">
            <w:pPr>
              <w:rPr>
                <w:rFonts w:asciiTheme="minorHAnsi" w:hAnsiTheme="minorHAnsi"/>
                <w:i/>
                <w:iCs/>
                <w:sz w:val="18"/>
                <w:szCs w:val="18"/>
              </w:rPr>
            </w:pPr>
            <w:r w:rsidRPr="006D7F4F">
              <w:rPr>
                <w:rFonts w:asciiTheme="minorHAnsi" w:hAnsiTheme="minorHAnsi"/>
                <w:i/>
                <w:iCs/>
                <w:sz w:val="18"/>
                <w:szCs w:val="18"/>
              </w:rPr>
              <w:t>DE:</w:t>
            </w:r>
          </w:p>
          <w:p w14:paraId="7E9BE06C" w14:textId="6B9F4F99" w:rsidR="002B2BAE" w:rsidRPr="006D7F4F" w:rsidRDefault="0013336A" w:rsidP="002B2BAE">
            <w:pPr>
              <w:pStyle w:val="ListParagraph"/>
              <w:numPr>
                <w:ilvl w:val="0"/>
                <w:numId w:val="1"/>
              </w:numPr>
              <w:ind w:left="456" w:hanging="426"/>
              <w:rPr>
                <w:rFonts w:asciiTheme="minorHAnsi" w:hAnsiTheme="minorHAnsi"/>
                <w:sz w:val="18"/>
                <w:szCs w:val="18"/>
              </w:rPr>
            </w:pPr>
            <w:r>
              <w:rPr>
                <w:rFonts w:asciiTheme="minorHAnsi" w:hAnsiTheme="minorHAnsi"/>
                <w:sz w:val="18"/>
                <w:szCs w:val="18"/>
                <w:lang w:val="en-US"/>
              </w:rPr>
              <w:t>MP</w:t>
            </w:r>
            <w:r w:rsidR="002B2BAE" w:rsidRPr="006D7F4F">
              <w:rPr>
                <w:rFonts w:asciiTheme="minorHAnsi" w:hAnsiTheme="minorHAnsi"/>
                <w:sz w:val="18"/>
                <w:szCs w:val="18"/>
              </w:rPr>
              <w:t xml:space="preserve"> prices are more closely aligned with clinical benefits than before AMNOG.</w:t>
            </w:r>
          </w:p>
          <w:p w14:paraId="3CFD8F1A" w14:textId="77777777" w:rsidR="002B2BAE" w:rsidRPr="006D7F4F" w:rsidRDefault="002B2BAE" w:rsidP="002B2BAE">
            <w:pPr>
              <w:rPr>
                <w:rFonts w:asciiTheme="minorHAnsi" w:hAnsiTheme="minorHAnsi"/>
                <w:sz w:val="18"/>
                <w:szCs w:val="18"/>
              </w:rPr>
            </w:pPr>
          </w:p>
          <w:p w14:paraId="66679DE7" w14:textId="77777777" w:rsidR="002B2BAE" w:rsidRPr="006D7F4F" w:rsidRDefault="002B2BAE" w:rsidP="002B2BAE">
            <w:pPr>
              <w:rPr>
                <w:rFonts w:asciiTheme="minorHAnsi" w:hAnsiTheme="minorHAnsi"/>
                <w:i/>
                <w:iCs/>
                <w:sz w:val="18"/>
                <w:szCs w:val="18"/>
              </w:rPr>
            </w:pPr>
            <w:r w:rsidRPr="006D7F4F">
              <w:rPr>
                <w:rFonts w:asciiTheme="minorHAnsi" w:hAnsiTheme="minorHAnsi"/>
                <w:i/>
                <w:iCs/>
                <w:sz w:val="18"/>
                <w:szCs w:val="18"/>
              </w:rPr>
              <w:t>SE:</w:t>
            </w:r>
          </w:p>
          <w:p w14:paraId="023E7943" w14:textId="30218F5F" w:rsidR="002B2BAE" w:rsidRPr="006A2D59" w:rsidRDefault="002B2BAE" w:rsidP="002B2BAE">
            <w:pPr>
              <w:pStyle w:val="ListParagraph"/>
              <w:numPr>
                <w:ilvl w:val="0"/>
                <w:numId w:val="1"/>
              </w:numPr>
              <w:ind w:left="456" w:hanging="426"/>
            </w:pPr>
            <w:r w:rsidRPr="00710D50">
              <w:rPr>
                <w:rFonts w:asciiTheme="minorHAnsi" w:hAnsiTheme="minorHAnsi"/>
                <w:sz w:val="18"/>
                <w:szCs w:val="18"/>
                <w:lang w:val="en-US"/>
              </w:rPr>
              <w:t>Inconsistent</w:t>
            </w:r>
            <w:r w:rsidRPr="006D7F4F">
              <w:rPr>
                <w:rFonts w:asciiTheme="minorHAnsi" w:hAnsiTheme="minorHAnsi"/>
                <w:sz w:val="18"/>
                <w:szCs w:val="18"/>
              </w:rPr>
              <w:t xml:space="preserve"> implementation of TLV decisions lead to differences in access to medications.</w:t>
            </w:r>
          </w:p>
        </w:tc>
        <w:tc>
          <w:tcPr>
            <w:tcW w:w="2896" w:type="dxa"/>
          </w:tcPr>
          <w:p w14:paraId="31BEB092" w14:textId="77777777" w:rsidR="002B2BAE" w:rsidRPr="006A2D59" w:rsidRDefault="002B2BAE" w:rsidP="002B2BAE">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lastRenderedPageBreak/>
              <w:t>Acceptability:</w:t>
            </w:r>
          </w:p>
          <w:p w14:paraId="1B9B6597" w14:textId="77777777" w:rsidR="002B2BAE" w:rsidRPr="00D51B20" w:rsidRDefault="002B2BAE" w:rsidP="002B2BAE">
            <w:pPr>
              <w:rPr>
                <w:rFonts w:asciiTheme="minorHAnsi" w:hAnsiTheme="minorHAnsi"/>
                <w:i/>
                <w:iCs/>
                <w:sz w:val="18"/>
                <w:szCs w:val="18"/>
              </w:rPr>
            </w:pPr>
            <w:r w:rsidRPr="00D51B20">
              <w:rPr>
                <w:rFonts w:asciiTheme="minorHAnsi" w:hAnsiTheme="minorHAnsi"/>
                <w:i/>
                <w:iCs/>
                <w:sz w:val="18"/>
                <w:szCs w:val="18"/>
              </w:rPr>
              <w:t>General:</w:t>
            </w:r>
          </w:p>
          <w:p w14:paraId="3395099A" w14:textId="0DEB6A75" w:rsidR="002B2BAE" w:rsidRDefault="002B2BAE" w:rsidP="002B2BAE">
            <w:pPr>
              <w:pStyle w:val="ListParagraph"/>
              <w:numPr>
                <w:ilvl w:val="0"/>
                <w:numId w:val="1"/>
              </w:numPr>
              <w:ind w:left="318" w:hanging="283"/>
              <w:rPr>
                <w:rFonts w:asciiTheme="minorHAnsi" w:hAnsiTheme="minorHAnsi"/>
                <w:sz w:val="18"/>
                <w:szCs w:val="18"/>
              </w:rPr>
            </w:pPr>
            <w:r w:rsidRPr="00C657D5">
              <w:rPr>
                <w:rFonts w:asciiTheme="minorHAnsi" w:hAnsiTheme="minorHAnsi"/>
                <w:sz w:val="18"/>
                <w:szCs w:val="18"/>
              </w:rPr>
              <w:t xml:space="preserve">Logical and fair </w:t>
            </w:r>
            <w:r w:rsidRPr="00C657D5">
              <w:rPr>
                <w:rFonts w:asciiTheme="minorHAnsi" w:hAnsiTheme="minorHAnsi"/>
                <w:i/>
                <w:iCs/>
                <w:sz w:val="18"/>
                <w:szCs w:val="18"/>
              </w:rPr>
              <w:t>policy</w:t>
            </w:r>
            <w:r w:rsidRPr="00C657D5">
              <w:rPr>
                <w:rFonts w:asciiTheme="minorHAnsi" w:hAnsiTheme="minorHAnsi"/>
                <w:sz w:val="18"/>
                <w:szCs w:val="18"/>
              </w:rPr>
              <w:t xml:space="preserve"> to promote access and reward useful innovation.</w:t>
            </w:r>
          </w:p>
          <w:p w14:paraId="719560B4" w14:textId="77777777" w:rsidR="00FC3968" w:rsidRDefault="00FC3968" w:rsidP="00FC3968">
            <w:pPr>
              <w:rPr>
                <w:rFonts w:asciiTheme="minorHAnsi" w:hAnsiTheme="minorHAnsi"/>
                <w:sz w:val="18"/>
                <w:szCs w:val="18"/>
              </w:rPr>
            </w:pPr>
          </w:p>
          <w:p w14:paraId="607496F8" w14:textId="77777777" w:rsidR="00FC3968" w:rsidRDefault="00FC3968" w:rsidP="00FC3968">
            <w:pPr>
              <w:rPr>
                <w:rFonts w:asciiTheme="minorHAnsi" w:hAnsiTheme="minorHAnsi"/>
                <w:sz w:val="18"/>
                <w:szCs w:val="18"/>
              </w:rPr>
            </w:pPr>
            <w:r w:rsidRPr="00FC3968">
              <w:rPr>
                <w:rFonts w:asciiTheme="minorHAnsi" w:hAnsiTheme="minorHAnsi"/>
                <w:i/>
                <w:iCs/>
                <w:sz w:val="18"/>
                <w:szCs w:val="18"/>
              </w:rPr>
              <w:t>UK</w:t>
            </w:r>
            <w:r>
              <w:rPr>
                <w:rFonts w:asciiTheme="minorHAnsi" w:hAnsiTheme="minorHAnsi"/>
                <w:sz w:val="18"/>
                <w:szCs w:val="18"/>
              </w:rPr>
              <w:t>:</w:t>
            </w:r>
          </w:p>
          <w:p w14:paraId="73D0A166" w14:textId="39F5884D" w:rsidR="00FC3968" w:rsidRPr="00CB7AA6" w:rsidRDefault="00FC3968" w:rsidP="00FC3968">
            <w:pPr>
              <w:pStyle w:val="ListParagraph"/>
              <w:numPr>
                <w:ilvl w:val="0"/>
                <w:numId w:val="1"/>
              </w:numPr>
              <w:ind w:left="316" w:hanging="283"/>
              <w:rPr>
                <w:rFonts w:asciiTheme="minorHAnsi" w:hAnsiTheme="minorHAnsi"/>
                <w:sz w:val="18"/>
                <w:szCs w:val="18"/>
              </w:rPr>
            </w:pPr>
            <w:r>
              <w:rPr>
                <w:rFonts w:asciiTheme="minorHAnsi" w:hAnsiTheme="minorHAnsi"/>
                <w:sz w:val="18"/>
                <w:szCs w:val="18"/>
              </w:rPr>
              <w:t>WTP-corresponding price levels may lead to</w:t>
            </w:r>
            <w:r w:rsidRPr="00CB7AA6">
              <w:rPr>
                <w:rFonts w:asciiTheme="minorHAnsi" w:hAnsiTheme="minorHAnsi"/>
                <w:sz w:val="18"/>
                <w:szCs w:val="18"/>
              </w:rPr>
              <w:t xml:space="preserve"> uneven distributions of a product’s benefit surplus between payers and manufacturers</w:t>
            </w:r>
            <w:r>
              <w:rPr>
                <w:rFonts w:asciiTheme="minorHAnsi" w:hAnsiTheme="minorHAnsi"/>
                <w:sz w:val="18"/>
                <w:szCs w:val="18"/>
              </w:rPr>
              <w:t>,</w:t>
            </w:r>
            <w:r w:rsidRPr="00CB7AA6">
              <w:rPr>
                <w:rFonts w:asciiTheme="minorHAnsi" w:hAnsiTheme="minorHAnsi"/>
                <w:sz w:val="18"/>
                <w:szCs w:val="18"/>
              </w:rPr>
              <w:t xml:space="preserve"> and volatility of R&amp;D returns</w:t>
            </w:r>
            <w:r>
              <w:rPr>
                <w:rFonts w:asciiTheme="minorHAnsi" w:hAnsiTheme="minorHAnsi"/>
                <w:sz w:val="18"/>
                <w:szCs w:val="18"/>
              </w:rPr>
              <w:t>.</w:t>
            </w:r>
          </w:p>
          <w:p w14:paraId="779E382D" w14:textId="77777777" w:rsidR="002B2BAE" w:rsidRPr="00D51B20" w:rsidRDefault="002B2BAE" w:rsidP="002B2BAE">
            <w:pPr>
              <w:rPr>
                <w:rFonts w:asciiTheme="minorHAnsi" w:hAnsiTheme="minorHAnsi"/>
                <w:sz w:val="18"/>
                <w:szCs w:val="18"/>
              </w:rPr>
            </w:pPr>
          </w:p>
          <w:p w14:paraId="0BDE1162" w14:textId="77777777" w:rsidR="002B2BAE" w:rsidRPr="00D51B20" w:rsidRDefault="002B2BAE" w:rsidP="002B2BAE">
            <w:pPr>
              <w:rPr>
                <w:rFonts w:asciiTheme="minorHAnsi" w:hAnsiTheme="minorHAnsi"/>
                <w:i/>
                <w:iCs/>
                <w:sz w:val="18"/>
                <w:szCs w:val="18"/>
              </w:rPr>
            </w:pPr>
            <w:r w:rsidRPr="00D51B20">
              <w:rPr>
                <w:rFonts w:asciiTheme="minorHAnsi" w:hAnsiTheme="minorHAnsi"/>
                <w:i/>
                <w:iCs/>
                <w:sz w:val="18"/>
                <w:szCs w:val="18"/>
              </w:rPr>
              <w:t>DE:</w:t>
            </w:r>
          </w:p>
          <w:p w14:paraId="614D99D1" w14:textId="77777777" w:rsidR="002B2BAE" w:rsidRPr="00D51B20" w:rsidRDefault="002B2BAE" w:rsidP="002B2BAE">
            <w:pPr>
              <w:pStyle w:val="ListParagraph"/>
              <w:numPr>
                <w:ilvl w:val="0"/>
                <w:numId w:val="1"/>
              </w:numPr>
              <w:ind w:left="318" w:hanging="283"/>
              <w:rPr>
                <w:rFonts w:asciiTheme="minorHAnsi" w:hAnsiTheme="minorHAnsi"/>
                <w:sz w:val="18"/>
                <w:szCs w:val="18"/>
              </w:rPr>
            </w:pPr>
            <w:r w:rsidRPr="00D51B20">
              <w:rPr>
                <w:rFonts w:asciiTheme="minorHAnsi" w:hAnsiTheme="minorHAnsi"/>
                <w:sz w:val="18"/>
                <w:szCs w:val="18"/>
              </w:rPr>
              <w:t>Early public opinion supportive of AMNOG.</w:t>
            </w:r>
          </w:p>
          <w:p w14:paraId="7912D01F" w14:textId="77777777" w:rsidR="002B2BAE" w:rsidRPr="00D51B20" w:rsidRDefault="002B2BAE" w:rsidP="002B2BAE">
            <w:pPr>
              <w:rPr>
                <w:rFonts w:asciiTheme="minorHAnsi" w:hAnsiTheme="minorHAnsi"/>
                <w:sz w:val="18"/>
                <w:szCs w:val="18"/>
              </w:rPr>
            </w:pPr>
          </w:p>
          <w:p w14:paraId="61C7365D" w14:textId="77777777" w:rsidR="002B2BAE" w:rsidRPr="00D51B20" w:rsidRDefault="002B2BAE" w:rsidP="002B2BAE">
            <w:pPr>
              <w:rPr>
                <w:rFonts w:asciiTheme="minorHAnsi" w:hAnsiTheme="minorHAnsi"/>
                <w:i/>
                <w:iCs/>
                <w:sz w:val="18"/>
                <w:szCs w:val="18"/>
              </w:rPr>
            </w:pPr>
            <w:r w:rsidRPr="00D51B20">
              <w:rPr>
                <w:rFonts w:asciiTheme="minorHAnsi" w:hAnsiTheme="minorHAnsi"/>
                <w:i/>
                <w:iCs/>
                <w:sz w:val="18"/>
                <w:szCs w:val="18"/>
              </w:rPr>
              <w:t>FR:</w:t>
            </w:r>
          </w:p>
          <w:p w14:paraId="195E13E6" w14:textId="327D666D" w:rsidR="002B2BAE" w:rsidRPr="00D51B20" w:rsidRDefault="002B2BAE" w:rsidP="002B2BAE">
            <w:pPr>
              <w:pStyle w:val="ListParagraph"/>
              <w:numPr>
                <w:ilvl w:val="0"/>
                <w:numId w:val="1"/>
              </w:numPr>
              <w:ind w:left="318" w:hanging="283"/>
              <w:rPr>
                <w:sz w:val="18"/>
                <w:szCs w:val="18"/>
              </w:rPr>
            </w:pPr>
            <w:r w:rsidRPr="00D51B20">
              <w:rPr>
                <w:rFonts w:asciiTheme="minorHAnsi" w:hAnsiTheme="minorHAnsi"/>
                <w:sz w:val="18"/>
                <w:szCs w:val="18"/>
              </w:rPr>
              <w:t>Reimbursement being conditional on added therapeutic benefit over existing products priced at same or lower amount: manufacturers accept lower prices.</w:t>
            </w:r>
          </w:p>
          <w:p w14:paraId="0131ECA3" w14:textId="77777777" w:rsidR="002B2BAE" w:rsidRPr="00D51B20" w:rsidRDefault="002B2BAE" w:rsidP="002B2BAE">
            <w:pPr>
              <w:pStyle w:val="Table"/>
              <w:ind w:left="287"/>
            </w:pPr>
          </w:p>
          <w:p w14:paraId="492E21B1" w14:textId="77777777" w:rsidR="002B2BAE" w:rsidRPr="006A2D59" w:rsidRDefault="002B2BAE" w:rsidP="002B2BAE">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Resource use:</w:t>
            </w:r>
          </w:p>
          <w:p w14:paraId="3CD64E0F" w14:textId="77777777" w:rsidR="002B2BAE" w:rsidRPr="00A23221" w:rsidRDefault="002B2BAE" w:rsidP="002B2BAE">
            <w:pPr>
              <w:rPr>
                <w:rFonts w:asciiTheme="minorHAnsi" w:hAnsiTheme="minorHAnsi"/>
                <w:i/>
                <w:iCs/>
                <w:sz w:val="18"/>
                <w:szCs w:val="18"/>
              </w:rPr>
            </w:pPr>
            <w:r w:rsidRPr="00A23221">
              <w:rPr>
                <w:rFonts w:asciiTheme="minorHAnsi" w:hAnsiTheme="minorHAnsi"/>
                <w:i/>
                <w:iCs/>
                <w:sz w:val="18"/>
                <w:szCs w:val="18"/>
              </w:rPr>
              <w:t>General:</w:t>
            </w:r>
          </w:p>
          <w:p w14:paraId="71C5104D" w14:textId="73C6D7D4" w:rsidR="002B2BAE" w:rsidRPr="00A23221" w:rsidRDefault="002B2BAE" w:rsidP="002B2BAE">
            <w:pPr>
              <w:pStyle w:val="ListParagraph"/>
              <w:numPr>
                <w:ilvl w:val="0"/>
                <w:numId w:val="1"/>
              </w:numPr>
              <w:ind w:left="318" w:hanging="283"/>
              <w:rPr>
                <w:rFonts w:asciiTheme="minorHAnsi" w:hAnsiTheme="minorHAnsi"/>
                <w:sz w:val="18"/>
                <w:szCs w:val="18"/>
              </w:rPr>
            </w:pPr>
            <w:r w:rsidRPr="00A23221">
              <w:rPr>
                <w:rFonts w:asciiTheme="minorHAnsi" w:hAnsiTheme="minorHAnsi"/>
                <w:sz w:val="18"/>
                <w:szCs w:val="18"/>
              </w:rPr>
              <w:t xml:space="preserve">Evidence-based </w:t>
            </w:r>
            <w:r w:rsidR="0013336A">
              <w:rPr>
                <w:rFonts w:asciiTheme="minorHAnsi" w:hAnsiTheme="minorHAnsi"/>
                <w:sz w:val="18"/>
                <w:szCs w:val="18"/>
              </w:rPr>
              <w:t>MP</w:t>
            </w:r>
            <w:r w:rsidRPr="00A23221">
              <w:rPr>
                <w:rFonts w:asciiTheme="minorHAnsi" w:hAnsiTheme="minorHAnsi"/>
                <w:sz w:val="18"/>
                <w:szCs w:val="18"/>
              </w:rPr>
              <w:t xml:space="preserve"> pricing supporting likewise </w:t>
            </w:r>
            <w:r w:rsidR="0013336A">
              <w:rPr>
                <w:rFonts w:asciiTheme="minorHAnsi" w:hAnsiTheme="minorHAnsi"/>
                <w:sz w:val="18"/>
                <w:szCs w:val="18"/>
              </w:rPr>
              <w:t>MP</w:t>
            </w:r>
            <w:r w:rsidRPr="00A23221">
              <w:rPr>
                <w:rFonts w:asciiTheme="minorHAnsi" w:hAnsiTheme="minorHAnsi"/>
                <w:sz w:val="18"/>
                <w:szCs w:val="18"/>
              </w:rPr>
              <w:t xml:space="preserve"> access allows pharmacists to focus more on clinical and less on economic activities</w:t>
            </w:r>
            <w:r w:rsidR="00A23221" w:rsidRPr="00A23221">
              <w:rPr>
                <w:rFonts w:asciiTheme="minorHAnsi" w:hAnsiTheme="minorHAnsi"/>
                <w:sz w:val="18"/>
                <w:szCs w:val="18"/>
              </w:rPr>
              <w:t>;</w:t>
            </w:r>
          </w:p>
          <w:p w14:paraId="73087CB0" w14:textId="464E8FAB" w:rsidR="00A23221" w:rsidRPr="00A23221" w:rsidRDefault="00A23221" w:rsidP="002B2BAE">
            <w:pPr>
              <w:pStyle w:val="ListParagraph"/>
              <w:numPr>
                <w:ilvl w:val="0"/>
                <w:numId w:val="1"/>
              </w:numPr>
              <w:ind w:left="318" w:hanging="283"/>
              <w:rPr>
                <w:rFonts w:asciiTheme="minorHAnsi" w:hAnsiTheme="minorHAnsi"/>
                <w:sz w:val="18"/>
                <w:szCs w:val="18"/>
              </w:rPr>
            </w:pPr>
            <w:r w:rsidRPr="00A23221">
              <w:rPr>
                <w:rFonts w:asciiTheme="minorHAnsi" w:hAnsiTheme="minorHAnsi"/>
                <w:sz w:val="18"/>
                <w:szCs w:val="18"/>
              </w:rPr>
              <w:lastRenderedPageBreak/>
              <w:t>Value assessments are resource- and time-intensive</w:t>
            </w:r>
            <w:r>
              <w:rPr>
                <w:rFonts w:asciiTheme="minorHAnsi" w:hAnsiTheme="minorHAnsi"/>
                <w:sz w:val="18"/>
                <w:szCs w:val="18"/>
              </w:rPr>
              <w:t>.</w:t>
            </w:r>
          </w:p>
          <w:p w14:paraId="3843E3C3" w14:textId="77777777" w:rsidR="002B2BAE" w:rsidRPr="00A23221" w:rsidRDefault="002B2BAE" w:rsidP="002B2BAE">
            <w:pPr>
              <w:pStyle w:val="Table"/>
              <w:ind w:left="287"/>
            </w:pPr>
          </w:p>
          <w:p w14:paraId="300F5023" w14:textId="77777777" w:rsidR="002B2BAE" w:rsidRPr="006A2D59" w:rsidRDefault="002B2BAE" w:rsidP="002B2BAE">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Feasibility:</w:t>
            </w:r>
          </w:p>
          <w:p w14:paraId="25962ACC" w14:textId="77777777" w:rsidR="002B2BAE" w:rsidRPr="00C657D5" w:rsidRDefault="002B2BAE" w:rsidP="002B2BAE">
            <w:pPr>
              <w:rPr>
                <w:rFonts w:asciiTheme="minorHAnsi" w:hAnsiTheme="minorHAnsi"/>
                <w:i/>
                <w:iCs/>
                <w:sz w:val="18"/>
                <w:szCs w:val="18"/>
              </w:rPr>
            </w:pPr>
            <w:r w:rsidRPr="00C657D5">
              <w:rPr>
                <w:rFonts w:asciiTheme="minorHAnsi" w:hAnsiTheme="minorHAnsi"/>
                <w:i/>
                <w:iCs/>
                <w:sz w:val="18"/>
                <w:szCs w:val="18"/>
              </w:rPr>
              <w:t>General:</w:t>
            </w:r>
          </w:p>
          <w:p w14:paraId="0CF48F88" w14:textId="5009EB35" w:rsidR="002B2BAE" w:rsidRDefault="002B2BAE" w:rsidP="002B2BAE">
            <w:pPr>
              <w:pStyle w:val="ListParagraph"/>
              <w:numPr>
                <w:ilvl w:val="0"/>
                <w:numId w:val="1"/>
              </w:numPr>
              <w:ind w:left="318" w:hanging="283"/>
              <w:rPr>
                <w:rFonts w:asciiTheme="minorHAnsi" w:hAnsiTheme="minorHAnsi"/>
                <w:sz w:val="18"/>
                <w:szCs w:val="18"/>
              </w:rPr>
            </w:pPr>
            <w:r w:rsidRPr="00C657D5">
              <w:rPr>
                <w:rFonts w:asciiTheme="minorHAnsi" w:hAnsiTheme="minorHAnsi"/>
                <w:sz w:val="18"/>
                <w:szCs w:val="18"/>
              </w:rPr>
              <w:t>Difficult to implement, especially in therapeutic areas with no alternative treatment and patients suffering from severe life-threatening/debilitating disease</w:t>
            </w:r>
            <w:r w:rsidR="00F13037">
              <w:rPr>
                <w:rFonts w:asciiTheme="minorHAnsi" w:hAnsiTheme="minorHAnsi"/>
                <w:sz w:val="18"/>
                <w:szCs w:val="18"/>
              </w:rPr>
              <w:t>;</w:t>
            </w:r>
          </w:p>
          <w:p w14:paraId="06ACB088" w14:textId="16B1492D" w:rsidR="00F13037" w:rsidRPr="00C657D5" w:rsidRDefault="00F13037" w:rsidP="002B2BAE">
            <w:pPr>
              <w:pStyle w:val="ListParagraph"/>
              <w:numPr>
                <w:ilvl w:val="0"/>
                <w:numId w:val="1"/>
              </w:numPr>
              <w:ind w:left="318" w:hanging="283"/>
              <w:rPr>
                <w:rFonts w:asciiTheme="minorHAnsi" w:hAnsiTheme="minorHAnsi"/>
                <w:sz w:val="18"/>
                <w:szCs w:val="18"/>
              </w:rPr>
            </w:pPr>
            <w:r w:rsidRPr="00F13037">
              <w:rPr>
                <w:rFonts w:asciiTheme="minorHAnsi" w:hAnsiTheme="minorHAnsi"/>
                <w:sz w:val="18"/>
                <w:szCs w:val="18"/>
              </w:rPr>
              <w:t>Perceptions of value may differ across stakeholder groups;</w:t>
            </w:r>
          </w:p>
          <w:p w14:paraId="1D330975" w14:textId="77777777" w:rsidR="002B2BAE" w:rsidRPr="00C657D5" w:rsidRDefault="002B2BAE" w:rsidP="002B2BAE">
            <w:pPr>
              <w:pStyle w:val="ListParagraph"/>
              <w:ind w:left="336"/>
              <w:rPr>
                <w:rFonts w:asciiTheme="minorHAnsi" w:hAnsiTheme="minorHAnsi"/>
                <w:sz w:val="18"/>
                <w:szCs w:val="18"/>
              </w:rPr>
            </w:pPr>
          </w:p>
          <w:p w14:paraId="49FE980F" w14:textId="77777777" w:rsidR="002B2BAE" w:rsidRPr="00C657D5" w:rsidRDefault="002B2BAE" w:rsidP="002B2BAE">
            <w:pPr>
              <w:rPr>
                <w:rFonts w:asciiTheme="minorHAnsi" w:hAnsiTheme="minorHAnsi"/>
                <w:i/>
                <w:iCs/>
                <w:sz w:val="18"/>
                <w:szCs w:val="18"/>
              </w:rPr>
            </w:pPr>
            <w:r w:rsidRPr="00C657D5">
              <w:rPr>
                <w:rFonts w:asciiTheme="minorHAnsi" w:hAnsiTheme="minorHAnsi"/>
                <w:i/>
                <w:iCs/>
                <w:sz w:val="18"/>
                <w:szCs w:val="18"/>
              </w:rPr>
              <w:t>FR:</w:t>
            </w:r>
          </w:p>
          <w:p w14:paraId="471C4706" w14:textId="77777777" w:rsidR="002B2BAE" w:rsidRPr="00C657D5" w:rsidRDefault="002B2BAE" w:rsidP="002B2BAE">
            <w:pPr>
              <w:pStyle w:val="ListParagraph"/>
              <w:numPr>
                <w:ilvl w:val="0"/>
                <w:numId w:val="1"/>
              </w:numPr>
              <w:ind w:left="318" w:hanging="283"/>
              <w:rPr>
                <w:rFonts w:asciiTheme="minorHAnsi" w:hAnsiTheme="minorHAnsi"/>
                <w:sz w:val="18"/>
                <w:szCs w:val="18"/>
              </w:rPr>
            </w:pPr>
            <w:r w:rsidRPr="00C657D5">
              <w:rPr>
                <w:rFonts w:asciiTheme="minorHAnsi" w:hAnsiTheme="minorHAnsi"/>
                <w:sz w:val="18"/>
                <w:szCs w:val="18"/>
              </w:rPr>
              <w:t>Price regulation is insufficient to control spending and should be combined with spending budgets.</w:t>
            </w:r>
          </w:p>
          <w:p w14:paraId="22C90623" w14:textId="77777777" w:rsidR="00CB7AA6" w:rsidRPr="00C657D5" w:rsidRDefault="00CB7AA6" w:rsidP="002B2BAE">
            <w:pPr>
              <w:rPr>
                <w:rFonts w:asciiTheme="minorHAnsi" w:hAnsiTheme="minorHAnsi"/>
                <w:sz w:val="18"/>
                <w:szCs w:val="18"/>
              </w:rPr>
            </w:pPr>
          </w:p>
          <w:p w14:paraId="279B56F5" w14:textId="77777777" w:rsidR="002B2BAE" w:rsidRPr="00C657D5" w:rsidRDefault="002B2BAE" w:rsidP="002B2BAE">
            <w:pPr>
              <w:rPr>
                <w:rFonts w:asciiTheme="minorHAnsi" w:hAnsiTheme="minorHAnsi"/>
                <w:sz w:val="18"/>
                <w:szCs w:val="18"/>
              </w:rPr>
            </w:pPr>
            <w:r w:rsidRPr="00C657D5">
              <w:rPr>
                <w:rFonts w:asciiTheme="minorHAnsi" w:hAnsiTheme="minorHAnsi"/>
                <w:i/>
                <w:iCs/>
                <w:sz w:val="18"/>
                <w:szCs w:val="18"/>
              </w:rPr>
              <w:t>US:</w:t>
            </w:r>
          </w:p>
          <w:p w14:paraId="573005BA" w14:textId="0D63B645" w:rsidR="002B2BAE" w:rsidRPr="006A2D59" w:rsidRDefault="002B2BAE" w:rsidP="002B2BAE">
            <w:pPr>
              <w:pStyle w:val="ListParagraph"/>
              <w:numPr>
                <w:ilvl w:val="0"/>
                <w:numId w:val="1"/>
              </w:numPr>
              <w:ind w:left="318" w:hanging="283"/>
            </w:pPr>
            <w:r w:rsidRPr="00C657D5">
              <w:rPr>
                <w:rFonts w:asciiTheme="minorHAnsi" w:hAnsiTheme="minorHAnsi"/>
                <w:sz w:val="18"/>
                <w:szCs w:val="18"/>
              </w:rPr>
              <w:t>Effective implementation of AMNOG-like system would require revisit of coverage and price negotiation rules.</w:t>
            </w:r>
          </w:p>
        </w:tc>
      </w:tr>
      <w:tr w:rsidR="009E3ACA" w:rsidRPr="006A2D59" w14:paraId="6CF89757" w14:textId="77777777" w:rsidTr="00D922B3">
        <w:tc>
          <w:tcPr>
            <w:tcW w:w="1529" w:type="dxa"/>
          </w:tcPr>
          <w:p w14:paraId="29609D32" w14:textId="77777777" w:rsidR="009E3ACA" w:rsidRPr="006A2D59" w:rsidRDefault="009E3ACA" w:rsidP="009E3ACA">
            <w:pPr>
              <w:pStyle w:val="Caption"/>
              <w:spacing w:after="0"/>
              <w:rPr>
                <w:rFonts w:ascii="Aptos" w:hAnsi="Aptos"/>
                <w:i w:val="0"/>
                <w:iCs w:val="0"/>
                <w:color w:val="auto"/>
                <w:lang w:val="en-GB"/>
              </w:rPr>
            </w:pPr>
            <w:r w:rsidRPr="006A2D59">
              <w:rPr>
                <w:rFonts w:ascii="Aptos" w:hAnsi="Aptos"/>
                <w:i w:val="0"/>
                <w:iCs w:val="0"/>
                <w:color w:val="auto"/>
                <w:lang w:val="en-GB"/>
              </w:rPr>
              <w:lastRenderedPageBreak/>
              <w:t>Other policy interventions</w:t>
            </w:r>
          </w:p>
        </w:tc>
        <w:tc>
          <w:tcPr>
            <w:tcW w:w="2861" w:type="dxa"/>
          </w:tcPr>
          <w:p w14:paraId="7A7B4E91" w14:textId="5CEDADB5" w:rsidR="009E3ACA" w:rsidRPr="009E3ACA" w:rsidRDefault="009E3ACA" w:rsidP="009E3ACA">
            <w:pPr>
              <w:pStyle w:val="Table"/>
              <w:rPr>
                <w:i/>
                <w:iCs/>
              </w:rPr>
            </w:pPr>
            <w:r w:rsidRPr="009E3ACA">
              <w:rPr>
                <w:rFonts w:cs="Times New Roman"/>
                <w:color w:val="2B579A"/>
                <w:shd w:val="clear" w:color="auto" w:fill="E6E6E6"/>
              </w:rPr>
              <w:fldChar w:fldCharType="begin"/>
            </w:r>
            <w:r w:rsidRPr="009E3ACA">
              <w:rPr>
                <w:rFonts w:cs="Times New Roman"/>
              </w:rPr>
              <w:instrText xml:space="preserve"> ADDIN ZOTERO_ITEM CSL_CITATION {"citationID":"Bq6weZU7","properties":{"formattedCitation":"[101, 102, 122, 123, 130, 131]","plainCitation":"[101, 102, 122, 123, 130, 131]","noteIndex":0},"citationItems":[{"id":15790,"uris":["http://zotero.org/users/10480792/items/HMYFDCWI"],"itemData":{"id":15790,"type":"article-journal","abstract":"Background and objectives: Governments in Asia Pacific (APAC) are increasingly using pharmaceutical pricing strategies to contain rising healthcare costs. The objective of this narrative review is to discuss formal pricing strategies for reimbursed prescription medication in APAC, supported by relevant examples of implementation differences across countries. In the discussion section, we examine key advantages and disadvantages of each strategy. Methods: A narrative review of the peer-reviewed and grey literature was undertaken to retrieve information, including strategy definitions, practising countries, country-specific implementation considerations, and merits and demerits of each strategy. Results: Seven strategies (Internal Reference Pricing, External Reference Pricing, Special Pricing Agreements, Pharmacoeconomic Evaluation, Cost plus pricing, Price Maintenance Premium, and Tendering and negotiations) were identified as most commonly practised in APAC through the review process. Most countries use multiple strategies that differ in how they are implemented. Conclusion: APAC countries use multiple strategies simultaneously with varying implementation methods, including different formulae and sub-types of medication that a strategy applies to, whether the strategy is a mandate or guideline, and the extent of negotiations and transparency. Strategies are instituted partly with the aim of cost containment, and may also promote price stability, innovation, and increased access in the short and longer term. Abbreviations: APAC - Asia Pacific; WHO - World Health Organisation; IRP - Internal Reference Pricing; ERP - External Reference Pricing; SPA - Special Pricing Agreement; MES - Managed Entry Scheme; PVA - Price-Volume Agreement; RSA - Risk Sharing Agreement; NHIS - National Health Insurance System; PE - Pharmacoeconomic Evaluation; CEA - Cost-Effectiveness Analysis; QALY - Quality-adjusted Life Year; BIA - Budget Impact Analysis; PMP - Price Maintenance Premium; R&amp;D - Research &amp; Development.","archive_location":"31007877","container-title":"J Mark Access Health Policy","DOI":"10.1080/20016689.2019.1601060","ISSN":"2001-6689","issue":"1","page":"1601060","title":"Government pharmaceutical pricing strategies in the Asia-Pacific region: an overview","volume":"7","author":[{"family":"Verghese","given":"N. R."},{"family":"Barrenetxea","given":"J."},{"family":"Bhargava","given":"Y."},{"family":"Agrawal","given":"S."},{"family":"Finkelstein","given":"E. A."}],"issued":{"date-parts":[["2019"]]},"citation-key":"vergheseGovernmentPharmaceuticalPricing2019"}},{"id":16043,"uris":["http://zotero.org/users/10480792/items/B7AC9ZSG"],"itemData":{"id":16043,"type":"article-journal","abstract":"BACKGROUND: In Japan, National Health Insurance (NHI) has ensured that all Japanese citizens can use the health services they need for more than 50 years. This paper gives an overview of the Japanese NHI drug price listing scheme and practice, and it also discusses the issue of drug price setting and health insurance system from the viewpoint of better patient access to new drugs as well as the environment for innovative new drug development. METHODS: For each New Molecular Entity (NME) approved between October 2004 and December 2014, we checked its presence in the list of NHI drug prices as of January 31, 2015, to calculate the NHI coverage rate and the average time between marketing approval and the date of NHI listing. RESULTS: A total of 304 NMEs were listed in the NHI price list during the study period, and the NHI coverage rate (excepting preventive vaccines) was 97.4%. The average time between marketing authorization and the initiation of reimbursement was 66 days. There were 88 drugs that gained premiums for innovativeness/usefulness. CONCLUSIONS: From the view of NHI coverage scope and speed, the hurdle to access new drugs in Japan is shown to be lower than in other countries that also set public prices for reimbursement. Although the difficulty of controlling health expenditures increases, drug pricing that properly reflects the drug's clinical value is important in that it also furthers the development of medical technology. Better price setting can also facilitate patient access to innovative drugs.","archive_location":"30227073","container-title":"Ther. innov. regul. sci.","DOI":"10.1177/2168479015619202","ISSN":"2168-4804","issue":"3","page":"361-367","title":"Pharmaceutical Pricing and Reimbursement in Japan: For Faster, More Complete Access to New Drugs","volume":"50","author":[{"family":"Takayama","given":"A."},{"family":"Narukawa","given":"M."}],"issued":{"date-parts":[["2016",5]]},"citation-key":"takayamaPharmaceuticalPricingReimbursement2016"}},{"id":15954,"uris":["http://zotero.org/users/10480792/items/S6TXAX5E"],"itemData":{"id":15954,"type":"article-journal","abstract":"Japan is now the second largest pharmaceutical market in the world. As a unique population, it provides many opportunities for pharmaceutical companies to develop their businesses. However, the market is strictly regulated by the government, and drug prices are determined according to the rules in Japan. Nevertheless, no detailed empirical analyses have been conducted to clarify what opportunities may exist for pharmaceutical companies in the future. In the present article, we reviewed the pros and cons of the Japanese pharmaceutical market including related regulations, discussed our analyses of economic and regulatory science, and provided future perspectives on drug development and the pharmaceutical market in Japan. Specifically, we first clarified the Japanese pharmaceutical market profile using the publically available market database. Second, we reviewed the Japanese pharmaceutical pricing system, and found inconsistencies between the “pricing premium for the promotion of new drug development and the elimination/resolution of off-label use” and “repricing for market expansion” based on our literature review. Finally, we provided future perspectives on the pharmaceutical markets in Japan, as well as the direction of the research and development of new drugs.","archive":"Embase","container-title":"J Generic Med","DOI":"10.1177/1741134317737344","ISSN":"1741-7090 1741-1343","issue":"2","language":"English","page":"70-80","title":"The pharmaceutical market and drug development prognosis in Japan: Current and future perspectives according to pharmacological classes","volume":"14","author":[{"family":"Shibata","given":"S."},{"family":"Suzuki","given":"T."}],"issued":{"date-parts":[["2018"]]},"citation-key":"shibataPharmaceuticalMarketDrug2018"}},{"id":16026,"uris":["http://zotero.org/users/10480792/items/SH4RLDCJ"],"itemData":{"id":16026,"type":"article-journal","abstract":"BACKGROUND: In 1994, the \"Repricing for Market Expansion\" system (the repricing system) was introduced to the pharmaceutical market in Japan to improve the financial performance of the national health insurance system. In 2010, the \"Reward Premiums for the Promotion of Innovative Drug Discovery and the Resolution of Off-Label Use Issue, Etc.\" system (the reward system) was introduced to promote the development of new drugs. This study evaluates the effectiveness of these systems from an empirical perspective. METHOD: The data set used in this study was created using publicly available information from the Ministry of Health, Labour and Welfare (MHLW) website and a market database maintained by IMS Japan Pharmaceutical Market Sales. RESULTS: Anticancer or immunomodulating drugs were the most frequently affected by the repricing system. The sales of similar drugs did not exceed double the sales forecast, and to begin with, the repricing system was not applied to these drugs, unintentionally reducing the profitability of pharmaceutical companies. In addition, we found that pharmaceutical expenditures have been steadily and significantly increasing, although this aspect is just one of the circumstances surrounding the Japanese pharmaceutical market. CONCLUSIONS: On the basis of these results, we propose that the current repricing system be replaced with one using a market mechanism that can evaluate the value of drugs from an economic perspective and help improving the financial performance of the national health insurance system. We also suggest that the number of generic medications on the market in Japan be increased to a ratio equivalent to those of the US and EU. We hope that the perspectives on Japan's unique drug pricing system obtained from this article are utilized by pharmaceutical companies in developing their businesses in Japan.","archive_location":"30231734","container-title":"Ther. innov. regul. sci.","DOI":"10.1177/2168479016652927","ISSN":"2168-4804","issue":"6","page":"751-758","title":"Evaluating the Effectiveness of Repricing for Market Expansion in the Japanese Drug Pricing System","volume":"50","author":[{"family":"Shibata","given":"S."},{"family":"Uemura","given":"R."},{"family":"Suzuki","given":"T."}],"issued":{"date-parts":[["2016",11]]},"citation-key":"shibataEvaluatingEffectivenessRepricing2016"}},{"id":16093,"uris":["http://zotero.org/users/10480792/items/ATDZ36NA"],"itemData":{"id":16093,"type":"article-journal","abstract":"Rural-urban cancer disparities, including greater mortality rates, are partially attributable to the limited availability of oncology services in rural communities. Without these services, rural residents may experience delays in timely treatment and may be less likely to complete recommended care. The 340B Drug Pricing Program allows eligible not-for-profit and public hospitals to purchase covered outpatient drugs, including high-cost oncology drugs, at discounted prices. Using 2011-20 data, we evaluated the relationship between new enrollment in the 340B program and oncology services initiation in rural general acute care hospitals that lacked oncology services in 2011. Compared with hospitals that remained unenrolled in the 340B program through 2020, hospitals that enrolled during 2012-18 were 8.3 percentage points more likely to have added oncology services as of 2020. The newly participating hospitals that added oncology services were disproportionately located in Medicaid expansion states and in counties with lower uninsurance rates. These findings suggest that the 340B program facilitates expanded access to oncology services in some rural communities, but opportunities remain to address disparities in the most disadvantaged service areas.","archive_location":"37276477","container-title":"Health Aff (Millwood)","DOI":"10.1377/hlthaff.2022.01640","ISSN":"1544-5208","issue":"6","page":"785-794","title":"Access To Oncology Services In Rural Areas: Influence Of The 340B Drug Pricing Program","volume":"42","author":[{"family":"Owsley","given":"K. M."},{"family":"Bradley","given":"C. J."}],"issued":{"date-parts":[["2023"]]},"citation-key":"owsleyAccessOncologyServices2023"}},{"id":16097,"uris":["http://zotero.org/users/10480792/items/QJL8L6MW"],"itemData":{"id":16097,"type":"article-journal","abstract":"In an effort to control costs, the Centers for Medicare and Medicaid Services wants to exact a severe reduction in reimbursement to hospitals that participate in the 340B Drug Pricing Program. The author discusses the program's shortcomings, the actions taken to address them, and how participating hospitals might be affected by the cut.","archive_location":"29018298","container-title":"P T","ISSN":"1052-1372","issue":"10","page":"628-631","title":"More Clouds Form Over 340B Program: Potential Medicare Cut Underlines Need to Rein In Program","volume":"42","author":[{"family":"Barlas","given":"S."}],"issued":{"date-parts":[["2017",10]]},"citation-key":"barlasMoreCloudsForm2017"}}],"schema":"https://github.com/citation-style-language/schema/raw/master/csl-citation.json"} </w:instrText>
            </w:r>
            <w:r w:rsidRPr="009E3ACA">
              <w:rPr>
                <w:rFonts w:cs="Times New Roman"/>
                <w:color w:val="2B579A"/>
                <w:shd w:val="clear" w:color="auto" w:fill="E6E6E6"/>
              </w:rPr>
              <w:fldChar w:fldCharType="separate"/>
            </w:r>
            <w:r w:rsidRPr="009E3ACA">
              <w:rPr>
                <w:rFonts w:cs="Times New Roman"/>
                <w:noProof/>
              </w:rPr>
              <w:t>[101, 102, 122, 123, 130, 131]</w:t>
            </w:r>
            <w:r w:rsidRPr="009E3ACA">
              <w:rPr>
                <w:rFonts w:cs="Times New Roman"/>
                <w:color w:val="2B579A"/>
                <w:shd w:val="clear" w:color="auto" w:fill="E6E6E6"/>
              </w:rPr>
              <w:fldChar w:fldCharType="end"/>
            </w:r>
          </w:p>
        </w:tc>
        <w:tc>
          <w:tcPr>
            <w:tcW w:w="6662" w:type="dxa"/>
          </w:tcPr>
          <w:p w14:paraId="678214D9" w14:textId="77777777" w:rsidR="009E3ACA" w:rsidRPr="006A2D59" w:rsidRDefault="009E3ACA" w:rsidP="009E3ACA">
            <w:pPr>
              <w:pStyle w:val="Caption"/>
              <w:spacing w:after="0"/>
              <w:rPr>
                <w:rFonts w:asciiTheme="minorHAnsi" w:hAnsiTheme="minorHAnsi"/>
                <w:b/>
                <w:bCs/>
                <w:i w:val="0"/>
                <w:iCs w:val="0"/>
                <w:color w:val="auto"/>
                <w:lang w:val="en-GB"/>
              </w:rPr>
            </w:pPr>
            <w:r w:rsidRPr="006A2D59">
              <w:rPr>
                <w:rFonts w:asciiTheme="minorHAnsi" w:hAnsiTheme="minorHAnsi"/>
                <w:b/>
                <w:bCs/>
                <w:i w:val="0"/>
                <w:iCs w:val="0"/>
                <w:color w:val="auto"/>
                <w:lang w:val="en-GB"/>
              </w:rPr>
              <w:t>Affordability:</w:t>
            </w:r>
          </w:p>
          <w:p w14:paraId="53705370" w14:textId="77777777" w:rsidR="009E3ACA" w:rsidRPr="00CE1F05" w:rsidRDefault="009E3ACA" w:rsidP="009E3ACA">
            <w:pPr>
              <w:rPr>
                <w:rFonts w:asciiTheme="minorHAnsi" w:hAnsiTheme="minorHAnsi"/>
                <w:i/>
                <w:iCs/>
                <w:sz w:val="18"/>
                <w:szCs w:val="18"/>
              </w:rPr>
            </w:pPr>
            <w:r w:rsidRPr="00CE1F05">
              <w:rPr>
                <w:rFonts w:asciiTheme="minorHAnsi" w:hAnsiTheme="minorHAnsi"/>
                <w:i/>
                <w:iCs/>
                <w:sz w:val="18"/>
                <w:szCs w:val="18"/>
              </w:rPr>
              <w:t>US:</w:t>
            </w:r>
          </w:p>
          <w:p w14:paraId="72DCD6BD" w14:textId="4CE24E27" w:rsidR="009E3ACA" w:rsidRPr="00CE1F05" w:rsidRDefault="009E3ACA" w:rsidP="009E3ACA">
            <w:pPr>
              <w:pStyle w:val="ListParagraph"/>
              <w:numPr>
                <w:ilvl w:val="0"/>
                <w:numId w:val="1"/>
              </w:numPr>
              <w:ind w:left="456" w:hanging="426"/>
              <w:rPr>
                <w:sz w:val="18"/>
                <w:szCs w:val="18"/>
              </w:rPr>
            </w:pPr>
            <w:r w:rsidRPr="00CE1F05">
              <w:rPr>
                <w:rFonts w:asciiTheme="minorHAnsi" w:hAnsiTheme="minorHAnsi"/>
                <w:sz w:val="18"/>
                <w:szCs w:val="18"/>
                <w:lang w:val="en-US"/>
              </w:rPr>
              <w:t xml:space="preserve">340B Pricing Programme: reduced acquisition costs for oncology </w:t>
            </w:r>
            <w:r w:rsidR="008E76A9">
              <w:rPr>
                <w:rFonts w:asciiTheme="minorHAnsi" w:hAnsiTheme="minorHAnsi"/>
                <w:sz w:val="18"/>
                <w:szCs w:val="18"/>
                <w:lang w:val="en-US"/>
              </w:rPr>
              <w:t>MP</w:t>
            </w:r>
            <w:r w:rsidRPr="00CE1F05">
              <w:rPr>
                <w:rFonts w:asciiTheme="minorHAnsi" w:hAnsiTheme="minorHAnsi"/>
                <w:sz w:val="18"/>
                <w:szCs w:val="18"/>
                <w:lang w:val="en-US"/>
              </w:rPr>
              <w:t>s.</w:t>
            </w:r>
          </w:p>
          <w:p w14:paraId="2B95C8F1" w14:textId="77777777" w:rsidR="009E3ACA" w:rsidRPr="00CE1F05" w:rsidRDefault="009E3ACA" w:rsidP="009E3ACA">
            <w:pPr>
              <w:pStyle w:val="Table"/>
              <w:ind w:left="1134"/>
            </w:pPr>
          </w:p>
          <w:p w14:paraId="1D26F2BE" w14:textId="77777777" w:rsidR="009E3ACA" w:rsidRPr="006A2D59" w:rsidRDefault="009E3ACA" w:rsidP="009E3ACA">
            <w:pPr>
              <w:pStyle w:val="Caption"/>
              <w:spacing w:after="0"/>
              <w:rPr>
                <w:rFonts w:asciiTheme="minorHAnsi" w:hAnsiTheme="minorHAnsi"/>
                <w:b/>
                <w:bCs/>
                <w:i w:val="0"/>
                <w:iCs w:val="0"/>
                <w:color w:val="auto"/>
                <w:lang w:val="en-GB"/>
              </w:rPr>
            </w:pPr>
            <w:r w:rsidRPr="006A2D59">
              <w:rPr>
                <w:rFonts w:asciiTheme="minorHAnsi" w:hAnsiTheme="minorHAnsi"/>
                <w:b/>
                <w:bCs/>
                <w:i w:val="0"/>
                <w:iCs w:val="0"/>
                <w:color w:val="auto"/>
                <w:lang w:val="en-GB"/>
              </w:rPr>
              <w:t>Availability:</w:t>
            </w:r>
          </w:p>
          <w:p w14:paraId="7EBEAB80" w14:textId="77777777" w:rsidR="009E3ACA" w:rsidRPr="008E6D95" w:rsidRDefault="009E3ACA" w:rsidP="009E3ACA">
            <w:pPr>
              <w:rPr>
                <w:rFonts w:asciiTheme="minorHAnsi" w:hAnsiTheme="minorHAnsi"/>
                <w:i/>
                <w:iCs/>
                <w:sz w:val="18"/>
                <w:szCs w:val="18"/>
              </w:rPr>
            </w:pPr>
            <w:r w:rsidRPr="008E6D95">
              <w:rPr>
                <w:rFonts w:asciiTheme="minorHAnsi" w:hAnsiTheme="minorHAnsi"/>
                <w:i/>
                <w:iCs/>
                <w:sz w:val="18"/>
                <w:szCs w:val="18"/>
              </w:rPr>
              <w:t>US:</w:t>
            </w:r>
          </w:p>
          <w:p w14:paraId="4C478B38" w14:textId="73C643BC" w:rsidR="009E3ACA" w:rsidRPr="008E6D95" w:rsidRDefault="009E3ACA" w:rsidP="009E3ACA">
            <w:pPr>
              <w:pStyle w:val="ListParagraph"/>
              <w:numPr>
                <w:ilvl w:val="0"/>
                <w:numId w:val="1"/>
              </w:numPr>
              <w:ind w:left="456" w:hanging="426"/>
              <w:rPr>
                <w:sz w:val="18"/>
                <w:szCs w:val="18"/>
              </w:rPr>
            </w:pPr>
            <w:r w:rsidRPr="008E6D95">
              <w:rPr>
                <w:rFonts w:asciiTheme="minorHAnsi" w:hAnsiTheme="minorHAnsi"/>
                <w:sz w:val="18"/>
                <w:szCs w:val="18"/>
              </w:rPr>
              <w:t xml:space="preserve">340B </w:t>
            </w:r>
            <w:r w:rsidRPr="008E6D95">
              <w:rPr>
                <w:rFonts w:asciiTheme="minorHAnsi" w:hAnsiTheme="minorHAnsi"/>
                <w:sz w:val="18"/>
                <w:szCs w:val="18"/>
                <w:lang w:val="en-US"/>
              </w:rPr>
              <w:t>Pricing</w:t>
            </w:r>
            <w:r w:rsidRPr="008E6D95">
              <w:rPr>
                <w:rFonts w:asciiTheme="minorHAnsi" w:hAnsiTheme="minorHAnsi"/>
                <w:sz w:val="18"/>
                <w:szCs w:val="18"/>
              </w:rPr>
              <w:t xml:space="preserve"> Programme: reduced acquisition costs helped promote </w:t>
            </w:r>
            <w:r w:rsidRPr="006602EA">
              <w:rPr>
                <w:rFonts w:asciiTheme="minorHAnsi" w:hAnsiTheme="minorHAnsi"/>
                <w:sz w:val="18"/>
                <w:szCs w:val="18"/>
                <w:lang w:val="en-US"/>
              </w:rPr>
              <w:t>increase</w:t>
            </w:r>
            <w:r w:rsidRPr="008E6D95">
              <w:rPr>
                <w:rFonts w:asciiTheme="minorHAnsi" w:hAnsiTheme="minorHAnsi"/>
                <w:sz w:val="18"/>
                <w:szCs w:val="18"/>
              </w:rPr>
              <w:t xml:space="preserve"> in access to high-cost oncology services.</w:t>
            </w:r>
          </w:p>
          <w:p w14:paraId="6208F60F" w14:textId="77777777" w:rsidR="009E3ACA" w:rsidRPr="008E6D95" w:rsidRDefault="009E3ACA" w:rsidP="009E3ACA">
            <w:pPr>
              <w:pStyle w:val="Table"/>
              <w:ind w:left="287"/>
            </w:pPr>
          </w:p>
          <w:p w14:paraId="6FB4B04B" w14:textId="77777777" w:rsidR="009E3ACA" w:rsidRPr="006A2D59" w:rsidRDefault="009E3ACA" w:rsidP="009E3ACA">
            <w:pPr>
              <w:pStyle w:val="Caption"/>
              <w:spacing w:after="0"/>
              <w:rPr>
                <w:rFonts w:asciiTheme="minorHAnsi" w:hAnsiTheme="minorHAnsi"/>
                <w:b/>
                <w:bCs/>
                <w:i w:val="0"/>
                <w:iCs w:val="0"/>
                <w:color w:val="auto"/>
                <w:lang w:val="en-GB"/>
              </w:rPr>
            </w:pPr>
            <w:r w:rsidRPr="006A2D59">
              <w:rPr>
                <w:rFonts w:asciiTheme="minorHAnsi" w:hAnsiTheme="minorHAnsi"/>
                <w:b/>
                <w:bCs/>
                <w:i w:val="0"/>
                <w:iCs w:val="0"/>
                <w:color w:val="auto"/>
                <w:lang w:val="en-GB"/>
              </w:rPr>
              <w:t>Sustainability:</w:t>
            </w:r>
          </w:p>
          <w:p w14:paraId="2D8E17F2" w14:textId="77777777" w:rsidR="009E3ACA" w:rsidRPr="00ED59C6" w:rsidRDefault="009E3ACA" w:rsidP="009E3ACA">
            <w:pPr>
              <w:rPr>
                <w:rFonts w:asciiTheme="minorHAnsi" w:hAnsiTheme="minorHAnsi"/>
                <w:sz w:val="18"/>
                <w:szCs w:val="18"/>
              </w:rPr>
            </w:pPr>
            <w:r w:rsidRPr="00ED59C6">
              <w:rPr>
                <w:rFonts w:asciiTheme="minorHAnsi" w:hAnsiTheme="minorHAnsi"/>
                <w:i/>
                <w:iCs/>
                <w:sz w:val="18"/>
                <w:szCs w:val="18"/>
              </w:rPr>
              <w:lastRenderedPageBreak/>
              <w:t>JP:</w:t>
            </w:r>
          </w:p>
          <w:p w14:paraId="742AA494" w14:textId="3F395B75" w:rsidR="009E3ACA" w:rsidRPr="00ED59C6" w:rsidRDefault="009E3ACA" w:rsidP="009E3ACA">
            <w:pPr>
              <w:pStyle w:val="ListParagraph"/>
              <w:numPr>
                <w:ilvl w:val="0"/>
                <w:numId w:val="1"/>
              </w:numPr>
              <w:ind w:left="456" w:hanging="426"/>
              <w:rPr>
                <w:rFonts w:asciiTheme="minorHAnsi" w:hAnsiTheme="minorHAnsi"/>
                <w:sz w:val="18"/>
                <w:szCs w:val="18"/>
              </w:rPr>
            </w:pPr>
            <w:r w:rsidRPr="00ED59C6">
              <w:rPr>
                <w:rFonts w:asciiTheme="minorHAnsi" w:hAnsiTheme="minorHAnsi"/>
                <w:sz w:val="18"/>
                <w:szCs w:val="18"/>
              </w:rPr>
              <w:t>Price Maintenance Premium: Potentially higher expenses for governments already concerned with high costs if premiums are overly generous.</w:t>
            </w:r>
          </w:p>
          <w:p w14:paraId="12B406FA" w14:textId="77777777" w:rsidR="009E3ACA" w:rsidRPr="00ED59C6" w:rsidRDefault="009E3ACA" w:rsidP="009E3ACA">
            <w:pPr>
              <w:rPr>
                <w:rFonts w:asciiTheme="minorHAnsi" w:hAnsiTheme="minorHAnsi"/>
                <w:sz w:val="18"/>
                <w:szCs w:val="18"/>
              </w:rPr>
            </w:pPr>
          </w:p>
          <w:p w14:paraId="22F8C2A6" w14:textId="77777777" w:rsidR="009E3ACA" w:rsidRPr="006A2D59" w:rsidRDefault="009E3ACA" w:rsidP="009E3ACA">
            <w:pPr>
              <w:pStyle w:val="Caption"/>
              <w:spacing w:after="0"/>
              <w:rPr>
                <w:rFonts w:asciiTheme="minorHAnsi" w:hAnsiTheme="minorHAnsi"/>
                <w:b/>
                <w:bCs/>
                <w:i w:val="0"/>
                <w:iCs w:val="0"/>
                <w:color w:val="auto"/>
                <w:lang w:val="en-GB"/>
              </w:rPr>
            </w:pPr>
            <w:r w:rsidRPr="006A2D59">
              <w:rPr>
                <w:rFonts w:asciiTheme="minorHAnsi" w:hAnsiTheme="minorHAnsi"/>
                <w:b/>
                <w:bCs/>
                <w:i w:val="0"/>
                <w:iCs w:val="0"/>
                <w:color w:val="auto"/>
                <w:lang w:val="en-GB"/>
              </w:rPr>
              <w:t>Equity:</w:t>
            </w:r>
          </w:p>
          <w:p w14:paraId="672B2803" w14:textId="77777777" w:rsidR="009E3ACA" w:rsidRPr="00E54EE4" w:rsidRDefault="009E3ACA" w:rsidP="009E3ACA">
            <w:pPr>
              <w:rPr>
                <w:rFonts w:asciiTheme="minorHAnsi" w:hAnsiTheme="minorHAnsi"/>
                <w:i/>
                <w:iCs/>
                <w:sz w:val="18"/>
                <w:szCs w:val="18"/>
              </w:rPr>
            </w:pPr>
            <w:r w:rsidRPr="00E54EE4">
              <w:rPr>
                <w:rFonts w:asciiTheme="minorHAnsi" w:hAnsiTheme="minorHAnsi"/>
                <w:i/>
                <w:iCs/>
                <w:sz w:val="18"/>
                <w:szCs w:val="18"/>
              </w:rPr>
              <w:t>US:</w:t>
            </w:r>
          </w:p>
          <w:p w14:paraId="664A4208" w14:textId="7DAAD932" w:rsidR="009E3ACA" w:rsidRPr="00E54EE4" w:rsidRDefault="009E3ACA" w:rsidP="009E3ACA">
            <w:pPr>
              <w:pStyle w:val="ListParagraph"/>
              <w:numPr>
                <w:ilvl w:val="0"/>
                <w:numId w:val="1"/>
              </w:numPr>
              <w:ind w:left="456" w:hanging="426"/>
              <w:rPr>
                <w:rFonts w:asciiTheme="minorHAnsi" w:hAnsiTheme="minorHAnsi"/>
                <w:sz w:val="18"/>
                <w:szCs w:val="18"/>
              </w:rPr>
            </w:pPr>
            <w:r w:rsidRPr="00E54EE4">
              <w:rPr>
                <w:rFonts w:asciiTheme="minorHAnsi" w:hAnsiTheme="minorHAnsi"/>
                <w:sz w:val="18"/>
                <w:szCs w:val="18"/>
              </w:rPr>
              <w:t>340B Pricing Programme: evidence suggests increased access to oncology services in rural communities.</w:t>
            </w:r>
          </w:p>
          <w:p w14:paraId="20E30EAC" w14:textId="77777777" w:rsidR="009E3ACA" w:rsidRPr="00E54EE4" w:rsidRDefault="009E3ACA" w:rsidP="009E3ACA">
            <w:pPr>
              <w:rPr>
                <w:rFonts w:ascii="Aptos" w:hAnsi="Aptos"/>
                <w:sz w:val="18"/>
                <w:szCs w:val="18"/>
              </w:rPr>
            </w:pPr>
          </w:p>
          <w:p w14:paraId="49D429D0" w14:textId="77777777" w:rsidR="009E3ACA" w:rsidRPr="006A2D59" w:rsidRDefault="009E3ACA" w:rsidP="009E3ACA">
            <w:pPr>
              <w:pStyle w:val="Caption"/>
              <w:spacing w:after="0"/>
              <w:rPr>
                <w:rFonts w:asciiTheme="minorHAnsi" w:hAnsiTheme="minorHAnsi"/>
                <w:b/>
                <w:bCs/>
                <w:i w:val="0"/>
                <w:iCs w:val="0"/>
                <w:color w:val="auto"/>
                <w:lang w:val="en-GB"/>
              </w:rPr>
            </w:pPr>
            <w:r w:rsidRPr="006A2D59">
              <w:rPr>
                <w:rFonts w:asciiTheme="minorHAnsi" w:hAnsiTheme="minorHAnsi"/>
                <w:b/>
                <w:bCs/>
                <w:i w:val="0"/>
                <w:iCs w:val="0"/>
                <w:color w:val="auto"/>
                <w:lang w:val="en-GB"/>
              </w:rPr>
              <w:t>Other impacts:</w:t>
            </w:r>
          </w:p>
          <w:p w14:paraId="56AF6E9F" w14:textId="77777777" w:rsidR="009E3ACA" w:rsidRPr="006602EA" w:rsidRDefault="009E3ACA" w:rsidP="009E3ACA">
            <w:pPr>
              <w:rPr>
                <w:rFonts w:asciiTheme="minorHAnsi" w:hAnsiTheme="minorHAnsi"/>
                <w:i/>
                <w:iCs/>
                <w:sz w:val="18"/>
                <w:szCs w:val="18"/>
              </w:rPr>
            </w:pPr>
            <w:r w:rsidRPr="006602EA">
              <w:rPr>
                <w:rFonts w:asciiTheme="minorHAnsi" w:hAnsiTheme="minorHAnsi"/>
                <w:i/>
                <w:iCs/>
                <w:sz w:val="18"/>
                <w:szCs w:val="18"/>
              </w:rPr>
              <w:t>JP:</w:t>
            </w:r>
          </w:p>
          <w:p w14:paraId="2333AB3F" w14:textId="77777777" w:rsidR="009E3ACA" w:rsidRPr="006602EA" w:rsidRDefault="009E3ACA" w:rsidP="009E3ACA">
            <w:pPr>
              <w:pStyle w:val="ListParagraph"/>
              <w:numPr>
                <w:ilvl w:val="0"/>
                <w:numId w:val="1"/>
              </w:numPr>
              <w:ind w:left="456" w:hanging="426"/>
              <w:rPr>
                <w:rFonts w:asciiTheme="minorHAnsi" w:hAnsiTheme="minorHAnsi"/>
                <w:sz w:val="18"/>
                <w:szCs w:val="18"/>
              </w:rPr>
            </w:pPr>
            <w:r w:rsidRPr="006602EA">
              <w:rPr>
                <w:rFonts w:asciiTheme="minorHAnsi" w:hAnsiTheme="minorHAnsi"/>
                <w:sz w:val="18"/>
                <w:szCs w:val="18"/>
              </w:rPr>
              <w:t>Price Maintenance Premium: Promotion of innovation.</w:t>
            </w:r>
          </w:p>
          <w:p w14:paraId="103D4F6E" w14:textId="77777777" w:rsidR="009E3ACA" w:rsidRPr="006602EA" w:rsidRDefault="009E3ACA" w:rsidP="009E3ACA">
            <w:pPr>
              <w:pStyle w:val="ListParagraph"/>
              <w:numPr>
                <w:ilvl w:val="0"/>
                <w:numId w:val="1"/>
              </w:numPr>
              <w:ind w:left="456" w:hanging="426"/>
              <w:rPr>
                <w:rFonts w:asciiTheme="minorHAnsi" w:hAnsiTheme="minorHAnsi"/>
                <w:sz w:val="18"/>
                <w:szCs w:val="18"/>
              </w:rPr>
            </w:pPr>
            <w:r w:rsidRPr="006602EA">
              <w:rPr>
                <w:rFonts w:asciiTheme="minorHAnsi" w:hAnsiTheme="minorHAnsi"/>
                <w:sz w:val="18"/>
                <w:szCs w:val="18"/>
              </w:rPr>
              <w:t>Sales-related price revisions: penalisation of manufacturers, may discourage innovation.</w:t>
            </w:r>
          </w:p>
          <w:p w14:paraId="1B1CE3A3" w14:textId="77777777" w:rsidR="009E3ACA" w:rsidRPr="006602EA" w:rsidRDefault="009E3ACA" w:rsidP="009E3ACA">
            <w:pPr>
              <w:rPr>
                <w:rFonts w:asciiTheme="minorHAnsi" w:hAnsiTheme="minorHAnsi"/>
                <w:sz w:val="18"/>
                <w:szCs w:val="18"/>
              </w:rPr>
            </w:pPr>
          </w:p>
          <w:p w14:paraId="3E55B24A" w14:textId="77777777" w:rsidR="009E3ACA" w:rsidRPr="006602EA" w:rsidRDefault="009E3ACA" w:rsidP="009E3ACA">
            <w:pPr>
              <w:rPr>
                <w:rFonts w:asciiTheme="minorHAnsi" w:hAnsiTheme="minorHAnsi"/>
                <w:i/>
                <w:iCs/>
                <w:sz w:val="18"/>
                <w:szCs w:val="18"/>
              </w:rPr>
            </w:pPr>
            <w:r w:rsidRPr="006602EA">
              <w:rPr>
                <w:rFonts w:asciiTheme="minorHAnsi" w:hAnsiTheme="minorHAnsi"/>
                <w:i/>
                <w:iCs/>
                <w:sz w:val="18"/>
                <w:szCs w:val="18"/>
              </w:rPr>
              <w:t>US:</w:t>
            </w:r>
          </w:p>
          <w:p w14:paraId="328370AC" w14:textId="78A5A50F" w:rsidR="009E3ACA" w:rsidRPr="006A2D59" w:rsidRDefault="009E3ACA" w:rsidP="009E3ACA">
            <w:pPr>
              <w:pStyle w:val="ListParagraph"/>
              <w:numPr>
                <w:ilvl w:val="0"/>
                <w:numId w:val="1"/>
              </w:numPr>
              <w:ind w:left="456" w:hanging="426"/>
            </w:pPr>
            <w:r w:rsidRPr="006602EA">
              <w:rPr>
                <w:rFonts w:asciiTheme="minorHAnsi" w:hAnsiTheme="minorHAnsi"/>
                <w:sz w:val="18"/>
                <w:szCs w:val="18"/>
                <w:lang w:val="en-US"/>
              </w:rPr>
              <w:t xml:space="preserve">340B Pricing Programme: lack of specificity in patient eligibility </w:t>
            </w:r>
            <w:r w:rsidRPr="006602EA">
              <w:rPr>
                <w:rFonts w:asciiTheme="minorHAnsi" w:hAnsiTheme="minorHAnsi"/>
                <w:sz w:val="18"/>
                <w:szCs w:val="18"/>
              </w:rPr>
              <w:t>guidelines</w:t>
            </w:r>
            <w:r w:rsidRPr="006602EA">
              <w:rPr>
                <w:rFonts w:asciiTheme="minorHAnsi" w:hAnsiTheme="minorHAnsi"/>
                <w:sz w:val="18"/>
                <w:szCs w:val="18"/>
                <w:lang w:val="en-US"/>
              </w:rPr>
              <w:t xml:space="preserve"> enables too broad/narrow interpretation.</w:t>
            </w:r>
          </w:p>
        </w:tc>
        <w:tc>
          <w:tcPr>
            <w:tcW w:w="2896" w:type="dxa"/>
          </w:tcPr>
          <w:p w14:paraId="7786344C" w14:textId="77777777" w:rsidR="009E3ACA" w:rsidRPr="006A2D59" w:rsidRDefault="009E3ACA" w:rsidP="009E3ACA">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lastRenderedPageBreak/>
              <w:t>Acceptability:</w:t>
            </w:r>
          </w:p>
          <w:p w14:paraId="245A969F" w14:textId="7737C623" w:rsidR="009E3ACA" w:rsidRPr="007C1E03" w:rsidRDefault="009E3ACA" w:rsidP="009E3ACA">
            <w:pPr>
              <w:pStyle w:val="Table"/>
              <w:rPr>
                <w:i/>
                <w:iCs/>
              </w:rPr>
            </w:pPr>
            <w:r>
              <w:rPr>
                <w:i/>
                <w:iCs/>
              </w:rPr>
              <w:t>JP:</w:t>
            </w:r>
          </w:p>
          <w:p w14:paraId="72914230" w14:textId="58D13A2F" w:rsidR="009E3ACA" w:rsidRPr="006A2D59" w:rsidRDefault="009E3ACA" w:rsidP="009E3ACA">
            <w:pPr>
              <w:pStyle w:val="Table"/>
              <w:numPr>
                <w:ilvl w:val="0"/>
                <w:numId w:val="1"/>
              </w:numPr>
              <w:ind w:left="317" w:hanging="317"/>
            </w:pPr>
            <w:r w:rsidRPr="006A2D59">
              <w:t xml:space="preserve">PMP can be considered a reasonable approach to evaluate value of new </w:t>
            </w:r>
            <w:r w:rsidR="008E76A9">
              <w:t>MP</w:t>
            </w:r>
            <w:r w:rsidRPr="006A2D59">
              <w:t>s.</w:t>
            </w:r>
          </w:p>
          <w:p w14:paraId="49A531EF" w14:textId="77777777" w:rsidR="009E3ACA" w:rsidRPr="006A2D59" w:rsidRDefault="009E3ACA" w:rsidP="009E3ACA">
            <w:pPr>
              <w:pStyle w:val="Table"/>
              <w:ind w:left="287"/>
            </w:pPr>
          </w:p>
          <w:p w14:paraId="61797976" w14:textId="77777777" w:rsidR="009E3ACA" w:rsidRPr="006A2D59" w:rsidRDefault="009E3ACA" w:rsidP="009E3ACA">
            <w:pPr>
              <w:pStyle w:val="Caption"/>
              <w:spacing w:after="0"/>
              <w:rPr>
                <w:rFonts w:asciiTheme="minorHAnsi" w:hAnsiTheme="minorHAnsi"/>
                <w:i w:val="0"/>
                <w:iCs w:val="0"/>
                <w:color w:val="auto"/>
                <w:lang w:val="en-GB" w:eastAsia="ja-JP"/>
              </w:rPr>
            </w:pPr>
            <w:r w:rsidRPr="006A2D59">
              <w:rPr>
                <w:rFonts w:asciiTheme="minorHAnsi" w:hAnsiTheme="minorHAnsi"/>
                <w:b/>
                <w:bCs/>
                <w:i w:val="0"/>
                <w:iCs w:val="0"/>
                <w:color w:val="auto"/>
                <w:lang w:val="en-GB" w:eastAsia="ja-JP"/>
              </w:rPr>
              <w:t xml:space="preserve">Resource use: </w:t>
            </w:r>
            <w:r w:rsidRPr="006A2D59">
              <w:rPr>
                <w:rFonts w:asciiTheme="minorHAnsi" w:hAnsiTheme="minorHAnsi"/>
                <w:i w:val="0"/>
                <w:iCs w:val="0"/>
                <w:color w:val="auto"/>
                <w:lang w:val="en-GB" w:eastAsia="ja-JP"/>
              </w:rPr>
              <w:t>NA</w:t>
            </w:r>
          </w:p>
          <w:p w14:paraId="0C358354" w14:textId="77777777" w:rsidR="009E3ACA" w:rsidRPr="006A2D59" w:rsidRDefault="009E3ACA" w:rsidP="009E3ACA">
            <w:pPr>
              <w:pStyle w:val="Table"/>
              <w:ind w:left="287"/>
            </w:pPr>
          </w:p>
          <w:p w14:paraId="7BFBF0B9" w14:textId="77777777" w:rsidR="009E3ACA" w:rsidRPr="006A2D59" w:rsidRDefault="009E3ACA" w:rsidP="009E3ACA">
            <w:pPr>
              <w:pStyle w:val="Caption"/>
              <w:spacing w:after="0"/>
              <w:rPr>
                <w:rFonts w:asciiTheme="minorHAnsi" w:hAnsiTheme="minorHAnsi"/>
                <w:b/>
                <w:bCs/>
                <w:i w:val="0"/>
                <w:iCs w:val="0"/>
                <w:color w:val="auto"/>
                <w:lang w:val="en-GB" w:eastAsia="ja-JP"/>
              </w:rPr>
            </w:pPr>
            <w:r w:rsidRPr="006A2D59">
              <w:rPr>
                <w:rFonts w:asciiTheme="minorHAnsi" w:hAnsiTheme="minorHAnsi"/>
                <w:b/>
                <w:bCs/>
                <w:i w:val="0"/>
                <w:iCs w:val="0"/>
                <w:color w:val="auto"/>
                <w:lang w:val="en-GB" w:eastAsia="ja-JP"/>
              </w:rPr>
              <w:t>Feasibility:</w:t>
            </w:r>
          </w:p>
          <w:p w14:paraId="40EAB31C" w14:textId="6EBF1247" w:rsidR="009E3ACA" w:rsidRPr="007D2A0A" w:rsidRDefault="009E3ACA" w:rsidP="009E3ACA">
            <w:pPr>
              <w:pStyle w:val="Table"/>
              <w:rPr>
                <w:i/>
                <w:iCs/>
              </w:rPr>
            </w:pPr>
            <w:r>
              <w:rPr>
                <w:i/>
                <w:iCs/>
              </w:rPr>
              <w:t>JP</w:t>
            </w:r>
            <w:r w:rsidRPr="007D2A0A">
              <w:rPr>
                <w:i/>
                <w:iCs/>
              </w:rPr>
              <w:t>:</w:t>
            </w:r>
          </w:p>
          <w:p w14:paraId="0B4EE6CA" w14:textId="4A1EBA0B" w:rsidR="009E3ACA" w:rsidRPr="006A2D59" w:rsidRDefault="008E76A9" w:rsidP="009E3ACA">
            <w:pPr>
              <w:pStyle w:val="Table"/>
              <w:numPr>
                <w:ilvl w:val="0"/>
                <w:numId w:val="1"/>
              </w:numPr>
              <w:ind w:left="317" w:hanging="317"/>
            </w:pPr>
            <w:r>
              <w:lastRenderedPageBreak/>
              <w:t>MP</w:t>
            </w:r>
            <w:r w:rsidR="009E3ACA" w:rsidRPr="007D2A0A">
              <w:t xml:space="preserve"> price calculation generally expected to be difficult; actual market prices</w:t>
            </w:r>
            <w:r w:rsidR="009E3ACA" w:rsidRPr="001A0C88">
              <w:t xml:space="preserve"> as basis would make it easy to calculate </w:t>
            </w:r>
            <w:r>
              <w:t>MP</w:t>
            </w:r>
            <w:r w:rsidR="009E3ACA" w:rsidRPr="001A0C88">
              <w:t xml:space="preserve"> prices when incorporating market principles.</w:t>
            </w:r>
          </w:p>
        </w:tc>
      </w:tr>
    </w:tbl>
    <w:p w14:paraId="01AD8741" w14:textId="77777777" w:rsidR="007E7CE1" w:rsidRPr="003E33B6" w:rsidRDefault="007E7CE1" w:rsidP="007E7CE1">
      <w:pPr>
        <w:pStyle w:val="Caption"/>
        <w:spacing w:after="0"/>
        <w:rPr>
          <w:i w:val="0"/>
          <w:iCs w:val="0"/>
          <w:lang w:val="en-GB"/>
        </w:rPr>
      </w:pPr>
      <w:r w:rsidRPr="003E33B6">
        <w:rPr>
          <w:i w:val="0"/>
          <w:iCs w:val="0"/>
          <w:vertAlign w:val="superscript"/>
          <w:lang w:val="en-GB"/>
        </w:rPr>
        <w:lastRenderedPageBreak/>
        <w:t>1</w:t>
      </w:r>
      <w:r w:rsidRPr="003E33B6">
        <w:rPr>
          <w:i w:val="0"/>
          <w:iCs w:val="0"/>
          <w:lang w:val="en-GB"/>
        </w:rPr>
        <w:t>.Types of impacts of pricing policies are grouped into affordability, availability, equity, sustainability, and other.</w:t>
      </w:r>
      <w:r w:rsidRPr="003E33B6">
        <w:rPr>
          <w:i w:val="0"/>
          <w:iCs w:val="0"/>
          <w:lang w:val="en-GB"/>
        </w:rPr>
        <w:br/>
      </w:r>
      <w:r w:rsidRPr="003E33B6">
        <w:rPr>
          <w:i w:val="0"/>
          <w:iCs w:val="0"/>
          <w:vertAlign w:val="superscript"/>
          <w:lang w:val="en-GB"/>
        </w:rPr>
        <w:t>2</w:t>
      </w:r>
      <w:r w:rsidRPr="003E33B6">
        <w:rPr>
          <w:i w:val="0"/>
          <w:iCs w:val="0"/>
          <w:lang w:val="en-GB"/>
        </w:rPr>
        <w:t xml:space="preserve"> Advantages/disadvantages of pricing policies are grouped into acceptability, resource use, and feasibility.</w:t>
      </w:r>
    </w:p>
    <w:p w14:paraId="19E920FA" w14:textId="494057F3" w:rsidR="00DA6993" w:rsidRPr="007E7CE1" w:rsidRDefault="007E7CE1" w:rsidP="007E7CE1">
      <w:pPr>
        <w:rPr>
          <w:rFonts w:eastAsia="Yu Gothic"/>
          <w:color w:val="0E2841" w:themeColor="text2"/>
          <w:sz w:val="18"/>
          <w:szCs w:val="18"/>
          <w:lang w:val="en-GB"/>
        </w:rPr>
      </w:pPr>
      <w:r w:rsidRPr="007E7CE1">
        <w:rPr>
          <w:rFonts w:eastAsia="Yu Gothic"/>
          <w:color w:val="0E2841" w:themeColor="text2"/>
          <w:sz w:val="18"/>
          <w:szCs w:val="18"/>
          <w:lang w:val="en-GB"/>
        </w:rPr>
        <w:t xml:space="preserve">Abbreviations: AMNOG, Arzneimittelmarktneuordnungsgesetz (German Medicines Market Reorganisation Act); </w:t>
      </w:r>
      <w:r w:rsidR="002B2284">
        <w:rPr>
          <w:rFonts w:eastAsia="Yu Gothic"/>
          <w:color w:val="0E2841" w:themeColor="text2"/>
          <w:sz w:val="18"/>
          <w:szCs w:val="18"/>
          <w:lang w:val="en-GB"/>
        </w:rPr>
        <w:t xml:space="preserve">CA$, Canadian Dollar; </w:t>
      </w:r>
      <w:r w:rsidRPr="007E7CE1">
        <w:rPr>
          <w:rFonts w:eastAsia="Yu Gothic"/>
          <w:color w:val="0E2841" w:themeColor="text2"/>
          <w:sz w:val="18"/>
          <w:szCs w:val="18"/>
          <w:lang w:val="en-GB"/>
        </w:rPr>
        <w:t xml:space="preserve">EPR, external reference pricing; </w:t>
      </w:r>
      <w:r w:rsidR="00624324">
        <w:rPr>
          <w:rFonts w:eastAsia="Yu Gothic"/>
          <w:color w:val="0E2841" w:themeColor="text2"/>
          <w:sz w:val="18"/>
          <w:szCs w:val="18"/>
          <w:lang w:val="en-GB"/>
        </w:rPr>
        <w:t xml:space="preserve">EU, European Union; </w:t>
      </w:r>
      <w:r w:rsidRPr="007E7CE1">
        <w:rPr>
          <w:rFonts w:eastAsia="Yu Gothic"/>
          <w:color w:val="0E2841" w:themeColor="text2"/>
          <w:sz w:val="18"/>
          <w:szCs w:val="18"/>
          <w:lang w:val="en-GB"/>
        </w:rPr>
        <w:t xml:space="preserve">GDP, gross domestic product; </w:t>
      </w:r>
      <w:r w:rsidR="00AF4FA3">
        <w:rPr>
          <w:rFonts w:eastAsia="Yu Gothic"/>
          <w:color w:val="0E2841" w:themeColor="text2"/>
          <w:sz w:val="18"/>
          <w:szCs w:val="18"/>
          <w:lang w:val="en-GB"/>
        </w:rPr>
        <w:t xml:space="preserve">HTA, health technology assessment; </w:t>
      </w:r>
      <w:r w:rsidRPr="007E7CE1">
        <w:rPr>
          <w:rFonts w:eastAsia="Yu Gothic"/>
          <w:color w:val="0E2841" w:themeColor="text2"/>
          <w:sz w:val="18"/>
          <w:szCs w:val="18"/>
          <w:lang w:val="en-GB"/>
        </w:rPr>
        <w:t xml:space="preserve">IPR, internal reference pricing; </w:t>
      </w:r>
      <w:r w:rsidR="008C6FE5">
        <w:rPr>
          <w:rFonts w:eastAsia="Yu Gothic"/>
          <w:color w:val="0E2841" w:themeColor="text2"/>
          <w:sz w:val="18"/>
          <w:szCs w:val="18"/>
          <w:lang w:val="en-GB"/>
        </w:rPr>
        <w:t xml:space="preserve">LIC, low-income country; </w:t>
      </w:r>
      <w:r w:rsidR="00F272D3">
        <w:rPr>
          <w:rFonts w:eastAsia="Yu Gothic"/>
          <w:color w:val="0E2841" w:themeColor="text2"/>
          <w:sz w:val="18"/>
          <w:szCs w:val="18"/>
          <w:lang w:val="en-GB"/>
        </w:rPr>
        <w:t xml:space="preserve">MP, medicinal product; </w:t>
      </w:r>
      <w:r w:rsidR="000B389B">
        <w:rPr>
          <w:rFonts w:eastAsia="Yu Gothic"/>
          <w:color w:val="0E2841" w:themeColor="text2"/>
          <w:sz w:val="18"/>
          <w:szCs w:val="18"/>
          <w:lang w:val="en-GB"/>
        </w:rPr>
        <w:t xml:space="preserve">MS, member state(s); </w:t>
      </w:r>
      <w:r w:rsidRPr="007E7CE1">
        <w:rPr>
          <w:rFonts w:eastAsia="Yu Gothic"/>
          <w:color w:val="0E2841" w:themeColor="text2"/>
          <w:sz w:val="18"/>
          <w:szCs w:val="18"/>
          <w:lang w:val="en-GB"/>
        </w:rPr>
        <w:t xml:space="preserve">NA, not available / not applicable; NICE, National Institute for Health and Care Excellence (England &amp; Wales); </w:t>
      </w:r>
      <w:r w:rsidR="00F272D3">
        <w:rPr>
          <w:rFonts w:eastAsia="Yu Gothic"/>
          <w:color w:val="0E2841" w:themeColor="text2"/>
          <w:sz w:val="18"/>
          <w:szCs w:val="18"/>
          <w:lang w:val="en-GB"/>
        </w:rPr>
        <w:t xml:space="preserve">OMP, medicinal product with an orphan designation; </w:t>
      </w:r>
      <w:r w:rsidR="008B706B">
        <w:rPr>
          <w:rFonts w:eastAsia="Yu Gothic"/>
          <w:color w:val="0E2841" w:themeColor="text2"/>
          <w:sz w:val="18"/>
          <w:szCs w:val="18"/>
          <w:lang w:val="en-GB"/>
        </w:rPr>
        <w:t xml:space="preserve">OOP, out of pocket; </w:t>
      </w:r>
      <w:r w:rsidR="00AF1B9B">
        <w:rPr>
          <w:rFonts w:eastAsia="Yu Gothic"/>
          <w:color w:val="0E2841" w:themeColor="text2"/>
          <w:sz w:val="18"/>
          <w:szCs w:val="18"/>
          <w:lang w:val="en-GB"/>
        </w:rPr>
        <w:t xml:space="preserve">PDL, positive drugs list (Bulgaria); </w:t>
      </w:r>
      <w:r w:rsidRPr="007E7CE1">
        <w:rPr>
          <w:rFonts w:eastAsia="Yu Gothic"/>
          <w:color w:val="0E2841" w:themeColor="text2"/>
          <w:sz w:val="18"/>
          <w:szCs w:val="18"/>
          <w:lang w:val="en-GB"/>
        </w:rPr>
        <w:t xml:space="preserve">PMP, Price Maintenance Premium (Japan); R&amp;D, research and development; TAU, temporary authorization for use (France); </w:t>
      </w:r>
      <w:r w:rsidR="0063771A">
        <w:rPr>
          <w:rFonts w:eastAsia="Yu Gothic"/>
          <w:color w:val="0E2841" w:themeColor="text2"/>
          <w:sz w:val="18"/>
          <w:szCs w:val="18"/>
          <w:lang w:val="en-GB"/>
        </w:rPr>
        <w:t xml:space="preserve">TLV, </w:t>
      </w:r>
      <w:r w:rsidR="007D2A0A" w:rsidRPr="007D2A0A">
        <w:rPr>
          <w:sz w:val="18"/>
          <w:szCs w:val="18"/>
          <w:lang w:val="en-GB"/>
        </w:rPr>
        <w:t>Tandvårds- och läkemedelsförmånsverket</w:t>
      </w:r>
      <w:r w:rsidR="007D2A0A">
        <w:rPr>
          <w:sz w:val="18"/>
          <w:szCs w:val="18"/>
          <w:lang w:val="en-GB"/>
        </w:rPr>
        <w:t xml:space="preserve"> (Sweden)</w:t>
      </w:r>
      <w:r w:rsidR="007D2A0A" w:rsidRPr="007D2A0A">
        <w:rPr>
          <w:sz w:val="18"/>
          <w:szCs w:val="18"/>
          <w:lang w:val="en-GB"/>
        </w:rPr>
        <w:t>;</w:t>
      </w:r>
      <w:r w:rsidR="007D2A0A">
        <w:rPr>
          <w:rFonts w:eastAsia="Yu Gothic"/>
          <w:color w:val="0E2841" w:themeColor="text2"/>
          <w:sz w:val="18"/>
          <w:szCs w:val="18"/>
          <w:lang w:val="en-GB"/>
        </w:rPr>
        <w:t xml:space="preserve"> </w:t>
      </w:r>
      <w:r w:rsidR="002C7F1D">
        <w:rPr>
          <w:rFonts w:eastAsia="Yu Gothic"/>
          <w:color w:val="0E2841" w:themeColor="text2"/>
          <w:sz w:val="18"/>
          <w:szCs w:val="18"/>
          <w:lang w:val="en-GB"/>
        </w:rPr>
        <w:t xml:space="preserve">US$, United States Dollar; </w:t>
      </w:r>
      <w:r w:rsidRPr="007E7CE1">
        <w:rPr>
          <w:rFonts w:eastAsia="Yu Gothic"/>
          <w:color w:val="0E2841" w:themeColor="text2"/>
          <w:sz w:val="18"/>
          <w:szCs w:val="18"/>
          <w:lang w:val="en-GB"/>
        </w:rPr>
        <w:t>VIP, value-informed pricing</w:t>
      </w:r>
      <w:r w:rsidR="00EE500F">
        <w:rPr>
          <w:rFonts w:eastAsia="Yu Gothic"/>
          <w:color w:val="0E2841" w:themeColor="text2"/>
          <w:sz w:val="18"/>
          <w:szCs w:val="18"/>
          <w:lang w:val="en-GB"/>
        </w:rPr>
        <w:t>, WTP, willingness to pay</w:t>
      </w:r>
      <w:r w:rsidRPr="007E7CE1">
        <w:rPr>
          <w:rFonts w:eastAsia="Yu Gothic"/>
          <w:color w:val="0E2841" w:themeColor="text2"/>
          <w:sz w:val="18"/>
          <w:szCs w:val="18"/>
          <w:lang w:val="en-GB"/>
        </w:rPr>
        <w:t>.</w:t>
      </w:r>
      <w:r w:rsidRPr="007E7CE1">
        <w:rPr>
          <w:rFonts w:eastAsia="Yu Gothic"/>
          <w:color w:val="0E2841" w:themeColor="text2"/>
          <w:sz w:val="18"/>
          <w:szCs w:val="18"/>
          <w:lang w:val="en-GB"/>
        </w:rPr>
        <w:br/>
        <w:t xml:space="preserve">Country abbreviations: BE, Belgium; BG, Bulgaria; CA, Canada; CH, Switzerland; CO, Colombia; DE, Germany; EE, Estonia; ES, Spain; FR, France; GR, Greece; HR, Croatia; HU, Hungary; </w:t>
      </w:r>
      <w:r w:rsidR="001151C8">
        <w:rPr>
          <w:rFonts w:eastAsia="Yu Gothic"/>
          <w:color w:val="0E2841" w:themeColor="text2"/>
          <w:sz w:val="18"/>
          <w:szCs w:val="18"/>
          <w:lang w:val="en-GB"/>
        </w:rPr>
        <w:t xml:space="preserve">IE, Ireland; </w:t>
      </w:r>
      <w:r w:rsidRPr="007E7CE1">
        <w:rPr>
          <w:rFonts w:eastAsia="Yu Gothic"/>
          <w:color w:val="0E2841" w:themeColor="text2"/>
          <w:sz w:val="18"/>
          <w:szCs w:val="18"/>
          <w:lang w:val="en-GB"/>
        </w:rPr>
        <w:t xml:space="preserve">IT, Italy; JP, Japan; KR, South Korea; LV: Latvia; MX, Mexico; NL, Netherlands; NZ, New Zealand; </w:t>
      </w:r>
      <w:r w:rsidR="00677FB7">
        <w:rPr>
          <w:rFonts w:eastAsia="Yu Gothic"/>
          <w:color w:val="0E2841" w:themeColor="text2"/>
          <w:sz w:val="18"/>
          <w:szCs w:val="18"/>
          <w:lang w:val="en-GB"/>
        </w:rPr>
        <w:t xml:space="preserve">PT, Portugal; </w:t>
      </w:r>
      <w:r w:rsidRPr="007E7CE1">
        <w:rPr>
          <w:rFonts w:eastAsia="Yu Gothic"/>
          <w:color w:val="0E2841" w:themeColor="text2"/>
          <w:sz w:val="18"/>
          <w:szCs w:val="18"/>
          <w:lang w:val="en-GB"/>
        </w:rPr>
        <w:t>RO, Romania; SE, Sweden; SK, Slovakia; TR, Türkiye; UK, United Kingdom; US, United States.</w:t>
      </w:r>
    </w:p>
    <w:sectPr w:rsidR="00DA6993" w:rsidRPr="007E7CE1" w:rsidSect="00566E46">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50FCE" w14:textId="77777777" w:rsidR="00E470C7" w:rsidRDefault="00E470C7" w:rsidP="002F28A6">
      <w:r>
        <w:separator/>
      </w:r>
    </w:p>
  </w:endnote>
  <w:endnote w:type="continuationSeparator" w:id="0">
    <w:p w14:paraId="0E739F01" w14:textId="77777777" w:rsidR="00E470C7" w:rsidRDefault="00E470C7" w:rsidP="002F2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attrocento Sans">
    <w:panose1 w:val="020B0502050000020003"/>
    <w:charset w:val="00"/>
    <w:family w:val="swiss"/>
    <w:pitch w:val="variable"/>
    <w:sig w:usb0="800000BF" w:usb1="4000005B"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8569538"/>
      <w:docPartObj>
        <w:docPartGallery w:val="Page Numbers (Bottom of Page)"/>
        <w:docPartUnique/>
      </w:docPartObj>
    </w:sdtPr>
    <w:sdtContent>
      <w:p w14:paraId="7305063F" w14:textId="40F91998" w:rsidR="002F28A6" w:rsidRDefault="002F28A6" w:rsidP="00EB7E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EEBE3D" w14:textId="77777777" w:rsidR="002F28A6" w:rsidRDefault="002F28A6" w:rsidP="002F2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6181394"/>
      <w:docPartObj>
        <w:docPartGallery w:val="Page Numbers (Bottom of Page)"/>
        <w:docPartUnique/>
      </w:docPartObj>
    </w:sdtPr>
    <w:sdtContent>
      <w:p w14:paraId="216BC51A" w14:textId="175476F6" w:rsidR="002F28A6" w:rsidRDefault="002F28A6" w:rsidP="00EB7E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FEF0E0" w14:textId="77777777" w:rsidR="002F28A6" w:rsidRDefault="002F28A6" w:rsidP="002F28A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06AC" w14:textId="77777777" w:rsidR="006B230B" w:rsidRDefault="006B2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256C1" w14:textId="77777777" w:rsidR="00E470C7" w:rsidRDefault="00E470C7" w:rsidP="002F28A6">
      <w:r>
        <w:separator/>
      </w:r>
    </w:p>
  </w:footnote>
  <w:footnote w:type="continuationSeparator" w:id="0">
    <w:p w14:paraId="36EB649F" w14:textId="77777777" w:rsidR="00E470C7" w:rsidRDefault="00E470C7" w:rsidP="002F2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0D0F" w14:textId="77777777" w:rsidR="006B230B" w:rsidRDefault="006B23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B861" w14:textId="77777777" w:rsidR="006B230B" w:rsidRPr="001740AD" w:rsidRDefault="006B230B" w:rsidP="006B230B">
    <w:pPr>
      <w:pStyle w:val="Header"/>
      <w:rPr>
        <w:sz w:val="16"/>
        <w:szCs w:val="16"/>
        <w:lang w:val="en-GB"/>
      </w:rPr>
    </w:pPr>
    <w:r w:rsidRPr="001740AD">
      <w:rPr>
        <w:sz w:val="16"/>
        <w:szCs w:val="16"/>
        <w:lang w:val="en-GB"/>
      </w:rPr>
      <w:t>Price Determinants and Pricing Policies Concerning Potentially Innovative Health Technologies: A Scoping Review</w:t>
    </w:r>
  </w:p>
  <w:p w14:paraId="59145E4B" w14:textId="77777777" w:rsidR="006B230B" w:rsidRDefault="006B230B" w:rsidP="006B230B">
    <w:pPr>
      <w:pStyle w:val="Header"/>
      <w:rPr>
        <w:sz w:val="16"/>
        <w:szCs w:val="16"/>
        <w:lang w:val="en-US"/>
      </w:rPr>
    </w:pPr>
    <w:r w:rsidRPr="001740AD">
      <w:rPr>
        <w:sz w:val="16"/>
        <w:szCs w:val="16"/>
        <w:lang w:val="en-US"/>
      </w:rPr>
      <w:t xml:space="preserve">Nicolas Xander (Erasmus School of Health Policy &amp; Management, Erasmus University Rotterdam), </w:t>
    </w:r>
    <w:r>
      <w:rPr>
        <w:sz w:val="16"/>
        <w:szCs w:val="16"/>
        <w:lang w:val="en-US"/>
      </w:rPr>
      <w:t>Tom Belleman, Maximilian Salcher-Konrad, Anne Hendrickx, Jeffrey Chen, Anne-Sophie Klein Gebbink, Peter Schneider, Kate Morgan, Oliver Groene, Isabelle Durand-Zaleski, Frederick Thielen, Carin A. Uyl-de Groot</w:t>
    </w:r>
  </w:p>
  <w:p w14:paraId="7D72433A" w14:textId="77777777" w:rsidR="006B230B" w:rsidRDefault="006B230B" w:rsidP="006B230B">
    <w:pPr>
      <w:pStyle w:val="Header"/>
      <w:rPr>
        <w:sz w:val="16"/>
        <w:szCs w:val="16"/>
        <w:lang w:val="en-US"/>
      </w:rPr>
    </w:pPr>
    <w:r>
      <w:rPr>
        <w:sz w:val="16"/>
        <w:szCs w:val="16"/>
        <w:lang w:val="en-US"/>
      </w:rPr>
      <w:t>European Journal of Health Economics</w:t>
    </w:r>
  </w:p>
  <w:p w14:paraId="2389FC10" w14:textId="77777777" w:rsidR="006B230B" w:rsidRPr="001740AD" w:rsidRDefault="006B230B" w:rsidP="006B230B">
    <w:pPr>
      <w:pStyle w:val="Header"/>
      <w:rPr>
        <w:sz w:val="16"/>
        <w:szCs w:val="16"/>
        <w:lang w:val="en-US"/>
      </w:rPr>
    </w:pPr>
    <w:r>
      <w:rPr>
        <w:sz w:val="16"/>
        <w:szCs w:val="16"/>
        <w:lang w:val="en-US"/>
      </w:rPr>
      <w:t>Contact: xander@eshpm.eur.nl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8B8B" w14:textId="77777777" w:rsidR="006B230B" w:rsidRDefault="006B2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36B1"/>
    <w:multiLevelType w:val="hybridMultilevel"/>
    <w:tmpl w:val="CA5CC43C"/>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03A5D"/>
    <w:multiLevelType w:val="hybridMultilevel"/>
    <w:tmpl w:val="91AACFDA"/>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7C1146"/>
    <w:multiLevelType w:val="hybridMultilevel"/>
    <w:tmpl w:val="BD3ACE0E"/>
    <w:lvl w:ilvl="0" w:tplc="913409FA">
      <w:start w:val="12"/>
      <w:numFmt w:val="bullet"/>
      <w:lvlText w:val="-"/>
      <w:lvlJc w:val="left"/>
      <w:pPr>
        <w:ind w:left="1494" w:hanging="360"/>
      </w:pPr>
      <w:rPr>
        <w:rFonts w:ascii="Quattrocento Sans" w:eastAsia="Quattrocento Sans" w:hAnsi="Quattrocento Sans" w:cs="Quattrocento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2544D7"/>
    <w:multiLevelType w:val="hybridMultilevel"/>
    <w:tmpl w:val="5FCEDAE8"/>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1513F9"/>
    <w:multiLevelType w:val="hybridMultilevel"/>
    <w:tmpl w:val="ED8EFA9E"/>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804A36"/>
    <w:multiLevelType w:val="hybridMultilevel"/>
    <w:tmpl w:val="75162F52"/>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496795"/>
    <w:multiLevelType w:val="hybridMultilevel"/>
    <w:tmpl w:val="1E342E56"/>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5C2BA5"/>
    <w:multiLevelType w:val="hybridMultilevel"/>
    <w:tmpl w:val="62BE7DDC"/>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027E1C"/>
    <w:multiLevelType w:val="hybridMultilevel"/>
    <w:tmpl w:val="89483594"/>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F07EF0"/>
    <w:multiLevelType w:val="hybridMultilevel"/>
    <w:tmpl w:val="2D78B052"/>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3908283">
    <w:abstractNumId w:val="2"/>
  </w:num>
  <w:num w:numId="2" w16cid:durableId="1481653874">
    <w:abstractNumId w:val="5"/>
  </w:num>
  <w:num w:numId="3" w16cid:durableId="2027054215">
    <w:abstractNumId w:val="6"/>
  </w:num>
  <w:num w:numId="4" w16cid:durableId="1741828241">
    <w:abstractNumId w:val="7"/>
  </w:num>
  <w:num w:numId="5" w16cid:durableId="1711412865">
    <w:abstractNumId w:val="1"/>
  </w:num>
  <w:num w:numId="6" w16cid:durableId="1695420142">
    <w:abstractNumId w:val="8"/>
  </w:num>
  <w:num w:numId="7" w16cid:durableId="303513085">
    <w:abstractNumId w:val="4"/>
  </w:num>
  <w:num w:numId="8" w16cid:durableId="1100879979">
    <w:abstractNumId w:val="0"/>
  </w:num>
  <w:num w:numId="9" w16cid:durableId="2005935889">
    <w:abstractNumId w:val="9"/>
  </w:num>
  <w:num w:numId="10" w16cid:durableId="26446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93"/>
    <w:rsid w:val="00021B8B"/>
    <w:rsid w:val="000276B2"/>
    <w:rsid w:val="000314E3"/>
    <w:rsid w:val="00043C64"/>
    <w:rsid w:val="00045E49"/>
    <w:rsid w:val="00047CAA"/>
    <w:rsid w:val="00051968"/>
    <w:rsid w:val="00061112"/>
    <w:rsid w:val="000777F8"/>
    <w:rsid w:val="00091CE5"/>
    <w:rsid w:val="000B389B"/>
    <w:rsid w:val="000B6946"/>
    <w:rsid w:val="000F0C15"/>
    <w:rsid w:val="001151C8"/>
    <w:rsid w:val="0013336A"/>
    <w:rsid w:val="00134D28"/>
    <w:rsid w:val="001628AA"/>
    <w:rsid w:val="0017060F"/>
    <w:rsid w:val="001947DB"/>
    <w:rsid w:val="001A0C88"/>
    <w:rsid w:val="00254793"/>
    <w:rsid w:val="002B2284"/>
    <w:rsid w:val="002B2BAE"/>
    <w:rsid w:val="002C7F1D"/>
    <w:rsid w:val="002D2EE2"/>
    <w:rsid w:val="002F0287"/>
    <w:rsid w:val="002F28A6"/>
    <w:rsid w:val="00330DBC"/>
    <w:rsid w:val="0034737C"/>
    <w:rsid w:val="00351D0E"/>
    <w:rsid w:val="003551AA"/>
    <w:rsid w:val="00356015"/>
    <w:rsid w:val="003600C7"/>
    <w:rsid w:val="00374F25"/>
    <w:rsid w:val="00380A1F"/>
    <w:rsid w:val="00402A99"/>
    <w:rsid w:val="0040322C"/>
    <w:rsid w:val="00464CE4"/>
    <w:rsid w:val="004834EE"/>
    <w:rsid w:val="004B016C"/>
    <w:rsid w:val="004B6887"/>
    <w:rsid w:val="004C4974"/>
    <w:rsid w:val="004C57D3"/>
    <w:rsid w:val="005153FB"/>
    <w:rsid w:val="00535734"/>
    <w:rsid w:val="00543EB6"/>
    <w:rsid w:val="00554594"/>
    <w:rsid w:val="0055661C"/>
    <w:rsid w:val="00566E46"/>
    <w:rsid w:val="00574B02"/>
    <w:rsid w:val="00583411"/>
    <w:rsid w:val="00585DF6"/>
    <w:rsid w:val="0059118E"/>
    <w:rsid w:val="00603C7C"/>
    <w:rsid w:val="00624324"/>
    <w:rsid w:val="0063771A"/>
    <w:rsid w:val="006602EA"/>
    <w:rsid w:val="00677FB7"/>
    <w:rsid w:val="006A2D59"/>
    <w:rsid w:val="006B230B"/>
    <w:rsid w:val="006C5037"/>
    <w:rsid w:val="006D7F4F"/>
    <w:rsid w:val="00710D50"/>
    <w:rsid w:val="00753B67"/>
    <w:rsid w:val="0079261D"/>
    <w:rsid w:val="007C1E03"/>
    <w:rsid w:val="007D2A0A"/>
    <w:rsid w:val="007E7CE1"/>
    <w:rsid w:val="007F3729"/>
    <w:rsid w:val="0081091D"/>
    <w:rsid w:val="00842D22"/>
    <w:rsid w:val="008B706B"/>
    <w:rsid w:val="008B716D"/>
    <w:rsid w:val="008C6FE5"/>
    <w:rsid w:val="008D792B"/>
    <w:rsid w:val="008E1F10"/>
    <w:rsid w:val="008E2C9A"/>
    <w:rsid w:val="008E6D95"/>
    <w:rsid w:val="008E76A9"/>
    <w:rsid w:val="0090645A"/>
    <w:rsid w:val="009811D0"/>
    <w:rsid w:val="009A32F1"/>
    <w:rsid w:val="009E2D34"/>
    <w:rsid w:val="009E3ACA"/>
    <w:rsid w:val="00A010E6"/>
    <w:rsid w:val="00A23221"/>
    <w:rsid w:val="00A603F0"/>
    <w:rsid w:val="00A7096C"/>
    <w:rsid w:val="00A80B44"/>
    <w:rsid w:val="00A95D75"/>
    <w:rsid w:val="00AB0118"/>
    <w:rsid w:val="00AE6220"/>
    <w:rsid w:val="00AF1B9B"/>
    <w:rsid w:val="00AF4FA3"/>
    <w:rsid w:val="00B01887"/>
    <w:rsid w:val="00B20DAA"/>
    <w:rsid w:val="00B301BF"/>
    <w:rsid w:val="00B36BE7"/>
    <w:rsid w:val="00B64806"/>
    <w:rsid w:val="00B95B01"/>
    <w:rsid w:val="00BA3CB4"/>
    <w:rsid w:val="00BA6895"/>
    <w:rsid w:val="00BD59DB"/>
    <w:rsid w:val="00BF4360"/>
    <w:rsid w:val="00C657D5"/>
    <w:rsid w:val="00CB09A0"/>
    <w:rsid w:val="00CB2A52"/>
    <w:rsid w:val="00CB7AA6"/>
    <w:rsid w:val="00CC4DA5"/>
    <w:rsid w:val="00CC6F1A"/>
    <w:rsid w:val="00CE1F05"/>
    <w:rsid w:val="00D07901"/>
    <w:rsid w:val="00D51B20"/>
    <w:rsid w:val="00D922B3"/>
    <w:rsid w:val="00DA6993"/>
    <w:rsid w:val="00DB0761"/>
    <w:rsid w:val="00E0091F"/>
    <w:rsid w:val="00E470C7"/>
    <w:rsid w:val="00E54EE4"/>
    <w:rsid w:val="00E579E4"/>
    <w:rsid w:val="00E9783E"/>
    <w:rsid w:val="00ED59C6"/>
    <w:rsid w:val="00ED5EF9"/>
    <w:rsid w:val="00EE500F"/>
    <w:rsid w:val="00EF77C5"/>
    <w:rsid w:val="00F13037"/>
    <w:rsid w:val="00F25177"/>
    <w:rsid w:val="00F272D3"/>
    <w:rsid w:val="00F432E5"/>
    <w:rsid w:val="00F50CA4"/>
    <w:rsid w:val="00F85263"/>
    <w:rsid w:val="00FC3968"/>
    <w:rsid w:val="00FD0CC4"/>
    <w:rsid w:val="00FE2DC6"/>
  </w:rsids>
  <m:mathPr>
    <m:mathFont m:val="Cambria Math"/>
    <m:brkBin m:val="before"/>
    <m:brkBinSub m:val="--"/>
    <m:smallFrac m:val="0"/>
    <m:dispDef/>
    <m:lMargin m:val="0"/>
    <m:rMargin m:val="0"/>
    <m:defJc m:val="centerGroup"/>
    <m:wrapIndent m:val="1440"/>
    <m:intLim m:val="subSup"/>
    <m:naryLim m:val="undOvr"/>
  </m:mathPr>
  <w:themeFontLang w:val="en-NL"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F44266F"/>
  <w15:chartTrackingRefBased/>
  <w15:docId w15:val="{46B8495F-4807-A04C-9F48-7D811336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Times New Roman (Body CS)"/>
        <w:kern w:val="2"/>
        <w:sz w:val="22"/>
        <w:szCs w:val="24"/>
        <w:lang w:val="en-NL"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9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9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A69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A69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69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69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69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9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9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9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9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69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69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69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69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69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69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99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9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69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6993"/>
    <w:rPr>
      <w:i/>
      <w:iCs/>
      <w:color w:val="404040" w:themeColor="text1" w:themeTint="BF"/>
    </w:rPr>
  </w:style>
  <w:style w:type="paragraph" w:styleId="ListParagraph">
    <w:name w:val="List Paragraph"/>
    <w:basedOn w:val="Normal"/>
    <w:uiPriority w:val="34"/>
    <w:qFormat/>
    <w:rsid w:val="00DA6993"/>
    <w:pPr>
      <w:ind w:left="720"/>
      <w:contextualSpacing/>
    </w:pPr>
  </w:style>
  <w:style w:type="character" w:styleId="IntenseEmphasis">
    <w:name w:val="Intense Emphasis"/>
    <w:basedOn w:val="DefaultParagraphFont"/>
    <w:uiPriority w:val="21"/>
    <w:qFormat/>
    <w:rsid w:val="00DA6993"/>
    <w:rPr>
      <w:i/>
      <w:iCs/>
      <w:color w:val="0F4761" w:themeColor="accent1" w:themeShade="BF"/>
    </w:rPr>
  </w:style>
  <w:style w:type="paragraph" w:styleId="IntenseQuote">
    <w:name w:val="Intense Quote"/>
    <w:basedOn w:val="Normal"/>
    <w:next w:val="Normal"/>
    <w:link w:val="IntenseQuoteChar"/>
    <w:uiPriority w:val="30"/>
    <w:qFormat/>
    <w:rsid w:val="00DA6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993"/>
    <w:rPr>
      <w:i/>
      <w:iCs/>
      <w:color w:val="0F4761" w:themeColor="accent1" w:themeShade="BF"/>
    </w:rPr>
  </w:style>
  <w:style w:type="character" w:styleId="IntenseReference">
    <w:name w:val="Intense Reference"/>
    <w:basedOn w:val="DefaultParagraphFont"/>
    <w:uiPriority w:val="32"/>
    <w:qFormat/>
    <w:rsid w:val="00DA6993"/>
    <w:rPr>
      <w:b/>
      <w:bCs/>
      <w:smallCaps/>
      <w:color w:val="0F4761" w:themeColor="accent1" w:themeShade="BF"/>
      <w:spacing w:val="5"/>
    </w:rPr>
  </w:style>
  <w:style w:type="paragraph" w:styleId="Caption">
    <w:name w:val="caption"/>
    <w:basedOn w:val="Normal"/>
    <w:next w:val="Normal"/>
    <w:uiPriority w:val="35"/>
    <w:unhideWhenUsed/>
    <w:qFormat/>
    <w:rsid w:val="006A2D59"/>
    <w:pPr>
      <w:spacing w:after="200"/>
    </w:pPr>
    <w:rPr>
      <w:rFonts w:eastAsia="Yu Gothic"/>
      <w:i/>
      <w:iCs/>
      <w:color w:val="0E2841" w:themeColor="text2"/>
      <w:sz w:val="18"/>
      <w:szCs w:val="18"/>
      <w:lang w:val="en-US"/>
    </w:rPr>
  </w:style>
  <w:style w:type="table" w:styleId="TableGrid">
    <w:name w:val="Table Grid"/>
    <w:basedOn w:val="TableNormal"/>
    <w:uiPriority w:val="39"/>
    <w:rsid w:val="006A2D59"/>
    <w:rPr>
      <w:rFonts w:ascii="Quattrocento Sans" w:eastAsia="SimSun" w:hAnsi="Quattrocento Sans" w:cs="Quattrocento Sans"/>
      <w:kern w:val="0"/>
      <w:szCs w:val="22"/>
      <w:lang w:val="en-GB"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ListParagraph"/>
    <w:qFormat/>
    <w:rsid w:val="006A2D59"/>
    <w:pPr>
      <w:ind w:left="0"/>
    </w:pPr>
    <w:rPr>
      <w:rFonts w:asciiTheme="minorHAnsi" w:eastAsia="SimSun" w:hAnsiTheme="minorHAnsi" w:cs="Quattrocento Sans"/>
      <w:kern w:val="0"/>
      <w:sz w:val="18"/>
      <w:szCs w:val="18"/>
      <w:lang w:val="en-GB" w:eastAsia="zh-CN"/>
      <w14:ligatures w14:val="none"/>
    </w:rPr>
  </w:style>
  <w:style w:type="character" w:styleId="CommentReference">
    <w:name w:val="annotation reference"/>
    <w:basedOn w:val="DefaultParagraphFont"/>
    <w:uiPriority w:val="99"/>
    <w:semiHidden/>
    <w:unhideWhenUsed/>
    <w:rsid w:val="00FD0CC4"/>
    <w:rPr>
      <w:sz w:val="16"/>
      <w:szCs w:val="16"/>
    </w:rPr>
  </w:style>
  <w:style w:type="paragraph" w:styleId="CommentText">
    <w:name w:val="annotation text"/>
    <w:basedOn w:val="Normal"/>
    <w:link w:val="CommentTextChar"/>
    <w:uiPriority w:val="99"/>
    <w:semiHidden/>
    <w:unhideWhenUsed/>
    <w:rsid w:val="00FD0CC4"/>
    <w:pPr>
      <w:spacing w:after="160"/>
    </w:pPr>
    <w:rPr>
      <w:rFonts w:ascii="Quattrocento Sans" w:eastAsia="SimSun" w:hAnsi="Quattrocento Sans" w:cs="Quattrocento Sans"/>
      <w:kern w:val="0"/>
      <w:sz w:val="20"/>
      <w:szCs w:val="20"/>
      <w:lang w:val="en-GB" w:eastAsia="zh-CN"/>
      <w14:ligatures w14:val="none"/>
    </w:rPr>
  </w:style>
  <w:style w:type="character" w:customStyle="1" w:styleId="CommentTextChar">
    <w:name w:val="Comment Text Char"/>
    <w:basedOn w:val="DefaultParagraphFont"/>
    <w:link w:val="CommentText"/>
    <w:uiPriority w:val="99"/>
    <w:semiHidden/>
    <w:rsid w:val="00FD0CC4"/>
    <w:rPr>
      <w:rFonts w:ascii="Quattrocento Sans" w:eastAsia="SimSun" w:hAnsi="Quattrocento Sans" w:cs="Quattrocento Sans"/>
      <w:kern w:val="0"/>
      <w:sz w:val="20"/>
      <w:szCs w:val="20"/>
      <w:lang w:val="en-GB" w:eastAsia="zh-CN"/>
      <w14:ligatures w14:val="none"/>
    </w:rPr>
  </w:style>
  <w:style w:type="paragraph" w:styleId="Footer">
    <w:name w:val="footer"/>
    <w:basedOn w:val="Normal"/>
    <w:link w:val="FooterChar"/>
    <w:uiPriority w:val="99"/>
    <w:unhideWhenUsed/>
    <w:rsid w:val="002F28A6"/>
    <w:pPr>
      <w:tabs>
        <w:tab w:val="center" w:pos="4513"/>
        <w:tab w:val="right" w:pos="9026"/>
      </w:tabs>
    </w:pPr>
  </w:style>
  <w:style w:type="character" w:customStyle="1" w:styleId="FooterChar">
    <w:name w:val="Footer Char"/>
    <w:basedOn w:val="DefaultParagraphFont"/>
    <w:link w:val="Footer"/>
    <w:uiPriority w:val="99"/>
    <w:rsid w:val="002F28A6"/>
  </w:style>
  <w:style w:type="character" w:styleId="PageNumber">
    <w:name w:val="page number"/>
    <w:basedOn w:val="DefaultParagraphFont"/>
    <w:uiPriority w:val="99"/>
    <w:semiHidden/>
    <w:unhideWhenUsed/>
    <w:rsid w:val="002F28A6"/>
  </w:style>
  <w:style w:type="paragraph" w:styleId="Header">
    <w:name w:val="header"/>
    <w:basedOn w:val="Normal"/>
    <w:link w:val="HeaderChar"/>
    <w:uiPriority w:val="99"/>
    <w:unhideWhenUsed/>
    <w:rsid w:val="006B230B"/>
    <w:pPr>
      <w:tabs>
        <w:tab w:val="center" w:pos="4513"/>
        <w:tab w:val="right" w:pos="9026"/>
      </w:tabs>
    </w:pPr>
  </w:style>
  <w:style w:type="character" w:customStyle="1" w:styleId="HeaderChar">
    <w:name w:val="Header Char"/>
    <w:basedOn w:val="DefaultParagraphFont"/>
    <w:link w:val="Header"/>
    <w:uiPriority w:val="99"/>
    <w:rsid w:val="006B2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22870</Words>
  <Characters>130363</Characters>
  <Application>Microsoft Office Word</Application>
  <DocSecurity>0</DocSecurity>
  <Lines>1086</Lines>
  <Paragraphs>305</Paragraphs>
  <ScaleCrop>false</ScaleCrop>
  <Company/>
  <LinksUpToDate>false</LinksUpToDate>
  <CharactersWithSpaces>152928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Xander</dc:creator>
  <cp:keywords/>
  <dc:description/>
  <cp:lastModifiedBy>Nicolas Xander</cp:lastModifiedBy>
  <cp:revision>3</cp:revision>
  <cp:lastPrinted>2025-07-04T12:46:00Z</cp:lastPrinted>
  <dcterms:created xsi:type="dcterms:W3CDTF">2025-07-04T12:46:00Z</dcterms:created>
  <dcterms:modified xsi:type="dcterms:W3CDTF">2025-07-04T12:46:00Z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2024-08-27T15:08:27Z</vt:lpwstr>
  </property>
  <property fmtid="{D5CDD505-2E9C-101B-9397-08002B2CF9AE}" pid="4" name="MSIP_Label_8772ba27-cab8-4042-a351-a31f6e4eacdc_Method">
    <vt:lpwstr>Privileged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eefdd3c6-8beb-49cf-8498-9fd166292b53</vt:lpwstr>
  </property>
  <property fmtid="{D5CDD505-2E9C-101B-9397-08002B2CF9AE}" pid="8" name="MSIP_Label_8772ba27-cab8-4042-a351-a31f6e4eacdc_ContentBits">
    <vt:lpwstr>0</vt:lpwstr>
  </property>
</Properties>
</file>