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57427" w14:textId="1E87DB34" w:rsidR="0090645A" w:rsidRDefault="006F060C" w:rsidP="007A46E7">
      <w:pPr>
        <w:pStyle w:val="Heading1"/>
        <w:rPr>
          <w:lang w:val="en-GB"/>
        </w:rPr>
      </w:pPr>
      <w:r>
        <w:rPr>
          <w:lang w:val="en-US"/>
        </w:rPr>
        <w:t>Online Resource</w:t>
      </w:r>
      <w:r w:rsidR="007A46E7">
        <w:rPr>
          <w:lang w:val="en-US"/>
        </w:rPr>
        <w:t xml:space="preserve"> </w:t>
      </w:r>
      <w:r w:rsidR="00314FB7">
        <w:rPr>
          <w:lang w:val="en-US"/>
        </w:rPr>
        <w:t>5</w:t>
      </w:r>
      <w:r w:rsidR="007A46E7">
        <w:rPr>
          <w:lang w:val="en-US"/>
        </w:rPr>
        <w:t xml:space="preserve">: Access-related impact and organisational (dis-)advantages </w:t>
      </w:r>
      <w:r w:rsidR="007A46E7" w:rsidRPr="003E33B6">
        <w:rPr>
          <w:lang w:val="en-GB"/>
        </w:rPr>
        <w:t xml:space="preserve">of applied </w:t>
      </w:r>
      <w:r w:rsidR="007A46E7">
        <w:rPr>
          <w:lang w:val="en-GB"/>
        </w:rPr>
        <w:t xml:space="preserve">pricing implementation methods </w:t>
      </w:r>
      <w:r w:rsidR="007A46E7" w:rsidRPr="003E33B6">
        <w:rPr>
          <w:lang w:val="en-GB"/>
        </w:rPr>
        <w:t>in EEA/OECD member states</w:t>
      </w:r>
      <w:r w:rsidR="007A46E7">
        <w:rPr>
          <w:lang w:val="en-GB"/>
        </w:rPr>
        <w:t xml:space="preserve"> – detailed overview</w:t>
      </w:r>
    </w:p>
    <w:p w14:paraId="4D62AA14" w14:textId="77777777" w:rsidR="00314FB7" w:rsidRDefault="00314FB7" w:rsidP="00314FB7">
      <w:pPr>
        <w:rPr>
          <w:lang w:val="en-GB"/>
        </w:rPr>
      </w:pPr>
    </w:p>
    <w:p w14:paraId="0A02D1D7" w14:textId="0B268CBA" w:rsidR="000E1E72" w:rsidRDefault="00FF4221" w:rsidP="00FF4221">
      <w:pPr>
        <w:pStyle w:val="Caption"/>
        <w:keepNext/>
        <w:rPr>
          <w:lang w:val="en-GB"/>
        </w:rPr>
      </w:pPr>
      <w:r w:rsidRPr="003E33B6">
        <w:rPr>
          <w:lang w:val="en-GB"/>
        </w:rPr>
        <w:t xml:space="preserve">Table </w:t>
      </w:r>
      <w:r w:rsidR="006F060C">
        <w:rPr>
          <w:lang w:val="en-GB"/>
        </w:rPr>
        <w:t>S5-</w:t>
      </w:r>
      <w:r w:rsidRPr="21617567">
        <w:rPr>
          <w:color w:val="2B579A"/>
          <w:shd w:val="clear" w:color="auto" w:fill="E6E6E6"/>
          <w:lang w:val="en-GB"/>
        </w:rPr>
        <w:fldChar w:fldCharType="begin"/>
      </w:r>
      <w:r w:rsidRPr="003E33B6">
        <w:rPr>
          <w:lang w:val="en-GB"/>
        </w:rPr>
        <w:instrText xml:space="preserve"> SEQ Table \* ARABIC </w:instrText>
      </w:r>
      <w:r w:rsidRPr="21617567">
        <w:rPr>
          <w:color w:val="2B579A"/>
          <w:shd w:val="clear" w:color="auto" w:fill="E6E6E6"/>
          <w:lang w:val="en-GB"/>
        </w:rPr>
        <w:fldChar w:fldCharType="separate"/>
      </w:r>
      <w:r w:rsidR="000F3D3A">
        <w:rPr>
          <w:noProof/>
          <w:lang w:val="en-GB"/>
        </w:rPr>
        <w:t>1</w:t>
      </w:r>
      <w:r w:rsidRPr="21617567">
        <w:rPr>
          <w:color w:val="2B579A"/>
          <w:shd w:val="clear" w:color="auto" w:fill="E6E6E6"/>
          <w:lang w:val="en-GB"/>
        </w:rPr>
        <w:fldChar w:fldCharType="end"/>
      </w:r>
      <w:r w:rsidRPr="003E33B6">
        <w:rPr>
          <w:lang w:val="en-GB"/>
        </w:rPr>
        <w:t>: Sources of evidence on access-related impact and</w:t>
      </w:r>
      <w:r>
        <w:rPr>
          <w:lang w:val="en-GB"/>
        </w:rPr>
        <w:t xml:space="preserve"> organisational</w:t>
      </w:r>
      <w:r w:rsidRPr="003E33B6">
        <w:rPr>
          <w:lang w:val="en-GB"/>
        </w:rPr>
        <w:t xml:space="preserve"> (dis-)advantages</w:t>
      </w:r>
      <w:r w:rsidRPr="003E33B6">
        <w:rPr>
          <w:noProof/>
          <w:lang w:val="en-GB"/>
        </w:rPr>
        <w:t xml:space="preserve"> of applied price </w:t>
      </w:r>
      <w:r>
        <w:rPr>
          <w:noProof/>
          <w:lang w:val="en-GB"/>
        </w:rPr>
        <w:t>implementation methods</w:t>
      </w:r>
      <w:r w:rsidR="00EF56D4">
        <w:rPr>
          <w:noProof/>
          <w:lang w:val="en-GB"/>
        </w:rPr>
        <w:t xml:space="preserve"> (full overview)</w:t>
      </w:r>
    </w:p>
    <w:tbl>
      <w:tblPr>
        <w:tblStyle w:val="TableGrid"/>
        <w:tblW w:w="0" w:type="auto"/>
        <w:tblLook w:val="04A0" w:firstRow="1" w:lastRow="0" w:firstColumn="1" w:lastColumn="0" w:noHBand="0" w:noVBand="1"/>
      </w:tblPr>
      <w:tblGrid>
        <w:gridCol w:w="1964"/>
        <w:gridCol w:w="3027"/>
        <w:gridCol w:w="5069"/>
        <w:gridCol w:w="3888"/>
      </w:tblGrid>
      <w:tr w:rsidR="00EF56D4" w:rsidRPr="002F0C47" w14:paraId="717C70E9" w14:textId="77777777" w:rsidTr="00EF56D4">
        <w:tc>
          <w:tcPr>
            <w:tcW w:w="1964" w:type="dxa"/>
          </w:tcPr>
          <w:p w14:paraId="2BFE9276" w14:textId="77777777" w:rsidR="000E1E72" w:rsidRPr="000C0CE1" w:rsidRDefault="000E1E72" w:rsidP="00A74265">
            <w:pPr>
              <w:pStyle w:val="Caption"/>
              <w:spacing w:after="0"/>
              <w:jc w:val="center"/>
              <w:rPr>
                <w:b/>
                <w:i w:val="0"/>
              </w:rPr>
            </w:pPr>
            <w:r w:rsidRPr="002F0C47">
              <w:rPr>
                <w:rFonts w:asciiTheme="minorHAnsi" w:hAnsiTheme="minorHAnsi"/>
                <w:b/>
                <w:i w:val="0"/>
                <w:color w:val="auto"/>
              </w:rPr>
              <w:t>Implementation method</w:t>
            </w:r>
          </w:p>
        </w:tc>
        <w:tc>
          <w:tcPr>
            <w:tcW w:w="3027" w:type="dxa"/>
          </w:tcPr>
          <w:p w14:paraId="60458CB6" w14:textId="77777777" w:rsidR="000E1E72" w:rsidRPr="000C0CE1" w:rsidRDefault="000E1E72" w:rsidP="00A74265">
            <w:pPr>
              <w:pStyle w:val="Caption"/>
              <w:spacing w:after="0"/>
              <w:jc w:val="center"/>
              <w:rPr>
                <w:b/>
                <w:i w:val="0"/>
              </w:rPr>
            </w:pPr>
            <w:r w:rsidRPr="002F0C47">
              <w:rPr>
                <w:rFonts w:asciiTheme="minorHAnsi" w:hAnsiTheme="minorHAnsi"/>
                <w:b/>
                <w:i w:val="0"/>
                <w:color w:val="auto"/>
              </w:rPr>
              <w:t>References</w:t>
            </w:r>
          </w:p>
        </w:tc>
        <w:tc>
          <w:tcPr>
            <w:tcW w:w="5069" w:type="dxa"/>
          </w:tcPr>
          <w:p w14:paraId="673405C5" w14:textId="77777777" w:rsidR="000E1E72" w:rsidRPr="000C0CE1" w:rsidRDefault="000E1E72" w:rsidP="00A74265">
            <w:pPr>
              <w:pStyle w:val="Table"/>
              <w:jc w:val="center"/>
              <w:rPr>
                <w:rFonts w:ascii="Quattrocento Sans" w:hAnsi="Quattrocento Sans"/>
                <w:b/>
                <w:i/>
                <w:iCs/>
                <w:color w:val="0E2841" w:themeColor="text2"/>
              </w:rPr>
            </w:pPr>
            <w:r w:rsidRPr="00183C77">
              <w:rPr>
                <w:b/>
              </w:rPr>
              <w:t>Description of impact</w:t>
            </w:r>
            <w:r w:rsidRPr="00183C77">
              <w:rPr>
                <w:b/>
                <w:vertAlign w:val="superscript"/>
              </w:rPr>
              <w:t>1</w:t>
            </w:r>
          </w:p>
        </w:tc>
        <w:tc>
          <w:tcPr>
            <w:tcW w:w="3888" w:type="dxa"/>
          </w:tcPr>
          <w:p w14:paraId="51CE46BC" w14:textId="77777777" w:rsidR="000E1E72" w:rsidRPr="00183C77" w:rsidRDefault="000E1E72" w:rsidP="00A74265">
            <w:pPr>
              <w:pStyle w:val="Table"/>
              <w:jc w:val="center"/>
              <w:rPr>
                <w:b/>
              </w:rPr>
            </w:pPr>
            <w:r w:rsidRPr="00183C77">
              <w:rPr>
                <w:b/>
              </w:rPr>
              <w:t>Description of (dis-)advantage</w:t>
            </w:r>
            <w:r w:rsidRPr="002F0C47">
              <w:rPr>
                <w:b/>
              </w:rPr>
              <w:t>s</w:t>
            </w:r>
            <w:r w:rsidRPr="002F0C47">
              <w:rPr>
                <w:b/>
                <w:vertAlign w:val="superscript"/>
              </w:rPr>
              <w:t>2</w:t>
            </w:r>
          </w:p>
        </w:tc>
      </w:tr>
      <w:tr w:rsidR="00B46256" w:rsidRPr="002F0C47" w14:paraId="13586312" w14:textId="77777777" w:rsidTr="00EF56D4">
        <w:trPr>
          <w:trHeight w:val="300"/>
        </w:trPr>
        <w:tc>
          <w:tcPr>
            <w:tcW w:w="1964" w:type="dxa"/>
          </w:tcPr>
          <w:p w14:paraId="4E0499F2" w14:textId="77777777" w:rsidR="00B46256" w:rsidRPr="002F0C47" w:rsidRDefault="00B46256" w:rsidP="00B46256">
            <w:pPr>
              <w:pStyle w:val="Caption"/>
              <w:spacing w:after="0"/>
              <w:rPr>
                <w:i w:val="0"/>
              </w:rPr>
            </w:pPr>
            <w:r w:rsidRPr="002F0C47">
              <w:rPr>
                <w:rFonts w:asciiTheme="minorHAnsi" w:hAnsiTheme="minorHAnsi"/>
                <w:i w:val="0"/>
                <w:color w:val="auto"/>
              </w:rPr>
              <w:t>Price negotiations</w:t>
            </w:r>
          </w:p>
        </w:tc>
        <w:tc>
          <w:tcPr>
            <w:tcW w:w="3027" w:type="dxa"/>
          </w:tcPr>
          <w:p w14:paraId="2192CA22" w14:textId="0ED7ED6E" w:rsidR="00B46256" w:rsidRPr="00B46256" w:rsidRDefault="00B46256" w:rsidP="00B46256">
            <w:pPr>
              <w:pStyle w:val="Table"/>
            </w:pPr>
            <w:r w:rsidRPr="00B46256">
              <w:rPr>
                <w:rFonts w:cs="Times New Roman"/>
                <w:color w:val="2B579A"/>
              </w:rPr>
              <w:fldChar w:fldCharType="begin"/>
            </w:r>
            <w:r w:rsidRPr="00B46256">
              <w:rPr>
                <w:rFonts w:cs="Times New Roman"/>
              </w:rPr>
              <w:instrText xml:space="preserve"> ADDIN ZOTERO_ITEM CSL_CITATION {"citationID":"jy5wC7MD","properties":{"formattedCitation":"[44, 45, 56, 57, 66, 73, 97, 116, 121, 132\\uc0\\u8211{}135]","plainCitation":"[44, 45, 56, 57, 66, 73, 97, 116, 121, 132–135]","noteIndex":0},"citationItems":[{"id":15738,"uris":["http://zotero.org/users/10480792/items/D4L4G6AH"],"itemData":{"id":15738,"type":"article-journal","abstract":"This article compares the pharmaceutical pricing policies employed by public and private insurers in the United States with seven price and spending control strategies employed in the United Kingdom, France, and Germany. Differences between American and European policies explain why American pharmaceutical prices and per capita spending are higher than in European nations. The article then analyzes two recent bills as examples of significant American reform ideas-H.R. 3, the Elijah E. Cummings Lower Drug Costs Now Act (introduced in 2019) and the Build Back Better Act (BBBA, introduced in 2021)-and compares them with European cost control strategies. Key drug price provisions of the BBBA were incorporated into the recently enacted Inflation Reduction Act (IRA). H.R. 3 would have used an international (mostly European) price index to cap U.S. prices; the BBBA would cap Medicare prices at a discount from average U.S. market prices. Neither bill would employ the key cost control strategies that European nations do. Both bills would have significantly less impact on prices than legislation that employs European-style cost controls. This article proposes steps that Congress could take in line with European strategies to lower purchase prices and costs for patients. These measures would have to overcome political obstacles that currently stymie reform. Copyright © 2022 by Duke University Press.","archive_location":"35867553","container-title":"J Health Polit Policy Law","DOI":"10.1215/03616878-10041163","ISSN":"1527-1927","issue":"6","page":"755-778","title":"Assessing US Pharmaceutical Policy and Pricing Reform Legislation in Light of European Price and Cost Control Strategies","volume":"47","author":[{"family":"Rodwin","given":"M. A."}],"issued":{"date-parts":[["2022",12,1]]},"citation-key":"rodwinAssessingUSPharmaceutical2022"}},{"id":15728,"uris":["http://zotero.org/users/10480792/items/6ZU9G3R7"],"itemData":{"id":15728,"type":"article-journal","abstract":"To control pharmaceutical spending and improve access, the United States could adopt strategies similar to those introduced in Germany by the 2011 German Pharmaceutical Market Reorganization Act. In Germany, manufacturers sell new drugs immediately upon receiving marketing approval. During the first year, the German Federal Joint Committee assesses new drugs to determine their added medical benefit. It assigns them a score indicating their added benefit. New drugs comparable to drugs in a reference price group are assigned to that group and receive the same reimbursement, unless they are therapeutically superior. The National Association of Statutory Health Insurance Funds then negotiates with manufacturers the maximum reimbursement starting the 13th month, consistent with the drug's added benefit assessment and price caps in other European countries. In the absence of agreement, an arbitration board sets the price. Manufacturers accept the price resolution or exit the market. Thereafter, prices generally are not increased, even for inflation. US public and private insurers control prices in diverse ways, but typically obtain discounts by designating certain drugs as preferred and by restricting patient access or charging high copayment for nonpreferred drugs. This article draws 10 lessons for drug pricing reform in US federal programs and private insurance.","archive_location":"34668806","container-title":"Int J Health Serv","DOI":"10.1177/00207314211040948","ISSN":"1541-4469","issue":"1","page":"146-158","title":"German Pharmaceutical Pricing: Lessons for the United States","volume":"52","author":[{"family":"Rodwin","given":"M. A."},{"family":"Gerke","given":"S."}],"issued":{"date-parts":[["2022",1]]},"citation-key":"rodwinGermanPharmaceuticalPricing2022"}},{"id":15716,"uris":["http://zotero.org/users/10480792/items/XV3VHY4G"],"itemData":{"id":15716,"type":"article-journal","abstract":"Issue: The German health care system resembles that of the United States in important ways - it is financed by multiple private payers and relies principally on negotiation rather than regulation to establish prices. New drugs that offer minimal benefits compared with existing alternatives within a therapeutic class are subject to reference pricing; those with incremental benefits are subject to price negotiations. Together, the reference and negotiated pricing systems have held German prices substantially below U.S. equivalents. Goal: To describe the German reference-pricing system and compare it to tiered formularies and consumer cost-sharing in the United States. Methods: Document review and interviews with leaders in payer, policy, and pharmaceutical industry organizations in Germany. Key Findings and Conclusions: The German pharmaceutical pricing system uses modest levels of consumer cost-sharing to influence consumers' choices for drugs with therapeutically equivalent alternatives. Manufacturers are free to set the prices of their products, but insurers will not pay more for a new drug than for its comparators unless it offers an additional clinical benefit. For drugs covered by reference pricing, the insurers' payment maximum is set at a level that ensures sufficient choices of low-priced options. These models offer an alternative to the U.S. system of tiered formularies.","archive_location":"30883061","container-title":"Issue Brief (Commonw Fund)","ISSN":"1558-6847","page":"1-8","title":"Reference Pricing in Germany: Implications for U.S. Pharmaceutical Purchasing","volume":"2019","author":[{"family":"Robinson","given":"J. C."},{"family":"Panteli","given":"D."},{"family":"Ex","given":"P."}],"issued":{"date-parts":[["2019",2]]},"citation-key":"robinsonReferencePricingGermany2019"}},{"id":15726,"uris":["http://zotero.org/users/10480792/items/6TK5UURX"],"itemData":{"id":15726,"type":"article-journal","abstract":"Worldwide spending on prescription drugs has increased dramatically in recent years. Although this increase has been particularly pronounced in the US, it remains largely unaddressed there. In Europe, however, different approaches to regulating drug prices have been implemented. Under the 2011 German Pharmaceutical Market Restructuring Act (Arzneimittelmarktneuordnungsgesetz, or AMNOG), for example, manufacturers freely set the prices of newly authorized drugs during their first year on the market. Benefit assessments are carried out during this year and then used in price negotiations between manufacturers and representatives of the country's statutory health insurers. Using data on fifty-seven anticancer drugs launched in Germany from 2002 to 2017, we found that implementation of AMNOG was associated with drug prices being more closely aligned with clinical benefit. Introducing price negotiations led to a 24.5 percent decrease in negotiated prices relative to launch prices. We did not find evidence that manufacturers responded by setting higher launch prices. AMNOG is an example of how government price negotiation can be designed to better align prices with clinical benefit without delaying patient access.","archive_location":"32634355","container-title":"Health Aff (Millwood)","DOI":"10.1377/hlthaff.2019.01122","ISSN":"1544-5208","issue":"7","page":"1185-1193","title":"Lessons From The Impact Of Price Regulation On The Pricing Of Anticancer Drugs In Germany","volume":"39","author":[{"family":"Lauenroth","given":"V. D."},{"family":"Kesselheim","given":"A. S."},{"family":"Sarpatwari","given":"A."},{"family":"Stern","given":"A. D."}],"issued":{"date-parts":[["2020"]]},"citation-key":"lauenrothLessonsImpactPrice2020"}},{"id":16031,"uris":["http://zotero.org/users/10480792/items/WFSIBKFR"],"itemData":{"id":16031,"type":"article-journal","archive":"Embase Medline","container-title":"Appl Health Econ Health Policy","DOI":"10.1007/s40258-021-00712-x","ISSN":"1179-1896 1175-5652","issue":"3","language":"English","page":"287-290","title":"How Far is Germany From Value-Based Pricing 10 Years After the Introduction of AMNOG?","volume":"20","author":[{"family":"Dintsios","given":"C. M."},{"family":"Chernyak","given":"N."}],"issued":{"date-parts":[["2022"]]},"citation-key":"dintsiosHowFarGermany2022"}},{"id":16675,"uris":["http://zotero.org/users/10480792/items/X39QT5GN","http://zotero.org/users/10480792/items/E7D923E9"],"itemData":{"id":16675,"type":"article-journal","abstract":"Abstract\n            \n              Introduction\n              Since 2011, the prices for all new drugs in Germany are negotiated based on a benefit assessment. The purpose of this study was to analyze the price regulation of drugs with unproven additional benefit.\n            \n            \n              Methods\n              Benefit assessment procedures from 2011 to 2020 were reviewed and selected through AMNOG Monitor and Lauer Taxe. Negotiated annual therapy costs, the annual costs of the most cost-efficient appropriate comparative therapy (ACT) and the potential budget impact for 33 included procedures were calculated.\n            \n            \n              Results\n              55% of the included drugs achieved a negotiated price higher than the most cost-efficient ACT, 3% were identified as equal and 42% showed lower negotiated prices. The potential savings exceeded expenditures by around EUR 523.5 m. After price flexibility was adopted by the legislator in 2017, the overall potential savings still outweighed the expenditures by around EUR 62 m.\n            \n            \n              Conclusions\n              Our analysis shows that making price negotiations more flexible by law does not undermine the fundamental aim of the AMNOG, which is to avoid additional expenditure without increased patient benefit. The regulation can thus fulfill the objective provided by the legislature of keeping drugs without proven additional benefits in the German healthcare system.","container-title":"Health Economics, Policy and Law","DOI":"10.1017/S1744133123000117","ISSN":"1744-1331, 1744-134X","issue":"2","journalAbbreviation":"HEPL","language":"en","page":"216-233","source":"DOI.org (Crossref)","title":"Ten years of German benefit assessment: price analysis for drugs with unproven additional benefit","title-short":"Ten years of German benefit assessment","volume":"19","author":[{"family":"Kleining","given":"Katrin"},{"family":"Laufenberg","given":"Jan"},{"family":"Thrun","given":"Philip"},{"family":"Ehlert","given":"Dorothee"},{"family":"Wasem","given":"Jürgen"},{"family":"Bartol","given":"Arne"}],"issued":{"date-parts":[["2024",4]]},"citation-key":"kleiningTenYearsGerman2024"}},{"id":15908,"uris":["http://zotero.org/users/10480792/items/IRRT6EYR"],"itemData":{"id":15908,"type":"article-journal","abstract":"Between 2000 and 2013, spending on medicines in Korea increased by 275.3%. In order to curb this trend, several pricing policies and measures were introduced. This study reviews these policies and their implications based on pricing regulations as well as a literature review. New medicines now undergo both a reimbursement assessment and price negotiations. The reimbursement of new medicines is based on their cost effectiveness. The prices of new medicines are subsequently fixed through negotiations between the payer, the National Health Insurance Service, and the relevant manufacturer. Generic drugs are automatically priced via a new standard methodology. Repricing mechanisms were complicated and now redundant. Simple and efficient measures rather than complex and inefficient measures are needed to maintain the value-for-money principle for new medicines as well as achieve financial efficiency through price competition among generic drugs.","archive_location":"28138932","container-title":"Appl Health Econ Health Policy","DOI":"10.1007/s40258-017-0307-0","ISSN":"1179-1896","issue":"4","page":"447-453","title":"Drug Pricing in South Korea","volume":"15","author":[{"family":"Kwon","given":"H. Y."},{"family":"Godman","given":"B."}],"issued":{"date-parts":[["2017",8]]},"citation-key":"kwonDrugPricingSouth2017"}},{"id":16004,"uris":["http://zotero.org/users/10480792/items/C5SMXITF"],"itemData":{"id":16004,"type":"article-journal","abstract":"BACKGROUND: The World Health Organization recommends establishing and implementing a national pharmaceutical policy (NPP) to guarantee effective and equitable access to medicines. Mexico has implemented several policy approaches to regulate the pharmaceutical sector, but it has no formal NPP. This article describes the approach that the Mexican government has taken to improve availability and affordability of essential medicines. METHODS: Descriptive policy analysis of public pharmaceutical policy proposals and health action plans on the basis of publicly available data and health progress reports, with a focus on availability and affordability of medicines. RESULTS: The government has implemented pooled procurement, price negotiations, and an information platform in the public sector to improve affordability and availability. The government mainly reports on the savings that these strategies have generated in the public expenditure but their full impact on availability and affordability has not been assessed. CONCLUSIONS: To increase availability and affordability of medicines in the public sector, the Mexican government has resorted on isolated strategies. In addition to efficient procurement, price negotiations and price information, other policy components and pricing interventions are needed. All these strategies should be included in a comprehensive NPP.","archive_location":"28764738","container-title":"Global health","DOI":"10.1186/s12992-017-0281-1","ISSN":"1744-8603","issue":"1","page":"53","title":"Policy approaches to improve availability and affordability of medicines in Mexico - an example of a middle income country","volume":"13","author":[{"family":"Moye-Holz","given":"D."},{"family":"Dijk","given":"J. P.","non-dropping-particle":"van"},{"family":"Reijneveld","given":"S. A."},{"family":"Hogerzeil","given":"H. V."}],"issued":{"date-parts":[["2017",8]]},"citation-key":"moye-holzPolicyApproachesImprove2017"}},{"id":15937,"uris":["http://zotero.org/users/10480792/items/392HKYPC"],"itemData":{"id":15937,"type":"report","abstract":"Pharmaceutical pricing policies are a set of written principles or requirements, agreed or adopted by a public institution (e.g. a government) or a group of purchasing organizations/individuals (e.g. health services), for managing the prices of pharmaceutical products. Governments in many countries have implemented pricing policies to ensure affordability of medicines to patients and healthcare systems.","genre":"Guideline","language":"en","source":"Zotero","title":"Systematic reviews for the update of the WHO Guideline on country pharmaceutical pricing policies","URL":"https://www.who.int/publications/i/item/9789240011892","author":[{"family":"Tordrup","given":"David"},{"family":"Ham","given":"Rianne","non-dropping-particle":"van den"},{"family":"Leopold","given":"Christine"},{"family":"Joosse","given":"Iris"},{"family":"Glanville","given":"Julie"},{"family":"Kotas","given":"Eleanor"},{"family":"Mantel-Teeuwisse","given":"Aukje"}],"issued":{"date-parts":[["2020",9,28]]},"citation-key":"tordrupSystematicReviewsUpdate2020"}},{"id":16139,"uris":["http://zotero.org/users/10480792/items/VSAXQPFL"],"itemData":{"id":16139,"type":"article-journal","abstract":"Cancer treatment has evolved significantly over the past decade with the emergence of a multitude of new treatments across cancer types. Alongside the pace of drug discovery, the cost of cancer drugs has also increased. In the face of this growth in development and spending, it is crucial to have an understanding of the processes and pressures new drugs navigate to get to the market in Canada. This paper is a review of the complex, multi-step regulatory and funding process undertaken by cancer drugs in Canada. It reviews the role of Health Canada, the Patented Medicine Prices Review Board, the Health Technology Assessment, the pan-Canadian Pharmaceutical Alliance, and finally, the provincial, territorial, and federal payers. Recent developments are highlighted. Strategies to minimize duplication of effort, improve timeliness, and increase efficiency are explored. The cancer drug regulatory and funding process in Canada is complex, and an understanding of the current system and ongoing evolution is essential.","archive_location":"35200541","container-title":"Curr. oncol.","DOI":"10.3390/curroncol29020041","ISSN":"1718-7729","issue":"2","page":"455-464","title":"The Pathway for New Cancer Drug Access in Canada","volume":"29","author":[{"family":"Gotfrit","given":"J."},{"family":"Dempster","given":"W."},{"family":"Chambers","given":"J."},{"family":"Wheatley-Price","given":"P."}],"issued":{"date-parts":[["2022",1,21]]},"citation-key":"gotfritPathwayNewCancer2022"}},{"id":15727,"uris":["http://zotero.org/users/10480792/items/HACD2DH2"],"itemData":{"id":15727,"type":"article-journal","abstract":"The United States is a relatively free-pricing market for pharmaceutical manufacturers to set list prices at the product launch. Few drug price controls exist, and federal price negotiation as a policy has historically been politically untenable. After decades of debate on whether the federal government, specifically the Medicare program, should more actively manage drug prices, the US Congress passed legislation authorizing Medicare to directly negotiate prices with manufacturers. The purpose of this article is to describe elements and implementation of the price negotiation provisions and then comment on the potential impacts on payers, innovations, and the pharmaceutical industry. While impacting only a few drugs each year in the beginning, price negotiation in the Medicare program will have secondary and long-term effects in the US market and beyond. It is clear that in the United States, the Medicare market for drugs will no longer be a free-pricing environment in the industry. Copyright © 2023. Published by Elsevier Inc.","archive_location":"36503034","container-title":"Value Health","DOI":"10.1016/j.jval.2022.11.015","ISSN":"1524-4733","issue":"3","page":"394-399","title":"Medicare Drug Price Negotiation in the United States: Implications and Unanswered Questions","volume":"26","author":[{"family":"Sullivan","given":"S. D."}],"issued":{"date-parts":[["2023",3]]},"citation-key":"sullivanMedicareDrugPrice2023"}},{"id":15975,"uris":["http://zotero.org/users/10480792/items/4W5L9WCD"],"itemData":{"id":15975,"type":"article-journal","abstract":"Importance: Allowing the US Centers for Medicare &amp; Medicaid Services to negotiate prescription drug prices for Medicare may improve drug affordability. Objective: To estimate savings from Medicare price negotiation under the Inflation Reduction Act (IRA) and examine opportunities to increase savings. Design, Setting, and Participants: This cross-sectional, population-based study used data from 2020 Medicare prescription drug claims. The study was conducted and data were analyzed in 2022. Exposures: Eligibility for Medicare price negotiation under the IRA and alternative criteria. Main Outcomes and Measures: Minimum savings under the IRA's eligibility criteria were estimated and compared with savings within alternative scenarios, including (1) selecting drugs for negotiation based on net spending after rebates rather than gross spending; (2) extending eligibility to drugs with biosimilar or generic competitors; (3) reducing the minimum years since US Food and Drug Administration approval for eligibility; and (4) changing 2 or 3 of these factors. Estimated savings were calculated at different levels of scale-up of price negotiation under the IRA, from 10 Part D drugs in 2026 to 60 Part B and D drugs in 2029. Gross spending was calculated using the US Centers for Medicare &amp; Medicaid Services 2020 Medicare drug spending dashboard. Rebates were estimated using SSR Health data. Information on FDA approvals, generics, and biosimilars was obtained from FDA websites. Results: Under IRA rules, estimated minimum savings from price negotiation in 2026 for 10 Part D drugs would be $3.2 billion. For 2029 for 60 Part D and B drugs, estimated savings were $16.0 billion. Selecting drugs for negotiation based on net rather than gross spending would be associated with estimated savings of $4.6 billion (a 45% increase) in 2026 and $18.9 billion (an 18% increase) in 2029. Including drugs with generic competitors or biosimilars would be associated with an estimated savings of $6.6 billion (a 109% increase) in 2026 and $24.9 billion (a 56% increase) in 2029. Making both changes would be associated with savings of $9.5 billion (a 200% increase) in 2026 and $28.3 billion (a 77% increase) in 2029. A sensitivity analysis suggested that reducing the required number of years since marketing approval by 2 years would be associated with increased estimated savings of 4% when 10 Part D drugs are negotiated and 12% when 60 Part D and B drugs are negotiated. Changing all 3 criteria would be associated with the greatest increase in estimated savings in 2029 (119% increase when 10 Part D drugs are negotiated and 93% increase for 60 Part D and B drugs). Conclusions and Relevance: The results of this cross-sectional study suggest that adjusting the eligibility criteria for Medicare prescription drug price negotiation to permit inclusion of drugs with biosimilar or generic competitors and selecting drugs based on net rather than gross spending may be a promising approach to substantially increase estimated savings.","archive":"Embase Medline","container-title":"JAMA Intern Med","DOI":"10.1001/jamainternmed.2023.0763","ISSN":"2168-6114 2168-6106","issue":"6","language":"English","page":"581-588","title":"Examining Opportunities to Increase Savings From Medicare Price Negotiations","volume":"183","author":[{"family":"Reitsma","given":"M. B."},{"family":"Dusetzina","given":"S. B."},{"family":"Ballreich","given":"J. M."},{"family":"Trujillo","given":"A. J."},{"family":"Mello","given":"M. M."}],"issued":{"date-parts":[["2023"]]},"citation-key":"reitsmaExaminingOpportunitiesIncrease2023"}},{"id":16114,"uris":["http://zotero.org/users/10480792/items/9992FXQD"],"itemData":{"id":16114,"type":"article-journal","archive_location":"35984652","container-title":"JAMA","DOI":"10.1001/jama.2022.15268","ISSN":"1538-3598","issue":"11","page":"1041-1042","title":"New Reforms to Prescription Drug Pricing in the US: Opportunities and Challenges","volume":"328","author":[{"family":"Hwang","given":"T. J."},{"family":"Kesselheim","given":"A. S."},{"family":"Rome","given":"B. N."}],"issued":{"date-parts":[["2022",9,20]]},"citation-key":"hwangNewReformsPrescription2022"}}],"schema":"https://github.com/citation-style-language/schema/raw/master/csl-citation.json"} </w:instrText>
            </w:r>
            <w:r w:rsidRPr="00B46256">
              <w:rPr>
                <w:rFonts w:cs="Times New Roman"/>
                <w:color w:val="2B579A"/>
              </w:rPr>
              <w:fldChar w:fldCharType="separate"/>
            </w:r>
            <w:r w:rsidRPr="00B46256">
              <w:rPr>
                <w:rFonts w:cs="Times New Roman"/>
              </w:rPr>
              <w:t>[44, 45, 56, 57, 66, 73, 97, 116, 121, 132–135]</w:t>
            </w:r>
            <w:r w:rsidRPr="00B46256">
              <w:rPr>
                <w:rFonts w:cs="Times New Roman"/>
                <w:color w:val="2B579A"/>
              </w:rPr>
              <w:fldChar w:fldCharType="end"/>
            </w:r>
          </w:p>
        </w:tc>
        <w:tc>
          <w:tcPr>
            <w:tcW w:w="5069" w:type="dxa"/>
          </w:tcPr>
          <w:p w14:paraId="17613F70" w14:textId="77777777" w:rsidR="00B46256" w:rsidRPr="00E47509" w:rsidRDefault="00B46256" w:rsidP="00B46256">
            <w:pPr>
              <w:pStyle w:val="Table"/>
              <w:rPr>
                <w:b/>
                <w:bCs/>
              </w:rPr>
            </w:pPr>
            <w:r w:rsidRPr="00E47509">
              <w:rPr>
                <w:b/>
                <w:bCs/>
                <w:iCs/>
              </w:rPr>
              <w:t>Affordability</w:t>
            </w:r>
            <w:r w:rsidRPr="00E47509">
              <w:rPr>
                <w:b/>
                <w:bCs/>
              </w:rPr>
              <w:t>:</w:t>
            </w:r>
          </w:p>
          <w:p w14:paraId="51985B03" w14:textId="77777777" w:rsidR="00B46256" w:rsidRPr="00FA6478" w:rsidRDefault="00B46256" w:rsidP="00B46256">
            <w:pPr>
              <w:spacing w:after="40"/>
              <w:rPr>
                <w:rFonts w:asciiTheme="minorHAnsi" w:hAnsiTheme="minorHAnsi"/>
                <w:i/>
                <w:iCs/>
                <w:sz w:val="18"/>
                <w:szCs w:val="18"/>
                <w:lang w:val="en-US"/>
              </w:rPr>
            </w:pPr>
            <w:r w:rsidRPr="00FA6478">
              <w:rPr>
                <w:rFonts w:asciiTheme="minorHAnsi" w:hAnsiTheme="minorHAnsi"/>
                <w:i/>
                <w:iCs/>
                <w:sz w:val="18"/>
                <w:szCs w:val="18"/>
                <w:lang w:val="en-US"/>
              </w:rPr>
              <w:t>General:</w:t>
            </w:r>
          </w:p>
          <w:p w14:paraId="5CE85FC0" w14:textId="645785F3" w:rsidR="00B46256" w:rsidRPr="00FA6478" w:rsidRDefault="00B46256" w:rsidP="00B46256">
            <w:pPr>
              <w:pStyle w:val="Table"/>
              <w:numPr>
                <w:ilvl w:val="0"/>
                <w:numId w:val="1"/>
              </w:numPr>
              <w:ind w:left="284" w:hanging="284"/>
              <w:rPr>
                <w:lang w:val="en-US"/>
              </w:rPr>
            </w:pPr>
            <w:r w:rsidRPr="00FA6478">
              <w:rPr>
                <w:lang w:val="en-US"/>
              </w:rPr>
              <w:t>Policy sets limits on what purchasers pay for a</w:t>
            </w:r>
            <w:r w:rsidR="009D3997">
              <w:rPr>
                <w:lang w:val="en-US"/>
              </w:rPr>
              <w:t>n</w:t>
            </w:r>
            <w:r w:rsidRPr="00FA6478">
              <w:rPr>
                <w:lang w:val="en-US"/>
              </w:rPr>
              <w:t xml:space="preserve"> </w:t>
            </w:r>
            <w:r w:rsidR="009D3997">
              <w:rPr>
                <w:lang w:val="en-US"/>
              </w:rPr>
              <w:t>MP</w:t>
            </w:r>
            <w:r w:rsidRPr="00FA6478">
              <w:rPr>
                <w:lang w:val="en-US"/>
              </w:rPr>
              <w:t>.</w:t>
            </w:r>
          </w:p>
          <w:p w14:paraId="43E6F197" w14:textId="77777777" w:rsidR="00B46256" w:rsidRPr="00FA6478" w:rsidRDefault="00B46256" w:rsidP="00B46256">
            <w:pPr>
              <w:spacing w:after="40"/>
              <w:rPr>
                <w:rFonts w:asciiTheme="minorHAnsi" w:hAnsiTheme="minorHAnsi"/>
                <w:sz w:val="18"/>
                <w:szCs w:val="18"/>
                <w:lang w:val="en-US"/>
              </w:rPr>
            </w:pPr>
          </w:p>
          <w:p w14:paraId="0DCF05D3" w14:textId="77777777" w:rsidR="00B46256" w:rsidRPr="00FA6478" w:rsidRDefault="00B46256" w:rsidP="00B46256">
            <w:pPr>
              <w:spacing w:after="40"/>
              <w:rPr>
                <w:rFonts w:asciiTheme="minorHAnsi" w:hAnsiTheme="minorHAnsi"/>
                <w:i/>
                <w:iCs/>
                <w:sz w:val="18"/>
                <w:szCs w:val="18"/>
                <w:lang w:val="en-US"/>
              </w:rPr>
            </w:pPr>
            <w:r w:rsidRPr="00FA6478">
              <w:rPr>
                <w:rFonts w:asciiTheme="minorHAnsi" w:hAnsiTheme="minorHAnsi"/>
                <w:i/>
                <w:iCs/>
                <w:sz w:val="18"/>
                <w:szCs w:val="18"/>
                <w:lang w:val="en-US"/>
              </w:rPr>
              <w:t>MX:</w:t>
            </w:r>
          </w:p>
          <w:p w14:paraId="5A1F2C91" w14:textId="71C2DA58" w:rsidR="00B46256" w:rsidRPr="00FA6478" w:rsidRDefault="00B46256" w:rsidP="00B46256">
            <w:pPr>
              <w:pStyle w:val="Table"/>
              <w:numPr>
                <w:ilvl w:val="0"/>
                <w:numId w:val="1"/>
              </w:numPr>
              <w:ind w:left="284" w:hanging="284"/>
              <w:rPr>
                <w:lang w:val="en-US"/>
              </w:rPr>
            </w:pPr>
            <w:r w:rsidRPr="00FA6478">
              <w:rPr>
                <w:lang w:val="en-US"/>
              </w:rPr>
              <w:t xml:space="preserve">Prices of </w:t>
            </w:r>
            <w:r w:rsidR="009D3997">
              <w:rPr>
                <w:lang w:val="en-US"/>
              </w:rPr>
              <w:t>MP</w:t>
            </w:r>
            <w:r w:rsidRPr="00FA6478">
              <w:rPr>
                <w:lang w:val="en-US"/>
              </w:rPr>
              <w:t>s on national formulary can be kept low due to monopsony and bargaining powers in negotiations.</w:t>
            </w:r>
          </w:p>
          <w:p w14:paraId="78FDAA5D" w14:textId="77777777" w:rsidR="00B46256" w:rsidRPr="00FA6478" w:rsidRDefault="00B46256" w:rsidP="00B46256">
            <w:pPr>
              <w:pStyle w:val="Table"/>
              <w:numPr>
                <w:ilvl w:val="0"/>
                <w:numId w:val="1"/>
              </w:numPr>
              <w:ind w:left="284" w:hanging="284"/>
              <w:rPr>
                <w:lang w:val="en-US"/>
              </w:rPr>
            </w:pPr>
            <w:r w:rsidRPr="00FA6478">
              <w:rPr>
                <w:lang w:val="en-US"/>
              </w:rPr>
              <w:t>However: Insufficient evidence for effectiveness of negotiation policies.</w:t>
            </w:r>
          </w:p>
          <w:p w14:paraId="367D9D02" w14:textId="77777777" w:rsidR="00B46256" w:rsidRPr="00FA6478" w:rsidRDefault="00B46256" w:rsidP="00B46256">
            <w:pPr>
              <w:spacing w:after="40"/>
              <w:rPr>
                <w:rFonts w:asciiTheme="minorHAnsi" w:hAnsiTheme="minorHAnsi"/>
                <w:sz w:val="18"/>
                <w:szCs w:val="18"/>
                <w:lang w:val="en-US"/>
              </w:rPr>
            </w:pPr>
          </w:p>
          <w:p w14:paraId="0BFD2CDF" w14:textId="77777777" w:rsidR="00B46256" w:rsidRPr="00FA6478" w:rsidRDefault="00B46256" w:rsidP="00B46256">
            <w:pPr>
              <w:spacing w:after="40"/>
              <w:rPr>
                <w:rFonts w:asciiTheme="minorHAnsi" w:hAnsiTheme="minorHAnsi"/>
                <w:i/>
                <w:iCs/>
                <w:sz w:val="18"/>
                <w:szCs w:val="18"/>
                <w:lang w:val="en-US"/>
              </w:rPr>
            </w:pPr>
            <w:r w:rsidRPr="00FA6478">
              <w:rPr>
                <w:rFonts w:asciiTheme="minorHAnsi" w:hAnsiTheme="minorHAnsi"/>
                <w:i/>
                <w:iCs/>
                <w:sz w:val="18"/>
                <w:szCs w:val="18"/>
                <w:lang w:val="en-US"/>
              </w:rPr>
              <w:t>US:</w:t>
            </w:r>
          </w:p>
          <w:p w14:paraId="6A40B890" w14:textId="668FA2D4" w:rsidR="00B46256" w:rsidRPr="00FA6478" w:rsidRDefault="00B46256" w:rsidP="00B46256">
            <w:pPr>
              <w:pStyle w:val="Table"/>
              <w:numPr>
                <w:ilvl w:val="0"/>
                <w:numId w:val="1"/>
              </w:numPr>
              <w:ind w:left="284" w:hanging="284"/>
              <w:rPr>
                <w:lang w:val="en-US"/>
              </w:rPr>
            </w:pPr>
            <w:r w:rsidRPr="00FA6478">
              <w:rPr>
                <w:lang w:val="en-US"/>
              </w:rPr>
              <w:t xml:space="preserve">Medicare negotiations: Negotiations of </w:t>
            </w:r>
            <w:r w:rsidR="009D3997">
              <w:rPr>
                <w:lang w:val="en-US"/>
              </w:rPr>
              <w:t>MP</w:t>
            </w:r>
            <w:r w:rsidRPr="00FA6478">
              <w:rPr>
                <w:lang w:val="en-US"/>
              </w:rPr>
              <w:t xml:space="preserve"> prices with Medicare/Medicaid may improve </w:t>
            </w:r>
            <w:r w:rsidR="009D3997">
              <w:rPr>
                <w:lang w:val="en-US"/>
              </w:rPr>
              <w:t>MP</w:t>
            </w:r>
            <w:r w:rsidRPr="00FA6478">
              <w:rPr>
                <w:lang w:val="en-US"/>
              </w:rPr>
              <w:t xml:space="preserve"> affordability.</w:t>
            </w:r>
          </w:p>
          <w:p w14:paraId="7E5DDA5C" w14:textId="77777777" w:rsidR="00B46256" w:rsidRPr="002F0C47" w:rsidRDefault="00B46256" w:rsidP="00B46256">
            <w:pPr>
              <w:pStyle w:val="Table"/>
            </w:pPr>
          </w:p>
          <w:p w14:paraId="4FF55D3B" w14:textId="77777777" w:rsidR="00B46256" w:rsidRPr="00E47509" w:rsidRDefault="00B46256" w:rsidP="00B46256">
            <w:pPr>
              <w:pStyle w:val="Table"/>
              <w:rPr>
                <w:b/>
                <w:bCs/>
              </w:rPr>
            </w:pPr>
            <w:r w:rsidRPr="00E47509">
              <w:rPr>
                <w:b/>
                <w:bCs/>
              </w:rPr>
              <w:t>Availability:</w:t>
            </w:r>
          </w:p>
          <w:p w14:paraId="6FAF3CAA" w14:textId="77777777" w:rsidR="00B46256" w:rsidRPr="0013475D" w:rsidRDefault="00B46256" w:rsidP="00B46256">
            <w:pPr>
              <w:spacing w:after="40"/>
              <w:rPr>
                <w:rFonts w:asciiTheme="minorHAnsi" w:hAnsiTheme="minorHAnsi"/>
                <w:i/>
                <w:iCs/>
                <w:sz w:val="18"/>
                <w:szCs w:val="18"/>
              </w:rPr>
            </w:pPr>
            <w:r w:rsidRPr="0013475D">
              <w:rPr>
                <w:rFonts w:asciiTheme="minorHAnsi" w:hAnsiTheme="minorHAnsi"/>
                <w:i/>
                <w:iCs/>
                <w:sz w:val="18"/>
                <w:szCs w:val="18"/>
              </w:rPr>
              <w:t>General:</w:t>
            </w:r>
          </w:p>
          <w:p w14:paraId="7E2F8C23" w14:textId="61F72AD4" w:rsidR="00B46256" w:rsidRPr="00243E2D" w:rsidRDefault="00B46256" w:rsidP="00B46256">
            <w:pPr>
              <w:pStyle w:val="Table"/>
              <w:numPr>
                <w:ilvl w:val="0"/>
                <w:numId w:val="1"/>
              </w:numPr>
              <w:ind w:left="284" w:hanging="284"/>
              <w:rPr>
                <w:lang w:val="en-US"/>
              </w:rPr>
            </w:pPr>
            <w:r w:rsidRPr="00243E2D">
              <w:rPr>
                <w:lang w:val="en-US"/>
              </w:rPr>
              <w:t>Price negotiation after market entry should not delay patient access.</w:t>
            </w:r>
          </w:p>
          <w:p w14:paraId="01200C4F" w14:textId="09681909" w:rsidR="00B46256" w:rsidRPr="00243E2D" w:rsidRDefault="00B46256" w:rsidP="00B46256">
            <w:pPr>
              <w:pStyle w:val="Table"/>
              <w:numPr>
                <w:ilvl w:val="0"/>
                <w:numId w:val="1"/>
              </w:numPr>
              <w:ind w:left="284" w:hanging="284"/>
              <w:rPr>
                <w:lang w:val="en-US"/>
              </w:rPr>
            </w:pPr>
            <w:r w:rsidRPr="00243E2D">
              <w:rPr>
                <w:lang w:val="en-US"/>
              </w:rPr>
              <w:t xml:space="preserve">Availability depends on negotiation/arbitration outcomes and subsequent manufacturer decision; 29/148 </w:t>
            </w:r>
            <w:r w:rsidR="009D3997">
              <w:rPr>
                <w:lang w:val="en-US"/>
              </w:rPr>
              <w:t>MP</w:t>
            </w:r>
            <w:r w:rsidRPr="00243E2D">
              <w:rPr>
                <w:lang w:val="en-US"/>
              </w:rPr>
              <w:t>s withdrawn from market following negotiation/arbitration (2011–2017); no clinically important medications affected from withdrawal.</w:t>
            </w:r>
          </w:p>
          <w:p w14:paraId="4584F443" w14:textId="77777777" w:rsidR="00B46256" w:rsidRPr="0013475D" w:rsidRDefault="00B46256" w:rsidP="00B46256">
            <w:pPr>
              <w:pStyle w:val="Table"/>
              <w:numPr>
                <w:ilvl w:val="0"/>
                <w:numId w:val="1"/>
              </w:numPr>
              <w:ind w:left="284" w:hanging="284"/>
            </w:pPr>
            <w:r w:rsidRPr="00243E2D">
              <w:rPr>
                <w:lang w:val="en-US"/>
              </w:rPr>
              <w:lastRenderedPageBreak/>
              <w:t>Negotiation with monopsonistic purchaser leads to production of lower quantities at lower price compared to competitive</w:t>
            </w:r>
            <w:r w:rsidRPr="0013475D">
              <w:t xml:space="preserve"> market, impairing access to goods and services.</w:t>
            </w:r>
          </w:p>
          <w:p w14:paraId="189B85B6" w14:textId="77777777" w:rsidR="00B46256" w:rsidRPr="0013475D" w:rsidRDefault="00B46256" w:rsidP="00B46256">
            <w:pPr>
              <w:spacing w:after="40"/>
              <w:rPr>
                <w:rFonts w:asciiTheme="minorHAnsi" w:hAnsiTheme="minorHAnsi"/>
                <w:sz w:val="18"/>
                <w:szCs w:val="18"/>
              </w:rPr>
            </w:pPr>
          </w:p>
          <w:p w14:paraId="21654E1E" w14:textId="77777777" w:rsidR="00B46256" w:rsidRPr="0013475D" w:rsidRDefault="00B46256" w:rsidP="00B46256">
            <w:pPr>
              <w:spacing w:after="40"/>
              <w:rPr>
                <w:rFonts w:asciiTheme="minorHAnsi" w:hAnsiTheme="minorHAnsi"/>
                <w:i/>
                <w:iCs/>
                <w:sz w:val="18"/>
                <w:szCs w:val="18"/>
                <w:lang w:val="en-US"/>
              </w:rPr>
            </w:pPr>
            <w:r w:rsidRPr="0013475D">
              <w:rPr>
                <w:rFonts w:asciiTheme="minorHAnsi" w:hAnsiTheme="minorHAnsi"/>
                <w:i/>
                <w:iCs/>
                <w:sz w:val="18"/>
                <w:szCs w:val="18"/>
                <w:lang w:val="en-US"/>
              </w:rPr>
              <w:t>MX:</w:t>
            </w:r>
          </w:p>
          <w:p w14:paraId="55AF5A4E" w14:textId="2B26411B" w:rsidR="00B46256" w:rsidRPr="0013475D" w:rsidRDefault="00B46256" w:rsidP="00B46256">
            <w:pPr>
              <w:pStyle w:val="Table"/>
              <w:numPr>
                <w:ilvl w:val="0"/>
                <w:numId w:val="1"/>
              </w:numPr>
              <w:ind w:left="284" w:hanging="284"/>
              <w:rPr>
                <w:lang w:val="en-US"/>
              </w:rPr>
            </w:pPr>
            <w:r w:rsidRPr="00243E2D">
              <w:rPr>
                <w:lang w:val="en-US"/>
              </w:rPr>
              <w:t>Insufficient</w:t>
            </w:r>
            <w:r w:rsidRPr="0013475D">
              <w:rPr>
                <w:lang w:val="en-US"/>
              </w:rPr>
              <w:t xml:space="preserve"> evidence for effectiveness of negotiation policies.</w:t>
            </w:r>
          </w:p>
          <w:p w14:paraId="7CE955DD" w14:textId="77777777" w:rsidR="00B46256" w:rsidRDefault="00B46256" w:rsidP="00B46256">
            <w:pPr>
              <w:pStyle w:val="Table"/>
              <w:rPr>
                <w:b/>
                <w:bCs/>
                <w:lang w:val="en-US"/>
              </w:rPr>
            </w:pPr>
          </w:p>
          <w:p w14:paraId="10AF6331" w14:textId="43285247" w:rsidR="00B46256" w:rsidRPr="00E47509" w:rsidRDefault="00B46256" w:rsidP="00B46256">
            <w:pPr>
              <w:pStyle w:val="Table"/>
              <w:rPr>
                <w:b/>
                <w:bCs/>
              </w:rPr>
            </w:pPr>
            <w:r w:rsidRPr="00E47509">
              <w:rPr>
                <w:b/>
                <w:bCs/>
              </w:rPr>
              <w:t>Sustainability:</w:t>
            </w:r>
          </w:p>
          <w:p w14:paraId="1010C4C7" w14:textId="77777777" w:rsidR="00B46256" w:rsidRPr="00FA5814" w:rsidRDefault="00B46256" w:rsidP="00B46256">
            <w:pPr>
              <w:spacing w:after="40"/>
              <w:ind w:left="52"/>
              <w:rPr>
                <w:rFonts w:asciiTheme="minorHAnsi" w:hAnsiTheme="minorHAnsi"/>
                <w:i/>
                <w:iCs/>
                <w:sz w:val="18"/>
                <w:szCs w:val="18"/>
              </w:rPr>
            </w:pPr>
            <w:r w:rsidRPr="00FA5814">
              <w:rPr>
                <w:rFonts w:asciiTheme="minorHAnsi" w:hAnsiTheme="minorHAnsi"/>
                <w:i/>
                <w:iCs/>
                <w:sz w:val="18"/>
                <w:szCs w:val="18"/>
              </w:rPr>
              <w:t>CA:</w:t>
            </w:r>
          </w:p>
          <w:p w14:paraId="03EAC439" w14:textId="43B63651" w:rsidR="00B46256" w:rsidRPr="00FA5814" w:rsidRDefault="00B46256" w:rsidP="00B46256">
            <w:pPr>
              <w:pStyle w:val="Table"/>
              <w:numPr>
                <w:ilvl w:val="0"/>
                <w:numId w:val="1"/>
              </w:numPr>
              <w:ind w:left="284" w:hanging="284"/>
            </w:pPr>
            <w:r w:rsidRPr="00FA5814">
              <w:t xml:space="preserve">Prices negotiated through pCPA-led negotiations may lower </w:t>
            </w:r>
            <w:r w:rsidR="00F92B80">
              <w:t>MP</w:t>
            </w:r>
            <w:r w:rsidRPr="00FA5814">
              <w:t xml:space="preserve"> expenditures.</w:t>
            </w:r>
          </w:p>
          <w:p w14:paraId="60767EC5" w14:textId="77777777" w:rsidR="00B46256" w:rsidRPr="00FA5814" w:rsidRDefault="00B46256" w:rsidP="00B46256">
            <w:pPr>
              <w:spacing w:after="40"/>
              <w:rPr>
                <w:rFonts w:asciiTheme="minorHAnsi" w:hAnsiTheme="minorHAnsi"/>
                <w:sz w:val="18"/>
                <w:szCs w:val="18"/>
              </w:rPr>
            </w:pPr>
          </w:p>
          <w:p w14:paraId="3CEA3105" w14:textId="77777777" w:rsidR="00B46256" w:rsidRPr="00FA5814" w:rsidRDefault="00B46256" w:rsidP="00B46256">
            <w:pPr>
              <w:spacing w:after="40"/>
              <w:rPr>
                <w:rFonts w:asciiTheme="minorHAnsi" w:hAnsiTheme="minorHAnsi"/>
                <w:i/>
                <w:iCs/>
                <w:sz w:val="18"/>
                <w:szCs w:val="18"/>
              </w:rPr>
            </w:pPr>
            <w:r w:rsidRPr="00FA5814">
              <w:rPr>
                <w:rFonts w:asciiTheme="minorHAnsi" w:hAnsiTheme="minorHAnsi"/>
                <w:i/>
                <w:iCs/>
                <w:sz w:val="18"/>
                <w:szCs w:val="18"/>
              </w:rPr>
              <w:t>US:</w:t>
            </w:r>
          </w:p>
          <w:p w14:paraId="2AE18B2B" w14:textId="4EF08DE7" w:rsidR="00B46256" w:rsidRPr="00FA5814" w:rsidRDefault="00B46256" w:rsidP="00B46256">
            <w:pPr>
              <w:pStyle w:val="Table"/>
              <w:numPr>
                <w:ilvl w:val="0"/>
                <w:numId w:val="1"/>
              </w:numPr>
              <w:ind w:left="284" w:hanging="284"/>
            </w:pPr>
            <w:r w:rsidRPr="00FA5814">
              <w:t>Medicare negotiations: Price negotiation program to potentially save US$98.5 billion over 10 years (US$16.0 billion annually from 2029 onwards across Medicare Part B and D; initial estimate: US$288 billion); reduction of Medicare spending on Part B and D programmes by 5.4%.</w:t>
            </w:r>
          </w:p>
          <w:p w14:paraId="1244F87F" w14:textId="77777777" w:rsidR="00B46256" w:rsidRPr="00FA5814" w:rsidRDefault="00B46256" w:rsidP="00B46256">
            <w:pPr>
              <w:pStyle w:val="Table"/>
              <w:ind w:left="313"/>
            </w:pPr>
          </w:p>
          <w:p w14:paraId="0C917D4B" w14:textId="77777777" w:rsidR="00B46256" w:rsidRDefault="00B46256" w:rsidP="00B46256">
            <w:pPr>
              <w:pStyle w:val="Table"/>
            </w:pPr>
            <w:r w:rsidRPr="00E47509">
              <w:rPr>
                <w:b/>
                <w:bCs/>
              </w:rPr>
              <w:t>Equity</w:t>
            </w:r>
            <w:r w:rsidRPr="002F0C47">
              <w:t>: NA</w:t>
            </w:r>
          </w:p>
          <w:p w14:paraId="7EF08062" w14:textId="77777777" w:rsidR="00B46256" w:rsidRDefault="00B46256" w:rsidP="00B46256">
            <w:pPr>
              <w:pStyle w:val="Table"/>
              <w:rPr>
                <w:b/>
                <w:bCs/>
              </w:rPr>
            </w:pPr>
          </w:p>
          <w:p w14:paraId="3B1103EC" w14:textId="091ED57B" w:rsidR="00B46256" w:rsidRPr="00E47509" w:rsidRDefault="00B46256" w:rsidP="00B46256">
            <w:pPr>
              <w:pStyle w:val="Table"/>
              <w:rPr>
                <w:b/>
                <w:bCs/>
              </w:rPr>
            </w:pPr>
            <w:r w:rsidRPr="00E47509">
              <w:rPr>
                <w:b/>
                <w:bCs/>
              </w:rPr>
              <w:t>Other impacts:</w:t>
            </w:r>
          </w:p>
          <w:p w14:paraId="0C1B891C" w14:textId="77777777" w:rsidR="00B46256" w:rsidRPr="00243E2D" w:rsidRDefault="00B46256" w:rsidP="00B46256">
            <w:pPr>
              <w:spacing w:after="40"/>
              <w:rPr>
                <w:rFonts w:asciiTheme="minorHAnsi" w:hAnsiTheme="minorHAnsi"/>
                <w:i/>
                <w:iCs/>
                <w:sz w:val="18"/>
                <w:szCs w:val="18"/>
              </w:rPr>
            </w:pPr>
            <w:r w:rsidRPr="00243E2D">
              <w:rPr>
                <w:rFonts w:asciiTheme="minorHAnsi" w:hAnsiTheme="minorHAnsi"/>
                <w:i/>
                <w:iCs/>
                <w:sz w:val="18"/>
                <w:szCs w:val="18"/>
              </w:rPr>
              <w:t>General:</w:t>
            </w:r>
          </w:p>
          <w:p w14:paraId="1767B2E4" w14:textId="77777777" w:rsidR="00B46256" w:rsidRPr="00243E2D" w:rsidRDefault="00B46256" w:rsidP="00B46256">
            <w:pPr>
              <w:pStyle w:val="Table"/>
              <w:numPr>
                <w:ilvl w:val="0"/>
                <w:numId w:val="1"/>
              </w:numPr>
              <w:ind w:left="284" w:hanging="284"/>
            </w:pPr>
            <w:r w:rsidRPr="00243E2D">
              <w:t>Manufacturers risk losing an entire national market unless they negotiate.</w:t>
            </w:r>
          </w:p>
          <w:p w14:paraId="0046A5C1" w14:textId="77777777" w:rsidR="00B46256" w:rsidRPr="00243E2D" w:rsidRDefault="00B46256" w:rsidP="00B46256">
            <w:pPr>
              <w:spacing w:after="40"/>
              <w:rPr>
                <w:rFonts w:asciiTheme="minorHAnsi" w:hAnsiTheme="minorHAnsi"/>
                <w:i/>
                <w:iCs/>
                <w:sz w:val="18"/>
                <w:szCs w:val="18"/>
              </w:rPr>
            </w:pPr>
          </w:p>
          <w:p w14:paraId="3151972F" w14:textId="77777777" w:rsidR="00B46256" w:rsidRPr="00243E2D" w:rsidRDefault="00B46256" w:rsidP="00B46256">
            <w:pPr>
              <w:spacing w:after="40"/>
              <w:rPr>
                <w:rFonts w:asciiTheme="minorHAnsi" w:hAnsiTheme="minorHAnsi"/>
                <w:i/>
                <w:iCs/>
                <w:sz w:val="18"/>
                <w:szCs w:val="18"/>
              </w:rPr>
            </w:pPr>
            <w:r w:rsidRPr="00243E2D">
              <w:rPr>
                <w:rFonts w:asciiTheme="minorHAnsi" w:hAnsiTheme="minorHAnsi"/>
                <w:i/>
                <w:iCs/>
                <w:sz w:val="18"/>
                <w:szCs w:val="18"/>
              </w:rPr>
              <w:t>KR:</w:t>
            </w:r>
          </w:p>
          <w:p w14:paraId="2221B726" w14:textId="2495BB22" w:rsidR="00B46256" w:rsidRPr="00243E2D" w:rsidRDefault="00F92B80" w:rsidP="00B46256">
            <w:pPr>
              <w:pStyle w:val="Table"/>
              <w:numPr>
                <w:ilvl w:val="0"/>
                <w:numId w:val="1"/>
              </w:numPr>
              <w:ind w:left="284" w:hanging="284"/>
            </w:pPr>
            <w:r>
              <w:t>MP</w:t>
            </w:r>
            <w:r w:rsidR="00B46256" w:rsidRPr="00243E2D">
              <w:t xml:space="preserve"> price negotiations confirmed need for improvements in transparency and consistency.</w:t>
            </w:r>
          </w:p>
          <w:p w14:paraId="027C0333" w14:textId="77777777" w:rsidR="00B46256" w:rsidRPr="00243E2D" w:rsidRDefault="00B46256" w:rsidP="00B46256">
            <w:pPr>
              <w:spacing w:after="40"/>
              <w:rPr>
                <w:rFonts w:asciiTheme="minorHAnsi" w:hAnsiTheme="minorHAnsi"/>
                <w:sz w:val="18"/>
                <w:szCs w:val="18"/>
              </w:rPr>
            </w:pPr>
          </w:p>
          <w:p w14:paraId="6A937F8F" w14:textId="77777777" w:rsidR="00B46256" w:rsidRPr="00243E2D" w:rsidRDefault="00B46256" w:rsidP="00B46256">
            <w:pPr>
              <w:spacing w:after="40"/>
              <w:rPr>
                <w:rFonts w:asciiTheme="minorHAnsi" w:hAnsiTheme="minorHAnsi"/>
                <w:i/>
                <w:iCs/>
                <w:sz w:val="18"/>
                <w:szCs w:val="18"/>
              </w:rPr>
            </w:pPr>
            <w:r w:rsidRPr="00243E2D">
              <w:rPr>
                <w:rFonts w:asciiTheme="minorHAnsi" w:hAnsiTheme="minorHAnsi"/>
                <w:i/>
                <w:iCs/>
                <w:sz w:val="18"/>
                <w:szCs w:val="18"/>
              </w:rPr>
              <w:t>US:</w:t>
            </w:r>
          </w:p>
          <w:p w14:paraId="37918E75" w14:textId="77777777" w:rsidR="00B46256" w:rsidRPr="00243E2D" w:rsidRDefault="00B46256" w:rsidP="00B46256">
            <w:pPr>
              <w:pStyle w:val="Table"/>
              <w:numPr>
                <w:ilvl w:val="0"/>
                <w:numId w:val="1"/>
              </w:numPr>
              <w:ind w:left="284" w:hanging="284"/>
            </w:pPr>
            <w:r w:rsidRPr="00243E2D">
              <w:t>Medicare negotiations: Due to negotiation programme, manufacturers might increase US list prices; Pharmacy Benefit Manager revenue potentially impacted.</w:t>
            </w:r>
          </w:p>
          <w:p w14:paraId="2BC32BBA" w14:textId="6612F27F" w:rsidR="00B46256" w:rsidRPr="002F0C47" w:rsidRDefault="00B46256" w:rsidP="00B46256">
            <w:pPr>
              <w:pStyle w:val="Table"/>
              <w:numPr>
                <w:ilvl w:val="0"/>
                <w:numId w:val="1"/>
              </w:numPr>
              <w:ind w:left="284" w:hanging="284"/>
            </w:pPr>
            <w:r w:rsidRPr="00243E2D">
              <w:lastRenderedPageBreak/>
              <w:t>Medicare negotiations: manufacturers may attempt to evade price negotiation and inflation-linked penalties by introducing alternative versions of existing products</w:t>
            </w:r>
            <w:r w:rsidRPr="00625063">
              <w:t>.</w:t>
            </w:r>
          </w:p>
        </w:tc>
        <w:tc>
          <w:tcPr>
            <w:tcW w:w="3888" w:type="dxa"/>
          </w:tcPr>
          <w:p w14:paraId="797141B4" w14:textId="77777777" w:rsidR="00B46256" w:rsidRPr="00E47509" w:rsidRDefault="00B46256" w:rsidP="00B46256">
            <w:pPr>
              <w:pStyle w:val="Table"/>
              <w:rPr>
                <w:b/>
                <w:bCs/>
              </w:rPr>
            </w:pPr>
            <w:r w:rsidRPr="00E47509">
              <w:rPr>
                <w:b/>
                <w:bCs/>
              </w:rPr>
              <w:lastRenderedPageBreak/>
              <w:t xml:space="preserve">Acceptability: </w:t>
            </w:r>
          </w:p>
          <w:p w14:paraId="0CACE22C" w14:textId="77777777" w:rsidR="00B46256" w:rsidRPr="00C70EB2" w:rsidRDefault="00B46256" w:rsidP="00B46256">
            <w:pPr>
              <w:spacing w:after="40"/>
              <w:rPr>
                <w:rFonts w:asciiTheme="minorHAnsi" w:hAnsiTheme="minorHAnsi"/>
                <w:i/>
                <w:iCs/>
                <w:sz w:val="18"/>
                <w:szCs w:val="18"/>
              </w:rPr>
            </w:pPr>
            <w:r w:rsidRPr="00C70EB2">
              <w:rPr>
                <w:rFonts w:asciiTheme="minorHAnsi" w:hAnsiTheme="minorHAnsi"/>
                <w:i/>
                <w:iCs/>
                <w:sz w:val="18"/>
                <w:szCs w:val="18"/>
              </w:rPr>
              <w:t>DE:</w:t>
            </w:r>
          </w:p>
          <w:p w14:paraId="5F6D6229" w14:textId="77777777" w:rsidR="00B46256" w:rsidRPr="00C70EB2" w:rsidRDefault="00B46256" w:rsidP="00B46256">
            <w:pPr>
              <w:pStyle w:val="ListParagraph"/>
              <w:numPr>
                <w:ilvl w:val="0"/>
                <w:numId w:val="2"/>
              </w:numPr>
              <w:spacing w:after="40"/>
              <w:ind w:left="336" w:hanging="283"/>
              <w:rPr>
                <w:rFonts w:asciiTheme="minorHAnsi" w:hAnsiTheme="minorHAnsi"/>
                <w:sz w:val="18"/>
                <w:szCs w:val="18"/>
              </w:rPr>
            </w:pPr>
            <w:r w:rsidRPr="00C70EB2">
              <w:rPr>
                <w:rFonts w:asciiTheme="minorHAnsi" w:hAnsiTheme="minorHAnsi"/>
                <w:sz w:val="18"/>
                <w:szCs w:val="18"/>
              </w:rPr>
              <w:t>Arbitration constitutes politically legitimate means for price setting in absence of negotiated agreement.</w:t>
            </w:r>
          </w:p>
          <w:p w14:paraId="025BB73C" w14:textId="615546CD" w:rsidR="00B46256" w:rsidRPr="00C70EB2" w:rsidRDefault="00B46256" w:rsidP="00B46256">
            <w:pPr>
              <w:pStyle w:val="ListParagraph"/>
              <w:numPr>
                <w:ilvl w:val="0"/>
                <w:numId w:val="2"/>
              </w:numPr>
              <w:spacing w:after="40"/>
              <w:ind w:left="336" w:hanging="283"/>
              <w:rPr>
                <w:rFonts w:asciiTheme="minorHAnsi" w:hAnsiTheme="minorHAnsi"/>
                <w:sz w:val="18"/>
                <w:szCs w:val="18"/>
              </w:rPr>
            </w:pPr>
            <w:r w:rsidRPr="00C70EB2">
              <w:rPr>
                <w:rFonts w:asciiTheme="minorHAnsi" w:hAnsiTheme="minorHAnsi"/>
                <w:sz w:val="18"/>
                <w:szCs w:val="18"/>
              </w:rPr>
              <w:t xml:space="preserve">Price negotiations satisfactory for manufacturers, considering ongoing availability of novel </w:t>
            </w:r>
            <w:r w:rsidR="00F92B80">
              <w:rPr>
                <w:rFonts w:asciiTheme="minorHAnsi" w:hAnsiTheme="minorHAnsi"/>
                <w:sz w:val="18"/>
                <w:szCs w:val="18"/>
              </w:rPr>
              <w:t>MP</w:t>
            </w:r>
            <w:r w:rsidRPr="00C70EB2">
              <w:rPr>
                <w:rFonts w:asciiTheme="minorHAnsi" w:hAnsiTheme="minorHAnsi"/>
                <w:sz w:val="18"/>
                <w:szCs w:val="18"/>
              </w:rPr>
              <w:t>s.</w:t>
            </w:r>
          </w:p>
          <w:p w14:paraId="5C182785" w14:textId="77777777" w:rsidR="00B46256" w:rsidRPr="002F0C47" w:rsidRDefault="00B46256" w:rsidP="00B46256">
            <w:pPr>
              <w:pStyle w:val="Table"/>
            </w:pPr>
          </w:p>
          <w:p w14:paraId="25B0F016" w14:textId="77777777" w:rsidR="00B46256" w:rsidRPr="000C0CE1" w:rsidRDefault="00B46256" w:rsidP="00B46256">
            <w:pPr>
              <w:pStyle w:val="Table"/>
              <w:rPr>
                <w:rFonts w:ascii="Quattrocento Sans" w:hAnsi="Quattrocento Sans"/>
                <w:color w:val="0E2841" w:themeColor="text2"/>
              </w:rPr>
            </w:pPr>
            <w:r w:rsidRPr="000C0CE1">
              <w:rPr>
                <w:b/>
                <w:bCs/>
              </w:rPr>
              <w:t>Resource use:</w:t>
            </w:r>
            <w:r w:rsidRPr="00183C77">
              <w:t xml:space="preserve"> NA</w:t>
            </w:r>
          </w:p>
          <w:p w14:paraId="0FF73C82" w14:textId="77777777" w:rsidR="00B46256" w:rsidRPr="002F0C47" w:rsidRDefault="00B46256" w:rsidP="00B46256">
            <w:pPr>
              <w:pStyle w:val="Table"/>
            </w:pPr>
          </w:p>
          <w:p w14:paraId="1AD909C4" w14:textId="77777777" w:rsidR="00B46256" w:rsidRPr="00183C77" w:rsidRDefault="00B46256" w:rsidP="00B46256">
            <w:pPr>
              <w:pStyle w:val="Table"/>
            </w:pPr>
            <w:r w:rsidRPr="000C0CE1">
              <w:rPr>
                <w:b/>
                <w:bCs/>
              </w:rPr>
              <w:t>Feasibility:</w:t>
            </w:r>
            <w:r w:rsidRPr="00183C77">
              <w:t xml:space="preserve"> NA</w:t>
            </w:r>
          </w:p>
        </w:tc>
      </w:tr>
      <w:tr w:rsidR="004C675B" w:rsidRPr="002F0C47" w14:paraId="04D0DC10" w14:textId="77777777" w:rsidTr="00EF56D4">
        <w:tc>
          <w:tcPr>
            <w:tcW w:w="1964" w:type="dxa"/>
          </w:tcPr>
          <w:p w14:paraId="40DD6C3A" w14:textId="056FE9DF" w:rsidR="004C675B" w:rsidRPr="000C0CE1" w:rsidRDefault="004C675B" w:rsidP="004C675B">
            <w:pPr>
              <w:pStyle w:val="Caption"/>
              <w:spacing w:after="0"/>
              <w:rPr>
                <w:i w:val="0"/>
                <w:iCs w:val="0"/>
              </w:rPr>
            </w:pPr>
            <w:r w:rsidRPr="002F0C47">
              <w:rPr>
                <w:rFonts w:asciiTheme="minorHAnsi" w:hAnsiTheme="minorHAnsi"/>
                <w:i w:val="0"/>
                <w:iCs w:val="0"/>
                <w:color w:val="auto"/>
              </w:rPr>
              <w:lastRenderedPageBreak/>
              <w:t>Multi-indication pricing</w:t>
            </w:r>
          </w:p>
        </w:tc>
        <w:tc>
          <w:tcPr>
            <w:tcW w:w="3027" w:type="dxa"/>
          </w:tcPr>
          <w:p w14:paraId="098DB9E0" w14:textId="08E0C193" w:rsidR="004C675B" w:rsidRPr="004C675B" w:rsidRDefault="004C675B" w:rsidP="004C675B">
            <w:pPr>
              <w:pStyle w:val="Table"/>
              <w:rPr>
                <w:i/>
                <w:iCs/>
                <w:color w:val="0E2841" w:themeColor="text2"/>
              </w:rPr>
            </w:pPr>
            <w:r w:rsidRPr="004C675B">
              <w:rPr>
                <w:rFonts w:eastAsia="Yu Gothic" w:cs="Times New Roman"/>
                <w:color w:val="2B579A"/>
                <w:kern w:val="2"/>
                <w:lang w:val="en-US" w:eastAsia="ja-JP"/>
                <w14:ligatures w14:val="standardContextual"/>
              </w:rPr>
              <w:fldChar w:fldCharType="begin"/>
            </w:r>
            <w:r w:rsidRPr="004C675B">
              <w:rPr>
                <w:rFonts w:cs="Times New Roman"/>
                <w:color w:val="2B579A"/>
              </w:rPr>
              <w:instrText xml:space="preserve"> ADDIN ZOTERO_ITEM CSL_CITATION {"citationID":"ZrJCOELk","properties":{"formattedCitation":"[26, 32, 41, 111, 136\\uc0\\u8211{}138, 141]","plainCitation":"[26, 32, 41, 111, 136–138, 141]","noteIndex":0},"citationItems":[{"id":15761,"uris":["http://zotero.org/users/10480792/items/3Z6PFDYV"],"itemData":{"id":15761,"type":"article-journal","abstract":"The 'Great Recession' has left all countries aware of the need for cost containment in health care, a need which is felt by both governments and private payers. However, costs are increasing, not only due to greater demand and changing demographics but also due to an increase in costly drugs and technology. These technologies and pharmaceutical agents are a necessary part of the health care we provide, as innovations have been responsible for a significant improvement in morbidity and mortality. Value-based pricing (VBP) represents an attempt to maximise utility and determine an appropriate price for the payer, while simultaneously addressing the needs of the public, as well as protecting pharmaceutical companies from inappropriate lowering of prices. It aims to improve access to treatment with unmet needs, decrease the use of me-too drugs and encourage innovation in research and development, while ensuring cost containment. This article discusses how to develop a VBP policy as part of a national drug policy, by examining how value is measured, and how it is linked to price. The difficulties of price setting for drugs with multiple indications are discussed, as is price setting for Orphan diseases. The possible reimbursement schemes which may be used are described - from coverage with evidence development, to conditional treatment continuation. Finally, the importance of including reimbursement for innovation is examined, as VBP must take into account the cost of innovative drugs and technology. JPHSR","archive":"Embase","container-title":"J Pharm Health Serv Res","DOI":"10.1111/jphs.12126","ISSN":"1759-8893 1759-8885","issue":"1","language":"English","page":"5-9","title":"The future of pharmacoeconomic policy - does value-based pricing really have a role?","volume":"7","author":[{"family":"Kiernan","given":"F."}],"issued":{"date-parts":[["2016"]]},"citation-key":"kiernanFuturePharmacoeconomicPolicy2016"}},{"id":16200,"uris":["http://zotero.org/users/10480792/items/SXFPLAPZ"],"itemData":{"id":16200,"type":"report","language":"en","publisher":"Office of Health Economics","source":"Zotero","title":"Value Assessment of Multi-Indication Pricing (MIP): Practical Solutions and Steps to Move Forward","URL":"https://www.ohe.org/publications/multi-indication-pricing-mip-practical-solutions-and-steps-move-forward","author":[{"family":"Neri","given":"Margherita"},{"family":"Towse","given":"Adrian"},{"family":"Garau","given":"Martina"}],"issued":{"date-parts":[["2018",12]]},"citation-key":"neriValueAssessmentMultiIndication2018"}},{"id":15901,"uris":["http://zotero.org/users/10480792/items/LQB3GWCQ"],"itemData":{"id":15901,"type":"report","language":"en","source":"Zotero","title":"Indication-specific pricing of pharmaceuticals in the United States Health Care System","author":[{"family":"Pearson","given":"Steven D."},{"family":"Dreitlein","given":"Bill"},{"family":"Henshall","given":"Chris"}],"issued":{"date-parts":[["2016",3]]},"citation-key":"pearsonIndicationspecificPricingPharmaceuticals2016"}},{"id":15813,"uris":["http://zotero.org/users/10480792/items/HESTSZVK"],"itemData":{"id":15813,"type":"article-journal","abstract":"Indication value-based pricing (IBP) has been proposed in the United States as a tool to capture the differential value of drugs across indications or patient groups and is in the early phases of implementation. In Europe, no major country has experimented with IBP or is seriously discussing its use. We assessed how the reimbursement and pricing environment allows for IBP in seven European countries, evaluating both incentives and hurdles. In price setting countries such as France and Germany, the Health Technology Assessment and pricing process already accounts for differences of value across indications. In countries where differential value drives coverage decisions such as the United Kingdom and Sweden, IBP is likely to be used, at least partially, but not in the short-term. Italy is already achieving some form of differential value through managed entry agreements, whereas in Spain the electronic prescription system provides the infrastructure necessary for IBP but other hurdles exist.","archive_location":"27226845","container-title":"J. Mark. Access Health Policy","DOI":"10.3402/jmahp.v4.30970","ISSN":"2001-6689","issue":"1","page":"30970","title":"Feasibility and attractiveness of indication value-based pricing in key EU countries","volume":"4","author":[{"family":"Flume","given":"M."},{"family":"Bardou","given":"M."},{"family":"Capri","given":"S."},{"family":"Sola-Morales","given":"O."},{"family":"Cunningham","given":"D."},{"family":"Levin","given":"L. A."},{"family":"Touchot","given":"N."}],"issued":{"date-parts":[["2016"]]},"citation-key":"flumeFeasibilityAttractivenessIndication2016"}},{"id":15818,"uris":["http://zotero.org/users/10480792/items/PGGFJU2X"],"itemData":{"id":15818,"type":"article-journal","abstract":"OBJECTIVES: Indication-based pricing (IBP) has received growing attention because of the expected increase in the number of new medicines with multiple indications. In our systematic review, we assess the potential benefits, barriers, current experiences, and future perspectives of different IBP mechanisms. METHODS: We searched publications in English, Spanish, or French assessing the impact, international experience, and future context of IBP systems on PubMed, Scopus, Cochrane, EconLit, American Society of Clinical Oncology, and National Institute for Health Research Health Technology Assessment from 2000 to 2020. This was complemented by a gray literature search in Google Scholar. RESULTS: A total of 29 publications that specifically addressed the topic of IBP were retained. The most commonly reported benefits of IBP were a better alignment of medicines' value and price, optimization of research and development incentives and increase of competition, and improvement of patients' access to treatments. Data collection and proper infrastructures, and the risk of high administrative burden and associated costs, were seen as the main barriers for proper IBP implementation. International experience lacks concrete examples of IBP. A single weighted average price according to volume, value, or a combination of both, appears to be the most used methodology, followed by different confidential net prices per indication. Different brands with distinct price per indication are less common, although it is considered a pure IBP system. CONCLUSIONS: Evidence of IBP impact is still scarce, and there is a need for pilot projects and experiences to monitor its real consequences. An appropriate price and reimbursement model for multi-indication medicines should be a priority, but political will and proper data collection systems remain crucial. Copyright © 2022. Published by Elsevier Inc.","archive_location":"35227598","container-title":"Value Health","DOI":"10.1016/j.jval.2021.11.1376","ISSN":"1524-4733","issue":"4","page":"666-675","title":"The Role of Indication-Based Pricing in Future Pricing and Reimbursement Policies: A Systematic Review","volume":"25","author":[{"family":"Preckler","given":"V."},{"family":"Espin","given":"J."}],"issued":{"date-parts":[["2022"]]},"citation-key":"precklerRoleIndicationBasedPricing2022"}},{"id":15883,"uris":["http://zotero.org/users/10480792/items/5M6RQ8FE"],"itemData":{"id":15883,"type":"article-journal","abstract":"PURPOSE: Oncology drugs are often approved for multiple indications, for which their clinical benefit varies. Aligning a single price to this differing value remains a challenge. This study examines the clinical and economic value, price, and reimbursement of multi-indication cancer drugs across seven countries, representing different approaches to value assessment, pricing, and coverage decisions: the USA, Germany, France, England, Canada, Australia, and Scotland. METHODS: Twenty-five multi-indication cancer drugs across 100 indications were identified with US Food and Drug Administration (FDA) approval between 2009 and 2019. For each indication data on Health Technology Assessment (HTA) recommendations, disease prevalence, and drug prices were obtained. Quality-adjusted life years (QALYs) gained, disease prevalence, list prices, and HTA outcomes were then compared across indications and regions. RESULTS: First approved indications provide a higher clinical benefit whilst targeting a smaller patient group than indication extensions. Quality-adjusted life year gains were higher for first (0.99, 95% CI 0.05-3.25) compared to second (0.51, 95% CI 0.02-1.63, p &lt; 0.001) and third (0.58, 95% CI 0.05-2.07, p &lt; 0.01) approved indications. Disease prevalence per 100,000 inhabitants was 20.7 (95% CI 0.2-63.3) for first compared to 27.1 (95% CI 1.5-109.6, p = 0.907) for second and 128.3 (95% CI 3.1-720.1, p &lt; 0.001) for third approved indications. With each approved indication drug prices declined in Germany and France, remained constant in the UK, Canada, and Australia, whilst they increased in the USA. Negative HTA outcomes, clinical restrictions, and managed entry agreements (MEAs) were more frequently observed for indication extensions. CONCLUSIONS: Results suggest that indication development is prioritised according to clinical value and disease prevalence. Countries employ different mechanisms to account for each indication's differential benefit, e.g., weighted-average prices (Germany, France, Australia), differential discounts (England, Scotland), clinical restrictions, and MEAs (England, Scotland, Australia, Canada). Value-based indication-specific pricing can help to align the benefit and price for multi-indication cancer drugs. Copyright © 2022. The Author(s).","archive_location":"35821360","container-title":"Appl Health Econ Health Policy","DOI":"10.1007/s40258-022-00737-w","ISSN":"1179-1896","issue":"5","page":"757-768","title":"Value and Price of Multi-indication Cancer Drugs in the USA, Germany, France, England, Canada, Australia, and Scotland","volume":"20","author":[{"family":"Michaeli","given":"D. T."},{"family":"Mills","given":"M."},{"family":"Kanavos","given":"P."}],"issued":{"date-parts":[["2022"]]},"citation-key":"michaeliValuePriceMultiindication2022"}},{"id":15814,"uris":["http://zotero.org/users/10480792/items/HFDLV6LY"],"itemData":{"id":15814,"type":"article-journal","abstract":"BACKGROUND: Marketing of new and existing drugs with new indications used alone or in combination is increasing. OBJECTIVE: To identify the advantages and disadvantages of indication-based pricing (IBP) systems for such drugs from the standpoint of economic theory, practical applications and international experiences. METHODS: We conducted a systematic review of published articles and reports using six bibliographic databases: PubMed, ASCO, Scopus, DARE, HTA and NHS EED. We also conducted a search of gray literature in Google Scholar. The same search terms were used as in Towse et al. (The debate on indication-based pricing in the U.S. and five major European countries. OHE Consulting Report, London, 2018). Articles and reports published from 1 January 2000 to 30 September 2018 were included. RESULTS: A total of 26 studies met the inclusion criteria. There are three main types of IBP: different brands with different prices for each indication, an averaged single price for all indications and a single price with differential discounts. The studies indicate that IBP systems are premised on the idea that charging a different price for different indications reflects the differences in their value and in social willingness to pay for each one and for the investment in R&amp;D based on the indication's incremental clinical benefit. Some argue that a uniform price reduces access and increases the price for lower-value indications, while others contend that if IBP sets prices at the maximum threshold of social willingness to pay for each indication, all surplus is transferred to the producer and consumer surplus is reduced to zero. No practical applications of pure IBP were found. Single pricing for drugs is the most prevalent approach. The system that most closely approximates an IBP model consists of agreements that are generally confidential and linked to risk-sharing agreements. CONCLUSIONS: There are no applications of pure IBP systems and their practical consequences are therefore unknown. More economic theory-based assessments of the pros and cons of IBP and studies different from reviews are needed to capture their intricacies and specificities.","archive_location":"31523756","container-title":"Appl Health Econ Health Policy","DOI":"10.1007/s40258-019-00517-z","ISSN":"1179-1896","issue":"1","page":"47-56","title":"Price Models for Multi-indication Drugs: A Systematic Review","volume":"18","author":[{"family":"Campillo-Artero","given":"C."},{"family":"Puig-Junoy","given":"J."},{"family":"Segu-Tolsa","given":"J. L."},{"family":"Trapero-Bertran","given":"M."}],"issued":{"date-parts":[["2020",2]]},"citation-key":"campillo-arteroPriceModelsMultiindication2020"}},{"id":15997,"uris":["http://zotero.org/users/10480792/items/FHZUEQ6K"],"itemData":{"id":15997,"type":"article-journal","abstract":"AIM: To explore the potential of indication-specific pricing (ISP) of pharmaceuticals and to discuss prospects for implementation in the US healthcare system. MATERIALS &amp; METHODS: The Institute for Clinical and Economic Review convened a policy forum with 44 healthcare leaders from 22 payer and life sciences companies. Models of ISP were discussed. RESULTS: Payers and drug manufacturers saw the potential benefits of an ISP system that balances affordability for payers, sustainability for manufacturers and access for patients. The US healthcare system presents many challenges to implementation, including potential conflicts with existing pricing policies (Medicaid Best Price, average sales price and 340B) and insufficient data systems and analytic capabilities. CONCLUSION: Possible solutions and policy recommendations for payers and manufacturers are provided.","archive_location":"28699779","container-title":"J. comp. eff. res.","DOI":"10.2217/cer-2017-0018","ISSN":"2042-6313","issue":"5","page":"397-404","title":"Indication-specific pricing of pharmaceuticals in the US healthcare system","volume":"6","author":[{"family":"Pearson","given":"S. D."},{"family":"Dreitlein","given":"W. B."},{"family":"Henshall","given":"C."},{"family":"Towse","given":"A."}],"issued":{"date-parts":[["2017",7]]},"citation-key":"pearsonIndicationspecificPricingPharmaceuticals2017"}}],"schema":"https://github.com/citation-style-language/schema/raw/master/csl-citation.json"} </w:instrText>
            </w:r>
            <w:r w:rsidRPr="004C675B">
              <w:rPr>
                <w:rFonts w:eastAsia="Yu Gothic" w:cs="Times New Roman"/>
                <w:color w:val="2B579A"/>
                <w:kern w:val="2"/>
                <w:lang w:val="en-US" w:eastAsia="ja-JP"/>
                <w14:ligatures w14:val="standardContextual"/>
              </w:rPr>
              <w:fldChar w:fldCharType="separate"/>
            </w:r>
            <w:r w:rsidRPr="004C675B">
              <w:rPr>
                <w:rFonts w:cs="Times New Roman"/>
              </w:rPr>
              <w:t>[26, 32, 41, 111, 136–138, 141]</w:t>
            </w:r>
            <w:r w:rsidRPr="004C675B">
              <w:rPr>
                <w:rFonts w:eastAsia="Yu Gothic" w:cs="Times New Roman"/>
                <w:color w:val="2B579A"/>
                <w:kern w:val="2"/>
                <w:lang w:val="en-US" w:eastAsia="ja-JP"/>
                <w14:ligatures w14:val="standardContextual"/>
              </w:rPr>
              <w:fldChar w:fldCharType="end"/>
            </w:r>
          </w:p>
        </w:tc>
        <w:tc>
          <w:tcPr>
            <w:tcW w:w="5069" w:type="dxa"/>
          </w:tcPr>
          <w:p w14:paraId="1D2080D2" w14:textId="77777777" w:rsidR="004C675B" w:rsidRPr="00E47509" w:rsidRDefault="004C675B" w:rsidP="004C675B">
            <w:pPr>
              <w:pStyle w:val="Table"/>
              <w:rPr>
                <w:b/>
                <w:bCs/>
              </w:rPr>
            </w:pPr>
            <w:r w:rsidRPr="00E47509">
              <w:rPr>
                <w:b/>
                <w:bCs/>
              </w:rPr>
              <w:t>Affordability:</w:t>
            </w:r>
          </w:p>
          <w:p w14:paraId="1B8A8898" w14:textId="77777777" w:rsidR="004C675B" w:rsidRPr="004403A6" w:rsidRDefault="004C675B" w:rsidP="004C675B">
            <w:pPr>
              <w:spacing w:after="40"/>
              <w:rPr>
                <w:rFonts w:asciiTheme="minorHAnsi" w:hAnsiTheme="minorHAnsi"/>
                <w:i/>
                <w:iCs/>
                <w:sz w:val="18"/>
                <w:szCs w:val="18"/>
              </w:rPr>
            </w:pPr>
            <w:r w:rsidRPr="004403A6">
              <w:rPr>
                <w:rFonts w:asciiTheme="minorHAnsi" w:hAnsiTheme="minorHAnsi"/>
                <w:i/>
                <w:iCs/>
                <w:sz w:val="18"/>
                <w:szCs w:val="18"/>
              </w:rPr>
              <w:t>General:</w:t>
            </w:r>
          </w:p>
          <w:p w14:paraId="2CA6FFD8" w14:textId="77777777" w:rsidR="004C675B" w:rsidRPr="004403A6" w:rsidRDefault="004C675B" w:rsidP="004C675B">
            <w:pPr>
              <w:pStyle w:val="Table"/>
              <w:numPr>
                <w:ilvl w:val="0"/>
                <w:numId w:val="1"/>
              </w:numPr>
              <w:ind w:left="284" w:hanging="284"/>
            </w:pPr>
            <w:r w:rsidRPr="004403A6">
              <w:t>Potential decrease on payers’ expenditure; however, minimal impact or cost increase possible (existing/increased price in high-value indications could be justified).</w:t>
            </w:r>
          </w:p>
          <w:p w14:paraId="1DB1C608" w14:textId="111496DE" w:rsidR="004C675B" w:rsidRPr="004403A6" w:rsidRDefault="004C675B" w:rsidP="004C675B">
            <w:pPr>
              <w:pStyle w:val="Table"/>
              <w:numPr>
                <w:ilvl w:val="0"/>
                <w:numId w:val="1"/>
              </w:numPr>
              <w:ind w:left="284" w:hanging="284"/>
            </w:pPr>
            <w:r w:rsidRPr="004403A6">
              <w:t xml:space="preserve">Lower price linked to clinical value could alleviate pressure of limiting the use of high-priced </w:t>
            </w:r>
            <w:r w:rsidR="00F92B80">
              <w:t>MP</w:t>
            </w:r>
            <w:r w:rsidRPr="004403A6">
              <w:t>s in broad patient populations.</w:t>
            </w:r>
          </w:p>
          <w:p w14:paraId="4806DC19" w14:textId="77777777" w:rsidR="004C675B" w:rsidRPr="004403A6" w:rsidRDefault="004C675B" w:rsidP="004C675B">
            <w:pPr>
              <w:spacing w:after="40"/>
              <w:ind w:left="52"/>
              <w:rPr>
                <w:rFonts w:asciiTheme="minorHAnsi" w:hAnsiTheme="minorHAnsi"/>
                <w:sz w:val="18"/>
                <w:szCs w:val="18"/>
              </w:rPr>
            </w:pPr>
          </w:p>
          <w:p w14:paraId="4A3697F4" w14:textId="77777777" w:rsidR="004C675B" w:rsidRPr="004403A6" w:rsidRDefault="004C675B" w:rsidP="004C675B">
            <w:pPr>
              <w:spacing w:after="40"/>
              <w:ind w:left="52"/>
              <w:rPr>
                <w:rFonts w:asciiTheme="minorHAnsi" w:hAnsiTheme="minorHAnsi"/>
                <w:i/>
                <w:iCs/>
                <w:sz w:val="18"/>
                <w:szCs w:val="18"/>
              </w:rPr>
            </w:pPr>
            <w:r w:rsidRPr="004403A6">
              <w:rPr>
                <w:rFonts w:asciiTheme="minorHAnsi" w:hAnsiTheme="minorHAnsi"/>
                <w:i/>
                <w:iCs/>
                <w:sz w:val="18"/>
                <w:szCs w:val="18"/>
              </w:rPr>
              <w:t>DE:</w:t>
            </w:r>
          </w:p>
          <w:p w14:paraId="2B70428F" w14:textId="56D514C2" w:rsidR="004C675B" w:rsidRPr="004403A6" w:rsidRDefault="004C675B" w:rsidP="004C675B">
            <w:pPr>
              <w:pStyle w:val="Table"/>
              <w:numPr>
                <w:ilvl w:val="0"/>
                <w:numId w:val="1"/>
              </w:numPr>
              <w:ind w:left="284" w:hanging="284"/>
            </w:pPr>
            <w:r w:rsidRPr="004403A6">
              <w:t xml:space="preserve">With each new indication, </w:t>
            </w:r>
            <w:r w:rsidR="00F92B80">
              <w:t>MP</w:t>
            </w:r>
            <w:r w:rsidRPr="004403A6">
              <w:t>s’ list prices were significantly reduced.</w:t>
            </w:r>
          </w:p>
          <w:p w14:paraId="0CB63667" w14:textId="77777777" w:rsidR="004C675B" w:rsidRPr="004403A6" w:rsidRDefault="004C675B" w:rsidP="004C675B">
            <w:pPr>
              <w:spacing w:after="40"/>
              <w:rPr>
                <w:rFonts w:asciiTheme="minorHAnsi" w:hAnsiTheme="minorHAnsi"/>
                <w:sz w:val="18"/>
                <w:szCs w:val="18"/>
              </w:rPr>
            </w:pPr>
          </w:p>
          <w:p w14:paraId="4551C7B6" w14:textId="77777777" w:rsidR="004C675B" w:rsidRPr="004403A6" w:rsidRDefault="004C675B" w:rsidP="004C675B">
            <w:pPr>
              <w:spacing w:after="40"/>
              <w:rPr>
                <w:rFonts w:asciiTheme="minorHAnsi" w:hAnsiTheme="minorHAnsi"/>
                <w:i/>
                <w:iCs/>
                <w:sz w:val="18"/>
                <w:szCs w:val="18"/>
              </w:rPr>
            </w:pPr>
            <w:r w:rsidRPr="004403A6">
              <w:rPr>
                <w:rFonts w:asciiTheme="minorHAnsi" w:hAnsiTheme="minorHAnsi"/>
                <w:i/>
                <w:iCs/>
                <w:sz w:val="18"/>
                <w:szCs w:val="18"/>
              </w:rPr>
              <w:t>FR:</w:t>
            </w:r>
          </w:p>
          <w:p w14:paraId="6984A2DE" w14:textId="1B49E6A7" w:rsidR="004C675B" w:rsidRPr="004403A6" w:rsidRDefault="004C675B" w:rsidP="004C675B">
            <w:pPr>
              <w:pStyle w:val="Table"/>
              <w:numPr>
                <w:ilvl w:val="0"/>
                <w:numId w:val="1"/>
              </w:numPr>
              <w:ind w:left="284" w:hanging="284"/>
            </w:pPr>
            <w:r w:rsidRPr="004403A6">
              <w:t xml:space="preserve">With each new indication, </w:t>
            </w:r>
            <w:r w:rsidR="00F92B80">
              <w:t>MP</w:t>
            </w:r>
            <w:r w:rsidRPr="004403A6">
              <w:t>s’ list prices were significantly reduced.</w:t>
            </w:r>
          </w:p>
          <w:p w14:paraId="07B473C3" w14:textId="77777777" w:rsidR="004C675B" w:rsidRPr="002F0C47" w:rsidRDefault="004C675B" w:rsidP="004C675B">
            <w:pPr>
              <w:pStyle w:val="Table"/>
            </w:pPr>
          </w:p>
          <w:p w14:paraId="20690FB8" w14:textId="77777777" w:rsidR="004C675B" w:rsidRPr="00E47509" w:rsidRDefault="004C675B" w:rsidP="004C675B">
            <w:pPr>
              <w:pStyle w:val="Table"/>
              <w:rPr>
                <w:b/>
                <w:bCs/>
              </w:rPr>
            </w:pPr>
            <w:r w:rsidRPr="00E47509">
              <w:rPr>
                <w:b/>
                <w:bCs/>
              </w:rPr>
              <w:t>Availability:</w:t>
            </w:r>
          </w:p>
          <w:p w14:paraId="5D383FDC" w14:textId="77777777" w:rsidR="004C675B" w:rsidRPr="00296211" w:rsidRDefault="004C675B" w:rsidP="004C675B">
            <w:pPr>
              <w:spacing w:after="40"/>
              <w:rPr>
                <w:rFonts w:asciiTheme="minorHAnsi" w:hAnsiTheme="minorHAnsi"/>
                <w:sz w:val="18"/>
                <w:szCs w:val="18"/>
              </w:rPr>
            </w:pPr>
            <w:r w:rsidRPr="00296211">
              <w:rPr>
                <w:rFonts w:asciiTheme="minorHAnsi" w:hAnsiTheme="minorHAnsi"/>
                <w:i/>
                <w:iCs/>
                <w:sz w:val="18"/>
                <w:szCs w:val="18"/>
              </w:rPr>
              <w:t>General:</w:t>
            </w:r>
          </w:p>
          <w:p w14:paraId="51F6BF2D" w14:textId="28CEB2C0" w:rsidR="004C675B" w:rsidRPr="00296211" w:rsidRDefault="00F92B80" w:rsidP="004C675B">
            <w:pPr>
              <w:pStyle w:val="Table"/>
              <w:numPr>
                <w:ilvl w:val="0"/>
                <w:numId w:val="1"/>
              </w:numPr>
              <w:ind w:left="284" w:hanging="284"/>
            </w:pPr>
            <w:r>
              <w:t>MP</w:t>
            </w:r>
            <w:r w:rsidR="004C675B" w:rsidRPr="00296211">
              <w:t>s may not be launched for certain low-value indications, even in countries applying weighted-average pricing or differential discounts.</w:t>
            </w:r>
          </w:p>
          <w:p w14:paraId="0210FC8A" w14:textId="77777777" w:rsidR="004C675B" w:rsidRPr="00296211" w:rsidRDefault="004C675B" w:rsidP="004C675B">
            <w:pPr>
              <w:spacing w:after="40"/>
              <w:rPr>
                <w:rFonts w:asciiTheme="minorHAnsi" w:hAnsiTheme="minorHAnsi"/>
                <w:i/>
                <w:iCs/>
                <w:sz w:val="18"/>
                <w:szCs w:val="18"/>
              </w:rPr>
            </w:pPr>
          </w:p>
          <w:p w14:paraId="60B4EFC8" w14:textId="77777777" w:rsidR="004C675B" w:rsidRPr="00296211" w:rsidRDefault="004C675B" w:rsidP="004C675B">
            <w:pPr>
              <w:spacing w:after="40"/>
              <w:rPr>
                <w:rFonts w:asciiTheme="minorHAnsi" w:hAnsiTheme="minorHAnsi"/>
                <w:i/>
                <w:iCs/>
                <w:sz w:val="18"/>
                <w:szCs w:val="18"/>
              </w:rPr>
            </w:pPr>
            <w:r w:rsidRPr="00296211">
              <w:rPr>
                <w:rFonts w:asciiTheme="minorHAnsi" w:hAnsiTheme="minorHAnsi"/>
                <w:i/>
                <w:iCs/>
                <w:sz w:val="18"/>
                <w:szCs w:val="18"/>
              </w:rPr>
              <w:t>SE:</w:t>
            </w:r>
          </w:p>
          <w:p w14:paraId="623CD955" w14:textId="1709091E" w:rsidR="004C675B" w:rsidRPr="00296211" w:rsidRDefault="004C675B" w:rsidP="004C675B">
            <w:pPr>
              <w:pStyle w:val="Table"/>
              <w:numPr>
                <w:ilvl w:val="0"/>
                <w:numId w:val="1"/>
              </w:numPr>
              <w:ind w:left="284" w:hanging="284"/>
            </w:pPr>
            <w:r w:rsidRPr="00296211">
              <w:t xml:space="preserve">Fixed price across indications carries risk of suboptimal </w:t>
            </w:r>
            <w:r w:rsidR="00F92B80">
              <w:t>MP</w:t>
            </w:r>
            <w:r w:rsidRPr="00296211">
              <w:t xml:space="preserve"> allocation where cost-effective indications are not reimbursed (and therefore not available).</w:t>
            </w:r>
          </w:p>
          <w:p w14:paraId="24874480" w14:textId="77777777" w:rsidR="004C675B" w:rsidRPr="002F0C47" w:rsidRDefault="004C675B" w:rsidP="004C675B">
            <w:pPr>
              <w:pStyle w:val="Table"/>
              <w:ind w:left="313"/>
            </w:pPr>
          </w:p>
          <w:p w14:paraId="536A7263" w14:textId="77777777" w:rsidR="004C675B" w:rsidRDefault="004C675B" w:rsidP="004C675B">
            <w:pPr>
              <w:pStyle w:val="Table"/>
              <w:rPr>
                <w:b/>
              </w:rPr>
            </w:pPr>
            <w:r w:rsidRPr="00E47509">
              <w:rPr>
                <w:b/>
              </w:rPr>
              <w:t>Sustainability:</w:t>
            </w:r>
          </w:p>
          <w:p w14:paraId="3C7080BD" w14:textId="77A9431D" w:rsidR="004C675B" w:rsidRPr="00F25F69" w:rsidRDefault="004C675B" w:rsidP="004C675B">
            <w:pPr>
              <w:pStyle w:val="Table"/>
              <w:rPr>
                <w:bCs/>
                <w:i/>
                <w:iCs/>
              </w:rPr>
            </w:pPr>
            <w:r>
              <w:rPr>
                <w:bCs/>
                <w:i/>
                <w:iCs/>
              </w:rPr>
              <w:t>General:</w:t>
            </w:r>
          </w:p>
          <w:p w14:paraId="35B31802" w14:textId="5F09F862" w:rsidR="004C675B" w:rsidRDefault="004C675B" w:rsidP="004C675B">
            <w:pPr>
              <w:pStyle w:val="Table"/>
              <w:numPr>
                <w:ilvl w:val="0"/>
                <w:numId w:val="1"/>
              </w:numPr>
              <w:ind w:left="284" w:hanging="284"/>
            </w:pPr>
            <w:r>
              <w:t>Potential</w:t>
            </w:r>
            <w:r w:rsidRPr="002F0C47">
              <w:t xml:space="preserve"> net increase in spending due to access to </w:t>
            </w:r>
            <w:r w:rsidR="00CA3249">
              <w:t>MP</w:t>
            </w:r>
            <w:r w:rsidRPr="002F0C47">
              <w:t xml:space="preserve"> that would otherwise not be paid at </w:t>
            </w:r>
            <w:r>
              <w:t>‘</w:t>
            </w:r>
            <w:r w:rsidRPr="002F0C47">
              <w:t>asking price</w:t>
            </w:r>
            <w:r>
              <w:t>’.</w:t>
            </w:r>
          </w:p>
          <w:p w14:paraId="32ACC89D" w14:textId="77777777" w:rsidR="004C675B" w:rsidRPr="002F0C47" w:rsidRDefault="004C675B" w:rsidP="004C675B">
            <w:pPr>
              <w:pStyle w:val="Table"/>
              <w:ind w:left="313"/>
            </w:pPr>
          </w:p>
          <w:p w14:paraId="2998F83E" w14:textId="77777777" w:rsidR="004C675B" w:rsidRDefault="004C675B" w:rsidP="004C675B">
            <w:pPr>
              <w:pStyle w:val="Table"/>
              <w:rPr>
                <w:b/>
              </w:rPr>
            </w:pPr>
            <w:r w:rsidRPr="00E47509">
              <w:rPr>
                <w:b/>
              </w:rPr>
              <w:t>Equity:</w:t>
            </w:r>
          </w:p>
          <w:p w14:paraId="13C64F05" w14:textId="2C6713EF" w:rsidR="004C675B" w:rsidRPr="009C0277" w:rsidRDefault="004C675B" w:rsidP="004C675B">
            <w:pPr>
              <w:pStyle w:val="Table"/>
              <w:rPr>
                <w:bCs/>
                <w:i/>
                <w:iCs/>
              </w:rPr>
            </w:pPr>
            <w:r>
              <w:rPr>
                <w:bCs/>
                <w:i/>
                <w:iCs/>
              </w:rPr>
              <w:lastRenderedPageBreak/>
              <w:t>General:</w:t>
            </w:r>
          </w:p>
          <w:p w14:paraId="6C7827C1" w14:textId="79F307F8" w:rsidR="004C675B" w:rsidRPr="009C0277" w:rsidRDefault="004C675B" w:rsidP="004C675B">
            <w:pPr>
              <w:pStyle w:val="Table"/>
              <w:numPr>
                <w:ilvl w:val="0"/>
                <w:numId w:val="1"/>
              </w:numPr>
              <w:ind w:left="284" w:hanging="284"/>
            </w:pPr>
            <w:r w:rsidRPr="009C0277">
              <w:t xml:space="preserve">Patient with higher-value indication should not face the same cost sharing as patients receiving low value indication </w:t>
            </w:r>
            <w:r w:rsidR="00F92B80">
              <w:t>MP</w:t>
            </w:r>
            <w:r w:rsidRPr="009C0277">
              <w:t>; administrative burden makes this alignment more difficult.</w:t>
            </w:r>
          </w:p>
          <w:p w14:paraId="7959B904" w14:textId="77777777" w:rsidR="004C675B" w:rsidRPr="009C0277" w:rsidRDefault="004C675B" w:rsidP="004C675B">
            <w:pPr>
              <w:pStyle w:val="Table"/>
            </w:pPr>
          </w:p>
          <w:p w14:paraId="589A1105" w14:textId="77777777" w:rsidR="004C675B" w:rsidRPr="009C0277" w:rsidRDefault="004C675B" w:rsidP="004C675B">
            <w:pPr>
              <w:pStyle w:val="Table"/>
              <w:rPr>
                <w:b/>
                <w:bCs/>
              </w:rPr>
            </w:pPr>
            <w:r w:rsidRPr="009C0277">
              <w:rPr>
                <w:b/>
                <w:bCs/>
              </w:rPr>
              <w:t>Other impacts:</w:t>
            </w:r>
          </w:p>
          <w:p w14:paraId="0391B068" w14:textId="77777777" w:rsidR="004C675B" w:rsidRPr="009C0277" w:rsidRDefault="004C675B" w:rsidP="004C675B">
            <w:pPr>
              <w:spacing w:after="40"/>
              <w:rPr>
                <w:rFonts w:asciiTheme="minorHAnsi" w:hAnsiTheme="minorHAnsi"/>
                <w:i/>
                <w:iCs/>
                <w:sz w:val="18"/>
                <w:szCs w:val="18"/>
              </w:rPr>
            </w:pPr>
            <w:r w:rsidRPr="009C0277">
              <w:rPr>
                <w:rFonts w:asciiTheme="minorHAnsi" w:hAnsiTheme="minorHAnsi"/>
                <w:i/>
                <w:iCs/>
                <w:sz w:val="18"/>
                <w:szCs w:val="18"/>
              </w:rPr>
              <w:t>General:</w:t>
            </w:r>
          </w:p>
          <w:p w14:paraId="0729276E" w14:textId="77777777" w:rsidR="004C675B" w:rsidRPr="009C0277" w:rsidRDefault="004C675B" w:rsidP="004C675B">
            <w:pPr>
              <w:pStyle w:val="Table"/>
              <w:numPr>
                <w:ilvl w:val="0"/>
                <w:numId w:val="1"/>
              </w:numPr>
              <w:ind w:left="284" w:hanging="284"/>
            </w:pPr>
            <w:r w:rsidRPr="009C0277">
              <w:t>Little economic incentive for manufacturers to launch indications in regions with smaller patient populations; launch would have adverse effect on list prices and thus on profits.</w:t>
            </w:r>
          </w:p>
          <w:p w14:paraId="50DA496D" w14:textId="77777777" w:rsidR="004C675B" w:rsidRPr="009C0277" w:rsidRDefault="004C675B" w:rsidP="004C675B">
            <w:pPr>
              <w:pStyle w:val="Table"/>
              <w:numPr>
                <w:ilvl w:val="0"/>
                <w:numId w:val="1"/>
              </w:numPr>
              <w:ind w:left="284" w:hanging="284"/>
            </w:pPr>
            <w:r w:rsidRPr="009C0277">
              <w:t>Might help align individual product access.</w:t>
            </w:r>
          </w:p>
          <w:p w14:paraId="613FC9B7" w14:textId="10F2549A" w:rsidR="004C675B" w:rsidRPr="009C0277" w:rsidRDefault="004C675B" w:rsidP="004C675B">
            <w:pPr>
              <w:pStyle w:val="Table"/>
              <w:numPr>
                <w:ilvl w:val="0"/>
                <w:numId w:val="1"/>
              </w:numPr>
              <w:ind w:left="284" w:hanging="284"/>
            </w:pPr>
            <w:r w:rsidRPr="009C0277">
              <w:t xml:space="preserve">Might contribute to better alignment of </w:t>
            </w:r>
            <w:r w:rsidR="00CA3249">
              <w:t>MP</w:t>
            </w:r>
            <w:r w:rsidRPr="009C0277">
              <w:t>s’ value and price.</w:t>
            </w:r>
          </w:p>
          <w:p w14:paraId="672A59A1" w14:textId="77777777" w:rsidR="004C675B" w:rsidRPr="009C0277" w:rsidRDefault="004C675B" w:rsidP="004C675B">
            <w:pPr>
              <w:pStyle w:val="Table"/>
              <w:numPr>
                <w:ilvl w:val="0"/>
                <w:numId w:val="1"/>
              </w:numPr>
              <w:ind w:left="284" w:hanging="284"/>
            </w:pPr>
            <w:r w:rsidRPr="009C0277">
              <w:t>Might optimise R&amp;D incentives and increase competition.</w:t>
            </w:r>
          </w:p>
          <w:p w14:paraId="5EBD61C2" w14:textId="182B34A5" w:rsidR="004C675B" w:rsidRPr="009C0277" w:rsidRDefault="004C675B" w:rsidP="004C675B">
            <w:pPr>
              <w:pStyle w:val="Table"/>
              <w:numPr>
                <w:ilvl w:val="0"/>
                <w:numId w:val="1"/>
              </w:numPr>
              <w:ind w:left="284" w:hanging="284"/>
            </w:pPr>
            <w:r w:rsidRPr="009C0277">
              <w:t xml:space="preserve">Might increase transparency in </w:t>
            </w:r>
            <w:r w:rsidR="009D3997">
              <w:t>MP</w:t>
            </w:r>
            <w:r w:rsidRPr="009C0277">
              <w:t xml:space="preserve"> use.</w:t>
            </w:r>
          </w:p>
          <w:p w14:paraId="225C3B60" w14:textId="77777777" w:rsidR="004C675B" w:rsidRPr="009C0277" w:rsidRDefault="004C675B" w:rsidP="004C675B">
            <w:pPr>
              <w:pStyle w:val="Table"/>
              <w:numPr>
                <w:ilvl w:val="0"/>
                <w:numId w:val="1"/>
              </w:numPr>
              <w:ind w:left="284" w:hanging="284"/>
            </w:pPr>
            <w:r w:rsidRPr="009C0277">
              <w:t>Might incentivise richer data systems.</w:t>
            </w:r>
          </w:p>
          <w:p w14:paraId="475E9AEE" w14:textId="54356E98" w:rsidR="004C675B" w:rsidRPr="009C0277" w:rsidRDefault="004C675B" w:rsidP="004C675B">
            <w:pPr>
              <w:pStyle w:val="Table"/>
              <w:numPr>
                <w:ilvl w:val="0"/>
                <w:numId w:val="1"/>
              </w:numPr>
              <w:ind w:left="284" w:hanging="284"/>
            </w:pPr>
            <w:r w:rsidRPr="009C0277">
              <w:t xml:space="preserve">Provides incentives to develop </w:t>
            </w:r>
            <w:r w:rsidR="00F92B80">
              <w:t>MP</w:t>
            </w:r>
            <w:r w:rsidRPr="009C0277">
              <w:t xml:space="preserve"> for high-value secondary indications.</w:t>
            </w:r>
          </w:p>
          <w:p w14:paraId="136A7A20" w14:textId="77777777" w:rsidR="004C675B" w:rsidRPr="009C0277" w:rsidRDefault="004C675B" w:rsidP="004C675B">
            <w:pPr>
              <w:pStyle w:val="Table"/>
              <w:numPr>
                <w:ilvl w:val="0"/>
                <w:numId w:val="1"/>
              </w:numPr>
              <w:ind w:left="284" w:hanging="284"/>
            </w:pPr>
            <w:r w:rsidRPr="009C0277">
              <w:t>Payers might become more reluctant to acknowledge added clinical value.</w:t>
            </w:r>
          </w:p>
          <w:p w14:paraId="76DBD30C" w14:textId="77777777" w:rsidR="004C675B" w:rsidRPr="009C0277" w:rsidRDefault="004C675B" w:rsidP="004C675B">
            <w:pPr>
              <w:pStyle w:val="Table"/>
              <w:numPr>
                <w:ilvl w:val="0"/>
                <w:numId w:val="1"/>
              </w:numPr>
              <w:ind w:left="284" w:hanging="284"/>
            </w:pPr>
            <w:r w:rsidRPr="009C0277">
              <w:t>Manufacturer can capture all the economic surplus for each indication.</w:t>
            </w:r>
          </w:p>
          <w:p w14:paraId="6A3C60C1" w14:textId="77777777" w:rsidR="004C675B" w:rsidRPr="009C0277" w:rsidRDefault="004C675B" w:rsidP="004C675B">
            <w:pPr>
              <w:spacing w:after="40"/>
              <w:rPr>
                <w:rFonts w:asciiTheme="minorHAnsi" w:hAnsiTheme="minorHAnsi"/>
                <w:i/>
                <w:iCs/>
                <w:sz w:val="18"/>
                <w:szCs w:val="18"/>
              </w:rPr>
            </w:pPr>
          </w:p>
          <w:p w14:paraId="2958AD72" w14:textId="77777777" w:rsidR="004C675B" w:rsidRPr="009C0277" w:rsidRDefault="004C675B" w:rsidP="004C675B">
            <w:pPr>
              <w:spacing w:after="40"/>
              <w:rPr>
                <w:rFonts w:asciiTheme="minorHAnsi" w:hAnsiTheme="minorHAnsi"/>
                <w:i/>
                <w:iCs/>
                <w:sz w:val="18"/>
                <w:szCs w:val="18"/>
              </w:rPr>
            </w:pPr>
            <w:r w:rsidRPr="009C0277">
              <w:rPr>
                <w:rFonts w:asciiTheme="minorHAnsi" w:hAnsiTheme="minorHAnsi"/>
                <w:i/>
                <w:iCs/>
                <w:sz w:val="18"/>
                <w:szCs w:val="18"/>
              </w:rPr>
              <w:t>IT:</w:t>
            </w:r>
          </w:p>
          <w:p w14:paraId="4A02C661" w14:textId="77777777" w:rsidR="004C675B" w:rsidRPr="009C0277" w:rsidRDefault="004C675B" w:rsidP="004C675B">
            <w:pPr>
              <w:pStyle w:val="Table"/>
              <w:numPr>
                <w:ilvl w:val="0"/>
                <w:numId w:val="1"/>
              </w:numPr>
              <w:ind w:left="284" w:hanging="284"/>
            </w:pPr>
            <w:r w:rsidRPr="009C0277">
              <w:t>Differences in (net) prices across indications (variation due to MEAs) do not necessarily represent differences in value.</w:t>
            </w:r>
          </w:p>
          <w:p w14:paraId="67815A84" w14:textId="77777777" w:rsidR="004C675B" w:rsidRPr="009C0277" w:rsidRDefault="004C675B" w:rsidP="004C675B">
            <w:pPr>
              <w:spacing w:after="40"/>
              <w:rPr>
                <w:rFonts w:asciiTheme="minorHAnsi" w:hAnsiTheme="minorHAnsi"/>
                <w:sz w:val="18"/>
                <w:szCs w:val="18"/>
              </w:rPr>
            </w:pPr>
          </w:p>
          <w:p w14:paraId="687A6DA4" w14:textId="77777777" w:rsidR="004C675B" w:rsidRPr="009C0277" w:rsidRDefault="004C675B" w:rsidP="004C675B">
            <w:pPr>
              <w:spacing w:after="40"/>
              <w:rPr>
                <w:rFonts w:asciiTheme="minorHAnsi" w:hAnsiTheme="minorHAnsi"/>
                <w:i/>
                <w:iCs/>
                <w:sz w:val="18"/>
                <w:szCs w:val="18"/>
              </w:rPr>
            </w:pPr>
            <w:r w:rsidRPr="009C0277">
              <w:rPr>
                <w:rFonts w:asciiTheme="minorHAnsi" w:hAnsiTheme="minorHAnsi"/>
                <w:i/>
                <w:iCs/>
                <w:sz w:val="18"/>
                <w:szCs w:val="18"/>
              </w:rPr>
              <w:t>UK:</w:t>
            </w:r>
          </w:p>
          <w:p w14:paraId="3C46CA18" w14:textId="3BCD17CD" w:rsidR="004C675B" w:rsidRPr="00183C77" w:rsidRDefault="004C675B" w:rsidP="004C675B">
            <w:pPr>
              <w:pStyle w:val="Table"/>
              <w:numPr>
                <w:ilvl w:val="0"/>
                <w:numId w:val="1"/>
              </w:numPr>
              <w:ind w:left="284" w:hanging="284"/>
            </w:pPr>
            <w:r w:rsidRPr="009C0277">
              <w:t>Increase in static and dynamic efficiency: prices will be set at cost-effective level, allowing access to more patients.</w:t>
            </w:r>
          </w:p>
        </w:tc>
        <w:tc>
          <w:tcPr>
            <w:tcW w:w="3888" w:type="dxa"/>
          </w:tcPr>
          <w:p w14:paraId="02C3BEFC" w14:textId="77777777" w:rsidR="004C675B" w:rsidRPr="00E47509" w:rsidRDefault="004C675B" w:rsidP="004C675B">
            <w:pPr>
              <w:pStyle w:val="Table"/>
              <w:rPr>
                <w:b/>
                <w:bCs/>
              </w:rPr>
            </w:pPr>
            <w:r w:rsidRPr="000C0CE1">
              <w:rPr>
                <w:b/>
                <w:bCs/>
              </w:rPr>
              <w:lastRenderedPageBreak/>
              <w:t>Acceptability:</w:t>
            </w:r>
          </w:p>
          <w:p w14:paraId="40600C78" w14:textId="77777777" w:rsidR="004C675B" w:rsidRPr="00C46387" w:rsidRDefault="004C675B" w:rsidP="004C675B">
            <w:pPr>
              <w:spacing w:after="40"/>
              <w:rPr>
                <w:rFonts w:asciiTheme="minorHAnsi" w:hAnsiTheme="minorHAnsi"/>
                <w:i/>
                <w:iCs/>
                <w:sz w:val="18"/>
                <w:szCs w:val="18"/>
              </w:rPr>
            </w:pPr>
            <w:r w:rsidRPr="00C46387">
              <w:rPr>
                <w:rFonts w:asciiTheme="minorHAnsi" w:hAnsiTheme="minorHAnsi"/>
                <w:i/>
                <w:iCs/>
                <w:sz w:val="18"/>
                <w:szCs w:val="18"/>
              </w:rPr>
              <w:t>General:</w:t>
            </w:r>
          </w:p>
          <w:p w14:paraId="3FCB1D6D" w14:textId="77777777" w:rsidR="004C675B" w:rsidRPr="00C46387" w:rsidRDefault="004C675B" w:rsidP="004C675B">
            <w:pPr>
              <w:pStyle w:val="ListParagraph"/>
              <w:numPr>
                <w:ilvl w:val="0"/>
                <w:numId w:val="2"/>
              </w:numPr>
              <w:spacing w:after="40"/>
              <w:ind w:left="336" w:hanging="283"/>
              <w:rPr>
                <w:rFonts w:asciiTheme="minorHAnsi" w:hAnsiTheme="minorHAnsi"/>
                <w:sz w:val="18"/>
                <w:szCs w:val="18"/>
              </w:rPr>
            </w:pPr>
            <w:r w:rsidRPr="00C46387">
              <w:rPr>
                <w:rFonts w:asciiTheme="minorHAnsi" w:hAnsiTheme="minorHAnsi"/>
                <w:sz w:val="18"/>
                <w:szCs w:val="18"/>
              </w:rPr>
              <w:t>Key stakeholders might oppose indication-specific pricing.</w:t>
            </w:r>
          </w:p>
          <w:p w14:paraId="6E34C386" w14:textId="673D3C03" w:rsidR="004C675B" w:rsidRPr="00C46387" w:rsidRDefault="004C675B" w:rsidP="004C675B">
            <w:pPr>
              <w:pStyle w:val="ListParagraph"/>
              <w:numPr>
                <w:ilvl w:val="0"/>
                <w:numId w:val="2"/>
              </w:numPr>
              <w:spacing w:after="40"/>
              <w:ind w:left="336" w:hanging="283"/>
              <w:rPr>
                <w:rFonts w:asciiTheme="minorHAnsi" w:hAnsiTheme="minorHAnsi"/>
                <w:sz w:val="18"/>
                <w:szCs w:val="18"/>
              </w:rPr>
            </w:pPr>
            <w:r w:rsidRPr="00C46387">
              <w:rPr>
                <w:rFonts w:asciiTheme="minorHAnsi" w:hAnsiTheme="minorHAnsi"/>
                <w:sz w:val="18"/>
                <w:szCs w:val="18"/>
              </w:rPr>
              <w:t xml:space="preserve">Different co-payments for the same </w:t>
            </w:r>
            <w:r w:rsidR="00F92B80">
              <w:rPr>
                <w:rFonts w:asciiTheme="minorHAnsi" w:hAnsiTheme="minorHAnsi"/>
                <w:sz w:val="18"/>
                <w:szCs w:val="18"/>
              </w:rPr>
              <w:t>MP</w:t>
            </w:r>
            <w:r w:rsidRPr="00C46387">
              <w:rPr>
                <w:rFonts w:asciiTheme="minorHAnsi" w:hAnsiTheme="minorHAnsi"/>
                <w:sz w:val="18"/>
                <w:szCs w:val="18"/>
              </w:rPr>
              <w:t xml:space="preserve"> depending on conditions may raise questions about equity of formulary design that will be difficult to answer in an understandable way.</w:t>
            </w:r>
          </w:p>
          <w:p w14:paraId="793DDF37" w14:textId="77777777" w:rsidR="004C675B" w:rsidRPr="00C46387" w:rsidRDefault="004C675B" w:rsidP="004C675B">
            <w:pPr>
              <w:spacing w:after="40"/>
              <w:rPr>
                <w:rFonts w:asciiTheme="minorHAnsi" w:hAnsiTheme="minorHAnsi"/>
                <w:i/>
                <w:iCs/>
                <w:sz w:val="18"/>
                <w:szCs w:val="18"/>
              </w:rPr>
            </w:pPr>
          </w:p>
          <w:p w14:paraId="55A944A1" w14:textId="77777777" w:rsidR="004C675B" w:rsidRPr="00C46387" w:rsidRDefault="004C675B" w:rsidP="004C675B">
            <w:pPr>
              <w:spacing w:after="40"/>
              <w:rPr>
                <w:rFonts w:asciiTheme="minorHAnsi" w:hAnsiTheme="minorHAnsi"/>
                <w:i/>
                <w:iCs/>
                <w:sz w:val="18"/>
                <w:szCs w:val="18"/>
              </w:rPr>
            </w:pPr>
            <w:r w:rsidRPr="00C46387">
              <w:rPr>
                <w:rFonts w:asciiTheme="minorHAnsi" w:hAnsiTheme="minorHAnsi"/>
                <w:i/>
                <w:iCs/>
                <w:sz w:val="18"/>
                <w:szCs w:val="18"/>
              </w:rPr>
              <w:t>DE:</w:t>
            </w:r>
          </w:p>
          <w:p w14:paraId="59BAB3DF" w14:textId="70D57252" w:rsidR="004C675B" w:rsidRPr="00C46387" w:rsidRDefault="004C675B" w:rsidP="004C675B">
            <w:pPr>
              <w:pStyle w:val="ListParagraph"/>
              <w:numPr>
                <w:ilvl w:val="0"/>
                <w:numId w:val="2"/>
              </w:numPr>
              <w:spacing w:after="40"/>
              <w:ind w:left="336" w:hanging="283"/>
              <w:rPr>
                <w:rFonts w:asciiTheme="minorHAnsi" w:hAnsiTheme="minorHAnsi"/>
                <w:sz w:val="18"/>
                <w:szCs w:val="18"/>
              </w:rPr>
            </w:pPr>
            <w:r w:rsidRPr="00C46387">
              <w:rPr>
                <w:rFonts w:asciiTheme="minorHAnsi" w:hAnsiTheme="minorHAnsi"/>
                <w:sz w:val="18"/>
                <w:szCs w:val="18"/>
              </w:rPr>
              <w:t xml:space="preserve">Pricing system embeds different value of a </w:t>
            </w:r>
            <w:r w:rsidR="00F92B80">
              <w:rPr>
                <w:rFonts w:asciiTheme="minorHAnsi" w:hAnsiTheme="minorHAnsi"/>
                <w:sz w:val="18"/>
                <w:szCs w:val="18"/>
              </w:rPr>
              <w:t>MP</w:t>
            </w:r>
            <w:r w:rsidRPr="00C46387">
              <w:rPr>
                <w:rFonts w:asciiTheme="minorHAnsi" w:hAnsiTheme="minorHAnsi"/>
                <w:sz w:val="18"/>
                <w:szCs w:val="18"/>
              </w:rPr>
              <w:t xml:space="preserve"> across indications/patient subgroups.</w:t>
            </w:r>
          </w:p>
          <w:p w14:paraId="6A93549D" w14:textId="77777777" w:rsidR="004C675B" w:rsidRPr="00C46387" w:rsidRDefault="004C675B" w:rsidP="004C675B">
            <w:pPr>
              <w:spacing w:after="40"/>
              <w:rPr>
                <w:rFonts w:asciiTheme="minorHAnsi" w:hAnsiTheme="minorHAnsi"/>
                <w:i/>
                <w:iCs/>
                <w:sz w:val="18"/>
                <w:szCs w:val="18"/>
              </w:rPr>
            </w:pPr>
          </w:p>
          <w:p w14:paraId="31220CBD" w14:textId="77777777" w:rsidR="004C675B" w:rsidRPr="00C46387" w:rsidRDefault="004C675B" w:rsidP="004C675B">
            <w:pPr>
              <w:spacing w:after="40"/>
              <w:rPr>
                <w:rFonts w:asciiTheme="minorHAnsi" w:hAnsiTheme="minorHAnsi"/>
                <w:i/>
                <w:iCs/>
                <w:sz w:val="18"/>
                <w:szCs w:val="18"/>
              </w:rPr>
            </w:pPr>
            <w:r w:rsidRPr="00C46387">
              <w:rPr>
                <w:rFonts w:asciiTheme="minorHAnsi" w:hAnsiTheme="minorHAnsi"/>
                <w:i/>
                <w:iCs/>
                <w:sz w:val="18"/>
                <w:szCs w:val="18"/>
              </w:rPr>
              <w:t>ES:</w:t>
            </w:r>
          </w:p>
          <w:p w14:paraId="024F7240" w14:textId="6C020B29" w:rsidR="004C675B" w:rsidRPr="00C46387" w:rsidRDefault="004C675B" w:rsidP="004C675B">
            <w:pPr>
              <w:pStyle w:val="ListParagraph"/>
              <w:numPr>
                <w:ilvl w:val="0"/>
                <w:numId w:val="2"/>
              </w:numPr>
              <w:spacing w:after="40"/>
              <w:ind w:left="336" w:hanging="283"/>
              <w:rPr>
                <w:rFonts w:asciiTheme="minorHAnsi" w:hAnsiTheme="minorHAnsi"/>
                <w:sz w:val="18"/>
                <w:szCs w:val="18"/>
              </w:rPr>
            </w:pPr>
            <w:r w:rsidRPr="00C46387">
              <w:rPr>
                <w:rFonts w:asciiTheme="minorHAnsi" w:hAnsiTheme="minorHAnsi"/>
                <w:sz w:val="18"/>
                <w:szCs w:val="18"/>
              </w:rPr>
              <w:t xml:space="preserve">Most stakeholders prefer ATC-based pricing to perceived implementation complexity and potential error associated with multi-indication </w:t>
            </w:r>
            <w:r w:rsidR="00F92B80">
              <w:rPr>
                <w:rFonts w:asciiTheme="minorHAnsi" w:hAnsiTheme="minorHAnsi"/>
                <w:sz w:val="18"/>
                <w:szCs w:val="18"/>
              </w:rPr>
              <w:t>MP</w:t>
            </w:r>
            <w:r w:rsidRPr="00C46387">
              <w:rPr>
                <w:rFonts w:asciiTheme="minorHAnsi" w:hAnsiTheme="minorHAnsi"/>
                <w:sz w:val="18"/>
                <w:szCs w:val="18"/>
              </w:rPr>
              <w:t xml:space="preserve"> pricing.</w:t>
            </w:r>
          </w:p>
          <w:p w14:paraId="3CDEAE95" w14:textId="77777777" w:rsidR="004C675B" w:rsidRPr="00C46387" w:rsidRDefault="004C675B" w:rsidP="004C675B">
            <w:pPr>
              <w:spacing w:after="40"/>
              <w:rPr>
                <w:rFonts w:asciiTheme="minorHAnsi" w:hAnsiTheme="minorHAnsi"/>
                <w:sz w:val="18"/>
                <w:szCs w:val="18"/>
              </w:rPr>
            </w:pPr>
          </w:p>
          <w:p w14:paraId="45DC5FD9" w14:textId="77777777" w:rsidR="004C675B" w:rsidRPr="00C46387" w:rsidRDefault="004C675B" w:rsidP="004C675B">
            <w:pPr>
              <w:spacing w:after="40"/>
              <w:rPr>
                <w:rFonts w:asciiTheme="minorHAnsi" w:hAnsiTheme="minorHAnsi"/>
                <w:i/>
                <w:iCs/>
                <w:sz w:val="18"/>
                <w:szCs w:val="18"/>
              </w:rPr>
            </w:pPr>
            <w:r w:rsidRPr="00C46387">
              <w:rPr>
                <w:rFonts w:asciiTheme="minorHAnsi" w:hAnsiTheme="minorHAnsi"/>
                <w:i/>
                <w:iCs/>
                <w:sz w:val="18"/>
                <w:szCs w:val="18"/>
              </w:rPr>
              <w:t>UK:</w:t>
            </w:r>
          </w:p>
          <w:p w14:paraId="3255F0E2" w14:textId="77777777" w:rsidR="004C675B" w:rsidRPr="00C46387" w:rsidRDefault="004C675B" w:rsidP="004C675B">
            <w:pPr>
              <w:pStyle w:val="ListParagraph"/>
              <w:numPr>
                <w:ilvl w:val="0"/>
                <w:numId w:val="2"/>
              </w:numPr>
              <w:spacing w:after="40"/>
              <w:ind w:left="336" w:hanging="283"/>
              <w:rPr>
                <w:rFonts w:asciiTheme="minorHAnsi" w:hAnsiTheme="minorHAnsi"/>
                <w:sz w:val="18"/>
                <w:szCs w:val="18"/>
              </w:rPr>
            </w:pPr>
            <w:r w:rsidRPr="00C46387">
              <w:rPr>
                <w:rFonts w:asciiTheme="minorHAnsi" w:hAnsiTheme="minorHAnsi"/>
                <w:sz w:val="18"/>
                <w:szCs w:val="18"/>
              </w:rPr>
              <w:t>Little use of flexible pricing scheme due to administrative complexity.</w:t>
            </w:r>
          </w:p>
          <w:p w14:paraId="104C0CF9" w14:textId="62DDE4E5" w:rsidR="004C675B" w:rsidRPr="00661349" w:rsidRDefault="004C675B" w:rsidP="004C675B">
            <w:pPr>
              <w:pStyle w:val="ListParagraph"/>
              <w:numPr>
                <w:ilvl w:val="0"/>
                <w:numId w:val="2"/>
              </w:numPr>
              <w:spacing w:after="40"/>
              <w:ind w:left="336" w:hanging="283"/>
              <w:rPr>
                <w:sz w:val="18"/>
                <w:szCs w:val="18"/>
              </w:rPr>
            </w:pPr>
            <w:r w:rsidRPr="00661349">
              <w:rPr>
                <w:rFonts w:asciiTheme="minorHAnsi" w:hAnsiTheme="minorHAnsi"/>
                <w:sz w:val="18"/>
                <w:szCs w:val="18"/>
              </w:rPr>
              <w:t>Large transactional burden associated with negotiating prices for each indication; simplicity is prioritised by payers.</w:t>
            </w:r>
          </w:p>
          <w:p w14:paraId="09DC5F0C" w14:textId="77777777" w:rsidR="004C675B" w:rsidRPr="00661349" w:rsidRDefault="004C675B" w:rsidP="004C675B">
            <w:pPr>
              <w:spacing w:after="40"/>
              <w:rPr>
                <w:sz w:val="18"/>
                <w:szCs w:val="18"/>
              </w:rPr>
            </w:pPr>
          </w:p>
          <w:p w14:paraId="7C9A8E77" w14:textId="0BC7EFED" w:rsidR="004C675B" w:rsidRPr="00C46387" w:rsidRDefault="004C675B" w:rsidP="004C675B">
            <w:pPr>
              <w:pStyle w:val="Table"/>
            </w:pPr>
            <w:r w:rsidRPr="00C46387">
              <w:rPr>
                <w:b/>
              </w:rPr>
              <w:t xml:space="preserve">Resource use: </w:t>
            </w:r>
          </w:p>
          <w:p w14:paraId="0154E687" w14:textId="77777777" w:rsidR="004C675B" w:rsidRPr="003A1922" w:rsidRDefault="004C675B" w:rsidP="004C675B">
            <w:pPr>
              <w:spacing w:after="40"/>
              <w:rPr>
                <w:rFonts w:asciiTheme="minorHAnsi" w:hAnsiTheme="minorHAnsi"/>
                <w:i/>
                <w:iCs/>
                <w:sz w:val="18"/>
                <w:szCs w:val="18"/>
              </w:rPr>
            </w:pPr>
            <w:r w:rsidRPr="003A1922">
              <w:rPr>
                <w:rFonts w:asciiTheme="minorHAnsi" w:hAnsiTheme="minorHAnsi"/>
                <w:i/>
                <w:iCs/>
                <w:sz w:val="18"/>
                <w:szCs w:val="18"/>
              </w:rPr>
              <w:t>General:</w:t>
            </w:r>
          </w:p>
          <w:p w14:paraId="311C8510" w14:textId="77777777" w:rsidR="004C675B" w:rsidRPr="003A1922" w:rsidRDefault="004C675B" w:rsidP="004C675B">
            <w:pPr>
              <w:pStyle w:val="ListParagraph"/>
              <w:numPr>
                <w:ilvl w:val="0"/>
                <w:numId w:val="2"/>
              </w:numPr>
              <w:spacing w:after="40"/>
              <w:ind w:left="336" w:hanging="283"/>
              <w:rPr>
                <w:rFonts w:asciiTheme="minorHAnsi" w:hAnsiTheme="minorHAnsi"/>
                <w:sz w:val="18"/>
                <w:szCs w:val="18"/>
              </w:rPr>
            </w:pPr>
            <w:r w:rsidRPr="003A1922">
              <w:rPr>
                <w:rFonts w:asciiTheme="minorHAnsi" w:hAnsiTheme="minorHAnsi"/>
                <w:sz w:val="18"/>
                <w:szCs w:val="18"/>
              </w:rPr>
              <w:t>Increase in administrative costs associated with identification of indications, differentiation of value, purchasing and payment process.</w:t>
            </w:r>
          </w:p>
          <w:p w14:paraId="325B5A70" w14:textId="551F341A" w:rsidR="004C675B" w:rsidRPr="003A1922" w:rsidRDefault="004C675B" w:rsidP="004C675B">
            <w:pPr>
              <w:pStyle w:val="ListParagraph"/>
              <w:numPr>
                <w:ilvl w:val="0"/>
                <w:numId w:val="2"/>
              </w:numPr>
              <w:spacing w:after="40"/>
              <w:ind w:left="336" w:hanging="283"/>
              <w:rPr>
                <w:rFonts w:asciiTheme="minorHAnsi" w:hAnsiTheme="minorHAnsi"/>
                <w:sz w:val="18"/>
                <w:szCs w:val="18"/>
              </w:rPr>
            </w:pPr>
            <w:r w:rsidRPr="003A1922">
              <w:rPr>
                <w:rFonts w:asciiTheme="minorHAnsi" w:hAnsiTheme="minorHAnsi"/>
                <w:sz w:val="18"/>
                <w:szCs w:val="18"/>
              </w:rPr>
              <w:lastRenderedPageBreak/>
              <w:t>Data systems to administer models of indication-specific pricing may be complex and difficult to use and develop (concerns of stakeholders about inadequate data capabilities); uncertainty about resources that need to be devoted to successful implementation.</w:t>
            </w:r>
          </w:p>
          <w:p w14:paraId="5FE24041" w14:textId="77777777" w:rsidR="004C675B" w:rsidRPr="00661349" w:rsidRDefault="004C675B" w:rsidP="004C675B">
            <w:pPr>
              <w:pStyle w:val="Table"/>
            </w:pPr>
          </w:p>
          <w:p w14:paraId="75A93AC0" w14:textId="77777777" w:rsidR="004C675B" w:rsidRPr="00E47509" w:rsidRDefault="004C675B" w:rsidP="004C675B">
            <w:pPr>
              <w:pStyle w:val="Table"/>
              <w:rPr>
                <w:b/>
                <w:bCs/>
              </w:rPr>
            </w:pPr>
            <w:r w:rsidRPr="00E47509">
              <w:rPr>
                <w:b/>
                <w:bCs/>
              </w:rPr>
              <w:t>Feasibility:</w:t>
            </w:r>
          </w:p>
          <w:p w14:paraId="044A892D" w14:textId="77777777" w:rsidR="004C675B" w:rsidRPr="00B05B12" w:rsidRDefault="004C675B" w:rsidP="004C675B">
            <w:pPr>
              <w:spacing w:after="40"/>
              <w:rPr>
                <w:rFonts w:asciiTheme="minorHAnsi" w:hAnsiTheme="minorHAnsi"/>
                <w:i/>
                <w:iCs/>
                <w:sz w:val="18"/>
                <w:szCs w:val="18"/>
              </w:rPr>
            </w:pPr>
            <w:r w:rsidRPr="00B05B12">
              <w:rPr>
                <w:rFonts w:asciiTheme="minorHAnsi" w:hAnsiTheme="minorHAnsi"/>
                <w:i/>
                <w:iCs/>
                <w:sz w:val="18"/>
                <w:szCs w:val="18"/>
              </w:rPr>
              <w:t>General:</w:t>
            </w:r>
          </w:p>
          <w:p w14:paraId="3A7D4942" w14:textId="77777777" w:rsidR="004C675B" w:rsidRPr="00B05B12" w:rsidRDefault="004C675B" w:rsidP="004C675B">
            <w:pPr>
              <w:pStyle w:val="ListParagraph"/>
              <w:numPr>
                <w:ilvl w:val="0"/>
                <w:numId w:val="2"/>
              </w:numPr>
              <w:spacing w:after="40"/>
              <w:ind w:left="336" w:hanging="283"/>
              <w:rPr>
                <w:rFonts w:asciiTheme="minorHAnsi" w:hAnsiTheme="minorHAnsi"/>
                <w:sz w:val="18"/>
                <w:szCs w:val="18"/>
              </w:rPr>
            </w:pPr>
            <w:r w:rsidRPr="00B05B12">
              <w:rPr>
                <w:rFonts w:asciiTheme="minorHAnsi" w:hAnsiTheme="minorHAnsi"/>
                <w:sz w:val="18"/>
                <w:szCs w:val="18"/>
              </w:rPr>
              <w:t>Potential to interact with other pricing policies.</w:t>
            </w:r>
          </w:p>
          <w:p w14:paraId="73702E82" w14:textId="1C73AD2A" w:rsidR="004C675B" w:rsidRPr="00B05B12" w:rsidRDefault="004C675B" w:rsidP="004C675B">
            <w:pPr>
              <w:pStyle w:val="ListParagraph"/>
              <w:numPr>
                <w:ilvl w:val="0"/>
                <w:numId w:val="5"/>
              </w:numPr>
              <w:spacing w:after="40"/>
              <w:ind w:left="336" w:hanging="283"/>
              <w:rPr>
                <w:rFonts w:asciiTheme="minorHAnsi" w:hAnsiTheme="minorHAnsi"/>
                <w:sz w:val="18"/>
                <w:szCs w:val="18"/>
              </w:rPr>
            </w:pPr>
            <w:r w:rsidRPr="00B05B12">
              <w:rPr>
                <w:rFonts w:asciiTheme="minorHAnsi" w:hAnsiTheme="minorHAnsi"/>
                <w:sz w:val="18"/>
                <w:szCs w:val="18"/>
              </w:rPr>
              <w:t xml:space="preserve">Requires adequate organisational infrastructure to obtain and record necessary clinical information, as well as underlying </w:t>
            </w:r>
            <w:r>
              <w:rPr>
                <w:rFonts w:asciiTheme="minorHAnsi" w:hAnsiTheme="minorHAnsi"/>
                <w:sz w:val="18"/>
                <w:szCs w:val="18"/>
              </w:rPr>
              <w:t>VIP</w:t>
            </w:r>
            <w:r w:rsidRPr="00B05B12">
              <w:rPr>
                <w:rFonts w:asciiTheme="minorHAnsi" w:hAnsiTheme="minorHAnsi"/>
                <w:sz w:val="18"/>
                <w:szCs w:val="18"/>
              </w:rPr>
              <w:t xml:space="preserve"> system to determine value of </w:t>
            </w:r>
            <w:r w:rsidR="009D3997">
              <w:rPr>
                <w:rFonts w:asciiTheme="minorHAnsi" w:hAnsiTheme="minorHAnsi"/>
                <w:sz w:val="18"/>
                <w:szCs w:val="18"/>
              </w:rPr>
              <w:t>MP</w:t>
            </w:r>
            <w:r w:rsidRPr="00B05B12">
              <w:rPr>
                <w:rFonts w:asciiTheme="minorHAnsi" w:hAnsiTheme="minorHAnsi"/>
                <w:sz w:val="18"/>
                <w:szCs w:val="18"/>
              </w:rPr>
              <w:t xml:space="preserve"> and suitable institutional framework for evaluation of </w:t>
            </w:r>
            <w:r w:rsidR="009D3997">
              <w:rPr>
                <w:rFonts w:asciiTheme="minorHAnsi" w:hAnsiTheme="minorHAnsi"/>
                <w:sz w:val="18"/>
                <w:szCs w:val="18"/>
              </w:rPr>
              <w:t>MP</w:t>
            </w:r>
            <w:r w:rsidRPr="00B05B12">
              <w:rPr>
                <w:rFonts w:asciiTheme="minorHAnsi" w:hAnsiTheme="minorHAnsi"/>
                <w:sz w:val="18"/>
                <w:szCs w:val="18"/>
              </w:rPr>
              <w:t>s.</w:t>
            </w:r>
          </w:p>
          <w:p w14:paraId="31B520A5" w14:textId="77777777" w:rsidR="004C675B" w:rsidRPr="00B05B12" w:rsidRDefault="004C675B" w:rsidP="004C675B">
            <w:pPr>
              <w:pStyle w:val="ListParagraph"/>
              <w:numPr>
                <w:ilvl w:val="0"/>
                <w:numId w:val="5"/>
              </w:numPr>
              <w:spacing w:after="40"/>
              <w:ind w:left="336" w:hanging="283"/>
              <w:rPr>
                <w:rFonts w:asciiTheme="minorHAnsi" w:hAnsiTheme="minorHAnsi"/>
                <w:sz w:val="18"/>
                <w:szCs w:val="18"/>
              </w:rPr>
            </w:pPr>
            <w:r w:rsidRPr="00B05B12">
              <w:rPr>
                <w:rFonts w:asciiTheme="minorHAnsi" w:hAnsiTheme="minorHAnsi"/>
                <w:sz w:val="18"/>
                <w:szCs w:val="18"/>
              </w:rPr>
              <w:t>Ex-ante estimation/ex-post tracking of use required per indication for weighted-average pricing/differential pricing.</w:t>
            </w:r>
          </w:p>
          <w:p w14:paraId="0CB237AE" w14:textId="4A87E3EC" w:rsidR="004C675B" w:rsidRPr="00B05B12" w:rsidRDefault="004C675B" w:rsidP="004C675B">
            <w:pPr>
              <w:pStyle w:val="ListParagraph"/>
              <w:numPr>
                <w:ilvl w:val="0"/>
                <w:numId w:val="5"/>
              </w:numPr>
              <w:spacing w:after="40"/>
              <w:ind w:left="336" w:hanging="283"/>
              <w:rPr>
                <w:rFonts w:asciiTheme="minorHAnsi" w:hAnsiTheme="minorHAnsi"/>
                <w:sz w:val="18"/>
                <w:szCs w:val="18"/>
              </w:rPr>
            </w:pPr>
            <w:r w:rsidRPr="00B05B12">
              <w:rPr>
                <w:rFonts w:asciiTheme="minorHAnsi" w:hAnsiTheme="minorHAnsi"/>
                <w:sz w:val="18"/>
                <w:szCs w:val="18"/>
              </w:rPr>
              <w:t xml:space="preserve">Weighted-average pricing is complicated (considering competition and its impact on other </w:t>
            </w:r>
            <w:r w:rsidR="00F92B80">
              <w:rPr>
                <w:rFonts w:asciiTheme="minorHAnsi" w:hAnsiTheme="minorHAnsi"/>
                <w:sz w:val="18"/>
                <w:szCs w:val="18"/>
              </w:rPr>
              <w:t>MP</w:t>
            </w:r>
            <w:r w:rsidRPr="00B05B12">
              <w:rPr>
                <w:rFonts w:asciiTheme="minorHAnsi" w:hAnsiTheme="minorHAnsi"/>
                <w:sz w:val="18"/>
                <w:szCs w:val="18"/>
              </w:rPr>
              <w:t>s’ sales volume).</w:t>
            </w:r>
          </w:p>
          <w:p w14:paraId="2C0ECA9B" w14:textId="77777777" w:rsidR="004C675B" w:rsidRPr="00B05B12" w:rsidRDefault="004C675B" w:rsidP="004C675B">
            <w:pPr>
              <w:pStyle w:val="ListParagraph"/>
              <w:numPr>
                <w:ilvl w:val="0"/>
                <w:numId w:val="5"/>
              </w:numPr>
              <w:spacing w:after="40"/>
              <w:ind w:left="336" w:hanging="283"/>
              <w:rPr>
                <w:rFonts w:asciiTheme="minorHAnsi" w:hAnsiTheme="minorHAnsi"/>
                <w:sz w:val="18"/>
                <w:szCs w:val="18"/>
              </w:rPr>
            </w:pPr>
            <w:r w:rsidRPr="00B05B12">
              <w:rPr>
                <w:rFonts w:asciiTheme="minorHAnsi" w:hAnsiTheme="minorHAnsi"/>
                <w:sz w:val="18"/>
                <w:szCs w:val="18"/>
              </w:rPr>
              <w:t>Legal/regulatory constraints might hinder application of multiple prices.</w:t>
            </w:r>
          </w:p>
          <w:p w14:paraId="4E7F5F38" w14:textId="77777777" w:rsidR="004C675B" w:rsidRPr="00B05B12" w:rsidRDefault="004C675B" w:rsidP="004C675B">
            <w:pPr>
              <w:pStyle w:val="ListParagraph"/>
              <w:numPr>
                <w:ilvl w:val="0"/>
                <w:numId w:val="5"/>
              </w:numPr>
              <w:spacing w:after="40"/>
              <w:ind w:left="336" w:hanging="283"/>
              <w:rPr>
                <w:rFonts w:asciiTheme="minorHAnsi" w:hAnsiTheme="minorHAnsi"/>
                <w:sz w:val="18"/>
                <w:szCs w:val="18"/>
              </w:rPr>
            </w:pPr>
            <w:r w:rsidRPr="00B05B12">
              <w:rPr>
                <w:rFonts w:asciiTheme="minorHAnsi" w:hAnsiTheme="minorHAnsi"/>
                <w:sz w:val="18"/>
                <w:szCs w:val="18"/>
              </w:rPr>
              <w:t>Privacy concerns.</w:t>
            </w:r>
          </w:p>
          <w:p w14:paraId="0774C90E" w14:textId="77777777" w:rsidR="004C675B" w:rsidRPr="00B05B12" w:rsidRDefault="004C675B" w:rsidP="004C675B">
            <w:pPr>
              <w:pStyle w:val="ListParagraph"/>
              <w:numPr>
                <w:ilvl w:val="0"/>
                <w:numId w:val="5"/>
              </w:numPr>
              <w:spacing w:after="40"/>
              <w:ind w:left="336" w:hanging="283"/>
              <w:rPr>
                <w:rFonts w:asciiTheme="minorHAnsi" w:hAnsiTheme="minorHAnsi"/>
                <w:sz w:val="18"/>
                <w:szCs w:val="18"/>
              </w:rPr>
            </w:pPr>
            <w:r w:rsidRPr="00B05B12">
              <w:rPr>
                <w:rFonts w:asciiTheme="minorHAnsi" w:hAnsiTheme="minorHAnsi"/>
                <w:sz w:val="18"/>
                <w:szCs w:val="18"/>
              </w:rPr>
              <w:t>Weighted-average pricing or value-based price for individual indications would reflect value of follow-on indications.</w:t>
            </w:r>
          </w:p>
          <w:p w14:paraId="2651CC2B" w14:textId="77777777" w:rsidR="004C675B" w:rsidRPr="00B05B12" w:rsidRDefault="004C675B" w:rsidP="004C675B">
            <w:pPr>
              <w:spacing w:after="40"/>
              <w:rPr>
                <w:rFonts w:asciiTheme="minorHAnsi" w:hAnsiTheme="minorHAnsi"/>
                <w:i/>
                <w:iCs/>
                <w:sz w:val="18"/>
                <w:szCs w:val="18"/>
              </w:rPr>
            </w:pPr>
          </w:p>
          <w:p w14:paraId="2B125C4C" w14:textId="77777777" w:rsidR="004C675B" w:rsidRPr="00B05B12" w:rsidRDefault="004C675B" w:rsidP="004C675B">
            <w:pPr>
              <w:spacing w:after="40"/>
              <w:rPr>
                <w:rFonts w:asciiTheme="minorHAnsi" w:hAnsiTheme="minorHAnsi"/>
                <w:i/>
                <w:iCs/>
                <w:sz w:val="18"/>
                <w:szCs w:val="18"/>
              </w:rPr>
            </w:pPr>
            <w:r w:rsidRPr="00B05B12">
              <w:rPr>
                <w:rFonts w:asciiTheme="minorHAnsi" w:hAnsiTheme="minorHAnsi"/>
                <w:i/>
                <w:iCs/>
                <w:sz w:val="18"/>
                <w:szCs w:val="18"/>
              </w:rPr>
              <w:t>DE:</w:t>
            </w:r>
          </w:p>
          <w:p w14:paraId="7A6B9ECE" w14:textId="62E02D25" w:rsidR="004C675B" w:rsidRPr="00B05B12" w:rsidRDefault="004C675B" w:rsidP="004C675B">
            <w:pPr>
              <w:pStyle w:val="ListParagraph"/>
              <w:numPr>
                <w:ilvl w:val="0"/>
                <w:numId w:val="2"/>
              </w:numPr>
              <w:spacing w:after="40"/>
              <w:ind w:left="336" w:hanging="283"/>
              <w:rPr>
                <w:rFonts w:asciiTheme="minorHAnsi" w:hAnsiTheme="minorHAnsi"/>
                <w:sz w:val="18"/>
                <w:szCs w:val="18"/>
              </w:rPr>
            </w:pPr>
            <w:r w:rsidRPr="00B05B12">
              <w:rPr>
                <w:rFonts w:asciiTheme="minorHAnsi" w:hAnsiTheme="minorHAnsi"/>
                <w:sz w:val="18"/>
                <w:szCs w:val="18"/>
              </w:rPr>
              <w:t>Pricing system embeds different value of a</w:t>
            </w:r>
            <w:r w:rsidR="003008B2">
              <w:rPr>
                <w:rFonts w:asciiTheme="minorHAnsi" w:hAnsiTheme="minorHAnsi"/>
                <w:sz w:val="18"/>
                <w:szCs w:val="18"/>
              </w:rPr>
              <w:t>n</w:t>
            </w:r>
            <w:r w:rsidRPr="00B05B12">
              <w:rPr>
                <w:rFonts w:asciiTheme="minorHAnsi" w:hAnsiTheme="minorHAnsi"/>
                <w:sz w:val="18"/>
                <w:szCs w:val="18"/>
              </w:rPr>
              <w:t xml:space="preserve"> </w:t>
            </w:r>
            <w:r w:rsidR="00F92B80">
              <w:rPr>
                <w:rFonts w:asciiTheme="minorHAnsi" w:hAnsiTheme="minorHAnsi"/>
                <w:sz w:val="18"/>
                <w:szCs w:val="18"/>
              </w:rPr>
              <w:t>MP</w:t>
            </w:r>
            <w:r w:rsidRPr="00B05B12">
              <w:rPr>
                <w:rFonts w:asciiTheme="minorHAnsi" w:hAnsiTheme="minorHAnsi"/>
                <w:sz w:val="18"/>
                <w:szCs w:val="18"/>
              </w:rPr>
              <w:t xml:space="preserve"> across indications/patient subgroups.</w:t>
            </w:r>
          </w:p>
          <w:p w14:paraId="0DB844D1" w14:textId="77777777" w:rsidR="004C675B" w:rsidRPr="00B05B12" w:rsidRDefault="004C675B" w:rsidP="004C675B">
            <w:pPr>
              <w:spacing w:after="40"/>
              <w:rPr>
                <w:rFonts w:asciiTheme="minorHAnsi" w:hAnsiTheme="minorHAnsi"/>
                <w:i/>
                <w:iCs/>
                <w:sz w:val="18"/>
                <w:szCs w:val="18"/>
              </w:rPr>
            </w:pPr>
          </w:p>
          <w:p w14:paraId="7134C2B1" w14:textId="77777777" w:rsidR="004C675B" w:rsidRPr="00B05B12" w:rsidRDefault="004C675B" w:rsidP="004C675B">
            <w:pPr>
              <w:spacing w:after="40"/>
              <w:rPr>
                <w:rFonts w:asciiTheme="minorHAnsi" w:hAnsiTheme="minorHAnsi"/>
                <w:i/>
                <w:iCs/>
                <w:sz w:val="18"/>
                <w:szCs w:val="18"/>
              </w:rPr>
            </w:pPr>
            <w:r w:rsidRPr="00B05B12">
              <w:rPr>
                <w:rFonts w:asciiTheme="minorHAnsi" w:hAnsiTheme="minorHAnsi"/>
                <w:i/>
                <w:iCs/>
                <w:sz w:val="18"/>
                <w:szCs w:val="18"/>
              </w:rPr>
              <w:t>SE:</w:t>
            </w:r>
          </w:p>
          <w:p w14:paraId="101DE60F" w14:textId="77777777" w:rsidR="004C675B" w:rsidRPr="00B05B12" w:rsidRDefault="004C675B" w:rsidP="004C675B">
            <w:pPr>
              <w:pStyle w:val="ListParagraph"/>
              <w:numPr>
                <w:ilvl w:val="0"/>
                <w:numId w:val="3"/>
              </w:numPr>
              <w:spacing w:after="40"/>
              <w:ind w:left="336" w:hanging="283"/>
              <w:rPr>
                <w:rFonts w:asciiTheme="minorHAnsi" w:hAnsiTheme="minorHAnsi"/>
                <w:sz w:val="18"/>
                <w:szCs w:val="18"/>
              </w:rPr>
            </w:pPr>
            <w:r w:rsidRPr="00B05B12">
              <w:rPr>
                <w:rFonts w:asciiTheme="minorHAnsi" w:hAnsiTheme="minorHAnsi"/>
                <w:sz w:val="18"/>
                <w:szCs w:val="18"/>
              </w:rPr>
              <w:lastRenderedPageBreak/>
              <w:t>Weighted-average pricing: Assumes easy quantification of differences in therapeutic benefit.</w:t>
            </w:r>
          </w:p>
          <w:p w14:paraId="660F742F" w14:textId="77777777" w:rsidR="004C675B" w:rsidRPr="00B05B12" w:rsidRDefault="004C675B" w:rsidP="004C675B">
            <w:pPr>
              <w:spacing w:after="40"/>
              <w:rPr>
                <w:rFonts w:asciiTheme="minorHAnsi" w:hAnsiTheme="minorHAnsi"/>
                <w:sz w:val="18"/>
                <w:szCs w:val="18"/>
              </w:rPr>
            </w:pPr>
          </w:p>
          <w:p w14:paraId="79E92BC0" w14:textId="77777777" w:rsidR="004C675B" w:rsidRPr="00B05B12" w:rsidRDefault="004C675B" w:rsidP="004C675B">
            <w:pPr>
              <w:spacing w:after="40"/>
              <w:rPr>
                <w:rFonts w:asciiTheme="minorHAnsi" w:hAnsiTheme="minorHAnsi"/>
                <w:i/>
                <w:iCs/>
                <w:sz w:val="18"/>
                <w:szCs w:val="18"/>
              </w:rPr>
            </w:pPr>
            <w:r w:rsidRPr="00B05B12">
              <w:rPr>
                <w:rFonts w:asciiTheme="minorHAnsi" w:hAnsiTheme="minorHAnsi"/>
                <w:i/>
                <w:iCs/>
                <w:sz w:val="18"/>
                <w:szCs w:val="18"/>
              </w:rPr>
              <w:t>US:</w:t>
            </w:r>
          </w:p>
          <w:p w14:paraId="64D61AD9" w14:textId="01406E8C" w:rsidR="004C675B" w:rsidRPr="002F0C47" w:rsidRDefault="004C675B" w:rsidP="004C675B">
            <w:pPr>
              <w:pStyle w:val="ListParagraph"/>
              <w:numPr>
                <w:ilvl w:val="0"/>
                <w:numId w:val="2"/>
              </w:numPr>
              <w:spacing w:after="40"/>
              <w:ind w:left="336" w:hanging="283"/>
            </w:pPr>
            <w:r w:rsidRPr="00B05B12">
              <w:rPr>
                <w:rFonts w:asciiTheme="minorHAnsi" w:hAnsiTheme="minorHAnsi"/>
                <w:sz w:val="18"/>
                <w:szCs w:val="18"/>
              </w:rPr>
              <w:t>Multiple brands for similar indications may be too burdensome or contribute to unnecessary confusion.</w:t>
            </w:r>
          </w:p>
        </w:tc>
      </w:tr>
      <w:tr w:rsidR="004868E3" w:rsidRPr="002F0C47" w14:paraId="4434F1C8" w14:textId="77777777" w:rsidTr="00EF56D4">
        <w:tc>
          <w:tcPr>
            <w:tcW w:w="1964" w:type="dxa"/>
          </w:tcPr>
          <w:p w14:paraId="5B97147F" w14:textId="77777777" w:rsidR="004868E3" w:rsidRPr="000C0CE1" w:rsidRDefault="004868E3" w:rsidP="004868E3">
            <w:pPr>
              <w:pStyle w:val="Caption"/>
              <w:spacing w:after="0"/>
              <w:rPr>
                <w:i w:val="0"/>
                <w:iCs w:val="0"/>
              </w:rPr>
            </w:pPr>
            <w:r w:rsidRPr="002F0C47">
              <w:rPr>
                <w:rFonts w:asciiTheme="minorHAnsi" w:hAnsiTheme="minorHAnsi"/>
                <w:i w:val="0"/>
                <w:iCs w:val="0"/>
                <w:color w:val="auto"/>
              </w:rPr>
              <w:lastRenderedPageBreak/>
              <w:t>Price transparency</w:t>
            </w:r>
          </w:p>
        </w:tc>
        <w:tc>
          <w:tcPr>
            <w:tcW w:w="3027" w:type="dxa"/>
          </w:tcPr>
          <w:p w14:paraId="4DFA3F4D" w14:textId="34D42BAF" w:rsidR="004868E3" w:rsidRPr="004868E3" w:rsidRDefault="004868E3" w:rsidP="004868E3">
            <w:pPr>
              <w:pStyle w:val="Table"/>
              <w:rPr>
                <w:i/>
                <w:iCs/>
                <w:color w:val="0E2841" w:themeColor="text2"/>
              </w:rPr>
            </w:pPr>
            <w:r w:rsidRPr="004868E3">
              <w:rPr>
                <w:rFonts w:eastAsia="Yu Gothic" w:cs="Times New Roman"/>
                <w:color w:val="2B579A"/>
                <w:kern w:val="2"/>
                <w:lang w:val="en-US" w:eastAsia="ja-JP"/>
                <w14:ligatures w14:val="standardContextual"/>
              </w:rPr>
              <w:fldChar w:fldCharType="begin"/>
            </w:r>
            <w:r w:rsidRPr="004868E3">
              <w:rPr>
                <w:rFonts w:cs="Times New Roman"/>
                <w:color w:val="2B579A"/>
              </w:rPr>
              <w:instrText xml:space="preserve"> ADDIN ZOTERO_ITEM CSL_CITATION {"citationID":"YgHuaW1y","properties":{"formattedCitation":"[55, 145, 147, 148, 150]","plainCitation":"[55, 145, 147, 148, 150]","noteIndex":0},"citationItems":[{"id":15741,"uris":["http://zotero.org/users/10480792/items/2T3CYGWR"],"itemData":{"id":15741,"type":"article-journal","abstract":"This article analyzes differences in prescription drug pricing transparency practices among 3 Organisation for Economic Co-operation and Development member nations: the United Kingdom, Germany, and Canada. Specifically, this article compares these countries' policies on list and net price disclosures and on how international reference pricing is used to evaluate merits and drawbacks of different pricing transparency approaches. Finally, the article summarizes what policymakers in the United States should learn from these comparisons. Copyright 2022 American Medical Association. All Rights Reserved.","archive_location":"36342492","container-title":"AMA J Ethics","DOI":"10.1001/amajethics.2022.1083","ISSN":"2376-6980","issue":"11","page":"E1083-1090","title":"What Should US Policymakers Learn From International Drug Pricing Transparency Strategies?","volume":"24","author":[{"family":"Nagar","given":"S."},{"family":"Rand","given":"L. Z."},{"family":"Kesselheim","given":"A. S."}],"issued":{"date-parts":[["2022",11,1]]},"citation-key":"nagarWhatShouldUS2022"}},{"id":16161,"uris":["http://zotero.org/users/10480792/items/9I8UU2GD"],"itemData":{"id":16161,"type":"report","genre":"OECD Health Working Papers","language":"en","note":"collection-title: OECD Health Working Papers\nvolume: 146\nDOI: 10.1787/c9250e17-en","number":"146","source":"DOI.org (Crossref)","title":"Exploring the consequences of greater price transparency on the dynamics of pharmaceutical markets","URL":"https://www.oecd-ilibrary.org/social-issues-migration-health/exploring-the-consequences-of-greater-price-transparency-on-the-dynamics-of-pharmaceutical-markets_c9250e17-en","author":[{"family":"Barrenho","given":"Eliana"},{"family":"Lopert","given":"Ruth"}],"accessed":{"date-parts":[["2023",9,8]]},"issued":{"date-parts":[["2022",9,8]]},"citation-key":"barrenhoExploringConsequencesGreater2022"}},{"id":16128,"uris":["http://zotero.org/users/10480792/items/3HIERURJ"],"itemData":{"id":16128,"type":"article-journal","abstract":"The California drug transparency bill (SB-17), signed into law in October 2017, seeks to promote transparency in pharmaceutical pricing, enhance understanding about pharmaceutical pricing trends, and assist in managing pharmaceutical costs. This article examines the legal and regulatory aspects of SB-17, explores legal challenges to the law, compares it to other state efforts to address rising drug prices, and discusses how California can maximize the impact of SB-17 by coupling the law with other incentives. While SB-17 might not significantly reduce drug prices, the new law represents a meaningful step for one state seeking to negotiate the political and legal boundaries of state action to rein in drug prices.","archive_location":"30179546","container-title":"Health Aff (Millwood)","DOI":"10.1377/hlthaff.2018.0424","ISSN":"1544-5208","issue":"9","page":"1503-1508","title":"California's Drug Transparency Law: Navigating The Boundaries Of State Authority On Drug Pricing","volume":"37","author":[{"family":"Gudiksen","given":"K. L."},{"family":"Brown","given":"T. T."},{"family":"Whaley","given":"C. M."},{"family":"King","given":"J. S."}],"issued":{"date-parts":[["2018"]]},"citation-key":"gudiksenCaliforniasDrugTransparency2018"}},{"id":16131,"uris":["http://zotero.org/users/10480792/items/9C6VXYLF"],"itemData":{"id":16131,"type":"legal_case","abstract":"This final rule revises the Federal Health Insurance Programs for the Aged and Disabled by amending regulations for the Medicare Parts A, B, C and D programs, as well as the Medicaid program, to require direct-to-consumer (DTC) television advertisements of prescription drugs and biological products for which payment is available through or under Medicare or Medicaid to include the Wholesale Acquisition Cost (WAC or list price) of that drug or biological product. This rule is intended to improve the efficient administration of the Medicare and Medicaid programs by ensuring that beneficiaries are provided with relevant information about the costs of prescription drugs and biological products so they can make informed decisions that minimize their out-of-pocket (OOP) costs and expenditures borne by Medicare and Medicaid, both of which are significant problems.","authority":"Centers for Medicare &amp; Medicaid Services","language":"en","number":"CMS-4187-F","page":"20732","title":"Medicare and Medicaid Programs; Regulation To Require Drug Pricing Transparency","URL":"https://www.federalregister.gov/documents/2019/05/10/2019-09655/medicare-and-medicaid-programs-regulation-to-require-drug-pricing-transparency","author":[{"family":"Rice","given":"Cheri"}],"issued":{"date-parts":[["2019",5,10]]},"citation-key":"riceMedicareMedicaidPrograms2019"}},{"id":15893,"uris":["http://zotero.org/users/10480792/items/LBEDALBT"],"itemData":{"id":15893,"type":"article-journal","abstract":"In January 2021, hospitals and payer-specific entities in the United States were mandated to comply with the new pricing transparency rules. These rules applied to all standard charges a hospital applied to services provided to and for a consumer. From a financial perspective, the issue of price transparency in health care has for several decades surfaced as a legitimate concern of consumers, health care providers and payers. The aim of this article is to historically examine where and how pricing in health care began and to illustrate financial issues leading up to the current transparency in pricing required by health care payers and providers. A comparative analysis of issues and challenges pertaining to the transparency in pharmaceutical product pricing between the United States and India is also provided in brief.","archive_location":"WOS:000948635300001","container-title":"J. Health Manag.","DOI":"10.1177/09720634231154367","ISSN":"0972-0634","issue":"1","journalAbbreviation":"Journal of Health Management","language":"English","page":"22-29","title":"Issues and Challenges Pertaining to Financing in Providing Pricing Transparency in the American Health Care Industry","volume":"25","author":[{"family":"Willis","given":"W."},{"family":"Chandra","given":"A."},{"family":"Sodani","given":"P. R."}],"issued":{"date-parts":[["2023",3]]},"citation-key":"willisIssuesChallengesPertaining2023"}}],"schema":"https://github.com/citation-style-language/schema/raw/master/csl-citation.json"} </w:instrText>
            </w:r>
            <w:r w:rsidRPr="004868E3">
              <w:rPr>
                <w:rFonts w:eastAsia="Yu Gothic" w:cs="Times New Roman"/>
                <w:color w:val="2B579A"/>
                <w:kern w:val="2"/>
                <w:lang w:val="en-US" w:eastAsia="ja-JP"/>
                <w14:ligatures w14:val="standardContextual"/>
              </w:rPr>
              <w:fldChar w:fldCharType="separate"/>
            </w:r>
            <w:r w:rsidRPr="004868E3">
              <w:rPr>
                <w:rFonts w:cs="Times New Roman"/>
              </w:rPr>
              <w:t>[55, 145, 147, 148, 150]</w:t>
            </w:r>
            <w:r w:rsidRPr="004868E3">
              <w:rPr>
                <w:rFonts w:eastAsia="Yu Gothic" w:cs="Times New Roman"/>
                <w:color w:val="2B579A"/>
                <w:kern w:val="2"/>
                <w:lang w:val="en-US" w:eastAsia="ja-JP"/>
                <w14:ligatures w14:val="standardContextual"/>
              </w:rPr>
              <w:fldChar w:fldCharType="end"/>
            </w:r>
          </w:p>
        </w:tc>
        <w:tc>
          <w:tcPr>
            <w:tcW w:w="5069" w:type="dxa"/>
          </w:tcPr>
          <w:p w14:paraId="145B4DC8" w14:textId="77777777" w:rsidR="004868E3" w:rsidRPr="00E47509" w:rsidRDefault="004868E3" w:rsidP="004868E3">
            <w:pPr>
              <w:pStyle w:val="Table"/>
              <w:rPr>
                <w:b/>
                <w:bCs/>
              </w:rPr>
            </w:pPr>
            <w:r w:rsidRPr="000C0CE1">
              <w:rPr>
                <w:b/>
                <w:bCs/>
              </w:rPr>
              <w:t>Affordability:</w:t>
            </w:r>
          </w:p>
          <w:p w14:paraId="3861A917" w14:textId="77777777" w:rsidR="004868E3" w:rsidRPr="008A6379" w:rsidRDefault="004868E3" w:rsidP="004868E3">
            <w:pPr>
              <w:spacing w:after="40"/>
              <w:rPr>
                <w:rFonts w:asciiTheme="minorHAnsi" w:hAnsiTheme="minorHAnsi"/>
                <w:i/>
                <w:iCs/>
                <w:sz w:val="18"/>
                <w:szCs w:val="18"/>
              </w:rPr>
            </w:pPr>
            <w:r w:rsidRPr="008A6379">
              <w:rPr>
                <w:rFonts w:asciiTheme="minorHAnsi" w:hAnsiTheme="minorHAnsi"/>
                <w:i/>
                <w:iCs/>
                <w:sz w:val="18"/>
                <w:szCs w:val="18"/>
              </w:rPr>
              <w:t>CH:</w:t>
            </w:r>
          </w:p>
          <w:p w14:paraId="15A0B88A" w14:textId="631A5527" w:rsidR="004868E3" w:rsidRPr="008A6379" w:rsidRDefault="004868E3" w:rsidP="004868E3">
            <w:pPr>
              <w:pStyle w:val="Table"/>
              <w:numPr>
                <w:ilvl w:val="0"/>
                <w:numId w:val="1"/>
              </w:numPr>
              <w:ind w:left="284" w:hanging="284"/>
            </w:pPr>
            <w:r w:rsidRPr="008A6379">
              <w:t xml:space="preserve">Sharing negotiated prices of oncological </w:t>
            </w:r>
            <w:r w:rsidR="003008B2">
              <w:t>MP</w:t>
            </w:r>
            <w:r w:rsidRPr="008A6379">
              <w:t>s was associated with lower prices over time.</w:t>
            </w:r>
          </w:p>
          <w:p w14:paraId="51D45029" w14:textId="77777777" w:rsidR="004868E3" w:rsidRPr="008A6379" w:rsidRDefault="004868E3" w:rsidP="004868E3">
            <w:pPr>
              <w:spacing w:after="40"/>
              <w:rPr>
                <w:rFonts w:asciiTheme="minorHAnsi" w:hAnsiTheme="minorHAnsi"/>
                <w:i/>
                <w:iCs/>
                <w:sz w:val="18"/>
                <w:szCs w:val="18"/>
              </w:rPr>
            </w:pPr>
          </w:p>
          <w:p w14:paraId="5914206A" w14:textId="77777777" w:rsidR="004868E3" w:rsidRPr="008A6379" w:rsidRDefault="004868E3" w:rsidP="004868E3">
            <w:pPr>
              <w:spacing w:after="40"/>
              <w:rPr>
                <w:rFonts w:asciiTheme="minorHAnsi" w:hAnsiTheme="minorHAnsi"/>
                <w:i/>
                <w:iCs/>
                <w:sz w:val="18"/>
                <w:szCs w:val="18"/>
              </w:rPr>
            </w:pPr>
            <w:r w:rsidRPr="008A6379">
              <w:rPr>
                <w:rFonts w:asciiTheme="minorHAnsi" w:hAnsiTheme="minorHAnsi"/>
                <w:i/>
                <w:iCs/>
                <w:sz w:val="18"/>
                <w:szCs w:val="18"/>
              </w:rPr>
              <w:t>New York/US:</w:t>
            </w:r>
          </w:p>
          <w:p w14:paraId="742C7572" w14:textId="77777777" w:rsidR="004868E3" w:rsidRPr="008A6379" w:rsidRDefault="004868E3" w:rsidP="004868E3">
            <w:pPr>
              <w:pStyle w:val="Table"/>
              <w:numPr>
                <w:ilvl w:val="0"/>
                <w:numId w:val="1"/>
              </w:numPr>
              <w:ind w:left="284" w:hanging="284"/>
            </w:pPr>
            <w:r w:rsidRPr="008A6379">
              <w:t>Hospital Price Transparency: having price information may enable patients to be more in control and lower the costs they face from a medical situation.</w:t>
            </w:r>
          </w:p>
          <w:p w14:paraId="68A288AD" w14:textId="77777777" w:rsidR="004868E3" w:rsidRPr="008A6379" w:rsidRDefault="004868E3" w:rsidP="004868E3">
            <w:pPr>
              <w:spacing w:after="40"/>
              <w:rPr>
                <w:rFonts w:asciiTheme="minorHAnsi" w:hAnsiTheme="minorHAnsi"/>
                <w:sz w:val="18"/>
                <w:szCs w:val="18"/>
              </w:rPr>
            </w:pPr>
          </w:p>
          <w:p w14:paraId="3E625533" w14:textId="77777777" w:rsidR="004868E3" w:rsidRPr="008A6379" w:rsidRDefault="004868E3" w:rsidP="004868E3">
            <w:pPr>
              <w:spacing w:after="40"/>
              <w:rPr>
                <w:rFonts w:asciiTheme="minorHAnsi" w:hAnsiTheme="minorHAnsi"/>
                <w:i/>
                <w:iCs/>
                <w:sz w:val="18"/>
                <w:szCs w:val="18"/>
              </w:rPr>
            </w:pPr>
            <w:r w:rsidRPr="008A6379">
              <w:rPr>
                <w:rFonts w:asciiTheme="minorHAnsi" w:hAnsiTheme="minorHAnsi"/>
                <w:i/>
                <w:iCs/>
                <w:sz w:val="18"/>
                <w:szCs w:val="18"/>
              </w:rPr>
              <w:t>US:</w:t>
            </w:r>
          </w:p>
          <w:p w14:paraId="5D6B6522" w14:textId="77777777" w:rsidR="004868E3" w:rsidRPr="008A6379" w:rsidRDefault="004868E3" w:rsidP="004868E3">
            <w:pPr>
              <w:pStyle w:val="Table"/>
              <w:numPr>
                <w:ilvl w:val="0"/>
                <w:numId w:val="1"/>
              </w:numPr>
              <w:ind w:left="284" w:hanging="284"/>
            </w:pPr>
            <w:r w:rsidRPr="008A6379">
              <w:t>Medicare/Medicaid Transparency Rule: May reduce OOP expenses for patients.</w:t>
            </w:r>
          </w:p>
          <w:p w14:paraId="7C13C0DC" w14:textId="77777777" w:rsidR="004868E3" w:rsidRPr="008A6379" w:rsidRDefault="004868E3" w:rsidP="004868E3">
            <w:pPr>
              <w:pStyle w:val="Table"/>
              <w:numPr>
                <w:ilvl w:val="0"/>
                <w:numId w:val="1"/>
              </w:numPr>
              <w:ind w:left="284" w:hanging="284"/>
            </w:pPr>
            <w:r w:rsidRPr="008A6379">
              <w:t>Access of hospitals to information on prices paid by other hospitals led to savings on brands for which they had previously paid relatively high prices.</w:t>
            </w:r>
          </w:p>
          <w:p w14:paraId="1E85B6E7" w14:textId="1AB88587" w:rsidR="004868E3" w:rsidRPr="008A6379" w:rsidRDefault="004868E3" w:rsidP="004868E3">
            <w:pPr>
              <w:pStyle w:val="Table"/>
              <w:numPr>
                <w:ilvl w:val="0"/>
                <w:numId w:val="1"/>
              </w:numPr>
              <w:ind w:left="284" w:hanging="284"/>
            </w:pPr>
            <w:r w:rsidRPr="008A6379">
              <w:t>Sharing prescription expenditure data among payers did not affect state Medicaid spending.</w:t>
            </w:r>
          </w:p>
          <w:p w14:paraId="7AC5FAB0" w14:textId="77777777" w:rsidR="004868E3" w:rsidRDefault="004868E3" w:rsidP="004868E3">
            <w:pPr>
              <w:pStyle w:val="Table"/>
              <w:rPr>
                <w:b/>
                <w:bCs/>
              </w:rPr>
            </w:pPr>
          </w:p>
          <w:p w14:paraId="22C50BD4" w14:textId="182F1D76" w:rsidR="004868E3" w:rsidRDefault="004868E3" w:rsidP="004868E3">
            <w:pPr>
              <w:pStyle w:val="Table"/>
            </w:pPr>
            <w:r w:rsidRPr="000C0CE1">
              <w:rPr>
                <w:b/>
                <w:bCs/>
              </w:rPr>
              <w:t>Availability:</w:t>
            </w:r>
            <w:r w:rsidRPr="00183C77">
              <w:t xml:space="preserve"> NA</w:t>
            </w:r>
          </w:p>
          <w:p w14:paraId="63DC352F" w14:textId="77777777" w:rsidR="004868E3" w:rsidRPr="002F0C47" w:rsidRDefault="004868E3" w:rsidP="004868E3">
            <w:pPr>
              <w:pStyle w:val="Table"/>
            </w:pPr>
          </w:p>
          <w:p w14:paraId="7C6391DD" w14:textId="77777777" w:rsidR="004868E3" w:rsidRPr="00E47509" w:rsidRDefault="004868E3" w:rsidP="004868E3">
            <w:pPr>
              <w:pStyle w:val="Table"/>
              <w:rPr>
                <w:b/>
                <w:bCs/>
              </w:rPr>
            </w:pPr>
            <w:r w:rsidRPr="000C0CE1">
              <w:rPr>
                <w:b/>
                <w:bCs/>
              </w:rPr>
              <w:t>Sustainability:</w:t>
            </w:r>
          </w:p>
          <w:p w14:paraId="540340A9" w14:textId="77777777" w:rsidR="004868E3" w:rsidRPr="00AD0AEC" w:rsidRDefault="004868E3" w:rsidP="004868E3">
            <w:pPr>
              <w:spacing w:after="40"/>
              <w:rPr>
                <w:rFonts w:asciiTheme="minorHAnsi" w:hAnsiTheme="minorHAnsi"/>
                <w:i/>
                <w:iCs/>
                <w:sz w:val="18"/>
                <w:szCs w:val="18"/>
              </w:rPr>
            </w:pPr>
            <w:r w:rsidRPr="00AD0AEC">
              <w:rPr>
                <w:rFonts w:asciiTheme="minorHAnsi" w:hAnsiTheme="minorHAnsi"/>
                <w:i/>
                <w:iCs/>
                <w:sz w:val="18"/>
                <w:szCs w:val="18"/>
              </w:rPr>
              <w:t>General:</w:t>
            </w:r>
          </w:p>
          <w:p w14:paraId="2CF8FE52" w14:textId="734E9A7D" w:rsidR="004868E3" w:rsidRDefault="004868E3" w:rsidP="004868E3">
            <w:pPr>
              <w:pStyle w:val="Table"/>
              <w:numPr>
                <w:ilvl w:val="0"/>
                <w:numId w:val="1"/>
              </w:numPr>
              <w:ind w:left="284" w:hanging="284"/>
            </w:pPr>
            <w:r w:rsidRPr="00AD0AEC">
              <w:t xml:space="preserve">Inconclusive evidence whether </w:t>
            </w:r>
            <w:r w:rsidR="003008B2">
              <w:t>MP</w:t>
            </w:r>
            <w:r w:rsidRPr="00AD0AEC">
              <w:t xml:space="preserve"> pricing transparency reduces </w:t>
            </w:r>
            <w:r w:rsidR="003008B2">
              <w:t>MP</w:t>
            </w:r>
            <w:r w:rsidRPr="00AD0AEC">
              <w:t xml:space="preserve"> spending due</w:t>
            </w:r>
            <w:r w:rsidRPr="00F51BD9">
              <w:t xml:space="preserve"> to confidential agreements, nondisclosure of rebates/discounts, improper price reporting.</w:t>
            </w:r>
          </w:p>
          <w:p w14:paraId="39EDD79F" w14:textId="77777777" w:rsidR="004868E3" w:rsidRPr="002F0C47" w:rsidRDefault="004868E3" w:rsidP="004868E3">
            <w:pPr>
              <w:pStyle w:val="Table"/>
            </w:pPr>
          </w:p>
          <w:p w14:paraId="6741486F" w14:textId="77777777" w:rsidR="004868E3" w:rsidRPr="00183C77" w:rsidRDefault="004868E3" w:rsidP="004868E3">
            <w:pPr>
              <w:pStyle w:val="Table"/>
            </w:pPr>
            <w:r w:rsidRPr="000C0CE1">
              <w:rPr>
                <w:b/>
                <w:bCs/>
              </w:rPr>
              <w:t>Equity:</w:t>
            </w:r>
            <w:r w:rsidRPr="00183C77">
              <w:t xml:space="preserve"> NA</w:t>
            </w:r>
          </w:p>
          <w:p w14:paraId="4E84B073" w14:textId="77777777" w:rsidR="004868E3" w:rsidRPr="002F0C47" w:rsidRDefault="004868E3" w:rsidP="004868E3">
            <w:pPr>
              <w:pStyle w:val="Table"/>
            </w:pPr>
          </w:p>
          <w:p w14:paraId="53721BB8" w14:textId="77777777" w:rsidR="004868E3" w:rsidRPr="00E47509" w:rsidRDefault="004868E3" w:rsidP="004868E3">
            <w:pPr>
              <w:pStyle w:val="Table"/>
              <w:rPr>
                <w:b/>
                <w:bCs/>
              </w:rPr>
            </w:pPr>
            <w:r w:rsidRPr="00E47509">
              <w:rPr>
                <w:b/>
                <w:bCs/>
              </w:rPr>
              <w:t>Other impacts:</w:t>
            </w:r>
          </w:p>
          <w:p w14:paraId="72AE1553" w14:textId="77777777" w:rsidR="004868E3" w:rsidRPr="007D4AE7" w:rsidRDefault="004868E3" w:rsidP="004868E3">
            <w:pPr>
              <w:spacing w:after="40"/>
              <w:rPr>
                <w:rFonts w:asciiTheme="minorHAnsi" w:hAnsiTheme="minorHAnsi"/>
                <w:i/>
                <w:iCs/>
                <w:sz w:val="18"/>
                <w:szCs w:val="18"/>
              </w:rPr>
            </w:pPr>
            <w:r w:rsidRPr="007D4AE7">
              <w:rPr>
                <w:rFonts w:asciiTheme="minorHAnsi" w:hAnsiTheme="minorHAnsi"/>
                <w:i/>
                <w:iCs/>
                <w:sz w:val="18"/>
                <w:szCs w:val="18"/>
              </w:rPr>
              <w:t>General:</w:t>
            </w:r>
          </w:p>
          <w:p w14:paraId="1B74F45C" w14:textId="77777777" w:rsidR="004868E3" w:rsidRPr="007D4AE7" w:rsidRDefault="004868E3" w:rsidP="004868E3">
            <w:pPr>
              <w:pStyle w:val="Table"/>
              <w:numPr>
                <w:ilvl w:val="0"/>
                <w:numId w:val="1"/>
              </w:numPr>
              <w:ind w:left="284" w:hanging="284"/>
            </w:pPr>
            <w:r w:rsidRPr="007D4AE7">
              <w:t>Manufacturers: confidential negotiations allow larger discounts to certain insurers to improve payers’ ability to negotiate lower prices.</w:t>
            </w:r>
          </w:p>
          <w:p w14:paraId="70CF33C7" w14:textId="77777777" w:rsidR="004868E3" w:rsidRPr="007D4AE7" w:rsidRDefault="004868E3" w:rsidP="004868E3">
            <w:pPr>
              <w:spacing w:after="40"/>
              <w:rPr>
                <w:rFonts w:asciiTheme="minorHAnsi" w:hAnsiTheme="minorHAnsi"/>
                <w:sz w:val="18"/>
                <w:szCs w:val="18"/>
              </w:rPr>
            </w:pPr>
          </w:p>
          <w:p w14:paraId="580248A3" w14:textId="77777777" w:rsidR="004868E3" w:rsidRPr="007D4AE7" w:rsidRDefault="004868E3" w:rsidP="004868E3">
            <w:pPr>
              <w:spacing w:after="40"/>
              <w:rPr>
                <w:rFonts w:asciiTheme="minorHAnsi" w:hAnsiTheme="minorHAnsi"/>
                <w:i/>
                <w:iCs/>
                <w:sz w:val="18"/>
                <w:szCs w:val="18"/>
              </w:rPr>
            </w:pPr>
            <w:r w:rsidRPr="007D4AE7">
              <w:rPr>
                <w:rFonts w:asciiTheme="minorHAnsi" w:hAnsiTheme="minorHAnsi"/>
                <w:i/>
                <w:iCs/>
                <w:sz w:val="18"/>
                <w:szCs w:val="18"/>
              </w:rPr>
              <w:t>DE:</w:t>
            </w:r>
          </w:p>
          <w:p w14:paraId="6286A1AC" w14:textId="56994684" w:rsidR="004868E3" w:rsidRPr="002F0C47" w:rsidRDefault="004868E3" w:rsidP="004868E3">
            <w:pPr>
              <w:pStyle w:val="Table"/>
              <w:numPr>
                <w:ilvl w:val="0"/>
                <w:numId w:val="1"/>
              </w:numPr>
              <w:ind w:left="284" w:hanging="284"/>
            </w:pPr>
            <w:r w:rsidRPr="007D4AE7">
              <w:t xml:space="preserve">Possible positive collateral effects of net price disclosure: other countries can reference net prices on basis of </w:t>
            </w:r>
            <w:r w:rsidR="00983302">
              <w:t>an MP</w:t>
            </w:r>
            <w:r w:rsidRPr="007D4AE7">
              <w:t>’s clinical value (more realistic than list prices).</w:t>
            </w:r>
          </w:p>
        </w:tc>
        <w:tc>
          <w:tcPr>
            <w:tcW w:w="3888" w:type="dxa"/>
          </w:tcPr>
          <w:p w14:paraId="61F53380" w14:textId="77777777" w:rsidR="004868E3" w:rsidRPr="00183C77" w:rsidRDefault="004868E3" w:rsidP="004868E3">
            <w:pPr>
              <w:pStyle w:val="Table"/>
            </w:pPr>
            <w:r w:rsidRPr="000C0CE1">
              <w:rPr>
                <w:b/>
                <w:bCs/>
              </w:rPr>
              <w:lastRenderedPageBreak/>
              <w:t>Acceptability:</w:t>
            </w:r>
            <w:r w:rsidRPr="00183C77">
              <w:t xml:space="preserve"> NA</w:t>
            </w:r>
          </w:p>
          <w:p w14:paraId="16C5A48C" w14:textId="77777777" w:rsidR="004868E3" w:rsidRPr="002F0C47" w:rsidRDefault="004868E3" w:rsidP="004868E3">
            <w:pPr>
              <w:pStyle w:val="Table"/>
            </w:pPr>
          </w:p>
          <w:p w14:paraId="374649AE" w14:textId="77777777" w:rsidR="004868E3" w:rsidRPr="00183C77" w:rsidRDefault="004868E3" w:rsidP="004868E3">
            <w:pPr>
              <w:pStyle w:val="Table"/>
            </w:pPr>
            <w:r w:rsidRPr="000C0CE1">
              <w:rPr>
                <w:b/>
                <w:bCs/>
              </w:rPr>
              <w:t>Resource use:</w:t>
            </w:r>
            <w:r w:rsidRPr="00183C77">
              <w:t xml:space="preserve"> NA</w:t>
            </w:r>
          </w:p>
          <w:p w14:paraId="1E85623E" w14:textId="77777777" w:rsidR="004868E3" w:rsidRPr="002F0C47" w:rsidRDefault="004868E3" w:rsidP="004868E3">
            <w:pPr>
              <w:pStyle w:val="Table"/>
            </w:pPr>
          </w:p>
          <w:p w14:paraId="7E16A9AE" w14:textId="77777777" w:rsidR="004868E3" w:rsidRDefault="004868E3" w:rsidP="004868E3">
            <w:pPr>
              <w:pStyle w:val="Table"/>
              <w:rPr>
                <w:rFonts w:ascii="Aptos" w:eastAsia="Aptos" w:hAnsi="Aptos" w:cs="Aptos"/>
                <w:b/>
                <w:bCs/>
                <w:lang w:val="en-US"/>
              </w:rPr>
            </w:pPr>
            <w:r w:rsidRPr="000C0CE1">
              <w:rPr>
                <w:b/>
                <w:bCs/>
              </w:rPr>
              <w:t>Feasibility:</w:t>
            </w:r>
            <w:r w:rsidRPr="000C0CE1">
              <w:rPr>
                <w:rFonts w:ascii="Aptos" w:eastAsia="Aptos" w:hAnsi="Aptos" w:cs="Aptos"/>
                <w:b/>
                <w:bCs/>
                <w:lang w:val="en-US"/>
              </w:rPr>
              <w:t xml:space="preserve"> </w:t>
            </w:r>
          </w:p>
          <w:p w14:paraId="29E231D9" w14:textId="59EB6192" w:rsidR="004868E3" w:rsidRPr="002347E0" w:rsidRDefault="004868E3" w:rsidP="004868E3">
            <w:pPr>
              <w:pStyle w:val="Table"/>
              <w:rPr>
                <w:rFonts w:ascii="Aptos" w:eastAsia="Aptos" w:hAnsi="Aptos" w:cs="Aptos"/>
                <w:i/>
                <w:iCs/>
                <w:lang w:val="en-US"/>
              </w:rPr>
            </w:pPr>
            <w:r>
              <w:rPr>
                <w:rFonts w:ascii="Aptos" w:eastAsia="Aptos" w:hAnsi="Aptos" w:cs="Aptos"/>
                <w:i/>
                <w:iCs/>
                <w:lang w:val="en-US"/>
              </w:rPr>
              <w:t>General:</w:t>
            </w:r>
          </w:p>
          <w:p w14:paraId="46786B27" w14:textId="77777777" w:rsidR="004868E3" w:rsidRPr="000C0CE1" w:rsidRDefault="004868E3" w:rsidP="004868E3">
            <w:pPr>
              <w:pStyle w:val="Table"/>
              <w:numPr>
                <w:ilvl w:val="0"/>
                <w:numId w:val="1"/>
              </w:numPr>
              <w:ind w:left="313" w:hanging="284"/>
            </w:pPr>
            <w:r w:rsidRPr="000C0CE1">
              <w:t>Transparency alone is insufficient to encourage patients to price-shop; evidence suggests only modest changes in patient behaviour.</w:t>
            </w:r>
          </w:p>
          <w:p w14:paraId="14B38313" w14:textId="77777777" w:rsidR="004868E3" w:rsidRPr="000C0CE1" w:rsidRDefault="004868E3" w:rsidP="004868E3">
            <w:pPr>
              <w:pStyle w:val="Table"/>
              <w:numPr>
                <w:ilvl w:val="0"/>
                <w:numId w:val="1"/>
              </w:numPr>
              <w:ind w:left="313" w:hanging="284"/>
            </w:pPr>
            <w:r w:rsidRPr="000C0CE1">
              <w:t>Combining transparency with targeted consumer incentives can lead to widespread price-shopping.</w:t>
            </w:r>
          </w:p>
          <w:p w14:paraId="45B82374" w14:textId="5A3B40A0" w:rsidR="004868E3" w:rsidRPr="002F0C47" w:rsidRDefault="004868E3" w:rsidP="004868E3">
            <w:pPr>
              <w:pStyle w:val="Table"/>
              <w:numPr>
                <w:ilvl w:val="0"/>
                <w:numId w:val="1"/>
              </w:numPr>
              <w:ind w:left="313" w:hanging="284"/>
            </w:pPr>
            <w:r w:rsidRPr="000C0CE1">
              <w:t xml:space="preserve">In combination with tangible financial incentive, </w:t>
            </w:r>
            <w:r w:rsidR="00983302">
              <w:t>MP</w:t>
            </w:r>
            <w:r w:rsidRPr="000C0CE1">
              <w:t xml:space="preserve"> spending can be redu</w:t>
            </w:r>
            <w:r w:rsidRPr="002F0C47">
              <w:rPr>
                <w:rFonts w:ascii="Aptos" w:eastAsia="Aptos" w:hAnsi="Aptos" w:cs="Aptos"/>
                <w:lang w:val="en-US"/>
              </w:rPr>
              <w:t>ced.</w:t>
            </w:r>
          </w:p>
        </w:tc>
      </w:tr>
    </w:tbl>
    <w:p w14:paraId="7E3FAC5D" w14:textId="77777777" w:rsidR="00CE3193" w:rsidRPr="003E33B6" w:rsidRDefault="00CE3193" w:rsidP="00CE3193">
      <w:pPr>
        <w:pStyle w:val="Caption"/>
        <w:spacing w:after="0"/>
        <w:rPr>
          <w:i w:val="0"/>
          <w:iCs w:val="0"/>
          <w:lang w:val="en-GB"/>
        </w:rPr>
      </w:pPr>
      <w:r w:rsidRPr="003E33B6">
        <w:rPr>
          <w:i w:val="0"/>
          <w:iCs w:val="0"/>
          <w:vertAlign w:val="superscript"/>
          <w:lang w:val="en-GB"/>
        </w:rPr>
        <w:t>1</w:t>
      </w:r>
      <w:r w:rsidRPr="003E33B6">
        <w:rPr>
          <w:i w:val="0"/>
          <w:iCs w:val="0"/>
          <w:lang w:val="en-GB"/>
        </w:rPr>
        <w:t>.Types of impacts of pricing policies are grouped into affordability, availability, equity, sustainability, and other.</w:t>
      </w:r>
      <w:r w:rsidRPr="003E33B6">
        <w:rPr>
          <w:i w:val="0"/>
          <w:iCs w:val="0"/>
          <w:lang w:val="en-GB"/>
        </w:rPr>
        <w:br/>
      </w:r>
      <w:r w:rsidRPr="003E33B6">
        <w:rPr>
          <w:i w:val="0"/>
          <w:iCs w:val="0"/>
          <w:vertAlign w:val="superscript"/>
          <w:lang w:val="en-GB"/>
        </w:rPr>
        <w:t>2</w:t>
      </w:r>
      <w:r w:rsidRPr="003E33B6">
        <w:rPr>
          <w:i w:val="0"/>
          <w:iCs w:val="0"/>
          <w:lang w:val="en-GB"/>
        </w:rPr>
        <w:t xml:space="preserve"> Advantages/disadvantages of pricing policies are grouped into acceptability, resource use, and feasibility.</w:t>
      </w:r>
    </w:p>
    <w:p w14:paraId="6BC46564" w14:textId="1A5BED1D" w:rsidR="00CE3193" w:rsidRPr="003E33B6" w:rsidRDefault="00CE3193" w:rsidP="00CE3193">
      <w:pPr>
        <w:pStyle w:val="Caption"/>
        <w:spacing w:after="0"/>
        <w:rPr>
          <w:i w:val="0"/>
          <w:iCs w:val="0"/>
          <w:lang w:val="en-GB"/>
        </w:rPr>
      </w:pPr>
      <w:r w:rsidRPr="003E33B6">
        <w:rPr>
          <w:i w:val="0"/>
          <w:iCs w:val="0"/>
          <w:lang w:val="en-GB"/>
        </w:rPr>
        <w:t xml:space="preserve">Abbreviations: ATC, anatomical therapeutic chemical; MEA, managed entry agreement; </w:t>
      </w:r>
      <w:r w:rsidR="00983302">
        <w:rPr>
          <w:i w:val="0"/>
          <w:iCs w:val="0"/>
          <w:lang w:val="en-GB"/>
        </w:rPr>
        <w:t xml:space="preserve">MP, medicinal product; </w:t>
      </w:r>
      <w:r w:rsidRPr="003E33B6">
        <w:rPr>
          <w:i w:val="0"/>
          <w:iCs w:val="0"/>
          <w:lang w:val="en-GB"/>
        </w:rPr>
        <w:t xml:space="preserve">NA, not available / not applicable; OOP, out of pocket; </w:t>
      </w:r>
      <w:r>
        <w:rPr>
          <w:i w:val="0"/>
          <w:iCs w:val="0"/>
          <w:lang w:val="en-GB"/>
        </w:rPr>
        <w:t xml:space="preserve">pCPA, </w:t>
      </w:r>
      <w:r w:rsidR="008E6471">
        <w:rPr>
          <w:i w:val="0"/>
          <w:iCs w:val="0"/>
          <w:lang w:val="en-GB"/>
        </w:rPr>
        <w:t>Pan-Canadian Pharmaceutical Alliance</w:t>
      </w:r>
      <w:r>
        <w:rPr>
          <w:i w:val="0"/>
          <w:iCs w:val="0"/>
          <w:lang w:val="en-GB"/>
        </w:rPr>
        <w:t xml:space="preserve">; </w:t>
      </w:r>
      <w:r w:rsidRPr="003E33B6">
        <w:rPr>
          <w:i w:val="0"/>
          <w:iCs w:val="0"/>
          <w:lang w:val="en-GB"/>
        </w:rPr>
        <w:t>R&amp;D, research and development; US$, U</w:t>
      </w:r>
      <w:r w:rsidR="00382AC8">
        <w:rPr>
          <w:i w:val="0"/>
          <w:iCs w:val="0"/>
          <w:lang w:val="en-GB"/>
        </w:rPr>
        <w:t>nited States</w:t>
      </w:r>
      <w:r w:rsidRPr="003E33B6">
        <w:rPr>
          <w:i w:val="0"/>
          <w:iCs w:val="0"/>
          <w:lang w:val="en-GB"/>
        </w:rPr>
        <w:t xml:space="preserve"> Dollar</w:t>
      </w:r>
      <w:r w:rsidR="00FD78EF">
        <w:rPr>
          <w:i w:val="0"/>
          <w:iCs w:val="0"/>
          <w:lang w:val="en-GB"/>
        </w:rPr>
        <w:t>, VIP, value-informed pricing</w:t>
      </w:r>
      <w:r w:rsidRPr="003E33B6">
        <w:rPr>
          <w:i w:val="0"/>
          <w:iCs w:val="0"/>
          <w:lang w:val="en-GB"/>
        </w:rPr>
        <w:t>.</w:t>
      </w:r>
      <w:r w:rsidRPr="003E33B6">
        <w:rPr>
          <w:i w:val="0"/>
          <w:iCs w:val="0"/>
          <w:lang w:val="en-GB"/>
        </w:rPr>
        <w:br/>
        <w:t>Country abbreviations: CA, Canada; CH, Switzerland; DE, Germany; ES, Spain; FR, France; IT, Italy; KR, South Korea; MX, Mexico; SE, Sweden; SK, Slovakia; UK, United Kingdom; US, United States.</w:t>
      </w:r>
    </w:p>
    <w:p w14:paraId="38951CE8" w14:textId="77777777" w:rsidR="00314FB7" w:rsidRPr="00314FB7" w:rsidRDefault="00314FB7" w:rsidP="00314FB7">
      <w:pPr>
        <w:rPr>
          <w:lang w:val="en-GB"/>
        </w:rPr>
      </w:pPr>
    </w:p>
    <w:sectPr w:rsidR="00314FB7" w:rsidRPr="00314FB7" w:rsidSect="00314FB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400DA" w14:textId="77777777" w:rsidR="00F44D96" w:rsidRDefault="00F44D96" w:rsidP="00EF56D4">
      <w:r>
        <w:separator/>
      </w:r>
    </w:p>
  </w:endnote>
  <w:endnote w:type="continuationSeparator" w:id="0">
    <w:p w14:paraId="6D626E52" w14:textId="77777777" w:rsidR="00F44D96" w:rsidRDefault="00F44D96" w:rsidP="00EF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attrocento Sans">
    <w:panose1 w:val="020B0502050000020003"/>
    <w:charset w:val="00"/>
    <w:family w:val="swiss"/>
    <w:pitch w:val="variable"/>
    <w:sig w:usb0="800000BF" w:usb1="4000005B"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5795232"/>
      <w:docPartObj>
        <w:docPartGallery w:val="Page Numbers (Bottom of Page)"/>
        <w:docPartUnique/>
      </w:docPartObj>
    </w:sdtPr>
    <w:sdtContent>
      <w:p w14:paraId="5DB3FEC0" w14:textId="21DC33AE" w:rsidR="00EF56D4" w:rsidRDefault="00EF56D4" w:rsidP="00EB7E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164723" w14:textId="77777777" w:rsidR="00EF56D4" w:rsidRDefault="00EF56D4" w:rsidP="00EF56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6911651"/>
      <w:docPartObj>
        <w:docPartGallery w:val="Page Numbers (Bottom of Page)"/>
        <w:docPartUnique/>
      </w:docPartObj>
    </w:sdtPr>
    <w:sdtContent>
      <w:p w14:paraId="0127BD04" w14:textId="49E74102" w:rsidR="00EF56D4" w:rsidRDefault="00EF56D4" w:rsidP="00EB7E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7A1941" w14:textId="77777777" w:rsidR="00EF56D4" w:rsidRDefault="00EF56D4" w:rsidP="00EF56D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AD18" w14:textId="77777777" w:rsidR="00F124BD" w:rsidRDefault="00F1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F82CA" w14:textId="77777777" w:rsidR="00F44D96" w:rsidRDefault="00F44D96" w:rsidP="00EF56D4">
      <w:r>
        <w:separator/>
      </w:r>
    </w:p>
  </w:footnote>
  <w:footnote w:type="continuationSeparator" w:id="0">
    <w:p w14:paraId="655BF08B" w14:textId="77777777" w:rsidR="00F44D96" w:rsidRDefault="00F44D96" w:rsidP="00EF5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9A3A" w14:textId="77777777" w:rsidR="00F124BD" w:rsidRDefault="00F124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9026" w14:textId="77777777" w:rsidR="00F124BD" w:rsidRPr="001740AD" w:rsidRDefault="00F124BD" w:rsidP="00F124BD">
    <w:pPr>
      <w:pStyle w:val="Header"/>
      <w:rPr>
        <w:sz w:val="16"/>
        <w:szCs w:val="16"/>
        <w:lang w:val="en-GB"/>
      </w:rPr>
    </w:pPr>
    <w:r w:rsidRPr="001740AD">
      <w:rPr>
        <w:sz w:val="16"/>
        <w:szCs w:val="16"/>
        <w:lang w:val="en-GB"/>
      </w:rPr>
      <w:t>Price Determinants and Pricing Policies Concerning Potentially Innovative Health Technologies: A Scoping Review</w:t>
    </w:r>
  </w:p>
  <w:p w14:paraId="3F7EBF3F" w14:textId="77777777" w:rsidR="00F124BD" w:rsidRDefault="00F124BD" w:rsidP="00F124BD">
    <w:pPr>
      <w:pStyle w:val="Header"/>
      <w:rPr>
        <w:sz w:val="16"/>
        <w:szCs w:val="16"/>
        <w:lang w:val="en-US"/>
      </w:rPr>
    </w:pPr>
    <w:r w:rsidRPr="001740AD">
      <w:rPr>
        <w:sz w:val="16"/>
        <w:szCs w:val="16"/>
        <w:lang w:val="en-US"/>
      </w:rPr>
      <w:t xml:space="preserve">Nicolas Xander (Erasmus School of Health Policy &amp; Management, Erasmus University Rotterdam), </w:t>
    </w:r>
    <w:r>
      <w:rPr>
        <w:sz w:val="16"/>
        <w:szCs w:val="16"/>
        <w:lang w:val="en-US"/>
      </w:rPr>
      <w:t>Tom Belleman, Maximilian Salcher-Konrad, Anne Hendrickx, Jeffrey Chen, Anne-Sophie Klein Gebbink, Peter Schneider, Kate Morgan, Oliver Groene, Isabelle Durand-Zaleski, Frederick Thielen, Carin A. Uyl-de Groot</w:t>
    </w:r>
  </w:p>
  <w:p w14:paraId="7C7BABA0" w14:textId="77777777" w:rsidR="00F124BD" w:rsidRDefault="00F124BD" w:rsidP="00F124BD">
    <w:pPr>
      <w:pStyle w:val="Header"/>
      <w:rPr>
        <w:sz w:val="16"/>
        <w:szCs w:val="16"/>
        <w:lang w:val="en-US"/>
      </w:rPr>
    </w:pPr>
    <w:r>
      <w:rPr>
        <w:sz w:val="16"/>
        <w:szCs w:val="16"/>
        <w:lang w:val="en-US"/>
      </w:rPr>
      <w:t>European Journal of Health Economics</w:t>
    </w:r>
  </w:p>
  <w:p w14:paraId="2F740DDD" w14:textId="77777777" w:rsidR="00F124BD" w:rsidRPr="001740AD" w:rsidRDefault="00F124BD" w:rsidP="00F124BD">
    <w:pPr>
      <w:pStyle w:val="Header"/>
      <w:rPr>
        <w:sz w:val="16"/>
        <w:szCs w:val="16"/>
        <w:lang w:val="en-US"/>
      </w:rPr>
    </w:pPr>
    <w:r>
      <w:rPr>
        <w:sz w:val="16"/>
        <w:szCs w:val="16"/>
        <w:lang w:val="en-US"/>
      </w:rPr>
      <w:t>Contact: xander@eshpm.eur.nl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7EE8D" w14:textId="77777777" w:rsidR="00F124BD" w:rsidRDefault="00F12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162B2"/>
    <w:multiLevelType w:val="hybridMultilevel"/>
    <w:tmpl w:val="0C464DA4"/>
    <w:lvl w:ilvl="0" w:tplc="DEFAB6B0">
      <w:start w:val="12"/>
      <w:numFmt w:val="bullet"/>
      <w:lvlText w:val="-"/>
      <w:lvlJc w:val="left"/>
      <w:pPr>
        <w:ind w:left="720" w:hanging="360"/>
      </w:pPr>
      <w:rPr>
        <w:rFonts w:ascii="Quattrocento Sans" w:eastAsia="Quattrocento Sans" w:hAnsi="Quattrocento Sans" w:cs="Quattrocen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7C1146"/>
    <w:multiLevelType w:val="hybridMultilevel"/>
    <w:tmpl w:val="BD3ACE0E"/>
    <w:lvl w:ilvl="0" w:tplc="913409FA">
      <w:start w:val="12"/>
      <w:numFmt w:val="bullet"/>
      <w:lvlText w:val="-"/>
      <w:lvlJc w:val="left"/>
      <w:pPr>
        <w:ind w:left="1494" w:hanging="360"/>
      </w:pPr>
      <w:rPr>
        <w:rFonts w:ascii="Quattrocento Sans" w:eastAsia="Quattrocento Sans" w:hAnsi="Quattrocento Sans" w:cs="Quattrocento Sa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6977FA"/>
    <w:multiLevelType w:val="hybridMultilevel"/>
    <w:tmpl w:val="27901A1E"/>
    <w:lvl w:ilvl="0" w:tplc="DEFAB6B0">
      <w:start w:val="12"/>
      <w:numFmt w:val="bullet"/>
      <w:lvlText w:val="-"/>
      <w:lvlJc w:val="left"/>
      <w:pPr>
        <w:ind w:left="720" w:hanging="360"/>
      </w:pPr>
      <w:rPr>
        <w:rFonts w:ascii="Quattrocento Sans" w:eastAsia="Quattrocento Sans" w:hAnsi="Quattrocento Sans" w:cs="Quattrocen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2544D7"/>
    <w:multiLevelType w:val="hybridMultilevel"/>
    <w:tmpl w:val="5FCEDAE8"/>
    <w:lvl w:ilvl="0" w:tplc="DEFAB6B0">
      <w:start w:val="12"/>
      <w:numFmt w:val="bullet"/>
      <w:lvlText w:val="-"/>
      <w:lvlJc w:val="left"/>
      <w:pPr>
        <w:ind w:left="720" w:hanging="360"/>
      </w:pPr>
      <w:rPr>
        <w:rFonts w:ascii="Quattrocento Sans" w:eastAsia="Quattrocento Sans" w:hAnsi="Quattrocento Sans" w:cs="Quattrocen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496795"/>
    <w:multiLevelType w:val="hybridMultilevel"/>
    <w:tmpl w:val="1E342E56"/>
    <w:lvl w:ilvl="0" w:tplc="DEFAB6B0">
      <w:start w:val="12"/>
      <w:numFmt w:val="bullet"/>
      <w:lvlText w:val="-"/>
      <w:lvlJc w:val="left"/>
      <w:pPr>
        <w:ind w:left="720" w:hanging="360"/>
      </w:pPr>
      <w:rPr>
        <w:rFonts w:ascii="Quattrocento Sans" w:eastAsia="Quattrocento Sans" w:hAnsi="Quattrocento Sans" w:cs="Quattrocen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3908283">
    <w:abstractNumId w:val="1"/>
  </w:num>
  <w:num w:numId="2" w16cid:durableId="2027054215">
    <w:abstractNumId w:val="4"/>
  </w:num>
  <w:num w:numId="3" w16cid:durableId="264462210">
    <w:abstractNumId w:val="3"/>
  </w:num>
  <w:num w:numId="4" w16cid:durableId="163209546">
    <w:abstractNumId w:val="0"/>
  </w:num>
  <w:num w:numId="5" w16cid:durableId="90514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E7"/>
    <w:rsid w:val="000B6946"/>
    <w:rsid w:val="000E1E72"/>
    <w:rsid w:val="000F3D3A"/>
    <w:rsid w:val="000F4B91"/>
    <w:rsid w:val="0013475D"/>
    <w:rsid w:val="001637DE"/>
    <w:rsid w:val="0017060F"/>
    <w:rsid w:val="002347E0"/>
    <w:rsid w:val="00243E2D"/>
    <w:rsid w:val="00254793"/>
    <w:rsid w:val="00296211"/>
    <w:rsid w:val="003008B2"/>
    <w:rsid w:val="00314FB7"/>
    <w:rsid w:val="00374F25"/>
    <w:rsid w:val="00382AC8"/>
    <w:rsid w:val="003A1922"/>
    <w:rsid w:val="004403A6"/>
    <w:rsid w:val="004868E3"/>
    <w:rsid w:val="004C675B"/>
    <w:rsid w:val="00576487"/>
    <w:rsid w:val="00583411"/>
    <w:rsid w:val="0058788F"/>
    <w:rsid w:val="00661349"/>
    <w:rsid w:val="006F060C"/>
    <w:rsid w:val="00701D80"/>
    <w:rsid w:val="00721F26"/>
    <w:rsid w:val="007A46E7"/>
    <w:rsid w:val="007D4AE7"/>
    <w:rsid w:val="008A6379"/>
    <w:rsid w:val="008E2C9A"/>
    <w:rsid w:val="008E6471"/>
    <w:rsid w:val="0090645A"/>
    <w:rsid w:val="00983302"/>
    <w:rsid w:val="009C0277"/>
    <w:rsid w:val="009C1403"/>
    <w:rsid w:val="009D3997"/>
    <w:rsid w:val="009E6131"/>
    <w:rsid w:val="00A010E6"/>
    <w:rsid w:val="00AD0AEC"/>
    <w:rsid w:val="00B01887"/>
    <w:rsid w:val="00B05B12"/>
    <w:rsid w:val="00B46256"/>
    <w:rsid w:val="00BF4360"/>
    <w:rsid w:val="00C2274F"/>
    <w:rsid w:val="00C46387"/>
    <w:rsid w:val="00C70EB2"/>
    <w:rsid w:val="00CA3249"/>
    <w:rsid w:val="00CE3193"/>
    <w:rsid w:val="00E0091F"/>
    <w:rsid w:val="00E274F1"/>
    <w:rsid w:val="00EF56D4"/>
    <w:rsid w:val="00F124BD"/>
    <w:rsid w:val="00F25F69"/>
    <w:rsid w:val="00F44D96"/>
    <w:rsid w:val="00F92B80"/>
    <w:rsid w:val="00F947BB"/>
    <w:rsid w:val="00FA5814"/>
    <w:rsid w:val="00FA6478"/>
    <w:rsid w:val="00FD78EF"/>
    <w:rsid w:val="00FF4221"/>
  </w:rsids>
  <m:mathPr>
    <m:mathFont m:val="Cambria Math"/>
    <m:brkBin m:val="before"/>
    <m:brkBinSub m:val="--"/>
    <m:smallFrac m:val="0"/>
    <m:dispDef/>
    <m:lMargin m:val="0"/>
    <m:rMargin m:val="0"/>
    <m:defJc m:val="centerGroup"/>
    <m:wrapIndent m:val="1440"/>
    <m:intLim m:val="subSup"/>
    <m:naryLim m:val="undOvr"/>
  </m:mathPr>
  <w:themeFontLang w:val="en-NL"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4305560"/>
  <w15:chartTrackingRefBased/>
  <w15:docId w15:val="{23B642BD-83C1-8E44-B538-0554CEF7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Times New Roman (Body CS)"/>
        <w:kern w:val="2"/>
        <w:sz w:val="22"/>
        <w:szCs w:val="24"/>
        <w:lang w:val="en-NL"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6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6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6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A46E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A46E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46E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46E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46E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6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6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6E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6E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A46E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A46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46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46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46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46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6E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6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46E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46E7"/>
    <w:rPr>
      <w:i/>
      <w:iCs/>
      <w:color w:val="404040" w:themeColor="text1" w:themeTint="BF"/>
    </w:rPr>
  </w:style>
  <w:style w:type="paragraph" w:styleId="ListParagraph">
    <w:name w:val="List Paragraph"/>
    <w:basedOn w:val="Normal"/>
    <w:uiPriority w:val="34"/>
    <w:qFormat/>
    <w:rsid w:val="007A46E7"/>
    <w:pPr>
      <w:ind w:left="720"/>
      <w:contextualSpacing/>
    </w:pPr>
  </w:style>
  <w:style w:type="character" w:styleId="IntenseEmphasis">
    <w:name w:val="Intense Emphasis"/>
    <w:basedOn w:val="DefaultParagraphFont"/>
    <w:uiPriority w:val="21"/>
    <w:qFormat/>
    <w:rsid w:val="007A46E7"/>
    <w:rPr>
      <w:i/>
      <w:iCs/>
      <w:color w:val="0F4761" w:themeColor="accent1" w:themeShade="BF"/>
    </w:rPr>
  </w:style>
  <w:style w:type="paragraph" w:styleId="IntenseQuote">
    <w:name w:val="Intense Quote"/>
    <w:basedOn w:val="Normal"/>
    <w:next w:val="Normal"/>
    <w:link w:val="IntenseQuoteChar"/>
    <w:uiPriority w:val="30"/>
    <w:qFormat/>
    <w:rsid w:val="007A4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6E7"/>
    <w:rPr>
      <w:i/>
      <w:iCs/>
      <w:color w:val="0F4761" w:themeColor="accent1" w:themeShade="BF"/>
    </w:rPr>
  </w:style>
  <w:style w:type="character" w:styleId="IntenseReference">
    <w:name w:val="Intense Reference"/>
    <w:basedOn w:val="DefaultParagraphFont"/>
    <w:uiPriority w:val="32"/>
    <w:qFormat/>
    <w:rsid w:val="007A46E7"/>
    <w:rPr>
      <w:b/>
      <w:bCs/>
      <w:smallCaps/>
      <w:color w:val="0F4761" w:themeColor="accent1" w:themeShade="BF"/>
      <w:spacing w:val="5"/>
    </w:rPr>
  </w:style>
  <w:style w:type="paragraph" w:styleId="Caption">
    <w:name w:val="caption"/>
    <w:basedOn w:val="Normal"/>
    <w:next w:val="Normal"/>
    <w:uiPriority w:val="35"/>
    <w:unhideWhenUsed/>
    <w:qFormat/>
    <w:rsid w:val="000E1E72"/>
    <w:pPr>
      <w:spacing w:after="200"/>
    </w:pPr>
    <w:rPr>
      <w:rFonts w:eastAsia="Yu Gothic"/>
      <w:i/>
      <w:iCs/>
      <w:color w:val="0E2841" w:themeColor="text2"/>
      <w:sz w:val="18"/>
      <w:szCs w:val="18"/>
      <w:lang w:val="en-US"/>
    </w:rPr>
  </w:style>
  <w:style w:type="table" w:styleId="TableGrid">
    <w:name w:val="Table Grid"/>
    <w:basedOn w:val="TableNormal"/>
    <w:uiPriority w:val="39"/>
    <w:rsid w:val="000E1E72"/>
    <w:rPr>
      <w:rFonts w:ascii="Quattrocento Sans" w:eastAsia="SimSun" w:hAnsi="Quattrocento Sans" w:cs="Quattrocento Sans"/>
      <w:kern w:val="0"/>
      <w:szCs w:val="22"/>
      <w:lang w:val="en-GB"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ListParagraph"/>
    <w:qFormat/>
    <w:rsid w:val="000E1E72"/>
    <w:pPr>
      <w:ind w:left="0"/>
    </w:pPr>
    <w:rPr>
      <w:rFonts w:asciiTheme="minorHAnsi" w:eastAsia="SimSun" w:hAnsiTheme="minorHAnsi" w:cs="Quattrocento Sans"/>
      <w:kern w:val="0"/>
      <w:sz w:val="18"/>
      <w:szCs w:val="18"/>
      <w:lang w:val="en-GB" w:eastAsia="zh-CN"/>
      <w14:ligatures w14:val="none"/>
    </w:rPr>
  </w:style>
  <w:style w:type="paragraph" w:styleId="Footer">
    <w:name w:val="footer"/>
    <w:basedOn w:val="Normal"/>
    <w:link w:val="FooterChar"/>
    <w:uiPriority w:val="99"/>
    <w:unhideWhenUsed/>
    <w:rsid w:val="00EF56D4"/>
    <w:pPr>
      <w:tabs>
        <w:tab w:val="center" w:pos="4513"/>
        <w:tab w:val="right" w:pos="9026"/>
      </w:tabs>
    </w:pPr>
  </w:style>
  <w:style w:type="character" w:customStyle="1" w:styleId="FooterChar">
    <w:name w:val="Footer Char"/>
    <w:basedOn w:val="DefaultParagraphFont"/>
    <w:link w:val="Footer"/>
    <w:uiPriority w:val="99"/>
    <w:rsid w:val="00EF56D4"/>
  </w:style>
  <w:style w:type="character" w:styleId="PageNumber">
    <w:name w:val="page number"/>
    <w:basedOn w:val="DefaultParagraphFont"/>
    <w:uiPriority w:val="99"/>
    <w:semiHidden/>
    <w:unhideWhenUsed/>
    <w:rsid w:val="00EF56D4"/>
  </w:style>
  <w:style w:type="paragraph" w:styleId="Header">
    <w:name w:val="header"/>
    <w:basedOn w:val="Normal"/>
    <w:link w:val="HeaderChar"/>
    <w:uiPriority w:val="99"/>
    <w:unhideWhenUsed/>
    <w:rsid w:val="00F124BD"/>
    <w:pPr>
      <w:tabs>
        <w:tab w:val="center" w:pos="4513"/>
        <w:tab w:val="right" w:pos="9026"/>
      </w:tabs>
    </w:pPr>
  </w:style>
  <w:style w:type="character" w:customStyle="1" w:styleId="HeaderChar">
    <w:name w:val="Header Char"/>
    <w:basedOn w:val="DefaultParagraphFont"/>
    <w:link w:val="Header"/>
    <w:uiPriority w:val="99"/>
    <w:rsid w:val="00F12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8082</Words>
  <Characters>46071</Characters>
  <Application>Microsoft Office Word</Application>
  <DocSecurity>0</DocSecurity>
  <Lines>383</Lines>
  <Paragraphs>108</Paragraphs>
  <ScaleCrop>false</ScaleCrop>
  <Company/>
  <LinksUpToDate>false</LinksUpToDate>
  <CharactersWithSpaces>54045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Xander</dc:creator>
  <cp:keywords/>
  <dc:description/>
  <cp:lastModifiedBy>Nicolas Xander</cp:lastModifiedBy>
  <cp:revision>3</cp:revision>
  <cp:lastPrinted>2025-07-03T13:30:00Z</cp:lastPrinted>
  <dcterms:created xsi:type="dcterms:W3CDTF">2025-07-03T13:30:00Z</dcterms:created>
  <dcterms:modified xsi:type="dcterms:W3CDTF">2025-07-03T13:30:00Z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2024-08-27T15:09:18Z</vt:lpwstr>
  </property>
  <property fmtid="{D5CDD505-2E9C-101B-9397-08002B2CF9AE}" pid="4" name="MSIP_Label_8772ba27-cab8-4042-a351-a31f6e4eacdc_Method">
    <vt:lpwstr>Privileged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fe335554-626f-4ac3-a72a-0630ddff3f0f</vt:lpwstr>
  </property>
  <property fmtid="{D5CDD505-2E9C-101B-9397-08002B2CF9AE}" pid="8" name="MSIP_Label_8772ba27-cab8-4042-a351-a31f6e4eacdc_ContentBits">
    <vt:lpwstr>0</vt:lpwstr>
  </property>
</Properties>
</file>