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1FF" w:rsidRPr="00B471FF" w:rsidRDefault="00B471FF" w:rsidP="00B471FF">
      <w:pPr>
        <w:tabs>
          <w:tab w:val="left" w:pos="1080"/>
        </w:tabs>
        <w:spacing w:before="240" w:after="0" w:line="36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B471FF">
        <w:rPr>
          <w:rFonts w:ascii="Arial" w:eastAsia="Calibri" w:hAnsi="Arial" w:cs="Arial"/>
          <w:b/>
          <w:sz w:val="24"/>
          <w:szCs w:val="24"/>
          <w:lang w:val="en-US"/>
        </w:rPr>
        <w:t>Supplementary Table 6</w:t>
      </w:r>
      <w:r w:rsidRPr="00B471FF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r w:rsidRPr="00B471FF">
        <w:rPr>
          <w:rFonts w:ascii="Arial" w:eastAsia="Calibri" w:hAnsi="Arial" w:cs="Arial"/>
          <w:bCs/>
          <w:sz w:val="24"/>
          <w:szCs w:val="24"/>
          <w:lang w:val="en-US"/>
        </w:rPr>
        <w:t xml:space="preserve">Regression analysis for </w:t>
      </w:r>
      <w:r w:rsidRPr="00B471FF">
        <w:rPr>
          <w:rFonts w:ascii="Arial" w:eastAsia="Calibri" w:hAnsi="Arial" w:cs="Arial"/>
          <w:sz w:val="24"/>
          <w:szCs w:val="24"/>
          <w:lang w:val="en-US"/>
        </w:rPr>
        <w:t>costs due to upper endoscopies, and for direct total healthcare costs (in €, year 2018) depending on patient characteristics identified in the univariate analysis, and including one outlier.</w:t>
      </w:r>
    </w:p>
    <w:tbl>
      <w:tblPr>
        <w:tblStyle w:val="Tablaconcuadrcula"/>
        <w:tblW w:w="4921" w:type="pct"/>
        <w:tblLayout w:type="fixed"/>
        <w:tblLook w:val="04A0" w:firstRow="1" w:lastRow="0" w:firstColumn="1" w:lastColumn="0" w:noHBand="0" w:noVBand="1"/>
      </w:tblPr>
      <w:tblGrid>
        <w:gridCol w:w="2826"/>
        <w:gridCol w:w="1383"/>
        <w:gridCol w:w="1384"/>
        <w:gridCol w:w="1384"/>
        <w:gridCol w:w="1383"/>
      </w:tblGrid>
      <w:tr w:rsidR="00B471FF" w:rsidRPr="00B471FF" w:rsidTr="00307AD0">
        <w:trPr>
          <w:trHeight w:val="160"/>
        </w:trPr>
        <w:tc>
          <w:tcPr>
            <w:tcW w:w="1690" w:type="pct"/>
            <w:noWrap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B471FF">
              <w:rPr>
                <w:rFonts w:ascii="Arial" w:eastAsia="Calibri" w:hAnsi="Arial" w:cs="Arial"/>
                <w:b/>
                <w:bCs/>
                <w:lang w:val="en-GB"/>
              </w:rPr>
              <w:t>Dependent variable</w:t>
            </w:r>
          </w:p>
        </w:tc>
        <w:tc>
          <w:tcPr>
            <w:tcW w:w="3310" w:type="pct"/>
            <w:gridSpan w:val="4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Arial" w:hAnsi="Arial" w:cs="Arial"/>
                <w:b/>
                <w:bCs/>
                <w:lang w:val="en-US"/>
              </w:rPr>
              <w:t>Endoscopy costs</w:t>
            </w:r>
          </w:p>
        </w:tc>
      </w:tr>
      <w:tr w:rsidR="00B471FF" w:rsidRPr="00B471FF" w:rsidTr="00307AD0">
        <w:trPr>
          <w:trHeight w:val="51"/>
        </w:trPr>
        <w:tc>
          <w:tcPr>
            <w:tcW w:w="1690" w:type="pct"/>
            <w:noWrap/>
            <w:vAlign w:val="center"/>
            <w:hideMark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Independent variable(s)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Model 1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Model 2</w:t>
            </w:r>
          </w:p>
        </w:tc>
        <w:tc>
          <w:tcPr>
            <w:tcW w:w="828" w:type="pct"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Model 3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Model 4</w:t>
            </w:r>
          </w:p>
        </w:tc>
      </w:tr>
      <w:tr w:rsidR="00B471FF" w:rsidRPr="00B471FF" w:rsidTr="00307AD0">
        <w:trPr>
          <w:trHeight w:val="210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Adult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–385.43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(84.35)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–397.66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(84.72)</w:t>
            </w:r>
          </w:p>
        </w:tc>
        <w:tc>
          <w:tcPr>
            <w:tcW w:w="828" w:type="pct"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–350.85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(84.96)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–348.72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(87.64)</w:t>
            </w:r>
          </w:p>
        </w:tc>
      </w:tr>
      <w:tr w:rsidR="00B471FF" w:rsidRPr="00B471FF" w:rsidTr="00307AD0">
        <w:trPr>
          <w:trHeight w:val="300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Arial" w:hAnsi="Arial" w:cs="Arial"/>
                <w:lang w:val="en-US"/>
              </w:rPr>
              <w:t>EREFS score moderate/severe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</w:rPr>
            </w:pPr>
            <w:r w:rsidRPr="00B471FF">
              <w:rPr>
                <w:rFonts w:ascii="Arial" w:eastAsia="Calibri" w:hAnsi="Arial" w:cs="Arial"/>
              </w:rPr>
              <w:t>164.53</w:t>
            </w:r>
            <w:r w:rsidRPr="00B471FF">
              <w:rPr>
                <w:rFonts w:ascii="Arial" w:eastAsia="Calibri" w:hAnsi="Arial" w:cs="Arial"/>
                <w:vertAlign w:val="superscript"/>
              </w:rPr>
              <w:t>**</w:t>
            </w:r>
            <w:r w:rsidRPr="00B471FF">
              <w:rPr>
                <w:rFonts w:ascii="Arial" w:eastAsia="Calibri" w:hAnsi="Arial" w:cs="Arial"/>
              </w:rPr>
              <w:t xml:space="preserve"> (73.48)</w:t>
            </w:r>
          </w:p>
        </w:tc>
        <w:tc>
          <w:tcPr>
            <w:tcW w:w="828" w:type="pct"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162.02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 xml:space="preserve">** </w:t>
            </w:r>
            <w:r w:rsidRPr="00B471FF">
              <w:rPr>
                <w:rFonts w:ascii="Arial" w:eastAsia="Calibri" w:hAnsi="Arial" w:cs="Arial"/>
                <w:lang w:val="en-GB"/>
              </w:rPr>
              <w:t>(72.47)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109.65</w:t>
            </w:r>
            <w:r w:rsidRPr="00B471FF">
              <w:rPr>
                <w:rFonts w:ascii="Arial" w:eastAsia="Calibri" w:hAnsi="Arial" w:cs="Arial"/>
              </w:rPr>
              <w:t xml:space="preserve"> </w:t>
            </w:r>
            <w:r w:rsidRPr="00B471FF">
              <w:rPr>
                <w:rFonts w:ascii="Arial" w:eastAsia="Calibri" w:hAnsi="Arial" w:cs="Arial"/>
                <w:lang w:val="en-GB"/>
              </w:rPr>
              <w:t>(76.20)</w:t>
            </w:r>
          </w:p>
        </w:tc>
      </w:tr>
      <w:tr w:rsidR="00B471FF" w:rsidRPr="00B471FF" w:rsidTr="00307AD0">
        <w:trPr>
          <w:trHeight w:val="686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High volume site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198.92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(65.62)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174.01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(68.03)</w:t>
            </w:r>
          </w:p>
        </w:tc>
      </w:tr>
      <w:tr w:rsidR="00B471FF" w:rsidRPr="00B471FF" w:rsidTr="00307AD0">
        <w:trPr>
          <w:trHeight w:val="300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Arial" w:hAnsi="Arial" w:cs="Arial"/>
                <w:lang w:val="en-US"/>
              </w:rPr>
              <w:t>CHR after first treatment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–256.16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 xml:space="preserve">*** </w:t>
            </w:r>
            <w:r w:rsidRPr="00B471FF">
              <w:rPr>
                <w:rFonts w:ascii="Arial" w:eastAsia="Calibri" w:hAnsi="Arial" w:cs="Arial"/>
                <w:lang w:val="en-GB"/>
              </w:rPr>
              <w:t>(68.23)</w:t>
            </w:r>
          </w:p>
        </w:tc>
      </w:tr>
      <w:tr w:rsidR="00B471FF" w:rsidRPr="00B471FF" w:rsidTr="00307AD0">
        <w:trPr>
          <w:trHeight w:val="69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N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302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293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293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271</w:t>
            </w:r>
          </w:p>
        </w:tc>
      </w:tr>
      <w:tr w:rsidR="00B471FF" w:rsidRPr="00B471FF" w:rsidTr="00307AD0">
        <w:trPr>
          <w:trHeight w:val="41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F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20.88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13.9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12.59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11.13</w:t>
            </w:r>
          </w:p>
        </w:tc>
      </w:tr>
      <w:tr w:rsidR="00B471FF" w:rsidRPr="00B471FF" w:rsidTr="00307AD0">
        <w:trPr>
          <w:trHeight w:val="300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R2 adjusted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0.06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0.08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0.11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0.13</w:t>
            </w:r>
          </w:p>
        </w:tc>
      </w:tr>
      <w:tr w:rsidR="00B471FF" w:rsidRPr="00B471FF" w:rsidTr="00307AD0">
        <w:trPr>
          <w:trHeight w:val="41"/>
        </w:trPr>
        <w:tc>
          <w:tcPr>
            <w:tcW w:w="1690" w:type="pct"/>
            <w:noWrap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B471FF">
              <w:rPr>
                <w:rFonts w:ascii="Arial" w:eastAsia="Calibri" w:hAnsi="Arial" w:cs="Arial"/>
                <w:b/>
                <w:bCs/>
                <w:lang w:val="en-GB"/>
              </w:rPr>
              <w:t>Dependent variable</w:t>
            </w:r>
          </w:p>
        </w:tc>
        <w:tc>
          <w:tcPr>
            <w:tcW w:w="3310" w:type="pct"/>
            <w:gridSpan w:val="4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b/>
                <w:bCs/>
                <w:lang w:val="en-GB"/>
              </w:rPr>
              <w:t>Total healthcare costs</w:t>
            </w:r>
          </w:p>
        </w:tc>
      </w:tr>
      <w:tr w:rsidR="00B471FF" w:rsidRPr="00B471FF" w:rsidTr="00307AD0">
        <w:trPr>
          <w:trHeight w:val="41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Independent variable(s)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Model 1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Model 2</w:t>
            </w:r>
          </w:p>
        </w:tc>
        <w:tc>
          <w:tcPr>
            <w:tcW w:w="828" w:type="pct"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Model 3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Model 4</w:t>
            </w:r>
          </w:p>
        </w:tc>
      </w:tr>
      <w:tr w:rsidR="00B471FF" w:rsidRPr="00B471FF" w:rsidTr="00307AD0">
        <w:trPr>
          <w:trHeight w:val="300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Adult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–317.22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(117.41)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–332.95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(119.13)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–287.91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(120.48)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–285.54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(124.46)</w:t>
            </w:r>
          </w:p>
        </w:tc>
      </w:tr>
      <w:tr w:rsidR="00B471FF" w:rsidRPr="00B471FF" w:rsidTr="00307AD0">
        <w:trPr>
          <w:trHeight w:val="300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Arial" w:hAnsi="Arial" w:cs="Arial"/>
                <w:lang w:val="en-US"/>
              </w:rPr>
              <w:t>EREFS score moderate/severe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175.01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(103.34)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172.60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(102.77)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95.10 (108.22)</w:t>
            </w:r>
          </w:p>
        </w:tc>
      </w:tr>
      <w:tr w:rsidR="00B471FF" w:rsidRPr="00B471FF" w:rsidTr="00307AD0">
        <w:trPr>
          <w:trHeight w:val="300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High volume site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191.38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(93.05)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162.50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(96.61)</w:t>
            </w:r>
          </w:p>
        </w:tc>
      </w:tr>
      <w:tr w:rsidR="00B471FF" w:rsidRPr="00B471FF" w:rsidTr="00307AD0">
        <w:trPr>
          <w:trHeight w:val="300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Arial" w:hAnsi="Arial" w:cs="Arial"/>
                <w:lang w:val="en-US"/>
              </w:rPr>
              <w:t>CHR after first treatment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828" w:type="pct"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–367.28</w:t>
            </w:r>
            <w:r w:rsidRPr="00B471FF">
              <w:rPr>
                <w:rFonts w:ascii="Arial" w:eastAsia="Calibri" w:hAnsi="Arial" w:cs="Arial"/>
                <w:vertAlign w:val="superscript"/>
                <w:lang w:val="en-GB"/>
              </w:rPr>
              <w:t>***</w:t>
            </w:r>
            <w:r w:rsidRPr="00B471FF">
              <w:rPr>
                <w:rFonts w:ascii="Arial" w:eastAsia="Calibri" w:hAnsi="Arial" w:cs="Arial"/>
                <w:lang w:val="en-GB"/>
              </w:rPr>
              <w:t xml:space="preserve"> (96.89)</w:t>
            </w:r>
          </w:p>
        </w:tc>
      </w:tr>
      <w:tr w:rsidR="00B471FF" w:rsidRPr="00B471FF" w:rsidTr="00307AD0">
        <w:trPr>
          <w:trHeight w:val="41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N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302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293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293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271</w:t>
            </w:r>
          </w:p>
        </w:tc>
      </w:tr>
      <w:tr w:rsidR="00B471FF" w:rsidRPr="00B471FF" w:rsidTr="00307AD0">
        <w:trPr>
          <w:trHeight w:val="41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F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7.3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5.51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5.12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6.57</w:t>
            </w:r>
          </w:p>
        </w:tc>
      </w:tr>
      <w:tr w:rsidR="00B471FF" w:rsidRPr="00B471FF" w:rsidTr="00307AD0">
        <w:trPr>
          <w:trHeight w:val="41"/>
        </w:trPr>
        <w:tc>
          <w:tcPr>
            <w:tcW w:w="1690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R2 adjusted</w:t>
            </w:r>
          </w:p>
        </w:tc>
        <w:tc>
          <w:tcPr>
            <w:tcW w:w="827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0.02</w:t>
            </w:r>
          </w:p>
        </w:tc>
        <w:tc>
          <w:tcPr>
            <w:tcW w:w="828" w:type="pct"/>
            <w:noWrap/>
            <w:vAlign w:val="center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0.03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0.04</w:t>
            </w:r>
          </w:p>
        </w:tc>
        <w:tc>
          <w:tcPr>
            <w:tcW w:w="828" w:type="pct"/>
          </w:tcPr>
          <w:p w:rsidR="00B471FF" w:rsidRPr="00B471FF" w:rsidRDefault="00B471FF" w:rsidP="00B471FF">
            <w:pPr>
              <w:spacing w:line="288" w:lineRule="auto"/>
              <w:jc w:val="right"/>
              <w:rPr>
                <w:rFonts w:ascii="Arial" w:eastAsia="Calibri" w:hAnsi="Arial" w:cs="Arial"/>
                <w:highlight w:val="yellow"/>
                <w:lang w:val="en-GB"/>
              </w:rPr>
            </w:pPr>
            <w:r w:rsidRPr="00B471FF">
              <w:rPr>
                <w:rFonts w:ascii="Arial" w:eastAsia="Calibri" w:hAnsi="Arial" w:cs="Arial"/>
                <w:lang w:val="en-GB"/>
              </w:rPr>
              <w:t>0.08</w:t>
            </w:r>
          </w:p>
        </w:tc>
      </w:tr>
    </w:tbl>
    <w:p w:rsidR="00B471FF" w:rsidRPr="00B471FF" w:rsidRDefault="00B471FF" w:rsidP="00B471FF">
      <w:pPr>
        <w:tabs>
          <w:tab w:val="left" w:pos="1080"/>
        </w:tabs>
        <w:spacing w:after="0" w:line="288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:rsidR="00B471FF" w:rsidRPr="00B471FF" w:rsidRDefault="00B471FF" w:rsidP="00B471FF">
      <w:pPr>
        <w:tabs>
          <w:tab w:val="left" w:pos="1080"/>
        </w:tabs>
        <w:spacing w:after="0" w:line="288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B471FF">
        <w:rPr>
          <w:rFonts w:ascii="Arial" w:eastAsia="Calibri" w:hAnsi="Arial" w:cs="Arial"/>
          <w:sz w:val="24"/>
          <w:szCs w:val="24"/>
          <w:lang w:val="en-US"/>
        </w:rPr>
        <w:t xml:space="preserve">CHR: </w:t>
      </w:r>
      <w:proofErr w:type="spellStart"/>
      <w:r w:rsidRPr="00B471FF">
        <w:rPr>
          <w:rFonts w:ascii="Arial" w:eastAsia="Calibri" w:hAnsi="Arial" w:cs="Arial"/>
          <w:sz w:val="24"/>
          <w:szCs w:val="24"/>
          <w:lang w:val="en-US"/>
        </w:rPr>
        <w:t>clinico</w:t>
      </w:r>
      <w:proofErr w:type="spellEnd"/>
      <w:r w:rsidRPr="00B471FF">
        <w:rPr>
          <w:rFonts w:ascii="Arial" w:eastAsia="Calibri" w:hAnsi="Arial" w:cs="Arial"/>
          <w:sz w:val="24"/>
          <w:szCs w:val="24"/>
          <w:lang w:val="en-US"/>
        </w:rPr>
        <w:t xml:space="preserve">-histological response; </w:t>
      </w:r>
      <w:r w:rsidRPr="00B471FF">
        <w:rPr>
          <w:rFonts w:ascii="Arial" w:eastAsia="Arial" w:hAnsi="Arial" w:cs="Arial"/>
          <w:sz w:val="24"/>
          <w:szCs w:val="24"/>
          <w:lang w:val="en-US"/>
        </w:rPr>
        <w:t>EREFS: edema, rings, exudates, furrows, and strictures. Positive values (β coefficients) indicate higher healthcare costs; SE in brackets. ***p&lt;0.01, **p&lt;0.05, *p&lt;0.1.</w:t>
      </w:r>
    </w:p>
    <w:p w:rsidR="00B471FF" w:rsidRPr="00B471FF" w:rsidRDefault="00B471FF" w:rsidP="00B471FF">
      <w:pPr>
        <w:tabs>
          <w:tab w:val="left" w:pos="1080"/>
        </w:tabs>
        <w:spacing w:after="0" w:line="288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:rsidR="007B4B68" w:rsidRDefault="007B4B68">
      <w:bookmarkStart w:id="0" w:name="_GoBack"/>
      <w:bookmarkEnd w:id="0"/>
    </w:p>
    <w:sectPr w:rsidR="007B4B68" w:rsidSect="004E53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3CC"/>
    <w:rsid w:val="004323CC"/>
    <w:rsid w:val="005B27E8"/>
    <w:rsid w:val="007B4B68"/>
    <w:rsid w:val="00B4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0E59D-8DC9-485F-ABA6-C3FCD10D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71FF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1119</Characters>
  <Application>Microsoft Office Word</Application>
  <DocSecurity>0</DocSecurity>
  <Lines>9</Lines>
  <Paragraphs>2</Paragraphs>
  <ScaleCrop>false</ScaleCrop>
  <Company>InKulpado666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J Lucendo</dc:creator>
  <cp:keywords/>
  <dc:description/>
  <cp:lastModifiedBy>Alfredo J Lucendo</cp:lastModifiedBy>
  <cp:revision>2</cp:revision>
  <dcterms:created xsi:type="dcterms:W3CDTF">2025-08-24T16:07:00Z</dcterms:created>
  <dcterms:modified xsi:type="dcterms:W3CDTF">2025-08-24T16:07:00Z</dcterms:modified>
</cp:coreProperties>
</file>