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0506C" w14:textId="282009D6" w:rsidR="008D59F1" w:rsidRDefault="008D59F1" w:rsidP="008D59F1">
      <w:pPr>
        <w:pStyle w:val="Heading1"/>
        <w:keepNext/>
        <w:keepLines/>
        <w:widowControl w:val="0"/>
        <w:pBdr>
          <w:bottom w:val="none" w:sz="0" w:space="0" w:color="auto"/>
        </w:pBdr>
        <w:spacing w:before="480" w:line="360" w:lineRule="auto"/>
        <w:jc w:val="both"/>
        <w:rPr>
          <w:rFonts w:asciiTheme="minorHAnsi" w:eastAsiaTheme="majorEastAsia" w:hAnsiTheme="minorHAnsi" w:cstheme="minorHAnsi"/>
          <w:b/>
          <w:bCs/>
          <w:caps w:val="0"/>
          <w:snapToGrid w:val="0"/>
          <w:color w:val="auto"/>
          <w:spacing w:val="0"/>
          <w:lang w:eastAsia="en-US"/>
        </w:rPr>
      </w:pPr>
      <w:r>
        <w:rPr>
          <w:rFonts w:asciiTheme="minorHAnsi" w:eastAsiaTheme="majorEastAsia" w:hAnsiTheme="minorHAnsi" w:cstheme="minorHAnsi"/>
          <w:b/>
          <w:bCs/>
          <w:caps w:val="0"/>
          <w:snapToGrid w:val="0"/>
          <w:color w:val="auto"/>
          <w:spacing w:val="0"/>
          <w:lang w:eastAsia="en-US"/>
        </w:rPr>
        <w:t>Appendix 1: Australian Context</w:t>
      </w:r>
    </w:p>
    <w:p w14:paraId="44B1C162" w14:textId="77777777" w:rsidR="000F4514" w:rsidRPr="000D727A" w:rsidRDefault="000F4514" w:rsidP="000D727A"/>
    <w:p w14:paraId="56BA1ADF" w14:textId="3513690C" w:rsidR="008D59F1" w:rsidRPr="00DF14B7" w:rsidRDefault="008D59F1" w:rsidP="008D59F1">
      <w:pPr>
        <w:pStyle w:val="Level2Heading"/>
        <w:spacing w:line="360" w:lineRule="auto"/>
        <w:outlineLvl w:val="2"/>
        <w:rPr>
          <w:rFonts w:asciiTheme="minorHAnsi" w:hAnsiTheme="minorHAnsi" w:cstheme="minorHAnsi"/>
        </w:rPr>
      </w:pPr>
      <w:r>
        <w:rPr>
          <w:rFonts w:asciiTheme="minorHAnsi" w:hAnsiTheme="minorHAnsi" w:cstheme="minorHAnsi"/>
        </w:rPr>
        <w:t xml:space="preserve">Centralised review processes for health technologies </w:t>
      </w:r>
      <w:r w:rsidRPr="00DF14B7">
        <w:rPr>
          <w:rFonts w:asciiTheme="minorHAnsi" w:hAnsiTheme="minorHAnsi" w:cstheme="minorHAnsi"/>
        </w:rPr>
        <w:t xml:space="preserve">in Australia </w:t>
      </w:r>
    </w:p>
    <w:p w14:paraId="34768F3E" w14:textId="77777777" w:rsidR="000F4514" w:rsidRDefault="000F4514" w:rsidP="008D59F1">
      <w:pPr>
        <w:spacing w:line="360" w:lineRule="auto"/>
        <w:jc w:val="both"/>
        <w:rPr>
          <w:rFonts w:cstheme="minorHAnsi"/>
        </w:rPr>
      </w:pPr>
    </w:p>
    <w:p w14:paraId="3D3C312B" w14:textId="455AE295" w:rsidR="008D59F1" w:rsidRDefault="008D59F1" w:rsidP="008D59F1">
      <w:pPr>
        <w:spacing w:line="360" w:lineRule="auto"/>
        <w:jc w:val="both"/>
        <w:rPr>
          <w:rFonts w:cstheme="minorHAnsi"/>
        </w:rPr>
      </w:pPr>
      <w:r w:rsidRPr="00DF14B7">
        <w:rPr>
          <w:rFonts w:cstheme="minorHAnsi"/>
        </w:rPr>
        <w:t>In 199</w:t>
      </w:r>
      <w:r>
        <w:rPr>
          <w:rFonts w:cstheme="minorHAnsi"/>
        </w:rPr>
        <w:t>0</w:t>
      </w:r>
      <w:r w:rsidRPr="00DF14B7">
        <w:rPr>
          <w:rFonts w:cstheme="minorHAnsi"/>
        </w:rPr>
        <w:t xml:space="preserve">, Australia was the first country in the world to introduce economic evaluation </w:t>
      </w:r>
      <w:r>
        <w:rPr>
          <w:rFonts w:cstheme="minorHAnsi"/>
        </w:rPr>
        <w:t xml:space="preserve">with an explicit criterion on value for money and cost effectiveness in coverage decisions for </w:t>
      </w:r>
      <w:r w:rsidRPr="00DF14B7">
        <w:rPr>
          <w:rFonts w:cstheme="minorHAnsi"/>
        </w:rPr>
        <w:t>pharmaceuticals</w:t>
      </w:r>
      <w:r>
        <w:rPr>
          <w:rFonts w:cstheme="minorHAnsi"/>
        </w:rPr>
        <w:t>,</w:t>
      </w:r>
      <w:r w:rsidRPr="00DF14B7">
        <w:rPr>
          <w:rFonts w:cstheme="minorHAnsi"/>
        </w:rPr>
        <w:t xml:space="preserve"> and the first to publish its process</w:t>
      </w:r>
      <w:r>
        <w:rPr>
          <w:rFonts w:cstheme="minorHAnsi"/>
        </w:rPr>
        <w:t>es</w:t>
      </w:r>
      <w:r w:rsidRPr="00DF14B7">
        <w:rPr>
          <w:rFonts w:cstheme="minorHAnsi"/>
        </w:rPr>
        <w:t xml:space="preserve"> in a formal set of guidelines </w:t>
      </w:r>
      <w:r w:rsidRPr="00DF14B7">
        <w:rPr>
          <w:rFonts w:cstheme="minorHAnsi"/>
        </w:rPr>
        <w:fldChar w:fldCharType="begin"/>
      </w:r>
      <w:r>
        <w:rPr>
          <w:rFonts w:cstheme="minorHAnsi"/>
        </w:rPr>
        <w:instrText xml:space="preserve"> ADDIN EN.CITE &lt;EndNote&gt;&lt;Cite&gt;&lt;Author&gt;Salkeld&lt;/Author&gt;&lt;Year&gt;1998&lt;/Year&gt;&lt;RecNum&gt;63&lt;/RecNum&gt;&lt;DisplayText&gt;(Salkeld et al., 1998)&lt;/DisplayText&gt;&lt;record&gt;&lt;rec-number&gt;63&lt;/rec-number&gt;&lt;foreign-keys&gt;&lt;key app="EN" db-id="tdzzrwt05wxd0oed9xnp92sv9pfssztr9vaz" timestamp="1688459003"&gt;63&lt;/key&gt;&lt;/foreign-keys&gt;&lt;ref-type name="Book Section"&gt;5&lt;/ref-type&gt;&lt;contributors&gt;&lt;authors&gt;&lt;author&gt;Salkeld, Glenn&lt;/author&gt;&lt;author&gt;Mitchell, Andrew&lt;/author&gt;&lt;author&gt;Hill, Suzanne&lt;/author&gt;&lt;/authors&gt;&lt;/contributors&gt;&lt;titles&gt;&lt;title&gt;Pharmaceuticals&lt;/title&gt;&lt;secondary-title&gt;Economics and Australian health policy&lt;/secondary-title&gt;&lt;/titles&gt;&lt;pages&gt;115-136&lt;/pages&gt;&lt;dates&gt;&lt;year&gt;1998&lt;/year&gt;&lt;/dates&gt;&lt;publisher&gt;Routledge&lt;/publisher&gt;&lt;urls&gt;&lt;/urls&gt;&lt;/record&gt;&lt;/Cite&gt;&lt;/EndNote&gt;</w:instrText>
      </w:r>
      <w:r w:rsidRPr="00DF14B7">
        <w:rPr>
          <w:rFonts w:cstheme="minorHAnsi"/>
        </w:rPr>
        <w:fldChar w:fldCharType="separate"/>
      </w:r>
      <w:r>
        <w:rPr>
          <w:rFonts w:cstheme="minorHAnsi"/>
          <w:noProof/>
        </w:rPr>
        <w:t>(Salkeld et al., 1998)</w:t>
      </w:r>
      <w:r w:rsidRPr="00DF14B7">
        <w:rPr>
          <w:rFonts w:cstheme="minorHAnsi"/>
        </w:rPr>
        <w:fldChar w:fldCharType="end"/>
      </w:r>
      <w:r w:rsidRPr="00DF14B7">
        <w:rPr>
          <w:rFonts w:cstheme="minorHAnsi"/>
        </w:rPr>
        <w:t xml:space="preserve">. </w:t>
      </w:r>
      <w:r>
        <w:rPr>
          <w:rFonts w:cstheme="minorHAnsi"/>
        </w:rPr>
        <w:t xml:space="preserve"> Under the universal health insurance scheme, Australians have access to subsidised prescription medicines on the </w:t>
      </w:r>
      <w:r w:rsidRPr="00DF14B7">
        <w:rPr>
          <w:rFonts w:cstheme="minorHAnsi"/>
        </w:rPr>
        <w:t>Pharmaceutical Benefits Schedule (PBS) and services, diagnostics and medical devices</w:t>
      </w:r>
      <w:r>
        <w:rPr>
          <w:rFonts w:cstheme="minorHAnsi"/>
        </w:rPr>
        <w:t xml:space="preserve"> on </w:t>
      </w:r>
      <w:r w:rsidRPr="00DF14B7">
        <w:rPr>
          <w:rFonts w:cstheme="minorHAnsi"/>
        </w:rPr>
        <w:t>the Medical Services Schedule (MBS)</w:t>
      </w:r>
      <w:r w:rsidR="003A0673">
        <w:rPr>
          <w:rFonts w:cstheme="minorHAnsi"/>
        </w:rPr>
        <w:fldChar w:fldCharType="begin"/>
      </w:r>
      <w:r w:rsidR="003A0673">
        <w:rPr>
          <w:rFonts w:cstheme="minorHAnsi"/>
        </w:rPr>
        <w:instrText xml:space="preserve"> ADDIN EN.CITE &lt;EndNote&gt;&lt;Cite&gt;&lt;Author&gt;Kim&lt;/Author&gt;&lt;Year&gt;2021&lt;/Year&gt;&lt;RecNum&gt;68&lt;/RecNum&gt;&lt;DisplayText&gt;(Kim et al., 2021)&lt;/DisplayText&gt;&lt;record&gt;&lt;rec-number&gt;68&lt;/rec-number&gt;&lt;foreign-keys&gt;&lt;key app="EN" db-id="tdzzrwt05wxd0oed9xnp92sv9pfssztr9vaz" timestamp="1695012840"&gt;68&lt;/key&gt;&lt;/foreign-keys&gt;&lt;ref-type name="Journal Article"&gt;17&lt;/ref-type&gt;&lt;contributors&gt;&lt;authors&gt;&lt;author&gt;Kim, H.&lt;/author&gt;&lt;author&gt;Byrnes, J.&lt;/author&gt;&lt;author&gt;Goodall, S.&lt;/author&gt;&lt;/authors&gt;&lt;/contributors&gt;&lt;auth-address&gt;School of Public Health and Preventive Medicine, Monash University, Melbourne, Australia. Electronic address: hansoo.kim@monash.edu.&amp;#xD;School of Medicine, Griffith University, Brisbane, Australia.&amp;#xD;Centre for Health Economics Research and Evaluation, University of Technology Sydney, Sydney, Australia.&lt;/auth-address&gt;&lt;titles&gt;&lt;title&gt;Health Technology Assessment in Australia: The Pharmaceutical Benefits Advisory Committee and Medical Services Advisory Committee&lt;/title&gt;&lt;secondary-title&gt;Value Health Reg Issues&lt;/secondary-title&gt;&lt;/titles&gt;&lt;periodical&gt;&lt;full-title&gt;Value Health Reg Issues&lt;/full-title&gt;&lt;/periodical&gt;&lt;pages&gt;6-11&lt;/pages&gt;&lt;volume&gt;24&lt;/volume&gt;&lt;edition&gt;20210109&lt;/edition&gt;&lt;keywords&gt;&lt;keyword&gt;Advisory Committees&lt;/keyword&gt;&lt;keyword&gt;Australia&lt;/keyword&gt;&lt;keyword&gt;Cost-Benefit Analysis&lt;/keyword&gt;&lt;keyword&gt;Humans&lt;/keyword&gt;&lt;keyword&gt;*Pharmaceutical Preparations&lt;/keyword&gt;&lt;keyword&gt;*Technology Assessment, Biomedical&lt;/keyword&gt;&lt;keyword&gt;Australian reimbursement&lt;/keyword&gt;&lt;keyword&gt;Msac&lt;/keyword&gt;&lt;keyword&gt;Pbac&lt;/keyword&gt;&lt;keyword&gt;health technology assessment&lt;/keyword&gt;&lt;/keywords&gt;&lt;dates&gt;&lt;year&gt;2021&lt;/year&gt;&lt;pub-dates&gt;&lt;date&gt;May&lt;/date&gt;&lt;/pub-dates&gt;&lt;/dates&gt;&lt;isbn&gt;2212-1099&lt;/isbn&gt;&lt;accession-num&gt;33429153&lt;/accession-num&gt;&lt;urls&gt;&lt;related-urls&gt;&lt;url&gt;https://www.sciencedirect.com/science/article/pii/S221210992030666X?via%3Dihub&lt;/url&gt;&lt;/related-urls&gt;&lt;/urls&gt;&lt;electronic-resource-num&gt;10.1016/j.vhri.2020.09.001&lt;/electronic-resource-num&gt;&lt;remote-database-provider&gt;NLM&lt;/remote-database-provider&gt;&lt;language&gt;eng&lt;/language&gt;&lt;/record&gt;&lt;/Cite&gt;&lt;/EndNote&gt;</w:instrText>
      </w:r>
      <w:r w:rsidR="003A0673">
        <w:rPr>
          <w:rFonts w:cstheme="minorHAnsi"/>
        </w:rPr>
        <w:fldChar w:fldCharType="separate"/>
      </w:r>
      <w:r w:rsidR="003A0673">
        <w:rPr>
          <w:rFonts w:cstheme="minorHAnsi"/>
          <w:noProof/>
        </w:rPr>
        <w:t>(Kim et al., 2021)</w:t>
      </w:r>
      <w:r w:rsidR="003A0673">
        <w:rPr>
          <w:rFonts w:cstheme="minorHAnsi"/>
        </w:rPr>
        <w:fldChar w:fldCharType="end"/>
      </w:r>
      <w:r>
        <w:rPr>
          <w:rFonts w:cstheme="minorHAnsi"/>
        </w:rPr>
        <w:t>.</w:t>
      </w:r>
      <w:r w:rsidRPr="00DF14B7">
        <w:rPr>
          <w:rFonts w:cstheme="minorHAnsi"/>
        </w:rPr>
        <w:t xml:space="preserve"> </w:t>
      </w:r>
      <w:r>
        <w:rPr>
          <w:rFonts w:cstheme="minorHAnsi"/>
        </w:rPr>
        <w:t xml:space="preserve"> </w:t>
      </w:r>
    </w:p>
    <w:p w14:paraId="493715D6" w14:textId="77777777" w:rsidR="008D59F1" w:rsidRDefault="008D59F1" w:rsidP="008D59F1">
      <w:pPr>
        <w:spacing w:line="360" w:lineRule="auto"/>
        <w:jc w:val="both"/>
        <w:rPr>
          <w:rFonts w:cstheme="minorHAnsi"/>
        </w:rPr>
      </w:pPr>
    </w:p>
    <w:p w14:paraId="614D9D10" w14:textId="372EBA1B" w:rsidR="008D59F1" w:rsidRPr="00DF14B7" w:rsidRDefault="008D59F1" w:rsidP="008D59F1">
      <w:pPr>
        <w:spacing w:line="360" w:lineRule="auto"/>
        <w:jc w:val="both"/>
        <w:rPr>
          <w:rFonts w:cstheme="minorHAnsi"/>
        </w:rPr>
      </w:pPr>
      <w:r w:rsidRPr="00DF14B7">
        <w:rPr>
          <w:rFonts w:cstheme="minorHAnsi"/>
        </w:rPr>
        <w:t xml:space="preserve">The two committees that </w:t>
      </w:r>
      <w:r w:rsidR="003F5DF4">
        <w:rPr>
          <w:rFonts w:cstheme="minorHAnsi"/>
        </w:rPr>
        <w:t xml:space="preserve">make recommendations about public subsidy of these health technologies are the </w:t>
      </w:r>
      <w:r w:rsidR="000F4514">
        <w:rPr>
          <w:rFonts w:cstheme="minorHAnsi"/>
        </w:rPr>
        <w:t>Pharmaceutical Benefits Advisory Committee (</w:t>
      </w:r>
      <w:r w:rsidR="003F5DF4">
        <w:rPr>
          <w:rFonts w:cstheme="minorHAnsi"/>
        </w:rPr>
        <w:t>PBAC</w:t>
      </w:r>
      <w:r w:rsidR="000F4514">
        <w:rPr>
          <w:rFonts w:cstheme="minorHAnsi"/>
        </w:rPr>
        <w:t>)</w:t>
      </w:r>
      <w:r w:rsidR="003F5DF4">
        <w:rPr>
          <w:rFonts w:cstheme="minorHAnsi"/>
        </w:rPr>
        <w:t xml:space="preserve"> and </w:t>
      </w:r>
      <w:r w:rsidR="000F4514">
        <w:rPr>
          <w:rFonts w:cstheme="minorHAnsi"/>
        </w:rPr>
        <w:t>the Medical Service Advisory Committee (</w:t>
      </w:r>
      <w:r w:rsidR="003F5DF4">
        <w:rPr>
          <w:rFonts w:cstheme="minorHAnsi"/>
        </w:rPr>
        <w:t>MSAC</w:t>
      </w:r>
      <w:r w:rsidR="000F4514">
        <w:rPr>
          <w:rFonts w:cstheme="minorHAnsi"/>
        </w:rPr>
        <w:t>)</w:t>
      </w:r>
      <w:r w:rsidR="003F5DF4">
        <w:rPr>
          <w:rFonts w:cstheme="minorHAnsi"/>
        </w:rPr>
        <w:t>,</w:t>
      </w:r>
      <w:r>
        <w:rPr>
          <w:rFonts w:cstheme="minorHAnsi"/>
        </w:rPr>
        <w:t xml:space="preserve"> respectively</w:t>
      </w:r>
      <w:r w:rsidRPr="00DF14B7">
        <w:rPr>
          <w:rFonts w:cstheme="minorHAnsi"/>
        </w:rPr>
        <w:t xml:space="preserve">. The PBAC considers all requests to list prescription medicines on the PBS </w:t>
      </w:r>
      <w:r w:rsidR="003F5DF4">
        <w:rPr>
          <w:rFonts w:cstheme="minorHAnsi"/>
        </w:rPr>
        <w:t>and</w:t>
      </w:r>
      <w:r w:rsidRPr="00DF14B7">
        <w:rPr>
          <w:rFonts w:cstheme="minorHAnsi"/>
        </w:rPr>
        <w:t xml:space="preserve"> vaccines on the National Immunisation Program</w:t>
      </w:r>
      <w:r>
        <w:rPr>
          <w:rFonts w:cstheme="minorHAnsi"/>
        </w:rPr>
        <w:t xml:space="preserve"> (NIP)</w:t>
      </w:r>
      <w:r w:rsidRPr="00DF14B7">
        <w:rPr>
          <w:rFonts w:cstheme="minorHAnsi"/>
        </w:rPr>
        <w:t>, whereas MSAC considers medical services, diagnostics and devices that would end up listing on the MBS. In recent years</w:t>
      </w:r>
      <w:r w:rsidR="003F5DF4">
        <w:rPr>
          <w:rFonts w:cstheme="minorHAnsi"/>
        </w:rPr>
        <w:t xml:space="preserve">, MSAC’s remit has also expanded to coverage decisions for blood products under the National Blood Agreement, population-level screening programs and highly specialised drugs under the National Health Reform Agreement, where the latter are </w:t>
      </w:r>
      <w:r w:rsidR="000F4514">
        <w:rPr>
          <w:rFonts w:cstheme="minorHAnsi"/>
        </w:rPr>
        <w:t xml:space="preserve">jointly </w:t>
      </w:r>
      <w:r w:rsidR="003F5DF4">
        <w:rPr>
          <w:rFonts w:cstheme="minorHAnsi"/>
        </w:rPr>
        <w:t>funded by the central government and the states, for example,</w:t>
      </w:r>
      <w:r>
        <w:rPr>
          <w:rFonts w:cstheme="minorHAnsi"/>
        </w:rPr>
        <w:t xml:space="preserve"> for CAR-T and gene therapies</w:t>
      </w:r>
      <w:r w:rsidRPr="00DF14B7">
        <w:rPr>
          <w:rFonts w:cstheme="minorHAnsi"/>
        </w:rPr>
        <w:t>.  Before listing on the PBS or MBS, sponsors</w:t>
      </w:r>
      <w:r>
        <w:rPr>
          <w:rFonts w:cstheme="minorHAnsi"/>
        </w:rPr>
        <w:t xml:space="preserve"> (usually a company)</w:t>
      </w:r>
      <w:r w:rsidRPr="00DF14B7">
        <w:rPr>
          <w:rFonts w:cstheme="minorHAnsi"/>
        </w:rPr>
        <w:t xml:space="preserve"> must submit a detailed</w:t>
      </w:r>
      <w:r>
        <w:rPr>
          <w:rFonts w:cstheme="minorHAnsi"/>
        </w:rPr>
        <w:t xml:space="preserve"> health technology assessment (HTA) </w:t>
      </w:r>
      <w:r w:rsidRPr="00DF14B7">
        <w:rPr>
          <w:rFonts w:cstheme="minorHAnsi"/>
        </w:rPr>
        <w:t>to the relevant decision-making committee</w:t>
      </w:r>
      <w:r>
        <w:rPr>
          <w:rFonts w:cstheme="minorHAnsi"/>
        </w:rPr>
        <w:t>,</w:t>
      </w:r>
      <w:r w:rsidRPr="00DF14B7">
        <w:rPr>
          <w:rFonts w:cstheme="minorHAnsi"/>
        </w:rPr>
        <w:t xml:space="preserve"> </w:t>
      </w:r>
      <w:r w:rsidR="003F5DF4">
        <w:rPr>
          <w:rFonts w:cstheme="minorHAnsi"/>
        </w:rPr>
        <w:t>which</w:t>
      </w:r>
      <w:r w:rsidRPr="00DF14B7">
        <w:rPr>
          <w:rFonts w:cstheme="minorHAnsi"/>
        </w:rPr>
        <w:t xml:space="preserve"> assess</w:t>
      </w:r>
      <w:r w:rsidR="003F5DF4">
        <w:rPr>
          <w:rFonts w:cstheme="minorHAnsi"/>
        </w:rPr>
        <w:t>es</w:t>
      </w:r>
      <w:r w:rsidRPr="00DF14B7">
        <w:rPr>
          <w:rFonts w:cstheme="minorHAnsi"/>
        </w:rPr>
        <w:t xml:space="preserve"> the </w:t>
      </w:r>
      <w:r w:rsidR="003F5DF4">
        <w:rPr>
          <w:rFonts w:cstheme="minorHAnsi"/>
        </w:rPr>
        <w:t>application's merits and recommends to the government</w:t>
      </w:r>
      <w:r w:rsidRPr="00DF14B7">
        <w:rPr>
          <w:rFonts w:cstheme="minorHAnsi"/>
        </w:rPr>
        <w:t xml:space="preserve"> which technolog</w:t>
      </w:r>
      <w:r>
        <w:rPr>
          <w:rFonts w:cstheme="minorHAnsi"/>
        </w:rPr>
        <w:t>ies</w:t>
      </w:r>
      <w:r w:rsidRPr="00DF14B7">
        <w:rPr>
          <w:rFonts w:cstheme="minorHAnsi"/>
        </w:rPr>
        <w:t xml:space="preserve"> to fund and at what price.  </w:t>
      </w:r>
      <w:r>
        <w:rPr>
          <w:rFonts w:cstheme="minorHAnsi"/>
        </w:rPr>
        <w:t xml:space="preserve">For </w:t>
      </w:r>
      <w:r w:rsidRPr="008932FB">
        <w:rPr>
          <w:rFonts w:cstheme="minorHAnsi"/>
        </w:rPr>
        <w:t>MSAC</w:t>
      </w:r>
      <w:r>
        <w:rPr>
          <w:rFonts w:cstheme="minorHAnsi"/>
        </w:rPr>
        <w:t xml:space="preserve"> submissions, the </w:t>
      </w:r>
      <w:r w:rsidRPr="00DF14B7">
        <w:rPr>
          <w:rFonts w:cstheme="minorHAnsi"/>
        </w:rPr>
        <w:t>Department of Health and Aged Care</w:t>
      </w:r>
      <w:r>
        <w:rPr>
          <w:rFonts w:cstheme="minorHAnsi"/>
        </w:rPr>
        <w:t xml:space="preserve"> (henceforth the Department) can also act as the sponsor and create a contracted assessment report (DCAR)</w:t>
      </w:r>
      <w:r w:rsidR="003F5DF4">
        <w:rPr>
          <w:rFonts w:cstheme="minorHAnsi"/>
        </w:rPr>
        <w:t>. Otherwise, an applicant-developed</w:t>
      </w:r>
      <w:r>
        <w:rPr>
          <w:rFonts w:cstheme="minorHAnsi"/>
        </w:rPr>
        <w:t xml:space="preserve"> assessment report (ADAR) is required. </w:t>
      </w:r>
      <w:r w:rsidRPr="00DF14B7">
        <w:rPr>
          <w:rFonts w:cstheme="minorHAnsi"/>
        </w:rPr>
        <w:t xml:space="preserve">In the case of the PBAC, </w:t>
      </w:r>
      <w:r w:rsidR="003F5DF4">
        <w:rPr>
          <w:rFonts w:cstheme="minorHAnsi"/>
        </w:rPr>
        <w:t xml:space="preserve">the </w:t>
      </w:r>
      <w:r w:rsidRPr="00DF14B7">
        <w:rPr>
          <w:rFonts w:cstheme="minorHAnsi"/>
        </w:rPr>
        <w:t>National Health Act</w:t>
      </w:r>
      <w:r>
        <w:rPr>
          <w:rFonts w:cstheme="minorHAnsi"/>
        </w:rPr>
        <w:t xml:space="preserve"> (NHA)</w:t>
      </w:r>
      <w:r w:rsidRPr="00DF14B7">
        <w:rPr>
          <w:rFonts w:cstheme="minorHAnsi"/>
        </w:rPr>
        <w:t xml:space="preserve"> 1953 stipulates that the </w:t>
      </w:r>
      <w:r>
        <w:rPr>
          <w:rFonts w:cstheme="minorHAnsi"/>
        </w:rPr>
        <w:t>g</w:t>
      </w:r>
      <w:r w:rsidRPr="00DF14B7">
        <w:rPr>
          <w:rFonts w:cstheme="minorHAnsi"/>
        </w:rPr>
        <w:t xml:space="preserve">overnment </w:t>
      </w:r>
      <w:r>
        <w:rPr>
          <w:rFonts w:cstheme="minorHAnsi"/>
        </w:rPr>
        <w:t xml:space="preserve">cannot </w:t>
      </w:r>
      <w:r w:rsidRPr="00DF14B7">
        <w:rPr>
          <w:rFonts w:cstheme="minorHAnsi"/>
        </w:rPr>
        <w:t xml:space="preserve">list any pharmaceutical item on the PBS unless the PBAC has made a positive recommendation. </w:t>
      </w:r>
    </w:p>
    <w:p w14:paraId="798F6559" w14:textId="77777777" w:rsidR="008D59F1" w:rsidRPr="00DF14B7" w:rsidRDefault="008D59F1" w:rsidP="008D59F1">
      <w:pPr>
        <w:spacing w:line="360" w:lineRule="auto"/>
        <w:jc w:val="both"/>
        <w:rPr>
          <w:rFonts w:cstheme="minorHAnsi"/>
        </w:rPr>
      </w:pPr>
    </w:p>
    <w:p w14:paraId="0D2FEED0" w14:textId="63200920" w:rsidR="008D59F1" w:rsidRPr="00DF14B7" w:rsidRDefault="008D59F1" w:rsidP="008D59F1">
      <w:pPr>
        <w:spacing w:line="360" w:lineRule="auto"/>
        <w:jc w:val="both"/>
        <w:rPr>
          <w:rFonts w:cstheme="minorHAnsi"/>
        </w:rPr>
      </w:pPr>
      <w:r w:rsidRPr="00DF14B7">
        <w:rPr>
          <w:rFonts w:cstheme="minorHAnsi"/>
        </w:rPr>
        <w:t xml:space="preserve">In </w:t>
      </w:r>
      <w:r>
        <w:rPr>
          <w:rFonts w:cstheme="minorHAnsi"/>
        </w:rPr>
        <w:t>their decision-making</w:t>
      </w:r>
      <w:r w:rsidRPr="00DF14B7">
        <w:rPr>
          <w:rFonts w:cstheme="minorHAnsi"/>
        </w:rPr>
        <w:t xml:space="preserve">, both PBAC and MSAC are </w:t>
      </w:r>
      <w:r>
        <w:rPr>
          <w:rFonts w:cstheme="minorHAnsi"/>
        </w:rPr>
        <w:t xml:space="preserve">also </w:t>
      </w:r>
      <w:r w:rsidRPr="00DF14B7">
        <w:rPr>
          <w:rFonts w:cstheme="minorHAnsi"/>
        </w:rPr>
        <w:t xml:space="preserve">supported by </w:t>
      </w:r>
      <w:r>
        <w:rPr>
          <w:rFonts w:cstheme="minorHAnsi"/>
        </w:rPr>
        <w:t xml:space="preserve">their </w:t>
      </w:r>
      <w:r w:rsidRPr="00DF14B7">
        <w:rPr>
          <w:rFonts w:cstheme="minorHAnsi"/>
        </w:rPr>
        <w:t xml:space="preserve">technical subcommittees. For </w:t>
      </w:r>
      <w:r>
        <w:rPr>
          <w:rFonts w:cstheme="minorHAnsi"/>
        </w:rPr>
        <w:t xml:space="preserve">the </w:t>
      </w:r>
      <w:r w:rsidRPr="00DF14B7">
        <w:rPr>
          <w:rFonts w:cstheme="minorHAnsi"/>
        </w:rPr>
        <w:t xml:space="preserve">PBAC this includes an </w:t>
      </w:r>
      <w:r>
        <w:rPr>
          <w:rFonts w:cstheme="minorHAnsi"/>
        </w:rPr>
        <w:t>E</w:t>
      </w:r>
      <w:r w:rsidRPr="00DF14B7">
        <w:rPr>
          <w:rFonts w:cstheme="minorHAnsi"/>
        </w:rPr>
        <w:t xml:space="preserve">conomic </w:t>
      </w:r>
      <w:r>
        <w:rPr>
          <w:rFonts w:cstheme="minorHAnsi"/>
        </w:rPr>
        <w:t>S</w:t>
      </w:r>
      <w:r w:rsidRPr="00DF14B7">
        <w:rPr>
          <w:rFonts w:cstheme="minorHAnsi"/>
        </w:rPr>
        <w:t>ub</w:t>
      </w:r>
      <w:r>
        <w:rPr>
          <w:rFonts w:cstheme="minorHAnsi"/>
        </w:rPr>
        <w:t>-C</w:t>
      </w:r>
      <w:r w:rsidRPr="00DF14B7">
        <w:rPr>
          <w:rFonts w:cstheme="minorHAnsi"/>
        </w:rPr>
        <w:t xml:space="preserve">ommittee (ESC) and a Drug Utilisation Sub-Committee (DUSC). </w:t>
      </w:r>
      <w:r>
        <w:rPr>
          <w:rFonts w:cstheme="minorHAnsi"/>
        </w:rPr>
        <w:t xml:space="preserve">MSAC also has its own Evaluation Sub-Committee (ESC) plus a </w:t>
      </w:r>
      <w:r w:rsidRPr="00DF14B7">
        <w:rPr>
          <w:rFonts w:cstheme="minorHAnsi"/>
        </w:rPr>
        <w:t>Population</w:t>
      </w:r>
      <w:r w:rsidR="000B02EB">
        <w:rPr>
          <w:rFonts w:cstheme="minorHAnsi"/>
        </w:rPr>
        <w:t>,</w:t>
      </w:r>
      <w:r w:rsidRPr="00DF14B7">
        <w:rPr>
          <w:rFonts w:cstheme="minorHAnsi"/>
        </w:rPr>
        <w:t xml:space="preserve"> Intervention</w:t>
      </w:r>
      <w:r w:rsidR="000B02EB">
        <w:rPr>
          <w:rFonts w:cstheme="minorHAnsi"/>
        </w:rPr>
        <w:t>,</w:t>
      </w:r>
      <w:r w:rsidRPr="00DF14B7">
        <w:rPr>
          <w:rFonts w:cstheme="minorHAnsi"/>
        </w:rPr>
        <w:t xml:space="preserve"> </w:t>
      </w:r>
      <w:r w:rsidRPr="00DF14B7">
        <w:rPr>
          <w:rFonts w:cstheme="minorHAnsi"/>
        </w:rPr>
        <w:lastRenderedPageBreak/>
        <w:t>Comparator</w:t>
      </w:r>
      <w:r w:rsidR="000B02EB">
        <w:rPr>
          <w:rFonts w:cstheme="minorHAnsi"/>
        </w:rPr>
        <w:t>,</w:t>
      </w:r>
      <w:r w:rsidRPr="00DF14B7">
        <w:rPr>
          <w:rFonts w:cstheme="minorHAnsi"/>
        </w:rPr>
        <w:t xml:space="preserve"> Outcomes</w:t>
      </w:r>
      <w:r w:rsidR="000B02EB">
        <w:rPr>
          <w:rFonts w:cstheme="minorHAnsi"/>
        </w:rPr>
        <w:t>,</w:t>
      </w:r>
      <w:r w:rsidRPr="00DF14B7">
        <w:rPr>
          <w:rFonts w:cstheme="minorHAnsi"/>
        </w:rPr>
        <w:t xml:space="preserve"> (PICO) Advisory Committee (PASC). </w:t>
      </w:r>
      <w:r>
        <w:rPr>
          <w:rFonts w:cstheme="minorHAnsi"/>
        </w:rPr>
        <w:t xml:space="preserve">For most submissions, </w:t>
      </w:r>
      <w:r w:rsidR="00565F72">
        <w:rPr>
          <w:rFonts w:cstheme="minorHAnsi"/>
        </w:rPr>
        <w:t xml:space="preserve">an independent evaluation (usually prepared by an academic group) </w:t>
      </w:r>
      <w:r>
        <w:rPr>
          <w:rFonts w:cstheme="minorHAnsi"/>
        </w:rPr>
        <w:t xml:space="preserve">evaluates </w:t>
      </w:r>
      <w:r w:rsidRPr="00DF14B7">
        <w:rPr>
          <w:rFonts w:cstheme="minorHAnsi"/>
        </w:rPr>
        <w:t xml:space="preserve">all </w:t>
      </w:r>
      <w:r>
        <w:rPr>
          <w:rFonts w:cstheme="minorHAnsi"/>
        </w:rPr>
        <w:t xml:space="preserve">sponsor </w:t>
      </w:r>
      <w:r w:rsidRPr="00DF14B7">
        <w:rPr>
          <w:rFonts w:cstheme="minorHAnsi"/>
        </w:rPr>
        <w:t>claims and information</w:t>
      </w:r>
      <w:r>
        <w:rPr>
          <w:rFonts w:cstheme="minorHAnsi"/>
        </w:rPr>
        <w:t xml:space="preserve"> (see Figure 1)</w:t>
      </w:r>
      <w:r w:rsidRPr="00DF14B7">
        <w:rPr>
          <w:rFonts w:cstheme="minorHAnsi"/>
        </w:rPr>
        <w:t>.</w:t>
      </w:r>
      <w:r>
        <w:rPr>
          <w:rFonts w:cstheme="minorHAnsi"/>
        </w:rPr>
        <w:t xml:space="preserve"> </w:t>
      </w:r>
      <w:r w:rsidR="00565F72">
        <w:rPr>
          <w:rFonts w:cstheme="minorHAnsi"/>
        </w:rPr>
        <w:t xml:space="preserve">Both </w:t>
      </w:r>
      <w:r w:rsidR="003F5DF4">
        <w:rPr>
          <w:rFonts w:cstheme="minorHAnsi"/>
        </w:rPr>
        <w:t xml:space="preserve">MSAC and PBAC </w:t>
      </w:r>
      <w:r w:rsidR="00565F72">
        <w:rPr>
          <w:rFonts w:cstheme="minorHAnsi"/>
        </w:rPr>
        <w:t>comprise</w:t>
      </w:r>
      <w:r w:rsidR="003F5DF4">
        <w:rPr>
          <w:rFonts w:cstheme="minorHAnsi"/>
        </w:rPr>
        <w:t xml:space="preserve"> clinicians, health professionals, health economists, and consumer representatives; the PBAC also </w:t>
      </w:r>
      <w:r w:rsidR="00565F72">
        <w:rPr>
          <w:rFonts w:cstheme="minorHAnsi"/>
        </w:rPr>
        <w:t xml:space="preserve">including </w:t>
      </w:r>
      <w:r w:rsidR="003F5DF4">
        <w:rPr>
          <w:rFonts w:cstheme="minorHAnsi"/>
        </w:rPr>
        <w:t xml:space="preserve">an industry-nominated member.  One-third of the members are nominated by the health minister, </w:t>
      </w:r>
      <w:r w:rsidR="00565F72">
        <w:rPr>
          <w:rFonts w:cstheme="minorHAnsi"/>
        </w:rPr>
        <w:t xml:space="preserve">while the remaining are </w:t>
      </w:r>
      <w:r w:rsidR="003F5DF4">
        <w:rPr>
          <w:rFonts w:cstheme="minorHAnsi"/>
        </w:rPr>
        <w:t xml:space="preserve">nominated by professional organisations. </w:t>
      </w:r>
      <w:r>
        <w:rPr>
          <w:rFonts w:cstheme="minorHAnsi"/>
        </w:rPr>
        <w:t xml:space="preserve">The composition of the PBAC is legislated by the National Health Act </w:t>
      </w:r>
      <w:r>
        <w:rPr>
          <w:rFonts w:cstheme="minorHAnsi"/>
        </w:rPr>
        <w:fldChar w:fldCharType="begin"/>
      </w:r>
      <w:r>
        <w:rPr>
          <w:rFonts w:cstheme="minorHAnsi"/>
        </w:rPr>
        <w:instrText xml:space="preserve"> ADDIN EN.CITE &lt;EndNote&gt;&lt;Cite ExcludeAuth="1"&gt;&lt;Author&gt;NHA&lt;/Author&gt;&lt;Year&gt;1953&lt;/Year&gt;&lt;RecNum&gt;144&lt;/RecNum&gt;&lt;DisplayText&gt;(1953)&lt;/DisplayText&gt;&lt;record&gt;&lt;rec-number&gt;144&lt;/rec-number&gt;&lt;foreign-keys&gt;&lt;key app="EN" db-id="tdzzrwt05wxd0oed9xnp92sv9pfssztr9vaz" timestamp="1699245009"&gt;144&lt;/key&gt;&lt;/foreign-keys&gt;&lt;ref-type name="Legal Rule or Regulation"&gt;50&lt;/ref-type&gt;&lt;contributors&gt;&lt;authors&gt;&lt;author&gt;NHA,&lt;/author&gt;&lt;/authors&gt;&lt;secondary-authors&gt;&lt;author&gt;Australian Government,&lt;/author&gt;&lt;/secondary-authors&gt;&lt;/contributors&gt;&lt;titles&gt;&lt;title&gt;National Health Act 1953&lt;/title&gt;&lt;secondary-title&gt;No.95, 1953&lt;/secondary-title&gt;&lt;/titles&gt;&lt;section&gt;Part VII&lt;/section&gt;&lt;dates&gt;&lt;year&gt;1953&lt;/year&gt;&lt;/dates&gt;&lt;pub-location&gt;Australia&lt;/pub-location&gt;&lt;urls&gt;&lt;related-urls&gt;&lt;url&gt;https://www.legislation.gov.au/Details/C2023C00143&lt;/url&gt;&lt;/related-urls&gt;&lt;/urls&gt;&lt;access-date&gt;1/11/2023&lt;/access-date&gt;&lt;/record&gt;&lt;/Cite&gt;&lt;/EndNote&gt;</w:instrText>
      </w:r>
      <w:r>
        <w:rPr>
          <w:rFonts w:cstheme="minorHAnsi"/>
        </w:rPr>
        <w:fldChar w:fldCharType="separate"/>
      </w:r>
      <w:r>
        <w:rPr>
          <w:rFonts w:cstheme="minorHAnsi"/>
          <w:noProof/>
        </w:rPr>
        <w:t>(1953)</w:t>
      </w:r>
      <w:r>
        <w:rPr>
          <w:rFonts w:cstheme="minorHAnsi"/>
        </w:rPr>
        <w:fldChar w:fldCharType="end"/>
      </w:r>
      <w:r>
        <w:rPr>
          <w:rFonts w:cstheme="minorHAnsi"/>
        </w:rPr>
        <w:t xml:space="preserve">. The committee’s recommendations are largely actioned by </w:t>
      </w:r>
      <w:r w:rsidR="003F5DF4">
        <w:rPr>
          <w:rFonts w:cstheme="minorHAnsi"/>
        </w:rPr>
        <w:t xml:space="preserve">the </w:t>
      </w:r>
      <w:r>
        <w:rPr>
          <w:rFonts w:cstheme="minorHAnsi"/>
        </w:rPr>
        <w:t xml:space="preserve">government with very few exceptions </w:t>
      </w:r>
      <w:r>
        <w:rPr>
          <w:rFonts w:cstheme="minorHAnsi"/>
        </w:rPr>
        <w:fldChar w:fldCharType="begin">
          <w:fldData xml:space="preserve">PEVuZE5vdGU+PENpdGU+PEF1dGhvcj5TY2hhZmVyPC9BdXRob3I+PFllYXI+MjAxMTwvWWVhcj48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</w:fldData>
        </w:fldChar>
      </w:r>
      <w:r>
        <w:rPr>
          <w:rFonts w:cstheme="minorHAnsi"/>
        </w:rPr>
        <w:instrText xml:space="preserve"> ADDIN EN.CITE </w:instrText>
      </w:r>
      <w:r>
        <w:rPr>
          <w:rFonts w:cstheme="minorHAnsi"/>
        </w:rPr>
        <w:fldChar w:fldCharType="begin">
          <w:fldData xml:space="preserve">PEVuZE5vdGU+PENpdGU+PEF1dGhvcj5TY2hhZmVyPC9BdXRob3I+PFllYXI+MjAxMTwvWWVhcj48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(Pearce et al., 2012; Pearson et al., 2007; Schafer, 2011)</w:t>
      </w:r>
      <w:r>
        <w:rPr>
          <w:rFonts w:cstheme="minorHAnsi"/>
        </w:rPr>
        <w:fldChar w:fldCharType="end"/>
      </w:r>
      <w:r>
        <w:rPr>
          <w:rFonts w:cstheme="minorHAnsi"/>
        </w:rPr>
        <w:t>.</w:t>
      </w:r>
      <w:r w:rsidR="003F5DF4">
        <w:rPr>
          <w:rFonts w:cstheme="minorHAnsi"/>
        </w:rPr>
        <w:t xml:space="preserve"> </w:t>
      </w:r>
    </w:p>
    <w:p w14:paraId="02E94F33" w14:textId="77777777" w:rsidR="008D59F1" w:rsidRPr="00DF14B7" w:rsidRDefault="008D59F1" w:rsidP="008D59F1">
      <w:pPr>
        <w:spacing w:line="360" w:lineRule="auto"/>
        <w:jc w:val="both"/>
        <w:rPr>
          <w:rFonts w:cstheme="minorHAnsi"/>
        </w:rPr>
      </w:pPr>
    </w:p>
    <w:p w14:paraId="4B8FFC64" w14:textId="1781168A" w:rsidR="008D59F1" w:rsidRDefault="008D59F1" w:rsidP="008D59F1">
      <w:pPr>
        <w:spacing w:line="360" w:lineRule="auto"/>
        <w:jc w:val="both"/>
        <w:rPr>
          <w:rFonts w:cstheme="minorHAnsi"/>
        </w:rPr>
      </w:pPr>
      <w:r w:rsidRPr="00DF14B7">
        <w:rPr>
          <w:rFonts w:cstheme="minorHAnsi"/>
        </w:rPr>
        <w:t>Both MSAC and PBAC publish comprehensive guidelines</w:t>
      </w:r>
      <w:r>
        <w:rPr>
          <w:rFonts w:cstheme="minorHAnsi"/>
        </w:rPr>
        <w:t xml:space="preserve"> </w:t>
      </w:r>
      <w:r w:rsidRPr="00DF14B7">
        <w:rPr>
          <w:rFonts w:cstheme="minorHAnsi"/>
        </w:rPr>
        <w:t>to guide sponsors on the preparation of submissions</w:t>
      </w:r>
      <w:r>
        <w:rPr>
          <w:rFonts w:cstheme="minorHAnsi"/>
        </w:rPr>
        <w:t xml:space="preserve"> </w:t>
      </w:r>
      <w:r>
        <w:rPr>
          <w:rFonts w:cstheme="minorHAnsi"/>
        </w:rPr>
        <w:fldChar w:fldCharType="begin"/>
      </w:r>
      <w:r>
        <w:rPr>
          <w:rFonts w:cstheme="minorHAnsi"/>
        </w:rPr>
        <w:instrText xml:space="preserve"> ADDIN EN.CITE &lt;EndNote&gt;&lt;Cite&gt;&lt;Author&gt;MSAC&lt;/Author&gt;&lt;Year&gt;2021&lt;/Year&gt;&lt;RecNum&gt;143&lt;/RecNum&gt;&lt;DisplayText&gt;(MSAC, 2021; PBAC, 2016)&lt;/DisplayText&gt;&lt;record&gt;&lt;rec-number&gt;143&lt;/rec-number&gt;&lt;foreign-keys&gt;&lt;key app="EN" db-id="tdzzrwt05wxd0oed9xnp92sv9pfssztr9vaz" timestamp="1699153932"&gt;143&lt;/key&gt;&lt;/foreign-keys&gt;&lt;ref-type name="Government Document"&gt;46&lt;/ref-type&gt;&lt;contributors&gt;&lt;authors&gt;&lt;author&gt;MSAC&lt;/author&gt;&lt;/authors&gt;&lt;/contributors&gt;&lt;titles&gt;&lt;title&gt;Guideline for preparing assessments for Medical Services Advisory Committee Version 1.0&lt;/title&gt;&lt;/titles&gt;&lt;dates&gt;&lt;year&gt;2021&lt;/year&gt;&lt;/dates&gt;&lt;urls&gt;&lt;related-urls&gt;&lt;url&gt;http://www.msac.gov.au/internet/msac/publishing.nsf/Content/E0D4E4EDDE91EAC8CA2586E0007AFC75/$File/MSAC%20Guidelines-complete-16-FINAL(18May21).pdf&lt;/url&gt;&lt;/related-urls&gt;&lt;/urls&gt;&lt;access-date&gt;1/11/2023&lt;/access-date&gt;&lt;/record&gt;&lt;/Cite&gt;&lt;Cite&gt;&lt;Author&gt;PBAC&lt;/Author&gt;&lt;Year&gt;2016&lt;/Year&gt;&lt;RecNum&gt;142&lt;/RecNum&gt;&lt;record&gt;&lt;rec-number&gt;142&lt;/rec-number&gt;&lt;foreign-keys&gt;&lt;key app="EN" db-id="tdzzrwt05wxd0oed9xnp92sv9pfssztr9vaz" timestamp="1699153809"&gt;142&lt;/key&gt;&lt;/foreign-keys&gt;&lt;ref-type name="Government Document"&gt;46&lt;/ref-type&gt;&lt;contributors&gt;&lt;authors&gt;&lt;author&gt;PBAC&lt;/author&gt;&lt;/authors&gt;&lt;translated-authors&gt;&lt;author&gt;1/11/2023&lt;/author&gt;&lt;/translated-authors&gt;&lt;/contributors&gt;&lt;titles&gt;&lt;title&gt;Guidelines for preparing submissions to the Pharmaceutical Benefits Advisory Committee (PBAC) Version 5.0.&lt;/title&gt;&lt;/titles&gt;&lt;dates&gt;&lt;year&gt;2016&lt;/year&gt;&lt;/dates&gt;&lt;urls&gt;&lt;related-urls&gt;&lt;url&gt;https://pbac.pbs.gov.au/&lt;/url&gt;&lt;/related-urls&gt;&lt;/urls&gt;&lt;/record&gt;&lt;/Cite&gt;&lt;/EndNote&gt;</w:instrText>
      </w:r>
      <w:r>
        <w:rPr>
          <w:rFonts w:cstheme="minorHAnsi"/>
        </w:rPr>
        <w:fldChar w:fldCharType="separate"/>
      </w:r>
      <w:r>
        <w:rPr>
          <w:rFonts w:cstheme="minorHAnsi"/>
          <w:noProof/>
        </w:rPr>
        <w:t>(MSAC, 2021; PBAC, 2016)</w:t>
      </w:r>
      <w:r>
        <w:rPr>
          <w:rFonts w:cstheme="minorHAnsi"/>
        </w:rPr>
        <w:fldChar w:fldCharType="end"/>
      </w:r>
      <w:r w:rsidRPr="00DF14B7">
        <w:rPr>
          <w:rFonts w:cstheme="minorHAnsi"/>
        </w:rPr>
        <w:t xml:space="preserve">. The guidelines </w:t>
      </w:r>
      <w:r>
        <w:rPr>
          <w:rFonts w:cstheme="minorHAnsi"/>
        </w:rPr>
        <w:t xml:space="preserve">detail key ‘quantifiable’ and </w:t>
      </w:r>
      <w:r w:rsidRPr="00DF14B7">
        <w:rPr>
          <w:rFonts w:cstheme="minorHAnsi"/>
        </w:rPr>
        <w:t>‘less quantifiable</w:t>
      </w:r>
      <w:r>
        <w:rPr>
          <w:rFonts w:cstheme="minorHAnsi"/>
        </w:rPr>
        <w:t xml:space="preserve">’ </w:t>
      </w:r>
      <w:r w:rsidRPr="00DF14B7">
        <w:rPr>
          <w:rFonts w:cstheme="minorHAnsi"/>
        </w:rPr>
        <w:t xml:space="preserve">factors </w:t>
      </w:r>
      <w:r>
        <w:rPr>
          <w:rFonts w:cstheme="minorHAnsi"/>
        </w:rPr>
        <w:t>that influence the committees’ decisions</w:t>
      </w:r>
      <w:r w:rsidRPr="00DF14B7">
        <w:rPr>
          <w:rFonts w:cstheme="minorHAnsi"/>
        </w:rPr>
        <w:t xml:space="preserve">. </w:t>
      </w:r>
      <w:r w:rsidRPr="00185A94">
        <w:rPr>
          <w:rFonts w:cstheme="minorHAnsi"/>
        </w:rPr>
        <w:t>The N</w:t>
      </w:r>
      <w:r>
        <w:rPr>
          <w:rFonts w:cstheme="minorHAnsi"/>
        </w:rPr>
        <w:t xml:space="preserve">ational Health Act </w:t>
      </w:r>
      <w:r w:rsidRPr="00185A94">
        <w:rPr>
          <w:rFonts w:cstheme="minorHAnsi"/>
        </w:rPr>
        <w:t xml:space="preserve">1953 </w:t>
      </w:r>
      <w:r>
        <w:rPr>
          <w:rFonts w:cstheme="minorHAnsi"/>
        </w:rPr>
        <w:t xml:space="preserve">also </w:t>
      </w:r>
      <w:r w:rsidRPr="00185A94">
        <w:rPr>
          <w:rFonts w:cstheme="minorHAnsi"/>
        </w:rPr>
        <w:t>stipulates that the PBAC must consider the</w:t>
      </w:r>
      <w:r>
        <w:rPr>
          <w:rFonts w:cstheme="minorHAnsi"/>
        </w:rPr>
        <w:t xml:space="preserve"> </w:t>
      </w:r>
      <w:r w:rsidRPr="00185A94">
        <w:rPr>
          <w:rFonts w:cstheme="minorHAnsi"/>
        </w:rPr>
        <w:t xml:space="preserve">effectiveness and cost of therapy involving </w:t>
      </w:r>
      <w:r>
        <w:rPr>
          <w:rFonts w:cstheme="minorHAnsi"/>
        </w:rPr>
        <w:t xml:space="preserve">the </w:t>
      </w:r>
      <w:r w:rsidRPr="00185A94">
        <w:rPr>
          <w:rFonts w:cstheme="minorHAnsi"/>
        </w:rPr>
        <w:t>use of the drug, preparation or class, including by comparing this with alternative therapies</w:t>
      </w:r>
      <w:r>
        <w:rPr>
          <w:rFonts w:cstheme="minorHAnsi"/>
        </w:rPr>
        <w:t xml:space="preserve">. MSAC, whilst not a </w:t>
      </w:r>
      <w:r w:rsidR="00B51FDF">
        <w:rPr>
          <w:rFonts w:cstheme="minorHAnsi"/>
        </w:rPr>
        <w:t xml:space="preserve">legislated </w:t>
      </w:r>
      <w:r>
        <w:rPr>
          <w:rFonts w:cstheme="minorHAnsi"/>
        </w:rPr>
        <w:t xml:space="preserve">committee, also has </w:t>
      </w:r>
      <w:r w:rsidR="000B02EB">
        <w:rPr>
          <w:rFonts w:cstheme="minorHAnsi"/>
        </w:rPr>
        <w:t xml:space="preserve">similar </w:t>
      </w:r>
      <w:r>
        <w:rPr>
          <w:rFonts w:cstheme="minorHAnsi"/>
        </w:rPr>
        <w:t xml:space="preserve">mandates in its terms of reference set by government.  </w:t>
      </w:r>
      <w:r w:rsidRPr="00185A94">
        <w:rPr>
          <w:rFonts w:cstheme="minorHAnsi"/>
        </w:rPr>
        <w:t xml:space="preserve">Furthermore, </w:t>
      </w:r>
      <w:r>
        <w:rPr>
          <w:rFonts w:cstheme="minorHAnsi"/>
        </w:rPr>
        <w:t xml:space="preserve">for the PBAC, </w:t>
      </w:r>
      <w:r w:rsidRPr="00185A94">
        <w:rPr>
          <w:rFonts w:cstheme="minorHAnsi"/>
        </w:rPr>
        <w:t xml:space="preserve">if a medicine is substantially more costly than alternative therapies, the PBAC may not recommend its listing unless the PBAC is satisfied that, for some patients, the medicine provides a significant improvement in efficacy or reduction in toxicity of the alternative therapies. </w:t>
      </w:r>
      <w:r>
        <w:rPr>
          <w:rFonts w:cstheme="minorHAnsi"/>
        </w:rPr>
        <w:t xml:space="preserve">Agreements </w:t>
      </w:r>
      <w:r w:rsidRPr="0064196E">
        <w:rPr>
          <w:rFonts w:cstheme="minorHAnsi"/>
        </w:rPr>
        <w:t xml:space="preserve">between </w:t>
      </w:r>
      <w:r>
        <w:rPr>
          <w:rFonts w:cstheme="minorHAnsi"/>
        </w:rPr>
        <w:t xml:space="preserve">government </w:t>
      </w:r>
      <w:r w:rsidRPr="0064196E">
        <w:rPr>
          <w:rFonts w:cstheme="minorHAnsi"/>
        </w:rPr>
        <w:t xml:space="preserve">and </w:t>
      </w:r>
      <w:r>
        <w:rPr>
          <w:rFonts w:cstheme="minorHAnsi"/>
        </w:rPr>
        <w:t xml:space="preserve">industry are common to bring about negotiated policy change e.g., </w:t>
      </w:r>
      <w:r w:rsidRPr="0064196E">
        <w:rPr>
          <w:rFonts w:cstheme="minorHAnsi"/>
        </w:rPr>
        <w:t>with a memorandum of understanding</w:t>
      </w:r>
      <w:r>
        <w:rPr>
          <w:rFonts w:cstheme="minorHAnsi"/>
        </w:rPr>
        <w:t xml:space="preserve"> with Medicines Australia</w:t>
      </w:r>
      <w:r w:rsidRPr="0064196E">
        <w:rPr>
          <w:rFonts w:cstheme="minorHAnsi"/>
        </w:rPr>
        <w:t xml:space="preserve"> in 2010, and later with five-year strategic agreements from 2017–2022 and 2022–2027; and similar agreements between the </w:t>
      </w:r>
      <w:r>
        <w:rPr>
          <w:rFonts w:cstheme="minorHAnsi"/>
        </w:rPr>
        <w:t xml:space="preserve">Government </w:t>
      </w:r>
      <w:r w:rsidRPr="0064196E">
        <w:rPr>
          <w:rFonts w:cstheme="minorHAnsi"/>
        </w:rPr>
        <w:t>and the Generic and Biosimilar Medicines Association</w:t>
      </w:r>
      <w:r>
        <w:rPr>
          <w:rFonts w:cstheme="minorHAnsi"/>
        </w:rPr>
        <w:t xml:space="preserve"> </w:t>
      </w:r>
      <w:r>
        <w:rPr>
          <w:rFonts w:cstheme="minorHAnsi"/>
        </w:rPr>
        <w:fldChar w:fldCharType="begin"/>
      </w:r>
      <w:r>
        <w:rPr>
          <w:rFonts w:cstheme="minorHAnsi"/>
        </w:rPr>
        <w:instrText xml:space="preserve"> ADDIN EN.CITE &lt;EndNote&gt;&lt;Cite&gt;&lt;Author&gt;Parliament of Australia&lt;/Author&gt;&lt;Year&gt;2022&lt;/Year&gt;&lt;RecNum&gt;119&lt;/RecNum&gt;&lt;DisplayText&gt;(Parliament of Australia, 2022)&lt;/DisplayText&gt;&lt;record&gt;&lt;rec-number&gt;119&lt;/rec-number&gt;&lt;foreign-keys&gt;&lt;key app="EN" db-id="tdzzrwt05wxd0oed9xnp92sv9pfssztr9vaz" timestamp="1699099923"&gt;119&lt;/key&gt;&lt;/foreign-keys&gt;&lt;ref-type name="Web Page"&gt;12&lt;/ref-type&gt;&lt;contributors&gt;&lt;authors&gt;&lt;author&gt;Parliament of Australia,&lt;/author&gt;&lt;/authors&gt;&lt;/contributors&gt;&lt;titles&gt;&lt;title&gt;The Pharmaceutical Benefits Scheme: a quick guide&lt;/title&gt;&lt;/titles&gt;&lt;number&gt;1/11/2023&lt;/number&gt;&lt;dates&gt;&lt;year&gt;2022&lt;/year&gt;&lt;/dates&gt;&lt;pub-location&gt;Parliament of Australia&lt;/pub-location&gt;&lt;urls&gt;&lt;related-urls&gt;&lt;url&gt;https://www.aph.gov.au/About_Parliament/Parliamentary_departments/Parliamentary_Library/pubs/rp/rp2122/Quick_Guides/ThePharmaceuticalBenefitsScheme&lt;/url&gt;&lt;/related-urls&gt;&lt;/urls&gt;&lt;/record&gt;&lt;/Cite&gt;&lt;/EndNote&gt;</w:instrText>
      </w:r>
      <w:r>
        <w:rPr>
          <w:rFonts w:cstheme="minorHAnsi"/>
        </w:rPr>
        <w:fldChar w:fldCharType="separate"/>
      </w:r>
      <w:r>
        <w:rPr>
          <w:rFonts w:cstheme="minorHAnsi"/>
          <w:noProof/>
        </w:rPr>
        <w:t>(Parliament of Australia, 2022)</w:t>
      </w:r>
      <w:r>
        <w:rPr>
          <w:rFonts w:cstheme="minorHAnsi"/>
        </w:rPr>
        <w:fldChar w:fldCharType="end"/>
      </w:r>
      <w:r w:rsidRPr="0064196E">
        <w:rPr>
          <w:rFonts w:cstheme="minorHAnsi"/>
        </w:rPr>
        <w:t>.</w:t>
      </w:r>
      <w:r>
        <w:rPr>
          <w:rFonts w:cstheme="minorHAnsi"/>
        </w:rPr>
        <w:t xml:space="preserve"> The committees and the government are not without criticism </w:t>
      </w:r>
      <w:r>
        <w:rPr>
          <w:rFonts w:cstheme="minorHAnsi"/>
        </w:rPr>
        <w:fldChar w:fldCharType="begin">
          <w:fldData xml:space="preserve">PEVuZE5vdGU+PENpdGU+PEF1dGhvcj5DYXJ0ZXI8L0F1dGhvcj48WWVhcj4yMDE2PC9ZZWFyPjxS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</w:fldData>
        </w:fldChar>
      </w:r>
      <w:r>
        <w:rPr>
          <w:rFonts w:cstheme="minorHAnsi"/>
        </w:rPr>
        <w:instrText xml:space="preserve"> ADDIN EN.CITE </w:instrText>
      </w:r>
      <w:r>
        <w:rPr>
          <w:rFonts w:cstheme="minorHAnsi"/>
        </w:rPr>
        <w:fldChar w:fldCharType="begin">
          <w:fldData xml:space="preserve">PEVuZE5vdGU+PENpdGU+PEF1dGhvcj5DYXJ0ZXI8L0F1dGhvcj48WWVhcj4yMDE2PC9ZZWFyPjxS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(Australian Government, 2021; Carter et al., 2016; McArthur, 2014; Pearce et al., 2012; Schafer, 2011; Ware et al., 2004)</w:t>
      </w:r>
      <w:r>
        <w:rPr>
          <w:rFonts w:cstheme="minorHAnsi"/>
        </w:rPr>
        <w:fldChar w:fldCharType="end"/>
      </w:r>
      <w:r>
        <w:rPr>
          <w:rFonts w:cstheme="minorHAnsi"/>
        </w:rPr>
        <w:t xml:space="preserve"> and there are frequent reviews of the decision-making processes </w:t>
      </w:r>
      <w:r>
        <w:rPr>
          <w:rFonts w:cstheme="minorHAnsi"/>
        </w:rPr>
        <w:fldChar w:fldCharType="begin"/>
      </w:r>
      <w:r>
        <w:rPr>
          <w:rFonts w:cstheme="minorHAnsi"/>
        </w:rPr>
        <w:instrText xml:space="preserve"> ADDIN EN.CITE &lt;EndNote&gt;&lt;Cite&gt;&lt;Author&gt;Zimmerman review&lt;/Author&gt;&lt;Year&gt;2021&lt;/Year&gt;&lt;RecNum&gt;125&lt;/RecNum&gt;&lt;DisplayText&gt;(Zimmerman review, 2021)&lt;/DisplayText&gt;&lt;record&gt;&lt;rec-number&gt;125&lt;/rec-number&gt;&lt;foreign-keys&gt;&lt;key app="EN" db-id="tdzzrwt05wxd0oed9xnp92sv9pfssztr9vaz" timestamp="1699109181"&gt;125&lt;/key&gt;&lt;/foreign-keys&gt;&lt;ref-type name="Report"&gt;27&lt;/ref-type&gt;&lt;contributors&gt;&lt;authors&gt;&lt;author&gt;Zimmerman review,&lt;/author&gt;&lt;/authors&gt;&lt;secondary-authors&gt;&lt;author&gt;Australian Government,&lt;/author&gt;&lt;/secondary-authors&gt;&lt;/contributors&gt;&lt;titles&gt;&lt;title&gt;The New Frontier - Delivering better health for all Australians&lt;/title&gt;&lt;/titles&gt;&lt;dates&gt;&lt;year&gt;2021&lt;/year&gt;&lt;pub-dates&gt;&lt;date&gt;November 2021&lt;/date&gt;&lt;/pub-dates&gt;&lt;/dates&gt;&lt;urls&gt;&lt;related-urls&gt;&lt;url&gt;https://www.aph.gov.au/Parliamentary_Business/Committees/House/Health_Aged_Care_and_Sport/Newdrugs/Report&lt;/url&gt;&lt;/related-urls&gt;&lt;/urls&gt;&lt;/record&gt;&lt;/Cite&gt;&lt;/EndNote&gt;</w:instrText>
      </w:r>
      <w:r>
        <w:rPr>
          <w:rFonts w:cstheme="minorHAnsi"/>
        </w:rPr>
        <w:fldChar w:fldCharType="separate"/>
      </w:r>
      <w:r>
        <w:rPr>
          <w:rFonts w:cstheme="minorHAnsi"/>
          <w:noProof/>
        </w:rPr>
        <w:t>(Zimmerman review, 2021)</w:t>
      </w:r>
      <w:r>
        <w:rPr>
          <w:rFonts w:cstheme="minorHAnsi"/>
        </w:rPr>
        <w:fldChar w:fldCharType="end"/>
      </w:r>
      <w:r>
        <w:rPr>
          <w:rFonts w:cstheme="minorHAnsi"/>
        </w:rPr>
        <w:t xml:space="preserve">. </w:t>
      </w:r>
      <w:r w:rsidDel="00E300AF">
        <w:rPr>
          <w:rFonts w:cstheme="minorHAnsi"/>
        </w:rPr>
        <w:t xml:space="preserve"> </w:t>
      </w:r>
      <w:r>
        <w:rPr>
          <w:rFonts w:cstheme="minorHAnsi"/>
        </w:rPr>
        <w:t xml:space="preserve"> T</w:t>
      </w:r>
      <w:r w:rsidRPr="00185A94">
        <w:rPr>
          <w:rFonts w:cstheme="minorHAnsi"/>
        </w:rPr>
        <w:t xml:space="preserve">he way MSAC and PBAC discharge their roles as independent bodies, their compositions and relationships with both </w:t>
      </w:r>
      <w:r>
        <w:rPr>
          <w:rFonts w:cstheme="minorHAnsi"/>
        </w:rPr>
        <w:t>g</w:t>
      </w:r>
      <w:r w:rsidRPr="00185A94">
        <w:rPr>
          <w:rFonts w:cstheme="minorHAnsi"/>
        </w:rPr>
        <w:t xml:space="preserve">overnment and industry </w:t>
      </w:r>
      <w:r>
        <w:rPr>
          <w:rFonts w:cstheme="minorHAnsi"/>
        </w:rPr>
        <w:t>remain a</w:t>
      </w:r>
      <w:r w:rsidRPr="00185A94">
        <w:rPr>
          <w:rFonts w:cstheme="minorHAnsi"/>
        </w:rPr>
        <w:t xml:space="preserve"> keen interest to stakeholders</w:t>
      </w:r>
      <w:r>
        <w:rPr>
          <w:rFonts w:cstheme="minorHAnsi"/>
        </w:rPr>
        <w:t xml:space="preserve"> </w:t>
      </w:r>
      <w:r>
        <w:rPr>
          <w:rFonts w:cstheme="minorHAnsi"/>
        </w:rPr>
        <w:fldChar w:fldCharType="begin"/>
      </w:r>
      <w:r>
        <w:rPr>
          <w:rFonts w:cstheme="minorHAnsi"/>
        </w:rPr>
        <w:instrText xml:space="preserve"> ADDIN EN.CITE &lt;EndNote&gt;&lt;Cite&gt;&lt;Author&gt;Senate of Australia&lt;/Author&gt;&lt;Year&gt;2014&lt;/Year&gt;&lt;RecNum&gt;129&lt;/RecNum&gt;&lt;DisplayText&gt;(Senate of Australia, 2014)&lt;/DisplayText&gt;&lt;record&gt;&lt;rec-number&gt;129&lt;/rec-number&gt;&lt;foreign-keys&gt;&lt;key app="EN" db-id="tdzzrwt05wxd0oed9xnp92sv9pfssztr9vaz" timestamp="1699110521"&gt;129&lt;/key&gt;&lt;/foreign-keys&gt;&lt;ref-type name="Government Document"&gt;46&lt;/ref-type&gt;&lt;contributors&gt;&lt;authors&gt;&lt;author&gt;Senate of Australia,&lt;/author&gt;&lt;/authors&gt;&lt;/contributors&gt;&lt;titles&gt;&lt;title&gt;Availability of new, innovative and specialist cancer drugs in Australia&lt;/title&gt;&lt;/titles&gt;&lt;dates&gt;&lt;year&gt;2014&lt;/year&gt;&lt;/dates&gt;&lt;urls&gt;&lt;related-urls&gt;&lt;url&gt;https://www.aph.gov.au/Parliamentary_Business/Committees/Senate/Community_Affairs/Cancer_Drugs&lt;/url&gt;&lt;/related-urls&gt;&lt;/urls&gt;&lt;access-date&gt;1/11/2023&lt;/access-date&gt;&lt;/record&gt;&lt;/Cite&gt;&lt;/EndNote&gt;</w:instrText>
      </w:r>
      <w:r>
        <w:rPr>
          <w:rFonts w:cstheme="minorHAnsi"/>
        </w:rPr>
        <w:fldChar w:fldCharType="separate"/>
      </w:r>
      <w:r>
        <w:rPr>
          <w:rFonts w:cstheme="minorHAnsi"/>
          <w:noProof/>
        </w:rPr>
        <w:t>(Senate of Australia, 2014)</w:t>
      </w:r>
      <w:r>
        <w:rPr>
          <w:rFonts w:cstheme="minorHAnsi"/>
        </w:rPr>
        <w:fldChar w:fldCharType="end"/>
      </w:r>
      <w:r>
        <w:rPr>
          <w:rFonts w:cstheme="minorHAnsi"/>
        </w:rPr>
        <w:t xml:space="preserve">.  </w:t>
      </w:r>
    </w:p>
    <w:p w14:paraId="6DD27041" w14:textId="77777777" w:rsidR="008D59F1" w:rsidRDefault="008D59F1" w:rsidP="008D59F1">
      <w:pPr>
        <w:rPr>
          <w:lang w:eastAsia="en-US"/>
        </w:rPr>
      </w:pPr>
    </w:p>
    <w:p w14:paraId="76BA9B73" w14:textId="77777777" w:rsidR="008D59F1" w:rsidRPr="00F82B2F" w:rsidRDefault="008D59F1" w:rsidP="008D59F1">
      <w:pPr>
        <w:pStyle w:val="Title1"/>
        <w:spacing w:line="240" w:lineRule="auto"/>
        <w:outlineLvl w:val="2"/>
        <w:rPr>
          <w:rFonts w:ascii="Arial Narrow" w:hAnsi="Arial Narrow" w:cstheme="minorHAnsi"/>
          <w:sz w:val="20"/>
          <w:szCs w:val="20"/>
          <w:lang w:val="en-AU" w:eastAsia="en-US"/>
        </w:rPr>
      </w:pPr>
      <w:r w:rsidRPr="00F82B2F">
        <w:rPr>
          <w:rFonts w:ascii="Arial Narrow" w:hAnsi="Arial Narrow" w:cstheme="minorHAnsi"/>
          <w:sz w:val="20"/>
          <w:szCs w:val="20"/>
          <w:lang w:val="en-AU" w:eastAsia="en-US"/>
        </w:rPr>
        <w:lastRenderedPageBreak/>
        <w:t>Figure 1: MSAC</w:t>
      </w:r>
      <w:r>
        <w:rPr>
          <w:rFonts w:ascii="Arial Narrow" w:hAnsi="Arial Narrow" w:cstheme="minorHAnsi"/>
          <w:sz w:val="20"/>
          <w:szCs w:val="20"/>
          <w:lang w:val="en-AU" w:eastAsia="en-US"/>
        </w:rPr>
        <w:t xml:space="preserve"> </w:t>
      </w:r>
      <w:r w:rsidRPr="00F82B2F">
        <w:rPr>
          <w:rFonts w:ascii="Arial Narrow" w:hAnsi="Arial Narrow" w:cstheme="minorHAnsi"/>
          <w:sz w:val="20"/>
          <w:szCs w:val="20"/>
          <w:lang w:val="en-AU" w:eastAsia="en-US"/>
        </w:rPr>
        <w:t>and PBAC</w:t>
      </w:r>
    </w:p>
    <w:p w14:paraId="6FEA80DD" w14:textId="77777777" w:rsidR="008D59F1" w:rsidRPr="00DF14B7" w:rsidRDefault="008D59F1" w:rsidP="008D59F1">
      <w:pPr>
        <w:spacing w:line="360" w:lineRule="auto"/>
        <w:rPr>
          <w:rFonts w:cstheme="minorHAnsi"/>
          <w:lang w:eastAsia="en-US"/>
        </w:rPr>
      </w:pPr>
      <w:r w:rsidRPr="00DF14B7">
        <w:rPr>
          <w:rFonts w:cstheme="minorHAnsi"/>
          <w:noProof/>
          <w:lang w:eastAsia="en-AU"/>
        </w:rPr>
        <w:drawing>
          <wp:inline distT="0" distB="0" distL="0" distR="0" wp14:anchorId="2B1A20DA" wp14:editId="246B0A49">
            <wp:extent cx="5731510" cy="2976880"/>
            <wp:effectExtent l="0" t="0" r="254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8"/>
                    <a:stretch>
                      <a:fillRect/>
                    </a:stretch>
                  </pic:blipFill>
                  <pic:spPr>
                    <a:xfrm>
                      <a:off x="0" y="0"/>
                      <a:ext cx="5731510" cy="2976880"/>
                    </a:xfrm>
                    <a:prstGeom prst="rect">
                      <a:avLst/>
                    </a:prstGeom>
                  </pic:spPr>
                </pic:pic>
              </a:graphicData>
            </a:graphic>
          </wp:inline>
        </w:drawing>
      </w:r>
    </w:p>
    <w:p w14:paraId="55FB9F00" w14:textId="3E2AC3D6" w:rsidR="008D59F1" w:rsidRPr="00565F72" w:rsidRDefault="00565F72" w:rsidP="008D59F1">
      <w:pPr>
        <w:rPr>
          <w:b/>
        </w:rPr>
      </w:pPr>
      <w:r w:rsidRPr="00565F72">
        <w:rPr>
          <w:b/>
        </w:rPr>
        <w:t>Appendix 1</w:t>
      </w:r>
      <w:r w:rsidR="00B51FDF" w:rsidRPr="00B51FDF">
        <w:rPr>
          <w:b/>
        </w:rPr>
        <w:t xml:space="preserve"> </w:t>
      </w:r>
      <w:r w:rsidR="00B51FDF" w:rsidRPr="00565F72">
        <w:rPr>
          <w:b/>
        </w:rPr>
        <w:t>References</w:t>
      </w:r>
    </w:p>
    <w:p w14:paraId="0FF60159" w14:textId="77777777" w:rsidR="003A0673" w:rsidRPr="00ED4DE7" w:rsidRDefault="008D59F1" w:rsidP="003A0673">
      <w:pPr>
        <w:pStyle w:val="EndNoteBibliography"/>
        <w:spacing w:after="0"/>
        <w:ind w:left="720" w:hanging="720"/>
        <w:rPr>
          <w:sz w:val="20"/>
          <w:szCs w:val="20"/>
        </w:rPr>
      </w:pPr>
      <w:r w:rsidRPr="00ED4DE7">
        <w:rPr>
          <w:sz w:val="20"/>
          <w:szCs w:val="20"/>
        </w:rPr>
        <w:fldChar w:fldCharType="begin"/>
      </w:r>
      <w:r w:rsidRPr="00ED4DE7">
        <w:rPr>
          <w:sz w:val="20"/>
          <w:szCs w:val="20"/>
        </w:rPr>
        <w:instrText xml:space="preserve"> ADDIN EN.REFLIST </w:instrText>
      </w:r>
      <w:r w:rsidRPr="00ED4DE7">
        <w:rPr>
          <w:sz w:val="20"/>
          <w:szCs w:val="20"/>
        </w:rPr>
        <w:fldChar w:fldCharType="separate"/>
      </w:r>
      <w:r w:rsidR="003A0673" w:rsidRPr="00ED4DE7">
        <w:rPr>
          <w:sz w:val="20"/>
          <w:szCs w:val="20"/>
        </w:rPr>
        <w:t>Australian Government. (2021). The New Frontier - Delivering better health for all Australians.</w:t>
      </w:r>
    </w:p>
    <w:p w14:paraId="23EC412F" w14:textId="77777777" w:rsidR="003A0673" w:rsidRPr="00ED4DE7" w:rsidRDefault="003A0673" w:rsidP="003A0673">
      <w:pPr>
        <w:pStyle w:val="EndNoteBibliography"/>
        <w:spacing w:after="0"/>
        <w:ind w:left="720" w:hanging="720"/>
        <w:rPr>
          <w:sz w:val="20"/>
          <w:szCs w:val="20"/>
        </w:rPr>
      </w:pPr>
      <w:r w:rsidRPr="00ED4DE7">
        <w:rPr>
          <w:sz w:val="20"/>
          <w:szCs w:val="20"/>
        </w:rPr>
        <w:t xml:space="preserve">Carter, D., Vogan, A., &amp; Haji Ali Afzali, H. (2016). Governments Need Better Guidance to Maximise Value for Money: The Case of Australia's Pharmaceutical Benefits Advisory Committee. </w:t>
      </w:r>
      <w:r w:rsidRPr="00ED4DE7">
        <w:rPr>
          <w:i/>
          <w:sz w:val="20"/>
          <w:szCs w:val="20"/>
        </w:rPr>
        <w:t xml:space="preserve">Appl Health Econ Health Policy, </w:t>
      </w:r>
      <w:r w:rsidRPr="00ED4DE7">
        <w:rPr>
          <w:sz w:val="20"/>
          <w:szCs w:val="20"/>
        </w:rPr>
        <w:t>14, 401-407.</w:t>
      </w:r>
    </w:p>
    <w:p w14:paraId="4F73ADE4" w14:textId="77777777" w:rsidR="003A0673" w:rsidRPr="00ED4DE7" w:rsidRDefault="003A0673" w:rsidP="003A0673">
      <w:pPr>
        <w:pStyle w:val="EndNoteBibliography"/>
        <w:spacing w:after="0"/>
        <w:ind w:left="720" w:hanging="720"/>
        <w:rPr>
          <w:sz w:val="20"/>
          <w:szCs w:val="20"/>
        </w:rPr>
      </w:pPr>
      <w:r w:rsidRPr="00ED4DE7">
        <w:rPr>
          <w:sz w:val="20"/>
          <w:szCs w:val="20"/>
        </w:rPr>
        <w:t xml:space="preserve">Kim, H., Byrnes, J., &amp; Goodall, S. (2021). Health Technology Assessment in Australia: The Pharmaceutical Benefits Advisory Committee and Medical Services Advisory Committee. </w:t>
      </w:r>
      <w:r w:rsidRPr="00ED4DE7">
        <w:rPr>
          <w:i/>
          <w:sz w:val="20"/>
          <w:szCs w:val="20"/>
        </w:rPr>
        <w:t xml:space="preserve">Value Health Reg Issues, </w:t>
      </w:r>
      <w:r w:rsidRPr="00ED4DE7">
        <w:rPr>
          <w:sz w:val="20"/>
          <w:szCs w:val="20"/>
        </w:rPr>
        <w:t>24, 6-11.</w:t>
      </w:r>
    </w:p>
    <w:p w14:paraId="52C341C2" w14:textId="77777777" w:rsidR="003A0673" w:rsidRPr="00ED4DE7" w:rsidRDefault="003A0673" w:rsidP="003A0673">
      <w:pPr>
        <w:pStyle w:val="EndNoteBibliography"/>
        <w:spacing w:after="0"/>
        <w:ind w:left="720" w:hanging="720"/>
        <w:rPr>
          <w:sz w:val="20"/>
          <w:szCs w:val="20"/>
        </w:rPr>
      </w:pPr>
      <w:r w:rsidRPr="00ED4DE7">
        <w:rPr>
          <w:sz w:val="20"/>
          <w:szCs w:val="20"/>
        </w:rPr>
        <w:t>McArthur, G. (2014). Herald sun news Melbourne woman pays $5K for drug the PBS doesn't cover for her type of cancer.  The Herald Sun.</w:t>
      </w:r>
    </w:p>
    <w:p w14:paraId="7107944E" w14:textId="77777777" w:rsidR="003A0673" w:rsidRPr="00ED4DE7" w:rsidRDefault="003A0673" w:rsidP="003A0673">
      <w:pPr>
        <w:pStyle w:val="EndNoteBibliography"/>
        <w:spacing w:after="0"/>
        <w:ind w:left="720" w:hanging="720"/>
        <w:rPr>
          <w:sz w:val="20"/>
          <w:szCs w:val="20"/>
        </w:rPr>
      </w:pPr>
      <w:r w:rsidRPr="00ED4DE7">
        <w:rPr>
          <w:sz w:val="20"/>
          <w:szCs w:val="20"/>
        </w:rPr>
        <w:t>MSAC. (2016). Post MSAC Process. In Australian Government Department of Health and Aged Care (Ed.).</w:t>
      </w:r>
    </w:p>
    <w:p w14:paraId="5F9BED73" w14:textId="77777777" w:rsidR="003A0673" w:rsidRPr="00ED4DE7" w:rsidRDefault="003A0673" w:rsidP="003A0673">
      <w:pPr>
        <w:pStyle w:val="EndNoteBibliography"/>
        <w:spacing w:after="0"/>
        <w:ind w:left="720" w:hanging="720"/>
        <w:rPr>
          <w:sz w:val="20"/>
          <w:szCs w:val="20"/>
        </w:rPr>
      </w:pPr>
      <w:r w:rsidRPr="00ED4DE7">
        <w:rPr>
          <w:sz w:val="20"/>
          <w:szCs w:val="20"/>
        </w:rPr>
        <w:t>MSAC. (2021). Guideline for preparing assessments for Medical Services Advisory Committee Version 1.0.</w:t>
      </w:r>
    </w:p>
    <w:p w14:paraId="6F458D2E" w14:textId="77777777" w:rsidR="003A0673" w:rsidRPr="00ED4DE7" w:rsidRDefault="003A0673" w:rsidP="003A0673">
      <w:pPr>
        <w:pStyle w:val="EndNoteBibliography"/>
        <w:spacing w:after="0"/>
        <w:ind w:left="720" w:hanging="720"/>
        <w:rPr>
          <w:sz w:val="20"/>
          <w:szCs w:val="20"/>
        </w:rPr>
      </w:pPr>
      <w:r w:rsidRPr="00ED4DE7">
        <w:rPr>
          <w:sz w:val="20"/>
          <w:szCs w:val="20"/>
        </w:rPr>
        <w:t>NHA. (1953). National Health Act 1953. In Australian Government (Ed.), No.95, 1953. Australia.</w:t>
      </w:r>
    </w:p>
    <w:p w14:paraId="4F598AF6" w14:textId="77777777" w:rsidR="003A0673" w:rsidRPr="00ED4DE7" w:rsidRDefault="003A0673" w:rsidP="003A0673">
      <w:pPr>
        <w:pStyle w:val="EndNoteBibliography"/>
        <w:spacing w:after="0"/>
        <w:ind w:left="720" w:hanging="720"/>
        <w:rPr>
          <w:sz w:val="20"/>
          <w:szCs w:val="20"/>
        </w:rPr>
      </w:pPr>
      <w:r w:rsidRPr="00ED4DE7">
        <w:rPr>
          <w:sz w:val="20"/>
          <w:szCs w:val="20"/>
        </w:rPr>
        <w:t>Parliament of Australia. (2022). The Pharmaceutical Benefits Scheme: a quick guide. Parliament of Australia.</w:t>
      </w:r>
    </w:p>
    <w:p w14:paraId="3A35E6AB" w14:textId="77777777" w:rsidR="003A0673" w:rsidRPr="00ED4DE7" w:rsidRDefault="003A0673" w:rsidP="003A0673">
      <w:pPr>
        <w:pStyle w:val="EndNoteBibliography"/>
        <w:spacing w:after="0"/>
        <w:ind w:left="720" w:hanging="720"/>
        <w:rPr>
          <w:sz w:val="20"/>
          <w:szCs w:val="20"/>
        </w:rPr>
      </w:pPr>
      <w:r w:rsidRPr="00ED4DE7">
        <w:rPr>
          <w:sz w:val="20"/>
          <w:szCs w:val="20"/>
        </w:rPr>
        <w:t>PBAC. (2016). Guidelines for preparing submissions to the Pharmaceutical Benefits Advisory Committee (PBAC) Version 5.0.</w:t>
      </w:r>
    </w:p>
    <w:p w14:paraId="5D5E0DE6" w14:textId="77777777" w:rsidR="003A0673" w:rsidRPr="00ED4DE7" w:rsidRDefault="003A0673" w:rsidP="003A0673">
      <w:pPr>
        <w:pStyle w:val="EndNoteBibliography"/>
        <w:spacing w:after="0"/>
        <w:ind w:left="720" w:hanging="720"/>
        <w:rPr>
          <w:sz w:val="20"/>
          <w:szCs w:val="20"/>
        </w:rPr>
      </w:pPr>
      <w:r w:rsidRPr="00ED4DE7">
        <w:rPr>
          <w:sz w:val="20"/>
          <w:szCs w:val="20"/>
        </w:rPr>
        <w:t xml:space="preserve">Pearce, A., van Gool, K., Haywood, P., &amp; Hass, M. (2012). Delays in access to affordable medicines: putting policy into perspective. </w:t>
      </w:r>
      <w:r w:rsidRPr="00ED4DE7">
        <w:rPr>
          <w:i/>
          <w:sz w:val="20"/>
          <w:szCs w:val="20"/>
        </w:rPr>
        <w:t xml:space="preserve">Australian Health Review, </w:t>
      </w:r>
      <w:r w:rsidRPr="00ED4DE7">
        <w:rPr>
          <w:sz w:val="20"/>
          <w:szCs w:val="20"/>
        </w:rPr>
        <w:t>36, 412-418.</w:t>
      </w:r>
    </w:p>
    <w:p w14:paraId="04D25899" w14:textId="77777777" w:rsidR="003A0673" w:rsidRPr="00ED4DE7" w:rsidRDefault="003A0673" w:rsidP="003A0673">
      <w:pPr>
        <w:pStyle w:val="EndNoteBibliography"/>
        <w:spacing w:after="0"/>
        <w:ind w:left="720" w:hanging="720"/>
        <w:rPr>
          <w:sz w:val="20"/>
          <w:szCs w:val="20"/>
        </w:rPr>
      </w:pPr>
      <w:r w:rsidRPr="00ED4DE7">
        <w:rPr>
          <w:sz w:val="20"/>
          <w:szCs w:val="20"/>
        </w:rPr>
        <w:t xml:space="preserve">Pearson, S.A., Ringland, C.L., &amp; Ward, R.L. (2007). Trastuzumab and metastatic breast cancer: trastuzumab use in Australia--monitoring the effect of an expensive medicine access program. </w:t>
      </w:r>
      <w:r w:rsidRPr="00ED4DE7">
        <w:rPr>
          <w:i/>
          <w:sz w:val="20"/>
          <w:szCs w:val="20"/>
        </w:rPr>
        <w:t xml:space="preserve">J Clin Oncol, </w:t>
      </w:r>
      <w:r w:rsidRPr="00ED4DE7">
        <w:rPr>
          <w:sz w:val="20"/>
          <w:szCs w:val="20"/>
        </w:rPr>
        <w:t>25, 3688-3693.</w:t>
      </w:r>
    </w:p>
    <w:p w14:paraId="7E53171E" w14:textId="77777777" w:rsidR="003A0673" w:rsidRPr="00ED4DE7" w:rsidRDefault="003A0673" w:rsidP="003A0673">
      <w:pPr>
        <w:pStyle w:val="EndNoteBibliography"/>
        <w:spacing w:after="0"/>
        <w:ind w:left="720" w:hanging="720"/>
        <w:rPr>
          <w:sz w:val="20"/>
          <w:szCs w:val="20"/>
        </w:rPr>
      </w:pPr>
      <w:r w:rsidRPr="00ED4DE7">
        <w:rPr>
          <w:sz w:val="20"/>
          <w:szCs w:val="20"/>
        </w:rPr>
        <w:t xml:space="preserve">Salkeld, G., Mitchell, A., &amp; Hill, S. (1998). Pharmaceuticals.  </w:t>
      </w:r>
      <w:r w:rsidRPr="00ED4DE7">
        <w:rPr>
          <w:i/>
          <w:sz w:val="20"/>
          <w:szCs w:val="20"/>
        </w:rPr>
        <w:t>Economics and Australian health policy</w:t>
      </w:r>
      <w:r w:rsidRPr="00ED4DE7">
        <w:rPr>
          <w:sz w:val="20"/>
          <w:szCs w:val="20"/>
        </w:rPr>
        <w:t xml:space="preserve"> pp. 115-136): Routledge.</w:t>
      </w:r>
    </w:p>
    <w:p w14:paraId="6FD7C39E" w14:textId="77777777" w:rsidR="003A0673" w:rsidRPr="00ED4DE7" w:rsidRDefault="003A0673" w:rsidP="003A0673">
      <w:pPr>
        <w:pStyle w:val="EndNoteBibliography"/>
        <w:spacing w:after="0"/>
        <w:ind w:left="720" w:hanging="720"/>
        <w:rPr>
          <w:sz w:val="20"/>
          <w:szCs w:val="20"/>
        </w:rPr>
      </w:pPr>
      <w:r w:rsidRPr="00ED4DE7">
        <w:rPr>
          <w:sz w:val="20"/>
          <w:szCs w:val="20"/>
        </w:rPr>
        <w:t>Schafer, T. (2011). Legal Rx alert: Government administration of the PBS needs more transparency.</w:t>
      </w:r>
    </w:p>
    <w:p w14:paraId="7D118CE7" w14:textId="77777777" w:rsidR="003A0673" w:rsidRPr="00ED4DE7" w:rsidRDefault="003A0673" w:rsidP="003A0673">
      <w:pPr>
        <w:pStyle w:val="EndNoteBibliography"/>
        <w:spacing w:after="0"/>
        <w:ind w:left="720" w:hanging="720"/>
        <w:rPr>
          <w:sz w:val="20"/>
          <w:szCs w:val="20"/>
        </w:rPr>
      </w:pPr>
      <w:r w:rsidRPr="00ED4DE7">
        <w:rPr>
          <w:sz w:val="20"/>
          <w:szCs w:val="20"/>
        </w:rPr>
        <w:t>Senate of Australia. (2014). Availability of new, innovative and specialist cancer drugs in Australia.</w:t>
      </w:r>
    </w:p>
    <w:p w14:paraId="45D7703F" w14:textId="77777777" w:rsidR="003A0673" w:rsidRPr="00ED4DE7" w:rsidRDefault="003A0673" w:rsidP="003A0673">
      <w:pPr>
        <w:pStyle w:val="EndNoteBibliography"/>
        <w:spacing w:after="0"/>
        <w:ind w:left="720" w:hanging="720"/>
        <w:rPr>
          <w:sz w:val="20"/>
          <w:szCs w:val="20"/>
        </w:rPr>
      </w:pPr>
      <w:r w:rsidRPr="00ED4DE7">
        <w:rPr>
          <w:sz w:val="20"/>
          <w:szCs w:val="20"/>
        </w:rPr>
        <w:t xml:space="preserve">Ware, R.E., Francis, H.W., &amp; Read, K.E. (2004). The Australian Government’s Review of Positron Emission Tomography: evidence-based policy-making in action. </w:t>
      </w:r>
      <w:r w:rsidRPr="00ED4DE7">
        <w:rPr>
          <w:i/>
          <w:sz w:val="20"/>
          <w:szCs w:val="20"/>
        </w:rPr>
        <w:t xml:space="preserve">MJA, </w:t>
      </w:r>
      <w:r w:rsidRPr="00ED4DE7">
        <w:rPr>
          <w:sz w:val="20"/>
          <w:szCs w:val="20"/>
        </w:rPr>
        <w:t>180, 627-632.</w:t>
      </w:r>
    </w:p>
    <w:p w14:paraId="353CC16F" w14:textId="77777777" w:rsidR="003A0673" w:rsidRPr="00ED4DE7" w:rsidRDefault="003A0673" w:rsidP="003A0673">
      <w:pPr>
        <w:pStyle w:val="EndNoteBibliography"/>
        <w:ind w:left="720" w:hanging="720"/>
        <w:rPr>
          <w:sz w:val="20"/>
          <w:szCs w:val="20"/>
        </w:rPr>
      </w:pPr>
      <w:r w:rsidRPr="00ED4DE7">
        <w:rPr>
          <w:sz w:val="20"/>
          <w:szCs w:val="20"/>
        </w:rPr>
        <w:t>Zimmerman review. (2021). The New Frontier - Delivering better health for all Australians. In Australian Government (Ed.).</w:t>
      </w:r>
    </w:p>
    <w:p w14:paraId="540F54BF" w14:textId="74F9FBC6" w:rsidR="008D59F1" w:rsidRDefault="008D59F1" w:rsidP="008D59F1">
      <w:pPr>
        <w:rPr>
          <w:rFonts w:cstheme="minorHAnsi"/>
          <w:lang w:eastAsia="en-US"/>
        </w:rPr>
      </w:pPr>
      <w:r w:rsidRPr="00ED4DE7">
        <w:rPr>
          <w:sz w:val="20"/>
          <w:szCs w:val="20"/>
        </w:rPr>
        <w:fldChar w:fldCharType="end"/>
      </w:r>
      <w:r>
        <w:rPr>
          <w:rFonts w:cstheme="minorHAnsi"/>
          <w:lang w:eastAsia="en-US"/>
        </w:rPr>
        <w:br w:type="page"/>
      </w:r>
    </w:p>
    <w:p w14:paraId="6B331760" w14:textId="702622CB" w:rsidR="008D59F1" w:rsidRDefault="008D59F1" w:rsidP="008D59F1">
      <w:pPr>
        <w:pStyle w:val="Heading1"/>
        <w:keepNext/>
        <w:keepLines/>
        <w:widowControl w:val="0"/>
        <w:pBdr>
          <w:bottom w:val="none" w:sz="0" w:space="0" w:color="auto"/>
        </w:pBdr>
        <w:spacing w:before="480" w:line="360" w:lineRule="auto"/>
        <w:jc w:val="both"/>
        <w:rPr>
          <w:rFonts w:asciiTheme="minorHAnsi" w:eastAsiaTheme="majorEastAsia" w:hAnsiTheme="minorHAnsi" w:cstheme="minorHAnsi"/>
          <w:b/>
          <w:bCs/>
          <w:caps w:val="0"/>
          <w:snapToGrid w:val="0"/>
          <w:color w:val="auto"/>
          <w:spacing w:val="0"/>
          <w:lang w:eastAsia="en-US"/>
        </w:rPr>
      </w:pPr>
      <w:r w:rsidRPr="00044BD5">
        <w:rPr>
          <w:rFonts w:asciiTheme="minorHAnsi" w:eastAsiaTheme="majorEastAsia" w:hAnsiTheme="minorHAnsi" w:cstheme="minorHAnsi"/>
          <w:b/>
          <w:bCs/>
          <w:caps w:val="0"/>
          <w:snapToGrid w:val="0"/>
          <w:color w:val="auto"/>
          <w:spacing w:val="0"/>
          <w:lang w:eastAsia="en-US"/>
        </w:rPr>
        <w:lastRenderedPageBreak/>
        <w:t>A</w:t>
      </w:r>
      <w:r>
        <w:rPr>
          <w:rFonts w:asciiTheme="minorHAnsi" w:eastAsiaTheme="majorEastAsia" w:hAnsiTheme="minorHAnsi" w:cstheme="minorHAnsi"/>
          <w:b/>
          <w:bCs/>
          <w:caps w:val="0"/>
          <w:snapToGrid w:val="0"/>
          <w:color w:val="auto"/>
          <w:spacing w:val="0"/>
          <w:lang w:eastAsia="en-US"/>
        </w:rPr>
        <w:t>ppendix</w:t>
      </w:r>
      <w:r w:rsidRPr="00044BD5">
        <w:rPr>
          <w:rFonts w:asciiTheme="minorHAnsi" w:eastAsiaTheme="majorEastAsia" w:hAnsiTheme="minorHAnsi" w:cstheme="minorHAnsi"/>
          <w:b/>
          <w:bCs/>
          <w:caps w:val="0"/>
          <w:snapToGrid w:val="0"/>
          <w:color w:val="auto"/>
          <w:spacing w:val="0"/>
          <w:lang w:eastAsia="en-US"/>
        </w:rPr>
        <w:t xml:space="preserve"> </w:t>
      </w:r>
      <w:r>
        <w:rPr>
          <w:rFonts w:asciiTheme="minorHAnsi" w:eastAsiaTheme="majorEastAsia" w:hAnsiTheme="minorHAnsi" w:cstheme="minorHAnsi"/>
          <w:b/>
          <w:bCs/>
          <w:caps w:val="0"/>
          <w:snapToGrid w:val="0"/>
          <w:color w:val="auto"/>
          <w:spacing w:val="0"/>
          <w:lang w:eastAsia="en-US"/>
        </w:rPr>
        <w:t>2</w:t>
      </w:r>
      <w:r w:rsidRPr="00044BD5">
        <w:rPr>
          <w:rFonts w:asciiTheme="minorHAnsi" w:eastAsiaTheme="majorEastAsia" w:hAnsiTheme="minorHAnsi" w:cstheme="minorHAnsi"/>
          <w:b/>
          <w:bCs/>
          <w:caps w:val="0"/>
          <w:snapToGrid w:val="0"/>
          <w:color w:val="auto"/>
          <w:spacing w:val="0"/>
          <w:lang w:eastAsia="en-US"/>
        </w:rPr>
        <w:t xml:space="preserve">: </w:t>
      </w:r>
      <w:r>
        <w:rPr>
          <w:rFonts w:asciiTheme="minorHAnsi" w:eastAsiaTheme="majorEastAsia" w:hAnsiTheme="minorHAnsi" w:cstheme="minorHAnsi"/>
          <w:b/>
          <w:bCs/>
          <w:caps w:val="0"/>
          <w:snapToGrid w:val="0"/>
          <w:color w:val="auto"/>
          <w:spacing w:val="0"/>
          <w:lang w:eastAsia="en-US"/>
        </w:rPr>
        <w:t>I</w:t>
      </w:r>
      <w:r w:rsidRPr="00044BD5">
        <w:rPr>
          <w:rFonts w:asciiTheme="minorHAnsi" w:eastAsiaTheme="majorEastAsia" w:hAnsiTheme="minorHAnsi" w:cstheme="minorHAnsi"/>
          <w:b/>
          <w:bCs/>
          <w:caps w:val="0"/>
          <w:snapToGrid w:val="0"/>
          <w:color w:val="auto"/>
          <w:spacing w:val="0"/>
          <w:lang w:eastAsia="en-US"/>
        </w:rPr>
        <w:t>nterview guides</w:t>
      </w:r>
    </w:p>
    <w:p w14:paraId="22149E9C" w14:textId="77777777" w:rsidR="008D59F1" w:rsidRPr="0064085D" w:rsidRDefault="008D59F1" w:rsidP="008D59F1">
      <w:pPr>
        <w:rPr>
          <w:rFonts w:cstheme="minorHAnsi"/>
          <w:lang w:eastAsia="en-US"/>
        </w:rPr>
      </w:pPr>
    </w:p>
    <w:p w14:paraId="0C158D55" w14:textId="77777777" w:rsidR="008D59F1" w:rsidRPr="0064085D" w:rsidRDefault="008D59F1" w:rsidP="008D59F1">
      <w:pPr>
        <w:pStyle w:val="Level2Heading"/>
        <w:spacing w:line="360" w:lineRule="auto"/>
        <w:outlineLvl w:val="2"/>
        <w:rPr>
          <w:rFonts w:asciiTheme="minorHAnsi" w:hAnsiTheme="minorHAnsi" w:cstheme="minorHAnsi"/>
        </w:rPr>
      </w:pPr>
      <w:r w:rsidRPr="0064085D">
        <w:rPr>
          <w:rFonts w:asciiTheme="minorHAnsi" w:hAnsiTheme="minorHAnsi" w:cstheme="minorHAnsi"/>
        </w:rPr>
        <w:t>2014 Interviews</w:t>
      </w:r>
    </w:p>
    <w:p w14:paraId="31DBB45F" w14:textId="77777777" w:rsidR="008D59F1" w:rsidRPr="0064085D" w:rsidRDefault="008D59F1" w:rsidP="008D59F1">
      <w:pPr>
        <w:rPr>
          <w:rFonts w:cstheme="minorHAnsi"/>
          <w:lang w:eastAsia="en-US"/>
        </w:rPr>
      </w:pPr>
    </w:p>
    <w:p w14:paraId="54A366B8" w14:textId="77777777" w:rsidR="008D59F1" w:rsidRPr="0064085D" w:rsidRDefault="008D59F1" w:rsidP="008D59F1">
      <w:pPr>
        <w:spacing w:line="360" w:lineRule="auto"/>
        <w:jc w:val="center"/>
        <w:rPr>
          <w:rFonts w:cstheme="minorHAnsi"/>
          <w:b/>
          <w:sz w:val="24"/>
          <w:szCs w:val="24"/>
        </w:rPr>
      </w:pPr>
      <w:r w:rsidRPr="0064085D">
        <w:rPr>
          <w:rFonts w:cstheme="minorHAnsi"/>
          <w:b/>
          <w:bCs/>
          <w:i/>
          <w:iCs/>
          <w:sz w:val="24"/>
          <w:szCs w:val="24"/>
        </w:rPr>
        <w:t>Exploring decision-makers’ views on health care priority setting in Australia</w:t>
      </w:r>
      <w:r w:rsidRPr="0064085D">
        <w:rPr>
          <w:rFonts w:cstheme="minorHAnsi"/>
          <w:b/>
          <w:sz w:val="24"/>
          <w:szCs w:val="24"/>
        </w:rPr>
        <w:t xml:space="preserve"> </w:t>
      </w:r>
    </w:p>
    <w:p w14:paraId="1BA88241" w14:textId="77777777" w:rsidR="008D59F1" w:rsidRPr="0064085D" w:rsidRDefault="008D59F1" w:rsidP="008D59F1">
      <w:pPr>
        <w:spacing w:line="360" w:lineRule="auto"/>
        <w:jc w:val="center"/>
        <w:rPr>
          <w:rFonts w:cstheme="minorHAnsi"/>
          <w:b/>
          <w:sz w:val="24"/>
          <w:szCs w:val="24"/>
        </w:rPr>
      </w:pPr>
      <w:r w:rsidRPr="0064085D">
        <w:rPr>
          <w:rFonts w:eastAsia="SimSun" w:cstheme="minorHAnsi"/>
          <w:b/>
          <w:sz w:val="24"/>
          <w:szCs w:val="24"/>
        </w:rPr>
        <w:t>Draft Telephone interview</w:t>
      </w:r>
      <w:r w:rsidRPr="0064085D">
        <w:rPr>
          <w:rFonts w:cstheme="minorHAnsi"/>
          <w:b/>
          <w:sz w:val="24"/>
          <w:szCs w:val="24"/>
        </w:rPr>
        <w:t xml:space="preserve"> topic guide </w:t>
      </w:r>
    </w:p>
    <w:p w14:paraId="2A99B030" w14:textId="1DD8A7FE" w:rsidR="008D59F1" w:rsidRPr="0064085D" w:rsidRDefault="00BE0F66" w:rsidP="008D59F1">
      <w:pPr>
        <w:spacing w:line="360" w:lineRule="auto"/>
        <w:jc w:val="center"/>
        <w:rPr>
          <w:rFonts w:cstheme="minorHAnsi"/>
          <w:b/>
          <w:sz w:val="24"/>
          <w:szCs w:val="24"/>
        </w:rPr>
      </w:pPr>
      <w:r>
        <w:rPr>
          <w:rFonts w:cstheme="minorHAnsi"/>
          <w:b/>
          <w:sz w:val="24"/>
          <w:szCs w:val="24"/>
        </w:rPr>
        <w:t>20</w:t>
      </w:r>
      <w:r w:rsidR="008D59F1" w:rsidRPr="0064085D">
        <w:rPr>
          <w:rFonts w:cstheme="minorHAnsi"/>
          <w:b/>
          <w:sz w:val="24"/>
          <w:szCs w:val="24"/>
        </w:rPr>
        <w:t>14</w:t>
      </w:r>
    </w:p>
    <w:p w14:paraId="1FA8FD80" w14:textId="77777777" w:rsidR="008D59F1" w:rsidRPr="0064085D" w:rsidRDefault="008D59F1" w:rsidP="008D59F1">
      <w:pPr>
        <w:spacing w:line="360" w:lineRule="auto"/>
        <w:rPr>
          <w:rFonts w:eastAsia="SimSun" w:cstheme="minorHAnsi"/>
          <w:b/>
          <w:sz w:val="24"/>
          <w:szCs w:val="24"/>
        </w:rPr>
      </w:pPr>
      <w:r w:rsidRPr="0064085D">
        <w:rPr>
          <w:rFonts w:cstheme="minorHAnsi"/>
          <w:b/>
          <w:sz w:val="24"/>
          <w:szCs w:val="24"/>
        </w:rPr>
        <w:t xml:space="preserve">Approach to the </w:t>
      </w:r>
      <w:r w:rsidRPr="0064085D">
        <w:rPr>
          <w:rFonts w:eastAsia="SimSun" w:cstheme="minorHAnsi"/>
          <w:b/>
          <w:sz w:val="24"/>
          <w:szCs w:val="24"/>
        </w:rPr>
        <w:t>telephone interview</w:t>
      </w:r>
    </w:p>
    <w:p w14:paraId="3111D8D7" w14:textId="77777777" w:rsidR="008D59F1" w:rsidRPr="0064085D" w:rsidRDefault="008D59F1" w:rsidP="008D59F1">
      <w:pPr>
        <w:spacing w:line="360" w:lineRule="auto"/>
        <w:rPr>
          <w:rFonts w:cstheme="minorHAnsi"/>
          <w:sz w:val="24"/>
          <w:szCs w:val="24"/>
        </w:rPr>
      </w:pPr>
      <w:r w:rsidRPr="0064085D">
        <w:rPr>
          <w:rFonts w:cstheme="minorHAnsi"/>
          <w:sz w:val="24"/>
          <w:szCs w:val="24"/>
        </w:rPr>
        <w:t xml:space="preserve">The </w:t>
      </w:r>
      <w:r w:rsidRPr="0064085D">
        <w:rPr>
          <w:rFonts w:eastAsia="SimSun" w:cstheme="minorHAnsi"/>
          <w:sz w:val="24"/>
          <w:szCs w:val="24"/>
        </w:rPr>
        <w:t>telephone interview</w:t>
      </w:r>
      <w:r w:rsidRPr="0064085D">
        <w:rPr>
          <w:rFonts w:cstheme="minorHAnsi"/>
          <w:sz w:val="24"/>
          <w:szCs w:val="24"/>
        </w:rPr>
        <w:t xml:space="preserve"> will be semi-structured to give participants an opportunity to discuss their views and preferences regarding health care resource allocation.  </w:t>
      </w:r>
    </w:p>
    <w:p w14:paraId="031002F1" w14:textId="77777777" w:rsidR="008D59F1" w:rsidRPr="0064085D" w:rsidRDefault="008D59F1" w:rsidP="008D59F1">
      <w:pPr>
        <w:pStyle w:val="ListParagraph"/>
        <w:numPr>
          <w:ilvl w:val="0"/>
          <w:numId w:val="7"/>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I</w:t>
      </w:r>
      <w:r w:rsidRPr="0064085D">
        <w:rPr>
          <w:rFonts w:asciiTheme="minorHAnsi" w:hAnsiTheme="minorHAnsi" w:cstheme="minorHAnsi"/>
          <w:bCs/>
          <w:sz w:val="24"/>
          <w:szCs w:val="24"/>
        </w:rPr>
        <w:t>ntroduction, thanks for participation and background re area of research</w:t>
      </w:r>
    </w:p>
    <w:p w14:paraId="184D77FF" w14:textId="77777777" w:rsidR="008D59F1" w:rsidRPr="0064085D" w:rsidRDefault="008D59F1" w:rsidP="008D59F1">
      <w:pPr>
        <w:pStyle w:val="1AutoList7"/>
        <w:numPr>
          <w:ilvl w:val="0"/>
          <w:numId w:val="8"/>
        </w:numPr>
        <w:spacing w:line="360" w:lineRule="auto"/>
        <w:ind w:left="1077" w:hanging="357"/>
        <w:rPr>
          <w:rFonts w:asciiTheme="minorHAnsi" w:hAnsiTheme="minorHAnsi" w:cstheme="minorHAnsi"/>
          <w:sz w:val="24"/>
        </w:rPr>
      </w:pPr>
      <w:r w:rsidRPr="0064085D">
        <w:rPr>
          <w:rFonts w:asciiTheme="minorHAnsi" w:hAnsiTheme="minorHAnsi" w:cstheme="minorHAnsi"/>
          <w:sz w:val="24"/>
        </w:rPr>
        <w:t xml:space="preserve">As you know, today's topic of discussion is priority setting in health care resource allocation, particularly focusing on health technologies (including drugs, devices, consultations, diagnostic tests etc.; i.e. the areas covered by PBAC/PBS and MSAC/MBS).  What we learn from these interviews will help us to design our study questionnaire which we will administer with a sample of current and past committee members and members of the general public.  </w:t>
      </w:r>
    </w:p>
    <w:p w14:paraId="6F013E10" w14:textId="77777777" w:rsidR="008D59F1" w:rsidRPr="0064085D" w:rsidRDefault="008D59F1" w:rsidP="008D59F1">
      <w:pPr>
        <w:pStyle w:val="ListParagraph"/>
        <w:numPr>
          <w:ilvl w:val="0"/>
          <w:numId w:val="8"/>
        </w:numPr>
        <w:spacing w:line="360" w:lineRule="auto"/>
        <w:ind w:left="1077" w:hanging="357"/>
        <w:rPr>
          <w:rFonts w:asciiTheme="minorHAnsi" w:hAnsiTheme="minorHAnsi" w:cstheme="minorHAnsi"/>
          <w:bCs/>
          <w:sz w:val="24"/>
          <w:szCs w:val="24"/>
        </w:rPr>
      </w:pPr>
      <w:r w:rsidRPr="0064085D">
        <w:rPr>
          <w:rFonts w:asciiTheme="minorHAnsi" w:hAnsiTheme="minorHAnsi" w:cstheme="minorHAnsi"/>
          <w:bCs/>
          <w:sz w:val="24"/>
          <w:szCs w:val="24"/>
        </w:rPr>
        <w:t xml:space="preserve">Reminder that the </w:t>
      </w:r>
      <w:r w:rsidRPr="0064085D">
        <w:rPr>
          <w:rFonts w:asciiTheme="minorHAnsi" w:eastAsia="SimSun" w:hAnsiTheme="minorHAnsi" w:cstheme="minorHAnsi"/>
          <w:bCs/>
          <w:sz w:val="24"/>
          <w:szCs w:val="24"/>
        </w:rPr>
        <w:t>interview</w:t>
      </w:r>
      <w:r w:rsidRPr="0064085D">
        <w:rPr>
          <w:rFonts w:asciiTheme="minorHAnsi" w:hAnsiTheme="minorHAnsi" w:cstheme="minorHAnsi"/>
          <w:bCs/>
          <w:sz w:val="24"/>
          <w:szCs w:val="24"/>
        </w:rPr>
        <w:t xml:space="preserve"> will be audio-taped and likely take approx. 45-60 minutes</w:t>
      </w:r>
    </w:p>
    <w:p w14:paraId="1DB6E726" w14:textId="77777777" w:rsidR="008D59F1" w:rsidRPr="0064085D" w:rsidRDefault="008D59F1" w:rsidP="008D59F1">
      <w:pPr>
        <w:pStyle w:val="ListParagraph"/>
        <w:numPr>
          <w:ilvl w:val="0"/>
          <w:numId w:val="8"/>
        </w:numPr>
        <w:spacing w:line="360" w:lineRule="auto"/>
        <w:rPr>
          <w:rFonts w:asciiTheme="minorHAnsi" w:eastAsia="SimSun" w:hAnsiTheme="minorHAnsi" w:cstheme="minorHAnsi"/>
          <w:bCs/>
          <w:sz w:val="24"/>
          <w:szCs w:val="24"/>
        </w:rPr>
      </w:pPr>
      <w:r w:rsidRPr="0064085D">
        <w:rPr>
          <w:rFonts w:asciiTheme="minorHAnsi" w:hAnsiTheme="minorHAnsi" w:cstheme="minorHAnsi"/>
          <w:bCs/>
          <w:sz w:val="24"/>
          <w:szCs w:val="24"/>
        </w:rPr>
        <w:t>Explain that the</w:t>
      </w:r>
      <w:r w:rsidRPr="0064085D">
        <w:rPr>
          <w:rFonts w:asciiTheme="minorHAnsi" w:eastAsia="SimSun" w:hAnsiTheme="minorHAnsi" w:cstheme="minorHAnsi"/>
          <w:bCs/>
          <w:sz w:val="24"/>
          <w:szCs w:val="24"/>
        </w:rPr>
        <w:t xml:space="preserve"> interviewee</w:t>
      </w:r>
      <w:r w:rsidRPr="0064085D">
        <w:rPr>
          <w:rFonts w:asciiTheme="minorHAnsi" w:hAnsiTheme="minorHAnsi" w:cstheme="minorHAnsi"/>
          <w:bCs/>
          <w:sz w:val="24"/>
          <w:szCs w:val="24"/>
        </w:rPr>
        <w:t xml:space="preserve"> can withdraw from the interview at any time</w:t>
      </w:r>
    </w:p>
    <w:p w14:paraId="0CCE4FAF" w14:textId="77777777" w:rsidR="008D59F1" w:rsidRPr="0064085D" w:rsidRDefault="008D59F1" w:rsidP="008D59F1">
      <w:pPr>
        <w:pStyle w:val="ListParagraph"/>
        <w:spacing w:line="360" w:lineRule="auto"/>
        <w:ind w:left="360"/>
        <w:rPr>
          <w:rFonts w:asciiTheme="minorHAnsi" w:eastAsia="SimSun" w:hAnsiTheme="minorHAnsi" w:cstheme="minorHAnsi"/>
          <w:bCs/>
          <w:sz w:val="24"/>
          <w:szCs w:val="24"/>
        </w:rPr>
      </w:pPr>
    </w:p>
    <w:p w14:paraId="61D3ACDC" w14:textId="77777777" w:rsidR="008D59F1" w:rsidRPr="0064085D" w:rsidRDefault="008D59F1" w:rsidP="008D59F1">
      <w:pPr>
        <w:pStyle w:val="ListParagraph"/>
        <w:numPr>
          <w:ilvl w:val="0"/>
          <w:numId w:val="7"/>
        </w:numPr>
        <w:spacing w:line="360" w:lineRule="auto"/>
        <w:rPr>
          <w:rFonts w:asciiTheme="minorHAnsi" w:hAnsiTheme="minorHAnsi" w:cstheme="minorHAnsi"/>
          <w:bCs/>
          <w:sz w:val="24"/>
          <w:szCs w:val="24"/>
        </w:rPr>
      </w:pPr>
      <w:r w:rsidRPr="0064085D">
        <w:rPr>
          <w:rFonts w:asciiTheme="minorHAnsi" w:hAnsiTheme="minorHAnsi" w:cstheme="minorHAnsi"/>
          <w:bCs/>
          <w:sz w:val="24"/>
          <w:szCs w:val="24"/>
        </w:rPr>
        <w:t xml:space="preserve">To get started, we are interested to know when considering items for listing on the PBS or MBS, what things would you want to know about the health technology before giving a recommendation on listing?  </w:t>
      </w:r>
    </w:p>
    <w:p w14:paraId="109B6E48" w14:textId="77777777" w:rsidR="008D59F1" w:rsidRPr="0064085D" w:rsidRDefault="008D59F1" w:rsidP="008D59F1">
      <w:pPr>
        <w:pStyle w:val="ListParagraph"/>
        <w:rPr>
          <w:rFonts w:asciiTheme="minorHAnsi" w:hAnsiTheme="minorHAnsi" w:cstheme="minorHAnsi"/>
          <w:bCs/>
          <w:sz w:val="24"/>
          <w:szCs w:val="24"/>
        </w:rPr>
      </w:pPr>
    </w:p>
    <w:p w14:paraId="35E28B63" w14:textId="77777777" w:rsidR="008D59F1" w:rsidRPr="0064085D" w:rsidRDefault="008D59F1" w:rsidP="008D59F1">
      <w:pPr>
        <w:pStyle w:val="ListParagraph"/>
        <w:numPr>
          <w:ilvl w:val="0"/>
          <w:numId w:val="7"/>
        </w:numPr>
        <w:spacing w:line="360" w:lineRule="auto"/>
        <w:rPr>
          <w:rFonts w:asciiTheme="minorHAnsi" w:hAnsiTheme="minorHAnsi" w:cstheme="minorHAnsi"/>
          <w:bCs/>
          <w:sz w:val="24"/>
          <w:szCs w:val="24"/>
        </w:rPr>
      </w:pPr>
      <w:r w:rsidRPr="0064085D">
        <w:rPr>
          <w:rFonts w:asciiTheme="minorHAnsi" w:hAnsiTheme="minorHAnsi" w:cstheme="minorHAnsi"/>
          <w:bCs/>
          <w:sz w:val="24"/>
          <w:szCs w:val="24"/>
        </w:rPr>
        <w:t xml:space="preserve">As you know, health technologies may benefit different types of people.  Which characteristics of the beneficiaries of the technologies do you think are most important when deciding how best to allocate scarce health care resources or who to give priority to? </w:t>
      </w:r>
      <w:r w:rsidRPr="0064085D">
        <w:rPr>
          <w:rFonts w:asciiTheme="minorHAnsi" w:hAnsiTheme="minorHAnsi" w:cstheme="minorHAnsi"/>
          <w:i/>
          <w:iCs/>
          <w:sz w:val="24"/>
          <w:lang w:eastAsia="zh-TW"/>
        </w:rPr>
        <w:t xml:space="preserve">If not raised, ask interviewees views on: </w:t>
      </w:r>
    </w:p>
    <w:p w14:paraId="4F0A1687" w14:textId="77777777" w:rsidR="008D59F1" w:rsidRPr="0064085D" w:rsidRDefault="008D59F1" w:rsidP="008D59F1">
      <w:pPr>
        <w:pStyle w:val="ListParagraph"/>
        <w:rPr>
          <w:rFonts w:asciiTheme="minorHAnsi" w:hAnsiTheme="minorHAnsi" w:cstheme="minorHAnsi"/>
          <w:i/>
          <w:iCs/>
          <w:sz w:val="24"/>
          <w:lang w:eastAsia="zh-TW"/>
        </w:rPr>
      </w:pPr>
    </w:p>
    <w:p w14:paraId="510F1069" w14:textId="77777777" w:rsidR="008D59F1" w:rsidRPr="0064085D" w:rsidRDefault="008D59F1" w:rsidP="008D59F1">
      <w:pPr>
        <w:pStyle w:val="ListParagraph"/>
        <w:numPr>
          <w:ilvl w:val="0"/>
          <w:numId w:val="10"/>
        </w:numPr>
        <w:spacing w:line="360" w:lineRule="auto"/>
        <w:rPr>
          <w:rFonts w:asciiTheme="minorHAnsi" w:hAnsiTheme="minorHAnsi" w:cstheme="minorHAnsi"/>
          <w:bCs/>
          <w:sz w:val="24"/>
          <w:szCs w:val="24"/>
        </w:rPr>
      </w:pPr>
      <w:r w:rsidRPr="0064085D">
        <w:rPr>
          <w:rFonts w:asciiTheme="minorHAnsi" w:hAnsiTheme="minorHAnsi" w:cstheme="minorHAnsi"/>
          <w:bCs/>
          <w:sz w:val="24"/>
          <w:szCs w:val="24"/>
        </w:rPr>
        <w:lastRenderedPageBreak/>
        <w:t>Age of onset</w:t>
      </w:r>
    </w:p>
    <w:p w14:paraId="49F55E0A" w14:textId="77777777" w:rsidR="008D59F1" w:rsidRPr="0064085D" w:rsidRDefault="008D59F1" w:rsidP="008D59F1">
      <w:pPr>
        <w:pStyle w:val="ListParagraph"/>
        <w:numPr>
          <w:ilvl w:val="0"/>
          <w:numId w:val="10"/>
        </w:numPr>
        <w:spacing w:line="360" w:lineRule="auto"/>
        <w:rPr>
          <w:rFonts w:asciiTheme="minorHAnsi" w:hAnsiTheme="minorHAnsi" w:cstheme="minorHAnsi"/>
          <w:bCs/>
          <w:sz w:val="24"/>
          <w:szCs w:val="24"/>
        </w:rPr>
      </w:pPr>
      <w:r w:rsidRPr="0064085D">
        <w:rPr>
          <w:rFonts w:asciiTheme="minorHAnsi" w:hAnsiTheme="minorHAnsi" w:cstheme="minorHAnsi"/>
          <w:bCs/>
          <w:sz w:val="24"/>
          <w:szCs w:val="24"/>
        </w:rPr>
        <w:t>QOL if untreated</w:t>
      </w:r>
    </w:p>
    <w:p w14:paraId="652593ED" w14:textId="77777777" w:rsidR="008D59F1" w:rsidRPr="0064085D" w:rsidRDefault="008D59F1" w:rsidP="008D59F1">
      <w:pPr>
        <w:pStyle w:val="ListParagraph"/>
        <w:numPr>
          <w:ilvl w:val="0"/>
          <w:numId w:val="10"/>
        </w:numPr>
        <w:spacing w:line="360" w:lineRule="auto"/>
        <w:rPr>
          <w:rFonts w:asciiTheme="minorHAnsi" w:hAnsiTheme="minorHAnsi" w:cstheme="minorHAnsi"/>
          <w:bCs/>
          <w:sz w:val="24"/>
          <w:szCs w:val="24"/>
        </w:rPr>
      </w:pPr>
      <w:r w:rsidRPr="0064085D">
        <w:rPr>
          <w:rFonts w:asciiTheme="minorHAnsi" w:hAnsiTheme="minorHAnsi" w:cstheme="minorHAnsi"/>
          <w:bCs/>
          <w:sz w:val="24"/>
          <w:szCs w:val="24"/>
        </w:rPr>
        <w:t>Number of years to death if untreated</w:t>
      </w:r>
    </w:p>
    <w:p w14:paraId="6DA8D352" w14:textId="77777777" w:rsidR="008D59F1" w:rsidRPr="0064085D" w:rsidRDefault="008D59F1" w:rsidP="008D59F1">
      <w:pPr>
        <w:pStyle w:val="ListParagraph"/>
        <w:numPr>
          <w:ilvl w:val="0"/>
          <w:numId w:val="10"/>
        </w:numPr>
        <w:spacing w:line="360" w:lineRule="auto"/>
        <w:rPr>
          <w:rFonts w:asciiTheme="minorHAnsi" w:hAnsiTheme="minorHAnsi" w:cstheme="minorHAnsi"/>
          <w:bCs/>
          <w:sz w:val="24"/>
          <w:szCs w:val="24"/>
        </w:rPr>
      </w:pPr>
      <w:r w:rsidRPr="0064085D">
        <w:rPr>
          <w:rFonts w:asciiTheme="minorHAnsi" w:hAnsiTheme="minorHAnsi" w:cstheme="minorHAnsi"/>
          <w:bCs/>
          <w:sz w:val="24"/>
          <w:szCs w:val="24"/>
        </w:rPr>
        <w:t>Target population/number of beneficiaries - explore link to cost and budget impact since budget impact = number of beneficiaries x cost</w:t>
      </w:r>
    </w:p>
    <w:p w14:paraId="00BFE408" w14:textId="77777777" w:rsidR="008D59F1" w:rsidRPr="0064085D" w:rsidRDefault="008D59F1" w:rsidP="008D59F1">
      <w:pPr>
        <w:pStyle w:val="ListParagraph"/>
        <w:spacing w:line="360" w:lineRule="auto"/>
        <w:ind w:left="360"/>
        <w:rPr>
          <w:rFonts w:asciiTheme="minorHAnsi" w:hAnsiTheme="minorHAnsi" w:cstheme="minorHAnsi"/>
          <w:bCs/>
          <w:sz w:val="24"/>
          <w:szCs w:val="24"/>
        </w:rPr>
      </w:pPr>
    </w:p>
    <w:p w14:paraId="5C9BC878" w14:textId="77777777" w:rsidR="008D59F1" w:rsidRPr="0064085D" w:rsidRDefault="008D59F1" w:rsidP="008D59F1">
      <w:pPr>
        <w:pStyle w:val="ListParagraph"/>
        <w:numPr>
          <w:ilvl w:val="0"/>
          <w:numId w:val="7"/>
        </w:numPr>
        <w:spacing w:line="360" w:lineRule="auto"/>
        <w:rPr>
          <w:rFonts w:asciiTheme="minorHAnsi" w:hAnsiTheme="minorHAnsi" w:cstheme="minorHAnsi"/>
          <w:bCs/>
          <w:sz w:val="24"/>
          <w:szCs w:val="24"/>
        </w:rPr>
      </w:pPr>
      <w:r w:rsidRPr="0064085D">
        <w:rPr>
          <w:rFonts w:asciiTheme="minorHAnsi" w:hAnsiTheme="minorHAnsi" w:cstheme="minorHAnsi"/>
          <w:bCs/>
          <w:sz w:val="24"/>
          <w:szCs w:val="24"/>
        </w:rPr>
        <w:t>I’d now like to focus our discussion on different types of health gain and to get your views on which types are most important to the decision to recommend an item for listing on the PBS/MBS.  As you know, some health technologies (</w:t>
      </w:r>
      <w:proofErr w:type="spellStart"/>
      <w:r w:rsidRPr="0064085D">
        <w:rPr>
          <w:rFonts w:asciiTheme="minorHAnsi" w:hAnsiTheme="minorHAnsi" w:cstheme="minorHAnsi"/>
          <w:bCs/>
          <w:sz w:val="24"/>
          <w:szCs w:val="24"/>
        </w:rPr>
        <w:t>i</w:t>
      </w:r>
      <w:proofErr w:type="spellEnd"/>
      <w:r w:rsidRPr="0064085D">
        <w:rPr>
          <w:rFonts w:asciiTheme="minorHAnsi" w:hAnsiTheme="minorHAnsi" w:cstheme="minorHAnsi"/>
          <w:bCs/>
          <w:sz w:val="24"/>
          <w:szCs w:val="24"/>
        </w:rPr>
        <w:t>) extend lives while others (ii) improve the quality of peoples’ lives while others (iii) are a mix of life extension and QOL improvement.  Should all types of health gain be given equal weight? Why is that?  How would you rank them in terms of relative importance?  How important is the type of QALYs gained relative to the number of QALYs gained?</w:t>
      </w:r>
    </w:p>
    <w:p w14:paraId="5F667AF6" w14:textId="77777777" w:rsidR="008D59F1" w:rsidRPr="0064085D" w:rsidRDefault="008D59F1" w:rsidP="008D59F1">
      <w:pPr>
        <w:rPr>
          <w:rFonts w:cstheme="minorHAnsi"/>
          <w:bCs/>
          <w:sz w:val="24"/>
          <w:szCs w:val="24"/>
        </w:rPr>
      </w:pPr>
    </w:p>
    <w:p w14:paraId="79880CBA" w14:textId="77777777" w:rsidR="008D59F1" w:rsidRPr="0064085D" w:rsidRDefault="008D59F1" w:rsidP="008D59F1">
      <w:pPr>
        <w:rPr>
          <w:rFonts w:cstheme="minorHAnsi"/>
          <w:bCs/>
          <w:sz w:val="24"/>
          <w:szCs w:val="24"/>
        </w:rPr>
      </w:pPr>
    </w:p>
    <w:p w14:paraId="735D21D8" w14:textId="77777777" w:rsidR="008D59F1" w:rsidRPr="0064085D" w:rsidRDefault="008D59F1" w:rsidP="008D59F1">
      <w:pPr>
        <w:pStyle w:val="ListParagraph"/>
        <w:numPr>
          <w:ilvl w:val="0"/>
          <w:numId w:val="7"/>
        </w:numPr>
        <w:spacing w:line="360" w:lineRule="auto"/>
        <w:rPr>
          <w:rFonts w:asciiTheme="minorHAnsi" w:hAnsiTheme="minorHAnsi" w:cstheme="minorHAnsi"/>
          <w:bCs/>
          <w:i/>
          <w:iCs/>
          <w:sz w:val="24"/>
          <w:szCs w:val="24"/>
        </w:rPr>
      </w:pPr>
      <w:r w:rsidRPr="0064085D">
        <w:rPr>
          <w:rFonts w:asciiTheme="minorHAnsi" w:hAnsiTheme="minorHAnsi" w:cstheme="minorHAnsi"/>
          <w:bCs/>
          <w:sz w:val="24"/>
          <w:szCs w:val="24"/>
        </w:rPr>
        <w:t xml:space="preserve">What other factors/issues do you think should be </w:t>
      </w:r>
      <w:proofErr w:type="gramStart"/>
      <w:r w:rsidRPr="0064085D">
        <w:rPr>
          <w:rFonts w:asciiTheme="minorHAnsi" w:hAnsiTheme="minorHAnsi" w:cstheme="minorHAnsi"/>
          <w:bCs/>
          <w:sz w:val="24"/>
          <w:szCs w:val="24"/>
        </w:rPr>
        <w:t>taken into account</w:t>
      </w:r>
      <w:proofErr w:type="gramEnd"/>
      <w:r w:rsidRPr="0064085D">
        <w:rPr>
          <w:rFonts w:asciiTheme="minorHAnsi" w:hAnsiTheme="minorHAnsi" w:cstheme="minorHAnsi"/>
          <w:bCs/>
          <w:sz w:val="24"/>
          <w:szCs w:val="24"/>
        </w:rPr>
        <w:t xml:space="preserve"> when considering how to allocate scarce health care resources? </w:t>
      </w:r>
    </w:p>
    <w:p w14:paraId="56E8596C" w14:textId="77777777" w:rsidR="008D59F1" w:rsidRPr="0064085D" w:rsidRDefault="008D59F1" w:rsidP="008D59F1">
      <w:pPr>
        <w:pStyle w:val="ListParagraph"/>
        <w:spacing w:line="360" w:lineRule="auto"/>
        <w:ind w:left="360"/>
        <w:rPr>
          <w:rFonts w:asciiTheme="minorHAnsi" w:hAnsiTheme="minorHAnsi" w:cstheme="minorHAnsi"/>
          <w:bCs/>
          <w:i/>
          <w:iCs/>
          <w:sz w:val="24"/>
          <w:szCs w:val="24"/>
        </w:rPr>
      </w:pPr>
      <w:r w:rsidRPr="0064085D">
        <w:rPr>
          <w:rFonts w:asciiTheme="minorHAnsi" w:hAnsiTheme="minorHAnsi" w:cstheme="minorHAnsi"/>
          <w:bCs/>
          <w:i/>
          <w:iCs/>
          <w:sz w:val="24"/>
          <w:szCs w:val="24"/>
        </w:rPr>
        <w:t xml:space="preserve">If not raised, ask interviewee views on [relevance: why/why not?]: </w:t>
      </w:r>
    </w:p>
    <w:p w14:paraId="2ABB6B1D" w14:textId="77777777" w:rsidR="008D59F1" w:rsidRPr="0064085D" w:rsidRDefault="008D59F1" w:rsidP="008D59F1">
      <w:pPr>
        <w:pStyle w:val="ListParagraph"/>
        <w:numPr>
          <w:ilvl w:val="0"/>
          <w:numId w:val="9"/>
        </w:numPr>
        <w:spacing w:line="360" w:lineRule="auto"/>
        <w:rPr>
          <w:rFonts w:asciiTheme="minorHAnsi" w:hAnsiTheme="minorHAnsi" w:cstheme="minorHAnsi"/>
          <w:bCs/>
          <w:i/>
          <w:iCs/>
          <w:sz w:val="24"/>
          <w:szCs w:val="24"/>
        </w:rPr>
      </w:pPr>
      <w:r w:rsidRPr="0064085D">
        <w:rPr>
          <w:rFonts w:asciiTheme="minorHAnsi" w:hAnsiTheme="minorHAnsi" w:cstheme="minorHAnsi"/>
          <w:bCs/>
          <w:i/>
          <w:iCs/>
          <w:sz w:val="24"/>
          <w:szCs w:val="24"/>
        </w:rPr>
        <w:t xml:space="preserve">End of life [NICE: Life Expectancy usually &lt; 24 months; treatment offers extension to life of at least 3 months and treatment for small patient populations], </w:t>
      </w:r>
    </w:p>
    <w:p w14:paraId="7308FA12" w14:textId="77777777" w:rsidR="008D59F1" w:rsidRPr="0064085D" w:rsidRDefault="008D59F1" w:rsidP="008D59F1">
      <w:pPr>
        <w:pStyle w:val="ListParagraph"/>
        <w:numPr>
          <w:ilvl w:val="0"/>
          <w:numId w:val="9"/>
        </w:numPr>
        <w:spacing w:line="360" w:lineRule="auto"/>
        <w:rPr>
          <w:rFonts w:asciiTheme="minorHAnsi" w:hAnsiTheme="minorHAnsi" w:cstheme="minorHAnsi"/>
          <w:bCs/>
          <w:i/>
          <w:iCs/>
          <w:sz w:val="24"/>
          <w:szCs w:val="24"/>
        </w:rPr>
      </w:pPr>
      <w:r w:rsidRPr="0064085D">
        <w:rPr>
          <w:rFonts w:asciiTheme="minorHAnsi" w:hAnsiTheme="minorHAnsi" w:cstheme="minorHAnsi"/>
          <w:bCs/>
          <w:i/>
          <w:iCs/>
          <w:sz w:val="24"/>
          <w:szCs w:val="24"/>
        </w:rPr>
        <w:t>Rule of rescue [here we’re thinking of the PBAC definition of rule of rescue:</w:t>
      </w:r>
    </w:p>
    <w:p w14:paraId="3A6E69C5" w14:textId="77777777" w:rsidR="008D59F1" w:rsidRPr="0064085D" w:rsidRDefault="008D59F1" w:rsidP="008D59F1">
      <w:pPr>
        <w:pStyle w:val="ListParagraph"/>
        <w:numPr>
          <w:ilvl w:val="1"/>
          <w:numId w:val="9"/>
        </w:numPr>
        <w:spacing w:line="360" w:lineRule="auto"/>
        <w:rPr>
          <w:rFonts w:asciiTheme="minorHAnsi" w:hAnsiTheme="minorHAnsi" w:cstheme="minorHAnsi"/>
          <w:bCs/>
          <w:i/>
          <w:iCs/>
          <w:sz w:val="24"/>
          <w:szCs w:val="24"/>
        </w:rPr>
      </w:pPr>
      <w:r w:rsidRPr="0064085D">
        <w:rPr>
          <w:rFonts w:asciiTheme="minorHAnsi" w:hAnsiTheme="minorHAnsi" w:cstheme="minorHAnsi"/>
          <w:bCs/>
          <w:i/>
          <w:iCs/>
          <w:sz w:val="24"/>
          <w:szCs w:val="24"/>
        </w:rPr>
        <w:t>No alternative treatment;</w:t>
      </w:r>
    </w:p>
    <w:p w14:paraId="38DC6D54" w14:textId="77777777" w:rsidR="008D59F1" w:rsidRPr="0064085D" w:rsidRDefault="008D59F1" w:rsidP="008D59F1">
      <w:pPr>
        <w:pStyle w:val="ListParagraph"/>
        <w:numPr>
          <w:ilvl w:val="1"/>
          <w:numId w:val="9"/>
        </w:numPr>
        <w:spacing w:line="360" w:lineRule="auto"/>
        <w:rPr>
          <w:rFonts w:asciiTheme="minorHAnsi" w:hAnsiTheme="minorHAnsi" w:cstheme="minorHAnsi"/>
          <w:bCs/>
          <w:i/>
          <w:iCs/>
          <w:sz w:val="24"/>
          <w:szCs w:val="24"/>
        </w:rPr>
      </w:pPr>
      <w:r w:rsidRPr="0064085D">
        <w:rPr>
          <w:rFonts w:asciiTheme="minorHAnsi" w:hAnsiTheme="minorHAnsi" w:cstheme="minorHAnsi"/>
          <w:bCs/>
          <w:i/>
          <w:iCs/>
          <w:sz w:val="24"/>
          <w:szCs w:val="24"/>
        </w:rPr>
        <w:t xml:space="preserve">Without treatment, severe, progressive and lead to premature death (more severe, or younger age at which prematurely die or close to death leads to more weight);  </w:t>
      </w:r>
    </w:p>
    <w:p w14:paraId="7B5B0348" w14:textId="77777777" w:rsidR="008D59F1" w:rsidRPr="0064085D" w:rsidRDefault="008D59F1" w:rsidP="008D59F1">
      <w:pPr>
        <w:pStyle w:val="ListParagraph"/>
        <w:numPr>
          <w:ilvl w:val="1"/>
          <w:numId w:val="9"/>
        </w:numPr>
        <w:spacing w:line="360" w:lineRule="auto"/>
        <w:rPr>
          <w:rFonts w:asciiTheme="minorHAnsi" w:hAnsiTheme="minorHAnsi" w:cstheme="minorHAnsi"/>
          <w:bCs/>
          <w:i/>
          <w:iCs/>
          <w:sz w:val="24"/>
          <w:szCs w:val="24"/>
        </w:rPr>
      </w:pPr>
      <w:r w:rsidRPr="0064085D">
        <w:rPr>
          <w:rFonts w:asciiTheme="minorHAnsi" w:hAnsiTheme="minorHAnsi" w:cstheme="minorHAnsi"/>
          <w:bCs/>
          <w:i/>
          <w:iCs/>
          <w:sz w:val="24"/>
          <w:szCs w:val="24"/>
        </w:rPr>
        <w:t>Very small number of patients</w:t>
      </w:r>
    </w:p>
    <w:p w14:paraId="6D99E434" w14:textId="77777777" w:rsidR="008D59F1" w:rsidRPr="0064085D" w:rsidRDefault="008D59F1" w:rsidP="008D59F1">
      <w:pPr>
        <w:pStyle w:val="ListParagraph"/>
        <w:numPr>
          <w:ilvl w:val="1"/>
          <w:numId w:val="9"/>
        </w:numPr>
        <w:spacing w:line="360" w:lineRule="auto"/>
        <w:rPr>
          <w:rFonts w:asciiTheme="minorHAnsi" w:hAnsiTheme="minorHAnsi" w:cstheme="minorHAnsi"/>
          <w:bCs/>
          <w:i/>
          <w:iCs/>
          <w:sz w:val="24"/>
          <w:szCs w:val="24"/>
        </w:rPr>
      </w:pPr>
      <w:r w:rsidRPr="0064085D">
        <w:rPr>
          <w:rFonts w:asciiTheme="minorHAnsi" w:hAnsiTheme="minorHAnsi" w:cstheme="minorHAnsi"/>
          <w:bCs/>
          <w:i/>
          <w:iCs/>
          <w:sz w:val="24"/>
          <w:szCs w:val="24"/>
        </w:rPr>
        <w:t>Worthwhile clinical improvement sufficient to qualify as a rescue from the medical condition</w:t>
      </w:r>
    </w:p>
    <w:p w14:paraId="43D49341" w14:textId="77777777" w:rsidR="008D59F1" w:rsidRPr="0064085D" w:rsidRDefault="008D59F1" w:rsidP="008D59F1">
      <w:pPr>
        <w:pStyle w:val="ListParagraph"/>
        <w:numPr>
          <w:ilvl w:val="0"/>
          <w:numId w:val="9"/>
        </w:numPr>
        <w:spacing w:line="360" w:lineRule="auto"/>
        <w:rPr>
          <w:rFonts w:asciiTheme="minorHAnsi" w:hAnsiTheme="minorHAnsi" w:cstheme="minorHAnsi"/>
          <w:bCs/>
          <w:i/>
          <w:iCs/>
          <w:sz w:val="24"/>
          <w:szCs w:val="24"/>
        </w:rPr>
      </w:pPr>
      <w:r w:rsidRPr="0064085D">
        <w:rPr>
          <w:rFonts w:asciiTheme="minorHAnsi" w:hAnsiTheme="minorHAnsi" w:cstheme="minorHAnsi"/>
          <w:bCs/>
          <w:i/>
          <w:iCs/>
          <w:sz w:val="24"/>
          <w:szCs w:val="24"/>
        </w:rPr>
        <w:t>Availability of alternative effective treatment [needed for Rule of Rescue and LSDP]</w:t>
      </w:r>
    </w:p>
    <w:p w14:paraId="4D2201E6" w14:textId="77777777" w:rsidR="008D59F1" w:rsidRPr="0064085D" w:rsidRDefault="008D59F1" w:rsidP="008D59F1">
      <w:pPr>
        <w:pStyle w:val="ListParagraph"/>
        <w:numPr>
          <w:ilvl w:val="0"/>
          <w:numId w:val="9"/>
        </w:numPr>
        <w:spacing w:line="360" w:lineRule="auto"/>
        <w:rPr>
          <w:rFonts w:asciiTheme="minorHAnsi" w:hAnsiTheme="minorHAnsi" w:cstheme="minorHAnsi"/>
          <w:bCs/>
          <w:i/>
          <w:iCs/>
          <w:sz w:val="24"/>
          <w:szCs w:val="24"/>
        </w:rPr>
      </w:pPr>
      <w:r w:rsidRPr="0064085D">
        <w:rPr>
          <w:rFonts w:asciiTheme="minorHAnsi" w:hAnsiTheme="minorHAnsi" w:cstheme="minorHAnsi"/>
          <w:bCs/>
          <w:i/>
          <w:iCs/>
          <w:sz w:val="24"/>
          <w:szCs w:val="24"/>
        </w:rPr>
        <w:t>Time from treatment to gain [prevention v cure]</w:t>
      </w:r>
    </w:p>
    <w:p w14:paraId="2CAFB3DD" w14:textId="77777777" w:rsidR="008D59F1" w:rsidRPr="0064085D" w:rsidRDefault="008D59F1" w:rsidP="008D59F1">
      <w:pPr>
        <w:pStyle w:val="ListParagraph"/>
        <w:numPr>
          <w:ilvl w:val="0"/>
          <w:numId w:val="9"/>
        </w:numPr>
        <w:spacing w:line="360" w:lineRule="auto"/>
        <w:rPr>
          <w:rFonts w:asciiTheme="minorHAnsi" w:hAnsiTheme="minorHAnsi" w:cstheme="minorHAnsi"/>
          <w:bCs/>
          <w:i/>
          <w:iCs/>
          <w:sz w:val="24"/>
          <w:szCs w:val="24"/>
        </w:rPr>
      </w:pPr>
      <w:r w:rsidRPr="0064085D">
        <w:rPr>
          <w:rFonts w:asciiTheme="minorHAnsi" w:hAnsiTheme="minorHAnsi" w:cstheme="minorHAnsi"/>
          <w:bCs/>
          <w:i/>
          <w:iCs/>
          <w:sz w:val="24"/>
          <w:szCs w:val="24"/>
        </w:rPr>
        <w:t>Uncertainty [define]</w:t>
      </w:r>
    </w:p>
    <w:p w14:paraId="6B9400EC" w14:textId="77777777" w:rsidR="008D59F1" w:rsidRPr="0064085D" w:rsidRDefault="008D59F1" w:rsidP="008D59F1">
      <w:pPr>
        <w:pStyle w:val="ListParagraph"/>
        <w:numPr>
          <w:ilvl w:val="0"/>
          <w:numId w:val="9"/>
        </w:numPr>
        <w:spacing w:line="360" w:lineRule="auto"/>
        <w:rPr>
          <w:rFonts w:asciiTheme="minorHAnsi" w:hAnsiTheme="minorHAnsi" w:cstheme="minorHAnsi"/>
          <w:bCs/>
          <w:i/>
          <w:iCs/>
          <w:sz w:val="24"/>
          <w:szCs w:val="24"/>
        </w:rPr>
      </w:pPr>
      <w:r w:rsidRPr="0064085D">
        <w:rPr>
          <w:rFonts w:asciiTheme="minorHAnsi" w:hAnsiTheme="minorHAnsi" w:cstheme="minorHAnsi"/>
          <w:bCs/>
          <w:i/>
          <w:iCs/>
          <w:sz w:val="24"/>
          <w:szCs w:val="24"/>
        </w:rPr>
        <w:lastRenderedPageBreak/>
        <w:t>Strength of evidence</w:t>
      </w:r>
    </w:p>
    <w:p w14:paraId="27F43D32" w14:textId="77777777" w:rsidR="008D59F1" w:rsidRPr="0064085D" w:rsidRDefault="008D59F1" w:rsidP="008D59F1">
      <w:pPr>
        <w:rPr>
          <w:rFonts w:cstheme="minorHAnsi"/>
          <w:bCs/>
          <w:sz w:val="24"/>
          <w:szCs w:val="24"/>
        </w:rPr>
      </w:pPr>
    </w:p>
    <w:p w14:paraId="5FDC6A86" w14:textId="77777777" w:rsidR="008D59F1" w:rsidRPr="0064085D" w:rsidRDefault="008D59F1" w:rsidP="008D59F1">
      <w:pPr>
        <w:rPr>
          <w:rFonts w:cstheme="minorHAnsi"/>
          <w:bCs/>
          <w:sz w:val="24"/>
          <w:szCs w:val="24"/>
        </w:rPr>
      </w:pPr>
    </w:p>
    <w:p w14:paraId="25EF7BD6" w14:textId="77777777" w:rsidR="008D59F1" w:rsidRPr="0064085D" w:rsidRDefault="008D59F1" w:rsidP="008D59F1">
      <w:pPr>
        <w:pStyle w:val="ListParagraph"/>
        <w:numPr>
          <w:ilvl w:val="0"/>
          <w:numId w:val="7"/>
        </w:numPr>
        <w:spacing w:line="360" w:lineRule="auto"/>
        <w:rPr>
          <w:rFonts w:asciiTheme="minorHAnsi" w:hAnsiTheme="minorHAnsi" w:cstheme="minorHAnsi"/>
          <w:bCs/>
          <w:sz w:val="24"/>
          <w:szCs w:val="24"/>
        </w:rPr>
      </w:pPr>
      <w:r w:rsidRPr="0064085D">
        <w:rPr>
          <w:rFonts w:asciiTheme="minorHAnsi" w:hAnsiTheme="minorHAnsi" w:cstheme="minorHAnsi"/>
          <w:bCs/>
          <w:sz w:val="24"/>
          <w:szCs w:val="24"/>
        </w:rPr>
        <w:t xml:space="preserve">I now want to turn to the topic of uncertainty around or quality of the evidence.  </w:t>
      </w:r>
    </w:p>
    <w:p w14:paraId="6F6E7C75" w14:textId="77777777" w:rsidR="008D59F1" w:rsidRPr="0064085D" w:rsidRDefault="008D59F1" w:rsidP="008D59F1">
      <w:pPr>
        <w:pStyle w:val="ListParagraph"/>
        <w:numPr>
          <w:ilvl w:val="1"/>
          <w:numId w:val="7"/>
        </w:numPr>
        <w:spacing w:line="360" w:lineRule="auto"/>
        <w:rPr>
          <w:rFonts w:asciiTheme="minorHAnsi" w:hAnsiTheme="minorHAnsi" w:cstheme="minorHAnsi"/>
          <w:bCs/>
          <w:sz w:val="24"/>
          <w:szCs w:val="24"/>
        </w:rPr>
      </w:pPr>
      <w:r w:rsidRPr="0064085D">
        <w:rPr>
          <w:rFonts w:asciiTheme="minorHAnsi" w:hAnsiTheme="minorHAnsi" w:cstheme="minorHAnsi"/>
          <w:bCs/>
          <w:sz w:val="24"/>
          <w:szCs w:val="24"/>
        </w:rPr>
        <w:t xml:space="preserve">How important an issue is this in terms of your views on whether to recommend an item for listing on the MBS/PBS? </w:t>
      </w:r>
    </w:p>
    <w:p w14:paraId="7CA98BC9" w14:textId="77777777" w:rsidR="008D59F1" w:rsidRPr="0064085D" w:rsidRDefault="008D59F1" w:rsidP="008D59F1">
      <w:pPr>
        <w:pStyle w:val="ListParagraph"/>
        <w:numPr>
          <w:ilvl w:val="1"/>
          <w:numId w:val="7"/>
        </w:numPr>
        <w:spacing w:line="360" w:lineRule="auto"/>
        <w:rPr>
          <w:rFonts w:asciiTheme="minorHAnsi" w:hAnsiTheme="minorHAnsi" w:cstheme="minorHAnsi"/>
          <w:bCs/>
          <w:sz w:val="24"/>
          <w:szCs w:val="24"/>
        </w:rPr>
      </w:pPr>
      <w:r w:rsidRPr="0064085D">
        <w:rPr>
          <w:rFonts w:asciiTheme="minorHAnsi" w:hAnsiTheme="minorHAnsi" w:cstheme="minorHAnsi"/>
          <w:bCs/>
          <w:sz w:val="24"/>
          <w:szCs w:val="24"/>
        </w:rPr>
        <w:t xml:space="preserve">In terms of describing this characteristic – is it the quality of the evidence overall (e.g. high/low) or </w:t>
      </w:r>
      <w:proofErr w:type="spellStart"/>
      <w:r w:rsidRPr="0064085D">
        <w:rPr>
          <w:rFonts w:asciiTheme="minorHAnsi" w:hAnsiTheme="minorHAnsi" w:cstheme="minorHAnsi"/>
          <w:bCs/>
          <w:sz w:val="24"/>
          <w:szCs w:val="24"/>
        </w:rPr>
        <w:t>it’s</w:t>
      </w:r>
      <w:proofErr w:type="spellEnd"/>
      <w:r w:rsidRPr="0064085D">
        <w:rPr>
          <w:rFonts w:asciiTheme="minorHAnsi" w:hAnsiTheme="minorHAnsi" w:cstheme="minorHAnsi"/>
          <w:bCs/>
          <w:sz w:val="24"/>
          <w:szCs w:val="24"/>
        </w:rPr>
        <w:t xml:space="preserve"> impact on the final ICER that is important? </w:t>
      </w:r>
    </w:p>
    <w:p w14:paraId="0F64A4D2" w14:textId="77777777" w:rsidR="008D59F1" w:rsidRPr="0064085D" w:rsidRDefault="008D59F1" w:rsidP="008D59F1">
      <w:pPr>
        <w:pStyle w:val="ListParagraph"/>
        <w:numPr>
          <w:ilvl w:val="1"/>
          <w:numId w:val="7"/>
        </w:numPr>
        <w:spacing w:line="360" w:lineRule="auto"/>
        <w:rPr>
          <w:rFonts w:asciiTheme="minorHAnsi" w:hAnsiTheme="minorHAnsi" w:cstheme="minorHAnsi"/>
          <w:bCs/>
          <w:sz w:val="24"/>
          <w:szCs w:val="24"/>
        </w:rPr>
      </w:pPr>
      <w:r w:rsidRPr="0064085D">
        <w:rPr>
          <w:rFonts w:asciiTheme="minorHAnsi" w:hAnsiTheme="minorHAnsi" w:cstheme="minorHAnsi"/>
          <w:bCs/>
          <w:sz w:val="24"/>
          <w:szCs w:val="24"/>
        </w:rPr>
        <w:t>Are there other sources of uncertainty relevant to the listing recommendation?</w:t>
      </w:r>
    </w:p>
    <w:p w14:paraId="2313B713" w14:textId="77777777" w:rsidR="008D59F1" w:rsidRPr="0064085D" w:rsidRDefault="008D59F1" w:rsidP="008D59F1">
      <w:pPr>
        <w:pStyle w:val="ListParagraph"/>
        <w:rPr>
          <w:rFonts w:asciiTheme="minorHAnsi" w:hAnsiTheme="minorHAnsi" w:cstheme="minorHAnsi"/>
          <w:bCs/>
          <w:sz w:val="24"/>
          <w:szCs w:val="24"/>
        </w:rPr>
      </w:pPr>
    </w:p>
    <w:p w14:paraId="466322E0" w14:textId="77777777" w:rsidR="008D59F1" w:rsidRPr="0064085D" w:rsidRDefault="008D59F1" w:rsidP="008D59F1">
      <w:pPr>
        <w:pStyle w:val="ListParagraph"/>
        <w:rPr>
          <w:rFonts w:asciiTheme="minorHAnsi" w:hAnsiTheme="minorHAnsi" w:cstheme="minorHAnsi"/>
          <w:bCs/>
          <w:sz w:val="24"/>
          <w:szCs w:val="24"/>
        </w:rPr>
      </w:pPr>
    </w:p>
    <w:p w14:paraId="643DD672" w14:textId="77777777" w:rsidR="008D59F1" w:rsidRPr="0064085D" w:rsidRDefault="008D59F1" w:rsidP="008D59F1">
      <w:pPr>
        <w:pStyle w:val="ListParagraph"/>
        <w:numPr>
          <w:ilvl w:val="0"/>
          <w:numId w:val="7"/>
        </w:numPr>
        <w:spacing w:line="360" w:lineRule="auto"/>
        <w:rPr>
          <w:rFonts w:asciiTheme="minorHAnsi" w:hAnsiTheme="minorHAnsi" w:cstheme="minorHAnsi"/>
          <w:bCs/>
          <w:sz w:val="24"/>
          <w:szCs w:val="24"/>
        </w:rPr>
      </w:pPr>
      <w:r w:rsidRPr="0064085D">
        <w:rPr>
          <w:rFonts w:asciiTheme="minorHAnsi" w:hAnsiTheme="minorHAnsi" w:cstheme="minorHAnsi"/>
          <w:bCs/>
          <w:sz w:val="24"/>
          <w:szCs w:val="24"/>
        </w:rPr>
        <w:t xml:space="preserve">We have been discussing various factors that you think should be </w:t>
      </w:r>
      <w:proofErr w:type="gramStart"/>
      <w:r w:rsidRPr="0064085D">
        <w:rPr>
          <w:rFonts w:asciiTheme="minorHAnsi" w:hAnsiTheme="minorHAnsi" w:cstheme="minorHAnsi"/>
          <w:bCs/>
          <w:sz w:val="24"/>
          <w:szCs w:val="24"/>
        </w:rPr>
        <w:t>taken into account</w:t>
      </w:r>
      <w:proofErr w:type="gramEnd"/>
      <w:r w:rsidRPr="0064085D">
        <w:rPr>
          <w:rFonts w:asciiTheme="minorHAnsi" w:hAnsiTheme="minorHAnsi" w:cstheme="minorHAnsi"/>
          <w:bCs/>
          <w:sz w:val="24"/>
          <w:szCs w:val="24"/>
        </w:rPr>
        <w:t xml:space="preserve"> when prioritising the allocation of resources across competing interventions. So </w:t>
      </w:r>
      <w:proofErr w:type="gramStart"/>
      <w:r w:rsidRPr="0064085D">
        <w:rPr>
          <w:rFonts w:asciiTheme="minorHAnsi" w:hAnsiTheme="minorHAnsi" w:cstheme="minorHAnsi"/>
          <w:bCs/>
          <w:sz w:val="24"/>
          <w:szCs w:val="24"/>
        </w:rPr>
        <w:t>far</w:t>
      </w:r>
      <w:proofErr w:type="gramEnd"/>
      <w:r w:rsidRPr="0064085D">
        <w:rPr>
          <w:rFonts w:asciiTheme="minorHAnsi" w:hAnsiTheme="minorHAnsi" w:cstheme="minorHAnsi"/>
          <w:bCs/>
          <w:sz w:val="24"/>
          <w:szCs w:val="24"/>
        </w:rPr>
        <w:t xml:space="preserve"> we have discussed [</w:t>
      </w:r>
      <w:r w:rsidRPr="0064085D">
        <w:rPr>
          <w:rFonts w:asciiTheme="minorHAnsi" w:hAnsiTheme="minorHAnsi" w:cstheme="minorHAnsi"/>
          <w:bCs/>
          <w:i/>
          <w:iCs/>
          <w:sz w:val="24"/>
          <w:szCs w:val="24"/>
        </w:rPr>
        <w:t>list factors</w:t>
      </w:r>
      <w:r w:rsidRPr="0064085D">
        <w:rPr>
          <w:rFonts w:asciiTheme="minorHAnsi" w:hAnsiTheme="minorHAnsi" w:cstheme="minorHAnsi"/>
          <w:bCs/>
          <w:sz w:val="24"/>
          <w:szCs w:val="24"/>
        </w:rPr>
        <w:t xml:space="preserve">].  </w:t>
      </w:r>
    </w:p>
    <w:p w14:paraId="3358C2E9" w14:textId="77777777" w:rsidR="008D59F1" w:rsidRPr="0064085D" w:rsidRDefault="008D59F1" w:rsidP="008D59F1">
      <w:pPr>
        <w:pStyle w:val="ListParagraph"/>
        <w:rPr>
          <w:rFonts w:asciiTheme="minorHAnsi" w:hAnsiTheme="minorHAnsi" w:cstheme="minorHAnsi"/>
          <w:bCs/>
          <w:sz w:val="24"/>
          <w:szCs w:val="24"/>
        </w:rPr>
      </w:pPr>
    </w:p>
    <w:p w14:paraId="6F3A22E8" w14:textId="77777777" w:rsidR="008D59F1" w:rsidRPr="0064085D" w:rsidRDefault="008D59F1" w:rsidP="008D59F1">
      <w:pPr>
        <w:spacing w:line="360" w:lineRule="auto"/>
        <w:rPr>
          <w:rFonts w:cstheme="minorHAnsi"/>
          <w:bCs/>
          <w:sz w:val="24"/>
          <w:szCs w:val="24"/>
        </w:rPr>
      </w:pPr>
      <w:r w:rsidRPr="0064085D">
        <w:rPr>
          <w:rFonts w:cstheme="minorHAnsi"/>
          <w:bCs/>
          <w:sz w:val="24"/>
          <w:szCs w:val="24"/>
        </w:rPr>
        <w:t>Some others that have come up in the literature and from our focus groups with the general public are [</w:t>
      </w:r>
      <w:r w:rsidRPr="0064085D">
        <w:rPr>
          <w:rFonts w:cstheme="minorHAnsi"/>
          <w:bCs/>
          <w:i/>
          <w:iCs/>
          <w:sz w:val="24"/>
          <w:szCs w:val="24"/>
        </w:rPr>
        <w:t>list any additional factors from prepared attribute list</w:t>
      </w:r>
      <w:r w:rsidRPr="0064085D">
        <w:rPr>
          <w:rFonts w:cstheme="minorHAnsi"/>
          <w:bCs/>
          <w:sz w:val="24"/>
          <w:szCs w:val="24"/>
        </w:rPr>
        <w:t>]. For all, explore</w:t>
      </w:r>
      <w:r w:rsidRPr="0064085D">
        <w:rPr>
          <w:rFonts w:eastAsia="SimSun" w:cstheme="minorHAnsi"/>
          <w:bCs/>
          <w:sz w:val="24"/>
          <w:szCs w:val="24"/>
        </w:rPr>
        <w:t>:</w:t>
      </w:r>
    </w:p>
    <w:p w14:paraId="245A1C50" w14:textId="77777777" w:rsidR="008D59F1" w:rsidRPr="0064085D" w:rsidRDefault="008D59F1" w:rsidP="008D59F1">
      <w:pPr>
        <w:pStyle w:val="ListParagraph"/>
        <w:rPr>
          <w:rFonts w:asciiTheme="minorHAnsi" w:eastAsia="SimSun" w:hAnsiTheme="minorHAnsi" w:cstheme="minorHAnsi"/>
          <w:bCs/>
          <w:sz w:val="24"/>
          <w:szCs w:val="24"/>
        </w:rPr>
      </w:pPr>
    </w:p>
    <w:p w14:paraId="2FFCF09F" w14:textId="77777777" w:rsidR="008D59F1" w:rsidRPr="0064085D" w:rsidRDefault="008D59F1" w:rsidP="008D59F1">
      <w:pPr>
        <w:pStyle w:val="ListParagraph"/>
        <w:numPr>
          <w:ilvl w:val="1"/>
          <w:numId w:val="7"/>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Understanding of the meaning of the attributes</w:t>
      </w:r>
    </w:p>
    <w:p w14:paraId="15A7C926" w14:textId="77777777" w:rsidR="008D59F1" w:rsidRPr="0064085D" w:rsidRDefault="008D59F1" w:rsidP="008D59F1">
      <w:pPr>
        <w:pStyle w:val="ListParagraph"/>
        <w:numPr>
          <w:ilvl w:val="1"/>
          <w:numId w:val="7"/>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Any missing attributes</w:t>
      </w:r>
    </w:p>
    <w:p w14:paraId="60DC71EC" w14:textId="77777777" w:rsidR="008D59F1" w:rsidRPr="0064085D" w:rsidRDefault="008D59F1" w:rsidP="008D59F1">
      <w:pPr>
        <w:pStyle w:val="ListParagraph"/>
        <w:numPr>
          <w:ilvl w:val="1"/>
          <w:numId w:val="7"/>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Relative importance – rank from most to least important [or most important 3 and least important 3]</w:t>
      </w:r>
    </w:p>
    <w:p w14:paraId="040B50A4" w14:textId="77777777" w:rsidR="008D59F1" w:rsidRPr="0064085D" w:rsidRDefault="008D59F1" w:rsidP="008D59F1">
      <w:pPr>
        <w:pStyle w:val="ListParagraph"/>
        <w:ind w:left="360"/>
        <w:rPr>
          <w:rFonts w:asciiTheme="minorHAnsi" w:hAnsiTheme="minorHAnsi" w:cstheme="minorHAnsi"/>
          <w:bCs/>
          <w:sz w:val="24"/>
          <w:szCs w:val="24"/>
        </w:rPr>
      </w:pPr>
    </w:p>
    <w:p w14:paraId="41215841" w14:textId="77777777" w:rsidR="008D59F1" w:rsidRPr="0064085D" w:rsidRDefault="008D59F1" w:rsidP="008D59F1">
      <w:pPr>
        <w:pStyle w:val="ListParagraph"/>
        <w:numPr>
          <w:ilvl w:val="0"/>
          <w:numId w:val="7"/>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 xml:space="preserve">I’d now like to focus our discussion on the levels that describe some of the factors we have spoken about [i.e. the range of values the factors could take].  </w:t>
      </w:r>
      <w:proofErr w:type="gramStart"/>
      <w:r w:rsidRPr="0064085D">
        <w:rPr>
          <w:rFonts w:asciiTheme="minorHAnsi" w:eastAsia="SimSun" w:hAnsiTheme="minorHAnsi" w:cstheme="minorHAnsi"/>
          <w:bCs/>
          <w:sz w:val="24"/>
          <w:szCs w:val="24"/>
        </w:rPr>
        <w:t>In particular, what</w:t>
      </w:r>
      <w:proofErr w:type="gramEnd"/>
      <w:r w:rsidRPr="0064085D">
        <w:rPr>
          <w:rFonts w:asciiTheme="minorHAnsi" w:eastAsia="SimSun" w:hAnsiTheme="minorHAnsi" w:cstheme="minorHAnsi"/>
          <w:bCs/>
          <w:sz w:val="24"/>
          <w:szCs w:val="24"/>
        </w:rPr>
        <w:t xml:space="preserve"> are your thoughts regarding the levels describing</w:t>
      </w:r>
      <w:proofErr w:type="gramStart"/>
      <w:r w:rsidRPr="0064085D">
        <w:rPr>
          <w:rFonts w:asciiTheme="minorHAnsi" w:eastAsia="SimSun" w:hAnsiTheme="minorHAnsi" w:cstheme="minorHAnsi"/>
          <w:bCs/>
          <w:sz w:val="24"/>
          <w:szCs w:val="24"/>
        </w:rPr>
        <w:t>:  [</w:t>
      </w:r>
      <w:proofErr w:type="gramEnd"/>
      <w:r w:rsidRPr="0064085D">
        <w:rPr>
          <w:rFonts w:asciiTheme="minorHAnsi" w:eastAsia="SimSun" w:hAnsiTheme="minorHAnsi" w:cstheme="minorHAnsi"/>
          <w:bCs/>
          <w:sz w:val="24"/>
          <w:szCs w:val="24"/>
        </w:rPr>
        <w:t>Due to time, just discuss the 5 attributes highlighted under gain with treatment]</w:t>
      </w:r>
    </w:p>
    <w:p w14:paraId="374383B0" w14:textId="77777777" w:rsidR="008D59F1" w:rsidRPr="0064085D" w:rsidRDefault="008D59F1" w:rsidP="008D59F1">
      <w:pPr>
        <w:spacing w:line="360" w:lineRule="auto"/>
        <w:rPr>
          <w:rFonts w:cstheme="minorHAnsi"/>
          <w:bCs/>
          <w:sz w:val="24"/>
          <w:szCs w:val="24"/>
        </w:rPr>
      </w:pPr>
      <w:r w:rsidRPr="0064085D">
        <w:rPr>
          <w:rFonts w:cstheme="minorHAnsi"/>
          <w:bCs/>
          <w:sz w:val="24"/>
          <w:szCs w:val="24"/>
        </w:rPr>
        <w:t>Without treatment:</w:t>
      </w:r>
    </w:p>
    <w:p w14:paraId="341FDB1E" w14:textId="77777777" w:rsidR="008D59F1" w:rsidRPr="0064085D" w:rsidRDefault="008D59F1" w:rsidP="008D59F1">
      <w:pPr>
        <w:pStyle w:val="ListParagraph"/>
        <w:numPr>
          <w:ilvl w:val="1"/>
          <w:numId w:val="11"/>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 xml:space="preserve">QOL if untreated: 0, 30, 60, 90. </w:t>
      </w:r>
    </w:p>
    <w:p w14:paraId="4525E21E" w14:textId="77777777" w:rsidR="008D59F1" w:rsidRPr="0064085D" w:rsidRDefault="008D59F1" w:rsidP="008D59F1">
      <w:pPr>
        <w:pStyle w:val="ListParagraph"/>
        <w:numPr>
          <w:ilvl w:val="1"/>
          <w:numId w:val="11"/>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 xml:space="preserve">Age of onset: infant (0-12 months); child (1-10 years); Teen (11-17 years); young adult (18-30); adult (31-50) older adult (51-60), young senior (61-74); older senior (75+) </w:t>
      </w:r>
    </w:p>
    <w:p w14:paraId="59607908" w14:textId="77777777" w:rsidR="008D59F1" w:rsidRPr="0064085D" w:rsidRDefault="008D59F1" w:rsidP="008D59F1">
      <w:pPr>
        <w:pStyle w:val="ListParagraph"/>
        <w:numPr>
          <w:ilvl w:val="1"/>
          <w:numId w:val="11"/>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lastRenderedPageBreak/>
        <w:t>Proximity to death: death is imminent (0-3 months); end of life (3-12 months); 1-3 years, 3-5, 5-10, 10-20, 20-40, 40+</w:t>
      </w:r>
    </w:p>
    <w:p w14:paraId="65100377" w14:textId="77777777" w:rsidR="008D59F1" w:rsidRPr="0064085D" w:rsidRDefault="008D59F1" w:rsidP="008D59F1">
      <w:pPr>
        <w:spacing w:line="360" w:lineRule="auto"/>
        <w:rPr>
          <w:rFonts w:cstheme="minorHAnsi"/>
          <w:bCs/>
          <w:sz w:val="24"/>
          <w:szCs w:val="24"/>
        </w:rPr>
      </w:pPr>
      <w:r w:rsidRPr="0064085D">
        <w:rPr>
          <w:rFonts w:cstheme="minorHAnsi"/>
          <w:bCs/>
          <w:sz w:val="24"/>
          <w:szCs w:val="24"/>
        </w:rPr>
        <w:t>Gain with treatment:</w:t>
      </w:r>
    </w:p>
    <w:p w14:paraId="3261EB16" w14:textId="77777777" w:rsidR="008D59F1" w:rsidRPr="0064085D" w:rsidRDefault="008D59F1" w:rsidP="008D59F1">
      <w:pPr>
        <w:pStyle w:val="ListParagraph"/>
        <w:numPr>
          <w:ilvl w:val="1"/>
          <w:numId w:val="11"/>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Number of Quality adjusted life years (QALYs): 0.1, 0.5, 1, 2, 4, 10, 20, 40. Do you think this is an appropriate range?</w:t>
      </w:r>
    </w:p>
    <w:p w14:paraId="71847252" w14:textId="77777777" w:rsidR="008D59F1" w:rsidRPr="0064085D" w:rsidRDefault="008D59F1" w:rsidP="008D59F1">
      <w:pPr>
        <w:pStyle w:val="ListParagraph"/>
        <w:numPr>
          <w:ilvl w:val="1"/>
          <w:numId w:val="11"/>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 xml:space="preserve">QALY types: primarily life extending; primarily QOL enhancing; mixture of QOL and LE, </w:t>
      </w:r>
      <w:proofErr w:type="spellStart"/>
      <w:r w:rsidRPr="0064085D">
        <w:rPr>
          <w:rFonts w:asciiTheme="minorHAnsi" w:eastAsia="SimSun" w:hAnsiTheme="minorHAnsi" w:cstheme="minorHAnsi"/>
          <w:bCs/>
          <w:sz w:val="24"/>
          <w:szCs w:val="24"/>
        </w:rPr>
        <w:t>life saving</w:t>
      </w:r>
      <w:proofErr w:type="spellEnd"/>
      <w:r w:rsidRPr="0064085D">
        <w:rPr>
          <w:rFonts w:asciiTheme="minorHAnsi" w:eastAsia="SimSun" w:hAnsiTheme="minorHAnsi" w:cstheme="minorHAnsi"/>
          <w:bCs/>
          <w:sz w:val="24"/>
          <w:szCs w:val="24"/>
        </w:rPr>
        <w:t>. DO you think this is the best way to describe the different types of QALYs that can be generated?</w:t>
      </w:r>
    </w:p>
    <w:p w14:paraId="0122B100" w14:textId="77777777" w:rsidR="008D59F1" w:rsidRPr="0064085D" w:rsidRDefault="008D59F1" w:rsidP="008D59F1">
      <w:pPr>
        <w:pStyle w:val="ListParagraph"/>
        <w:numPr>
          <w:ilvl w:val="1"/>
          <w:numId w:val="11"/>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 xml:space="preserve">Probability/chance of success: </w:t>
      </w:r>
      <w:r w:rsidRPr="0064085D">
        <w:rPr>
          <w:rFonts w:asciiTheme="minorHAnsi" w:hAnsiTheme="minorHAnsi" w:cstheme="minorHAnsi"/>
        </w:rPr>
        <w:t>1/100; 5/100; 10/100; 50/100; 75/100; 100/100?</w:t>
      </w:r>
    </w:p>
    <w:p w14:paraId="2AECEE32" w14:textId="77777777" w:rsidR="008D59F1" w:rsidRPr="0064085D" w:rsidRDefault="008D59F1" w:rsidP="008D59F1">
      <w:pPr>
        <w:pStyle w:val="ListParagraph"/>
        <w:numPr>
          <w:ilvl w:val="1"/>
          <w:numId w:val="11"/>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Time from treatment to gain: immediate, 5 years, 10 years, 20 years 40 years, 60 years v prevention/cure</w:t>
      </w:r>
    </w:p>
    <w:p w14:paraId="5E7AB98C" w14:textId="77777777" w:rsidR="008D59F1" w:rsidRPr="0064085D" w:rsidRDefault="008D59F1" w:rsidP="008D59F1">
      <w:pPr>
        <w:pStyle w:val="ListParagraph"/>
        <w:numPr>
          <w:ilvl w:val="1"/>
          <w:numId w:val="11"/>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Number of beneficiaries: 100, 1000, 10000, 1000000. Do you think this is an appropriate range?</w:t>
      </w:r>
    </w:p>
    <w:p w14:paraId="252D1CD8" w14:textId="77777777" w:rsidR="008D59F1" w:rsidRPr="0064085D" w:rsidRDefault="008D59F1" w:rsidP="008D59F1">
      <w:pPr>
        <w:spacing w:line="360" w:lineRule="auto"/>
        <w:rPr>
          <w:rFonts w:cstheme="minorHAnsi"/>
          <w:bCs/>
          <w:sz w:val="24"/>
          <w:szCs w:val="24"/>
        </w:rPr>
      </w:pPr>
      <w:r w:rsidRPr="0064085D">
        <w:rPr>
          <w:rFonts w:cstheme="minorHAnsi"/>
          <w:bCs/>
          <w:sz w:val="24"/>
          <w:szCs w:val="24"/>
        </w:rPr>
        <w:t>Context:</w:t>
      </w:r>
    </w:p>
    <w:p w14:paraId="4EB858B1" w14:textId="77777777" w:rsidR="008D59F1" w:rsidRPr="0064085D" w:rsidRDefault="008D59F1" w:rsidP="008D59F1">
      <w:pPr>
        <w:pStyle w:val="ListParagraph"/>
        <w:numPr>
          <w:ilvl w:val="1"/>
          <w:numId w:val="11"/>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 xml:space="preserve">Alternative treatment available: yes, absolutely no. </w:t>
      </w:r>
    </w:p>
    <w:p w14:paraId="112F706B" w14:textId="77777777" w:rsidR="008D59F1" w:rsidRPr="0064085D" w:rsidRDefault="008D59F1" w:rsidP="008D59F1">
      <w:pPr>
        <w:pStyle w:val="ListParagraph"/>
        <w:numPr>
          <w:ilvl w:val="1"/>
          <w:numId w:val="11"/>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Strength of evidence: limited/strong v low/high</w:t>
      </w:r>
    </w:p>
    <w:p w14:paraId="63F884D9" w14:textId="77777777" w:rsidR="008D59F1" w:rsidRPr="0064085D" w:rsidRDefault="008D59F1" w:rsidP="008D59F1">
      <w:pPr>
        <w:pStyle w:val="ListParagraph"/>
        <w:numPr>
          <w:ilvl w:val="1"/>
          <w:numId w:val="11"/>
        </w:numPr>
        <w:spacing w:line="360" w:lineRule="auto"/>
        <w:rPr>
          <w:rFonts w:asciiTheme="minorHAnsi" w:hAnsiTheme="minorHAnsi" w:cstheme="minorHAnsi"/>
          <w:bCs/>
          <w:sz w:val="24"/>
          <w:szCs w:val="24"/>
        </w:rPr>
      </w:pPr>
      <w:r w:rsidRPr="0064085D">
        <w:rPr>
          <w:rFonts w:asciiTheme="minorHAnsi" w:eastAsia="SimSun" w:hAnsiTheme="minorHAnsi" w:cstheme="minorHAnsi"/>
          <w:bCs/>
          <w:sz w:val="24"/>
          <w:szCs w:val="24"/>
        </w:rPr>
        <w:t>Context: drug v medical service</w:t>
      </w:r>
    </w:p>
    <w:p w14:paraId="500D59B7" w14:textId="77777777" w:rsidR="008D59F1" w:rsidRPr="0064085D" w:rsidRDefault="008D59F1" w:rsidP="008D59F1">
      <w:pPr>
        <w:pStyle w:val="ListParagraph"/>
        <w:spacing w:line="360" w:lineRule="auto"/>
        <w:ind w:left="360"/>
        <w:rPr>
          <w:rFonts w:asciiTheme="minorHAnsi" w:hAnsiTheme="minorHAnsi" w:cstheme="minorHAnsi"/>
          <w:bCs/>
          <w:sz w:val="24"/>
          <w:szCs w:val="24"/>
        </w:rPr>
      </w:pPr>
    </w:p>
    <w:p w14:paraId="2B379600" w14:textId="77777777" w:rsidR="008D59F1" w:rsidRPr="0064085D" w:rsidRDefault="008D59F1" w:rsidP="008D59F1">
      <w:pPr>
        <w:pStyle w:val="ListParagraph"/>
        <w:numPr>
          <w:ilvl w:val="0"/>
          <w:numId w:val="7"/>
        </w:numPr>
        <w:spacing w:line="360" w:lineRule="auto"/>
        <w:rPr>
          <w:rFonts w:asciiTheme="minorHAnsi" w:hAnsiTheme="minorHAnsi" w:cstheme="minorHAnsi"/>
          <w:bCs/>
          <w:sz w:val="24"/>
          <w:szCs w:val="24"/>
        </w:rPr>
      </w:pPr>
      <w:r w:rsidRPr="0064085D">
        <w:rPr>
          <w:rFonts w:asciiTheme="minorHAnsi" w:hAnsiTheme="minorHAnsi" w:cstheme="minorHAnsi"/>
          <w:bCs/>
          <w:sz w:val="24"/>
          <w:szCs w:val="24"/>
        </w:rPr>
        <w:t xml:space="preserve">What do you think about the possible </w:t>
      </w:r>
      <w:proofErr w:type="spellStart"/>
      <w:r w:rsidRPr="0064085D">
        <w:rPr>
          <w:rFonts w:asciiTheme="minorHAnsi" w:hAnsiTheme="minorHAnsi" w:cstheme="minorHAnsi"/>
          <w:bCs/>
          <w:sz w:val="24"/>
          <w:szCs w:val="24"/>
        </w:rPr>
        <w:t>tradeoff</w:t>
      </w:r>
      <w:proofErr w:type="spellEnd"/>
      <w:r w:rsidRPr="0064085D">
        <w:rPr>
          <w:rFonts w:asciiTheme="minorHAnsi" w:hAnsiTheme="minorHAnsi" w:cstheme="minorHAnsi"/>
          <w:bCs/>
          <w:sz w:val="24"/>
          <w:szCs w:val="24"/>
        </w:rPr>
        <w:t xml:space="preserve"> between allocating resources to maximise efficiency (health gain) and to account for equity or distributional issues?</w:t>
      </w:r>
    </w:p>
    <w:p w14:paraId="0E8253A5" w14:textId="77777777" w:rsidR="008D59F1" w:rsidRPr="0064085D" w:rsidRDefault="008D59F1" w:rsidP="008D59F1">
      <w:pPr>
        <w:pStyle w:val="ListParagraph"/>
        <w:spacing w:line="360" w:lineRule="auto"/>
        <w:ind w:left="360"/>
        <w:rPr>
          <w:rFonts w:asciiTheme="minorHAnsi" w:hAnsiTheme="minorHAnsi" w:cstheme="minorHAnsi"/>
          <w:bCs/>
          <w:sz w:val="24"/>
          <w:szCs w:val="24"/>
        </w:rPr>
      </w:pPr>
    </w:p>
    <w:p w14:paraId="38CFAC05" w14:textId="77777777" w:rsidR="008D59F1" w:rsidRPr="0064085D" w:rsidRDefault="008D59F1" w:rsidP="008D59F1">
      <w:pPr>
        <w:pStyle w:val="ListParagraph"/>
        <w:numPr>
          <w:ilvl w:val="0"/>
          <w:numId w:val="7"/>
        </w:numPr>
        <w:spacing w:line="360" w:lineRule="auto"/>
        <w:rPr>
          <w:rFonts w:asciiTheme="minorHAnsi" w:hAnsiTheme="minorHAnsi" w:cstheme="minorHAnsi"/>
          <w:bCs/>
          <w:sz w:val="24"/>
          <w:szCs w:val="24"/>
        </w:rPr>
      </w:pPr>
      <w:r w:rsidRPr="0064085D">
        <w:rPr>
          <w:rFonts w:asciiTheme="minorHAnsi" w:hAnsiTheme="minorHAnsi" w:cstheme="minorHAnsi"/>
          <w:bCs/>
          <w:sz w:val="24"/>
          <w:szCs w:val="24"/>
        </w:rPr>
        <w:t>That is the end of my questions but do you have any further points you would like to make on the topics we’ve covered today?</w:t>
      </w:r>
    </w:p>
    <w:p w14:paraId="120715CF" w14:textId="77777777" w:rsidR="008D59F1" w:rsidRPr="0064085D" w:rsidRDefault="008D59F1" w:rsidP="008D59F1">
      <w:pPr>
        <w:pStyle w:val="ListParagraph"/>
        <w:rPr>
          <w:rFonts w:asciiTheme="minorHAnsi" w:hAnsiTheme="minorHAnsi" w:cstheme="minorHAnsi"/>
          <w:bCs/>
          <w:sz w:val="24"/>
          <w:szCs w:val="24"/>
        </w:rPr>
      </w:pPr>
    </w:p>
    <w:p w14:paraId="34DC5F72" w14:textId="77777777" w:rsidR="008D59F1" w:rsidRPr="0064085D" w:rsidRDefault="008D59F1" w:rsidP="008D59F1">
      <w:pPr>
        <w:pStyle w:val="ListParagraph"/>
        <w:numPr>
          <w:ilvl w:val="0"/>
          <w:numId w:val="7"/>
        </w:numPr>
        <w:spacing w:line="360" w:lineRule="auto"/>
        <w:rPr>
          <w:rFonts w:asciiTheme="minorHAnsi" w:hAnsiTheme="minorHAnsi" w:cstheme="minorHAnsi"/>
        </w:rPr>
      </w:pPr>
      <w:r w:rsidRPr="0064085D">
        <w:rPr>
          <w:rFonts w:asciiTheme="minorHAnsi" w:hAnsiTheme="minorHAnsi" w:cstheme="minorHAnsi"/>
          <w:bCs/>
          <w:sz w:val="24"/>
          <w:szCs w:val="24"/>
        </w:rPr>
        <w:t>Thank the interviewee for their time and useful input to the design of our study. Reaffirm that what we discussed today will remain anonymous.</w:t>
      </w:r>
      <w:r w:rsidRPr="0064085D">
        <w:rPr>
          <w:rFonts w:asciiTheme="minorHAnsi" w:hAnsiTheme="minorHAnsi" w:cstheme="minorHAnsi"/>
        </w:rPr>
        <w:t xml:space="preserve"> </w:t>
      </w:r>
    </w:p>
    <w:p w14:paraId="05466991" w14:textId="77777777" w:rsidR="008D59F1" w:rsidRPr="0064085D" w:rsidRDefault="008D59F1" w:rsidP="008D59F1">
      <w:pPr>
        <w:rPr>
          <w:rFonts w:cstheme="minorHAnsi"/>
        </w:rPr>
      </w:pPr>
    </w:p>
    <w:p w14:paraId="794C8849" w14:textId="631D0F1D" w:rsidR="005B15C5" w:rsidRDefault="005B15C5">
      <w:pPr>
        <w:rPr>
          <w:rFonts w:cstheme="minorHAnsi"/>
        </w:rPr>
      </w:pPr>
      <w:r>
        <w:rPr>
          <w:rFonts w:cstheme="minorHAnsi"/>
        </w:rPr>
        <w:br w:type="page"/>
      </w:r>
    </w:p>
    <w:p w14:paraId="44998FED" w14:textId="77777777" w:rsidR="008D59F1" w:rsidRPr="0064085D" w:rsidRDefault="008D59F1" w:rsidP="008D59F1">
      <w:pPr>
        <w:pStyle w:val="Level2Heading"/>
        <w:spacing w:line="360" w:lineRule="auto"/>
        <w:outlineLvl w:val="2"/>
        <w:rPr>
          <w:rFonts w:asciiTheme="minorHAnsi" w:hAnsiTheme="minorHAnsi" w:cstheme="minorHAnsi"/>
        </w:rPr>
      </w:pPr>
      <w:r w:rsidRPr="0064085D">
        <w:rPr>
          <w:rFonts w:asciiTheme="minorHAnsi" w:hAnsiTheme="minorHAnsi" w:cstheme="minorHAnsi"/>
        </w:rPr>
        <w:lastRenderedPageBreak/>
        <w:t>2021/22 interviews</w:t>
      </w:r>
    </w:p>
    <w:p w14:paraId="52333EE1" w14:textId="77777777" w:rsidR="008D59F1" w:rsidRPr="0064085D" w:rsidRDefault="008D59F1" w:rsidP="008D59F1">
      <w:pPr>
        <w:rPr>
          <w:rFonts w:eastAsiaTheme="majorEastAsia" w:cstheme="minorHAnsi"/>
          <w:b/>
          <w:bCs/>
          <w:caps/>
          <w:snapToGrid w:val="0"/>
          <w:lang w:eastAsia="en-US"/>
        </w:rPr>
      </w:pPr>
    </w:p>
    <w:p w14:paraId="13001808" w14:textId="77777777" w:rsidR="008D59F1" w:rsidRPr="0064085D" w:rsidRDefault="008D59F1" w:rsidP="008D59F1">
      <w:pPr>
        <w:pStyle w:val="ListParagraph"/>
        <w:numPr>
          <w:ilvl w:val="0"/>
          <w:numId w:val="6"/>
        </w:numPr>
        <w:shd w:val="clear" w:color="auto" w:fill="000000"/>
        <w:jc w:val="both"/>
        <w:rPr>
          <w:rFonts w:asciiTheme="minorHAnsi" w:hAnsiTheme="minorHAnsi" w:cstheme="minorHAnsi"/>
          <w:b/>
          <w:color w:val="FFFFFF"/>
          <w:szCs w:val="36"/>
        </w:rPr>
      </w:pPr>
      <w:r w:rsidRPr="0064085D">
        <w:rPr>
          <w:rFonts w:asciiTheme="minorHAnsi" w:hAnsiTheme="minorHAnsi" w:cstheme="minorHAnsi"/>
          <w:b/>
          <w:color w:val="FFFFFF"/>
          <w:szCs w:val="36"/>
        </w:rPr>
        <w:t>Introduction</w:t>
      </w:r>
    </w:p>
    <w:p w14:paraId="05A699AA" w14:textId="77777777" w:rsidR="008D59F1" w:rsidRPr="0064085D" w:rsidRDefault="008D59F1" w:rsidP="008D59F1">
      <w:pPr>
        <w:jc w:val="both"/>
        <w:rPr>
          <w:rFonts w:cstheme="minorHAnsi"/>
        </w:rPr>
      </w:pPr>
    </w:p>
    <w:p w14:paraId="3A5F32B5" w14:textId="77777777" w:rsidR="008D59F1" w:rsidRPr="0064085D" w:rsidRDefault="008D59F1" w:rsidP="008D59F1">
      <w:pPr>
        <w:jc w:val="both"/>
        <w:rPr>
          <w:rFonts w:cstheme="minorHAnsi"/>
          <w:b/>
          <w:bCs/>
          <w:iCs/>
          <w:color w:val="000000"/>
        </w:rPr>
      </w:pPr>
      <w:r w:rsidRPr="0064085D">
        <w:rPr>
          <w:rFonts w:cstheme="minorHAnsi"/>
          <w:b/>
          <w:bCs/>
          <w:iCs/>
          <w:color w:val="000000"/>
        </w:rPr>
        <w:t>Interviewer to read Script:</w:t>
      </w:r>
    </w:p>
    <w:p w14:paraId="712926BD" w14:textId="53EB522A" w:rsidR="008D59F1" w:rsidRDefault="008D59F1" w:rsidP="008D59F1">
      <w:pPr>
        <w:jc w:val="both"/>
        <w:rPr>
          <w:rFonts w:cstheme="minorHAnsi"/>
          <w:color w:val="000000"/>
          <w:szCs w:val="28"/>
        </w:rPr>
      </w:pPr>
      <w:r w:rsidRPr="0064085D">
        <w:rPr>
          <w:rFonts w:cstheme="minorHAnsi"/>
          <w:color w:val="000000"/>
          <w:szCs w:val="28"/>
        </w:rPr>
        <w:t>Thank you very much for agreeing to participate. Your time is valuable.</w:t>
      </w:r>
    </w:p>
    <w:p w14:paraId="05BBE895" w14:textId="34287D6A" w:rsidR="00364FE1" w:rsidRPr="0064085D" w:rsidRDefault="00364FE1" w:rsidP="008D59F1">
      <w:pPr>
        <w:jc w:val="both"/>
        <w:rPr>
          <w:rFonts w:cstheme="minorHAnsi"/>
          <w:color w:val="000000"/>
          <w:szCs w:val="28"/>
        </w:rPr>
      </w:pPr>
      <w:r>
        <w:rPr>
          <w:rFonts w:cstheme="minorHAnsi"/>
          <w:color w:val="000000"/>
          <w:szCs w:val="28"/>
        </w:rPr>
        <w:t>[The interviewer introduce</w:t>
      </w:r>
      <w:r w:rsidR="00B51FDF">
        <w:rPr>
          <w:rFonts w:cstheme="minorHAnsi"/>
          <w:color w:val="000000"/>
          <w:szCs w:val="28"/>
        </w:rPr>
        <w:t>s</w:t>
      </w:r>
      <w:r>
        <w:rPr>
          <w:rFonts w:cstheme="minorHAnsi"/>
          <w:color w:val="000000"/>
          <w:szCs w:val="28"/>
        </w:rPr>
        <w:t xml:space="preserve"> himself to the participant and provide</w:t>
      </w:r>
      <w:r w:rsidR="00B51FDF">
        <w:rPr>
          <w:rFonts w:cstheme="minorHAnsi"/>
          <w:color w:val="000000"/>
          <w:szCs w:val="28"/>
        </w:rPr>
        <w:t>s</w:t>
      </w:r>
      <w:r>
        <w:rPr>
          <w:rFonts w:cstheme="minorHAnsi"/>
          <w:color w:val="000000"/>
          <w:szCs w:val="28"/>
        </w:rPr>
        <w:t xml:space="preserve"> his educational background]</w:t>
      </w:r>
    </w:p>
    <w:p w14:paraId="3096D616" w14:textId="5CE2F72E" w:rsidR="008D59F1" w:rsidRPr="0064085D" w:rsidRDefault="008D59F1" w:rsidP="008D59F1">
      <w:pPr>
        <w:jc w:val="both"/>
        <w:rPr>
          <w:rFonts w:cstheme="minorHAnsi"/>
          <w:szCs w:val="28"/>
        </w:rPr>
      </w:pPr>
      <w:r w:rsidRPr="0064085D">
        <w:rPr>
          <w:rFonts w:cstheme="minorHAnsi"/>
          <w:szCs w:val="28"/>
        </w:rPr>
        <w:t xml:space="preserve">As specified in the Information Sheet, we are conducting a study titled “Tools for Outcomes Research to Measure and Value Child Health”. </w:t>
      </w:r>
    </w:p>
    <w:p w14:paraId="259FDB4B" w14:textId="77777777" w:rsidR="008D59F1" w:rsidRPr="0064085D" w:rsidRDefault="008D59F1" w:rsidP="008D59F1">
      <w:pPr>
        <w:jc w:val="both"/>
        <w:rPr>
          <w:rFonts w:cstheme="minorHAnsi"/>
          <w:color w:val="000000"/>
          <w:szCs w:val="28"/>
        </w:rPr>
      </w:pPr>
    </w:p>
    <w:p w14:paraId="00AC82CC" w14:textId="77777777" w:rsidR="008D59F1" w:rsidRPr="0064085D" w:rsidRDefault="008D59F1" w:rsidP="008D59F1">
      <w:pPr>
        <w:jc w:val="both"/>
        <w:rPr>
          <w:rFonts w:cstheme="minorHAnsi"/>
          <w:color w:val="000000"/>
          <w:szCs w:val="28"/>
        </w:rPr>
      </w:pPr>
      <w:r w:rsidRPr="0064085D">
        <w:rPr>
          <w:rFonts w:cstheme="minorHAnsi"/>
          <w:color w:val="000000"/>
          <w:szCs w:val="28"/>
        </w:rPr>
        <w:t xml:space="preserve">You have been invited to participate in the study because you are involved in the health technology assessment process or resource allocation in healthcare settings regarding children or young people. Participation involves a semi-structured </w:t>
      </w:r>
      <w:r w:rsidRPr="0064085D">
        <w:rPr>
          <w:rFonts w:cstheme="minorHAnsi"/>
          <w:szCs w:val="28"/>
        </w:rPr>
        <w:t>interview that will take as long as you require but is anticipated 30-60 minutes</w:t>
      </w:r>
      <w:r w:rsidRPr="0064085D">
        <w:rPr>
          <w:rFonts w:cstheme="minorHAnsi"/>
          <w:color w:val="000000"/>
          <w:szCs w:val="28"/>
        </w:rPr>
        <w:t xml:space="preserve">. </w:t>
      </w:r>
    </w:p>
    <w:p w14:paraId="75228893" w14:textId="77777777" w:rsidR="008D59F1" w:rsidRPr="0064085D" w:rsidRDefault="008D59F1" w:rsidP="008D59F1">
      <w:pPr>
        <w:jc w:val="both"/>
        <w:rPr>
          <w:rFonts w:cstheme="minorHAnsi"/>
          <w:color w:val="000000"/>
          <w:szCs w:val="28"/>
        </w:rPr>
      </w:pPr>
    </w:p>
    <w:p w14:paraId="48DE5FA5" w14:textId="77777777" w:rsidR="008D59F1" w:rsidRPr="0064085D" w:rsidRDefault="008D59F1" w:rsidP="008D59F1">
      <w:pPr>
        <w:jc w:val="both"/>
        <w:rPr>
          <w:rFonts w:cstheme="minorHAnsi"/>
          <w:szCs w:val="28"/>
        </w:rPr>
      </w:pPr>
      <w:r w:rsidRPr="0064085D">
        <w:rPr>
          <w:rFonts w:cstheme="minorHAnsi"/>
          <w:szCs w:val="28"/>
        </w:rPr>
        <w:t xml:space="preserve">The study is being funded by a 2020 MRFF Targeted Health System and Community Research Grant and ethics approval has been received from the ANU Human Research Ethics Committee. </w:t>
      </w:r>
    </w:p>
    <w:p w14:paraId="16082612" w14:textId="77777777" w:rsidR="008D59F1" w:rsidRPr="0064085D" w:rsidRDefault="008D59F1" w:rsidP="008D59F1">
      <w:pPr>
        <w:jc w:val="both"/>
        <w:rPr>
          <w:rFonts w:cstheme="minorHAnsi"/>
          <w:color w:val="000000"/>
          <w:szCs w:val="28"/>
        </w:rPr>
      </w:pPr>
    </w:p>
    <w:p w14:paraId="51A92DF2" w14:textId="77777777" w:rsidR="008D59F1" w:rsidRPr="0064085D" w:rsidRDefault="008D59F1" w:rsidP="008D59F1">
      <w:pPr>
        <w:jc w:val="both"/>
        <w:rPr>
          <w:rFonts w:cstheme="minorHAnsi"/>
          <w:color w:val="000000"/>
          <w:szCs w:val="28"/>
        </w:rPr>
      </w:pPr>
      <w:r w:rsidRPr="0064085D">
        <w:rPr>
          <w:rFonts w:cstheme="minorHAnsi"/>
          <w:color w:val="000000"/>
          <w:szCs w:val="28"/>
        </w:rPr>
        <w:t>As you have already provided consent to be interviewed and audio recorded, I would firstly like to ask some demographic questions followed by some questions regarding your experience health technology assessments in children and young people, your views on how money should be spent on health and care, including whether you think money spent on health and care in children should be different compared to adults and the reasons for this.</w:t>
      </w:r>
    </w:p>
    <w:p w14:paraId="62547999" w14:textId="77777777" w:rsidR="008D59F1" w:rsidRPr="0064085D" w:rsidRDefault="008D59F1" w:rsidP="008D59F1">
      <w:pPr>
        <w:jc w:val="both"/>
        <w:rPr>
          <w:rFonts w:cstheme="minorHAnsi"/>
          <w:color w:val="000000"/>
          <w:szCs w:val="28"/>
        </w:rPr>
      </w:pPr>
    </w:p>
    <w:p w14:paraId="5DC9D6DF" w14:textId="77777777" w:rsidR="008D59F1" w:rsidRPr="0064085D" w:rsidRDefault="008D59F1" w:rsidP="008D59F1">
      <w:pPr>
        <w:jc w:val="both"/>
        <w:rPr>
          <w:rFonts w:cstheme="minorHAnsi"/>
          <w:color w:val="000000"/>
          <w:szCs w:val="28"/>
        </w:rPr>
      </w:pPr>
      <w:r w:rsidRPr="0064085D">
        <w:rPr>
          <w:rFonts w:cstheme="minorHAnsi"/>
          <w:color w:val="000000"/>
          <w:szCs w:val="28"/>
        </w:rPr>
        <w:t xml:space="preserve">There are no right and wrong answers; we are simply interested in people’s views. </w:t>
      </w:r>
    </w:p>
    <w:p w14:paraId="2344FF42" w14:textId="77777777" w:rsidR="008D59F1" w:rsidRPr="0064085D" w:rsidRDefault="008D59F1" w:rsidP="008D59F1">
      <w:pPr>
        <w:jc w:val="both"/>
        <w:rPr>
          <w:rFonts w:cstheme="minorHAnsi"/>
          <w:color w:val="000000"/>
          <w:szCs w:val="28"/>
        </w:rPr>
      </w:pPr>
      <w:r w:rsidRPr="0064085D">
        <w:rPr>
          <w:rFonts w:cstheme="minorHAnsi"/>
          <w:color w:val="000000"/>
          <w:szCs w:val="28"/>
        </w:rPr>
        <w:t>If you don’t want to answer any of these questions, please just say so.</w:t>
      </w:r>
    </w:p>
    <w:p w14:paraId="29E8F6F7" w14:textId="77777777" w:rsidR="008D59F1" w:rsidRPr="0064085D" w:rsidRDefault="008D59F1" w:rsidP="008D59F1">
      <w:pPr>
        <w:jc w:val="both"/>
        <w:rPr>
          <w:rFonts w:cstheme="minorHAnsi"/>
          <w:color w:val="000000"/>
          <w:szCs w:val="28"/>
        </w:rPr>
      </w:pPr>
    </w:p>
    <w:p w14:paraId="69572550" w14:textId="77777777" w:rsidR="008D59F1" w:rsidRPr="0064085D" w:rsidRDefault="008D59F1" w:rsidP="008D59F1">
      <w:pPr>
        <w:pStyle w:val="ListParagraph"/>
        <w:numPr>
          <w:ilvl w:val="0"/>
          <w:numId w:val="2"/>
        </w:numPr>
        <w:shd w:val="clear" w:color="auto" w:fill="000000"/>
        <w:jc w:val="both"/>
        <w:rPr>
          <w:rFonts w:asciiTheme="minorHAnsi" w:hAnsiTheme="minorHAnsi" w:cstheme="minorHAnsi"/>
          <w:b/>
          <w:color w:val="FFFFFF"/>
          <w:szCs w:val="36"/>
        </w:rPr>
      </w:pPr>
      <w:r w:rsidRPr="0064085D">
        <w:rPr>
          <w:rFonts w:asciiTheme="minorHAnsi" w:hAnsiTheme="minorHAnsi" w:cstheme="minorHAnsi"/>
          <w:b/>
          <w:color w:val="FFFFFF"/>
          <w:szCs w:val="36"/>
        </w:rPr>
        <w:t>Demographics</w:t>
      </w:r>
    </w:p>
    <w:p w14:paraId="4F3F681F" w14:textId="77777777" w:rsidR="008D59F1" w:rsidRPr="0064085D" w:rsidRDefault="008D59F1" w:rsidP="008D59F1">
      <w:pPr>
        <w:jc w:val="both"/>
        <w:rPr>
          <w:rFonts w:cstheme="minorHAnsi"/>
          <w:color w:val="000000"/>
        </w:rPr>
      </w:pPr>
    </w:p>
    <w:p w14:paraId="4E8A42FB" w14:textId="77777777" w:rsidR="008D59F1" w:rsidRPr="0064085D" w:rsidRDefault="008D59F1" w:rsidP="008D59F1">
      <w:pPr>
        <w:numPr>
          <w:ilvl w:val="1"/>
          <w:numId w:val="2"/>
        </w:numPr>
        <w:spacing w:after="0" w:line="240" w:lineRule="auto"/>
        <w:ind w:left="360"/>
        <w:jc w:val="both"/>
        <w:rPr>
          <w:rFonts w:cstheme="minorHAnsi"/>
        </w:rPr>
      </w:pPr>
      <w:r w:rsidRPr="0064085D">
        <w:rPr>
          <w:rFonts w:cstheme="minorHAnsi"/>
        </w:rPr>
        <w:t>Regarding your demographic and professional characteristics</w:t>
      </w:r>
    </w:p>
    <w:p w14:paraId="2938693B" w14:textId="77777777" w:rsidR="008D59F1" w:rsidRPr="0064085D" w:rsidRDefault="008D59F1" w:rsidP="008D59F1">
      <w:pPr>
        <w:jc w:val="both"/>
        <w:rPr>
          <w:rFonts w:cstheme="minorHAnsi"/>
        </w:rPr>
      </w:pPr>
    </w:p>
    <w:p w14:paraId="7429D24C" w14:textId="77777777" w:rsidR="008D59F1" w:rsidRPr="0064085D" w:rsidRDefault="008D59F1" w:rsidP="008D59F1">
      <w:pPr>
        <w:numPr>
          <w:ilvl w:val="2"/>
          <w:numId w:val="2"/>
        </w:numPr>
        <w:tabs>
          <w:tab w:val="left" w:pos="3686"/>
        </w:tabs>
        <w:spacing w:after="0" w:line="240" w:lineRule="auto"/>
        <w:ind w:left="851" w:hanging="284"/>
        <w:jc w:val="both"/>
        <w:rPr>
          <w:rFonts w:cstheme="minorHAnsi"/>
        </w:rPr>
      </w:pPr>
      <w:r w:rsidRPr="0064085D">
        <w:rPr>
          <w:rFonts w:cstheme="minorHAnsi"/>
        </w:rPr>
        <w:t>What is your current age?</w:t>
      </w:r>
      <w:r w:rsidRPr="0064085D">
        <w:rPr>
          <w:rFonts w:cstheme="minorHAnsi"/>
        </w:rPr>
        <w:tab/>
      </w:r>
    </w:p>
    <w:p w14:paraId="0375B3F6" w14:textId="77777777" w:rsidR="008D59F1" w:rsidRPr="0064085D" w:rsidRDefault="008D59F1" w:rsidP="008D59F1">
      <w:pPr>
        <w:tabs>
          <w:tab w:val="left" w:pos="3686"/>
        </w:tabs>
        <w:ind w:left="851"/>
        <w:jc w:val="both"/>
        <w:rPr>
          <w:rFonts w:cstheme="minorHAnsi"/>
        </w:rPr>
      </w:pPr>
    </w:p>
    <w:p w14:paraId="55858BB4" w14:textId="77777777" w:rsidR="008D59F1" w:rsidRPr="0064085D" w:rsidRDefault="008D59F1" w:rsidP="008D59F1">
      <w:pPr>
        <w:numPr>
          <w:ilvl w:val="2"/>
          <w:numId w:val="2"/>
        </w:numPr>
        <w:tabs>
          <w:tab w:val="left" w:pos="3686"/>
        </w:tabs>
        <w:spacing w:after="0" w:line="240" w:lineRule="auto"/>
        <w:ind w:left="851" w:hanging="284"/>
        <w:jc w:val="both"/>
        <w:rPr>
          <w:rFonts w:cstheme="minorHAnsi"/>
        </w:rPr>
      </w:pPr>
      <w:r w:rsidRPr="0064085D">
        <w:rPr>
          <w:rFonts w:cstheme="minorHAnsi"/>
        </w:rPr>
        <w:t>State / territory:</w:t>
      </w:r>
    </w:p>
    <w:p w14:paraId="7F4D6016" w14:textId="77777777" w:rsidR="008D59F1" w:rsidRPr="0064085D" w:rsidRDefault="008D59F1" w:rsidP="008D59F1">
      <w:pPr>
        <w:pStyle w:val="ListParagraph"/>
        <w:rPr>
          <w:rFonts w:asciiTheme="minorHAnsi" w:hAnsiTheme="minorHAnsi" w:cstheme="minorHAnsi"/>
        </w:rPr>
      </w:pPr>
    </w:p>
    <w:p w14:paraId="566C3B2E" w14:textId="77777777" w:rsidR="008D59F1" w:rsidRPr="0064085D" w:rsidRDefault="008D59F1" w:rsidP="008D59F1">
      <w:pPr>
        <w:numPr>
          <w:ilvl w:val="2"/>
          <w:numId w:val="2"/>
        </w:numPr>
        <w:tabs>
          <w:tab w:val="left" w:pos="3686"/>
        </w:tabs>
        <w:spacing w:after="0" w:line="240" w:lineRule="auto"/>
        <w:ind w:left="851" w:hanging="284"/>
        <w:jc w:val="both"/>
        <w:rPr>
          <w:rFonts w:cstheme="minorHAnsi"/>
        </w:rPr>
      </w:pPr>
      <w:r w:rsidRPr="0064085D">
        <w:rPr>
          <w:rFonts w:cstheme="minorHAnsi"/>
        </w:rPr>
        <w:t>Gender:</w:t>
      </w:r>
      <w:r w:rsidRPr="0064085D">
        <w:rPr>
          <w:rFonts w:cstheme="minorHAnsi"/>
        </w:rPr>
        <w:tab/>
      </w:r>
    </w:p>
    <w:p w14:paraId="1127320D" w14:textId="77777777" w:rsidR="008D59F1" w:rsidRPr="0064085D" w:rsidRDefault="008D59F1" w:rsidP="008D59F1">
      <w:pPr>
        <w:tabs>
          <w:tab w:val="left" w:pos="851"/>
          <w:tab w:val="left" w:pos="3686"/>
        </w:tabs>
        <w:ind w:left="851"/>
        <w:jc w:val="both"/>
        <w:rPr>
          <w:rFonts w:cstheme="minorHAnsi"/>
        </w:rPr>
      </w:pPr>
    </w:p>
    <w:p w14:paraId="27B7C423" w14:textId="77777777" w:rsidR="008D59F1" w:rsidRPr="0064085D" w:rsidRDefault="008D59F1" w:rsidP="008D59F1">
      <w:pPr>
        <w:numPr>
          <w:ilvl w:val="2"/>
          <w:numId w:val="2"/>
        </w:numPr>
        <w:tabs>
          <w:tab w:val="left" w:pos="851"/>
          <w:tab w:val="left" w:pos="3686"/>
        </w:tabs>
        <w:spacing w:after="0" w:line="240" w:lineRule="auto"/>
        <w:ind w:left="851" w:hanging="284"/>
        <w:jc w:val="both"/>
        <w:rPr>
          <w:rFonts w:cstheme="minorHAnsi"/>
        </w:rPr>
      </w:pPr>
      <w:r w:rsidRPr="0064085D">
        <w:rPr>
          <w:rFonts w:cstheme="minorHAnsi"/>
        </w:rPr>
        <w:lastRenderedPageBreak/>
        <w:t>What is your main health / academic specialties / discipline?</w:t>
      </w:r>
    </w:p>
    <w:p w14:paraId="4FEC3B05" w14:textId="77777777" w:rsidR="008D59F1" w:rsidRPr="0064085D" w:rsidRDefault="008D59F1" w:rsidP="008D59F1">
      <w:pPr>
        <w:pStyle w:val="ListParagraph"/>
        <w:rPr>
          <w:rFonts w:asciiTheme="minorHAnsi" w:hAnsiTheme="minorHAnsi" w:cstheme="minorHAnsi"/>
        </w:rPr>
      </w:pPr>
    </w:p>
    <w:p w14:paraId="34A11385" w14:textId="77777777" w:rsidR="008D59F1" w:rsidRPr="0064085D" w:rsidRDefault="008D59F1" w:rsidP="008D59F1">
      <w:pPr>
        <w:numPr>
          <w:ilvl w:val="2"/>
          <w:numId w:val="2"/>
        </w:numPr>
        <w:tabs>
          <w:tab w:val="left" w:pos="851"/>
          <w:tab w:val="left" w:pos="3686"/>
        </w:tabs>
        <w:spacing w:after="0" w:line="240" w:lineRule="auto"/>
        <w:ind w:left="851" w:hanging="284"/>
        <w:jc w:val="both"/>
        <w:rPr>
          <w:rFonts w:cstheme="minorHAnsi"/>
        </w:rPr>
      </w:pPr>
      <w:r w:rsidRPr="0064085D">
        <w:rPr>
          <w:rFonts w:cstheme="minorHAnsi"/>
        </w:rPr>
        <w:t>How would you describe your involvement in HTA / decision-making process in healthcare settings? (e.g. member on committees, HTA processes, resource allocation decisions at system level in healthcare settings) public</w:t>
      </w:r>
    </w:p>
    <w:p w14:paraId="2276B3F4" w14:textId="77777777" w:rsidR="008D59F1" w:rsidRPr="0064085D" w:rsidRDefault="008D59F1" w:rsidP="008D59F1">
      <w:pPr>
        <w:pStyle w:val="ListParagraph"/>
        <w:rPr>
          <w:rFonts w:asciiTheme="minorHAnsi" w:hAnsiTheme="minorHAnsi" w:cstheme="minorHAnsi"/>
        </w:rPr>
      </w:pPr>
    </w:p>
    <w:p w14:paraId="3EE25AED" w14:textId="77777777" w:rsidR="008D59F1" w:rsidRPr="0064085D" w:rsidRDefault="008D59F1" w:rsidP="008D59F1">
      <w:pPr>
        <w:numPr>
          <w:ilvl w:val="2"/>
          <w:numId w:val="2"/>
        </w:numPr>
        <w:tabs>
          <w:tab w:val="left" w:pos="851"/>
          <w:tab w:val="left" w:pos="3686"/>
        </w:tabs>
        <w:spacing w:after="0" w:line="240" w:lineRule="auto"/>
        <w:ind w:left="851" w:hanging="284"/>
        <w:jc w:val="both"/>
        <w:rPr>
          <w:rFonts w:cstheme="minorHAnsi"/>
        </w:rPr>
      </w:pPr>
      <w:r w:rsidRPr="0064085D">
        <w:rPr>
          <w:rFonts w:cstheme="minorHAnsi"/>
        </w:rPr>
        <w:t>How many years have you been involved in the HTA / decision-making process in healthcare settings? ____________________________ (number of years)</w:t>
      </w:r>
    </w:p>
    <w:p w14:paraId="0CC71449" w14:textId="53E474BC" w:rsidR="008D59F1" w:rsidRPr="0064085D" w:rsidRDefault="008D59F1" w:rsidP="008D59F1">
      <w:pPr>
        <w:jc w:val="both"/>
        <w:rPr>
          <w:rFonts w:cstheme="minorHAnsi"/>
          <w:color w:val="000000"/>
        </w:rPr>
        <w:sectPr w:rsidR="008D59F1" w:rsidRPr="0064085D" w:rsidSect="0035311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tbl>
      <w:tblPr>
        <w:tblW w:w="5332" w:type="pct"/>
        <w:tblBorders>
          <w:insideH w:val="dotted" w:sz="6" w:space="0" w:color="auto"/>
          <w:insideV w:val="dotted" w:sz="6" w:space="0" w:color="auto"/>
        </w:tblBorders>
        <w:tblLayout w:type="fixed"/>
        <w:tblLook w:val="0000" w:firstRow="0" w:lastRow="0" w:firstColumn="0" w:lastColumn="0" w:noHBand="0" w:noVBand="0"/>
      </w:tblPr>
      <w:tblGrid>
        <w:gridCol w:w="2126"/>
        <w:gridCol w:w="5528"/>
        <w:gridCol w:w="1703"/>
        <w:gridCol w:w="5528"/>
      </w:tblGrid>
      <w:tr w:rsidR="008D59F1" w:rsidRPr="0064085D" w14:paraId="3DBCB9A2" w14:textId="77777777" w:rsidTr="006517CF">
        <w:trPr>
          <w:trHeight w:val="1444"/>
        </w:trPr>
        <w:tc>
          <w:tcPr>
            <w:tcW w:w="714" w:type="pct"/>
          </w:tcPr>
          <w:p w14:paraId="4C61F45C" w14:textId="77777777" w:rsidR="008D59F1" w:rsidRPr="0064085D" w:rsidRDefault="008D59F1" w:rsidP="006517CF">
            <w:pPr>
              <w:pStyle w:val="UnitsStyle"/>
              <w:tabs>
                <w:tab w:val="left" w:pos="270"/>
              </w:tabs>
              <w:rPr>
                <w:rFonts w:ascii="Arial Narrow" w:hAnsi="Arial Narrow" w:cstheme="minorHAnsi"/>
                <w:b/>
                <w:sz w:val="22"/>
                <w:szCs w:val="22"/>
              </w:rPr>
            </w:pPr>
            <w:r w:rsidRPr="0064085D">
              <w:rPr>
                <w:rFonts w:ascii="Arial Narrow" w:hAnsi="Arial Narrow" w:cstheme="minorHAnsi"/>
                <w:b/>
                <w:sz w:val="22"/>
                <w:szCs w:val="22"/>
              </w:rPr>
              <w:lastRenderedPageBreak/>
              <w:t>CHECKLIST</w:t>
            </w:r>
          </w:p>
        </w:tc>
        <w:tc>
          <w:tcPr>
            <w:tcW w:w="1857" w:type="pct"/>
          </w:tcPr>
          <w:p w14:paraId="64E83DF8" w14:textId="77777777" w:rsidR="008D59F1" w:rsidRPr="0064085D" w:rsidRDefault="008D59F1" w:rsidP="006517CF">
            <w:pPr>
              <w:pStyle w:val="UnitsStyle"/>
              <w:rPr>
                <w:rFonts w:ascii="Arial Narrow" w:hAnsi="Arial Narrow" w:cstheme="minorHAnsi"/>
                <w:sz w:val="22"/>
                <w:szCs w:val="22"/>
              </w:rPr>
            </w:pPr>
            <w:r w:rsidRPr="0064085D">
              <w:rPr>
                <w:rFonts w:ascii="Arial Narrow" w:hAnsi="Arial Narrow" w:cstheme="minorHAnsi"/>
                <w:sz w:val="22"/>
                <w:szCs w:val="22"/>
              </w:rPr>
              <w:t>* RECORDING</w:t>
            </w:r>
            <w:r w:rsidRPr="0064085D">
              <w:rPr>
                <w:rFonts w:ascii="Arial Narrow" w:hAnsi="Arial Narrow" w:cstheme="minorHAnsi"/>
                <w:sz w:val="22"/>
                <w:szCs w:val="22"/>
              </w:rPr>
              <w:br/>
              <w:t>* CONFIDENTIALITY &amp; ANONYMITY</w:t>
            </w:r>
            <w:r w:rsidRPr="0064085D">
              <w:rPr>
                <w:rFonts w:ascii="Arial Narrow" w:hAnsi="Arial Narrow" w:cstheme="minorHAnsi"/>
                <w:sz w:val="22"/>
                <w:szCs w:val="22"/>
              </w:rPr>
              <w:br/>
              <w:t>* STOPPING</w:t>
            </w:r>
            <w:r w:rsidRPr="0064085D">
              <w:rPr>
                <w:rFonts w:ascii="Arial Narrow" w:hAnsi="Arial Narrow" w:cstheme="minorHAnsi"/>
                <w:sz w:val="22"/>
                <w:szCs w:val="22"/>
              </w:rPr>
              <w:br/>
              <w:t>* TRANSCRIPTS</w:t>
            </w:r>
          </w:p>
          <w:p w14:paraId="3C9E370C" w14:textId="77777777" w:rsidR="008D59F1" w:rsidRPr="0064085D" w:rsidRDefault="008D59F1" w:rsidP="006517CF">
            <w:pPr>
              <w:pStyle w:val="UnitsStyle"/>
              <w:rPr>
                <w:rFonts w:ascii="Arial Narrow" w:hAnsi="Arial Narrow" w:cstheme="minorHAnsi"/>
                <w:sz w:val="22"/>
                <w:szCs w:val="22"/>
              </w:rPr>
            </w:pPr>
            <w:r w:rsidRPr="0064085D">
              <w:rPr>
                <w:rFonts w:ascii="Arial Narrow" w:hAnsi="Arial Narrow" w:cstheme="minorHAnsi"/>
                <w:sz w:val="22"/>
                <w:szCs w:val="22"/>
              </w:rPr>
              <w:t>* CONSENT TO PARTICIPATE</w:t>
            </w:r>
          </w:p>
        </w:tc>
        <w:tc>
          <w:tcPr>
            <w:tcW w:w="572" w:type="pct"/>
            <w:vMerge w:val="restart"/>
          </w:tcPr>
          <w:p w14:paraId="1CB2AD0A" w14:textId="77777777" w:rsidR="008D59F1" w:rsidRPr="0064085D" w:rsidRDefault="008D59F1" w:rsidP="008D59F1">
            <w:pPr>
              <w:pStyle w:val="UnitsStyle"/>
              <w:numPr>
                <w:ilvl w:val="0"/>
                <w:numId w:val="3"/>
              </w:numPr>
              <w:tabs>
                <w:tab w:val="left" w:pos="187"/>
              </w:tabs>
              <w:rPr>
                <w:rFonts w:ascii="Arial Narrow" w:hAnsi="Arial Narrow" w:cstheme="minorHAnsi"/>
                <w:b/>
                <w:sz w:val="22"/>
                <w:szCs w:val="22"/>
              </w:rPr>
            </w:pPr>
            <w:r w:rsidRPr="0064085D">
              <w:rPr>
                <w:rFonts w:ascii="Arial Narrow" w:hAnsi="Arial Narrow" w:cstheme="minorHAnsi"/>
                <w:b/>
                <w:sz w:val="22"/>
                <w:szCs w:val="22"/>
              </w:rPr>
              <w:t xml:space="preserve">Other theoretical topics to potentially explore </w:t>
            </w:r>
          </w:p>
        </w:tc>
        <w:tc>
          <w:tcPr>
            <w:tcW w:w="1857" w:type="pct"/>
            <w:vMerge w:val="restart"/>
          </w:tcPr>
          <w:p w14:paraId="0DA51EC5" w14:textId="7B0BCC4C" w:rsidR="008D59F1" w:rsidRPr="0064085D" w:rsidRDefault="008D59F1" w:rsidP="006517CF">
            <w:pPr>
              <w:pStyle w:val="UnitsStyle"/>
              <w:numPr>
                <w:ilvl w:val="12"/>
                <w:numId w:val="0"/>
              </w:numPr>
              <w:rPr>
                <w:rFonts w:ascii="Arial Narrow" w:hAnsi="Arial Narrow" w:cstheme="minorHAnsi"/>
                <w:sz w:val="22"/>
                <w:szCs w:val="22"/>
              </w:rPr>
            </w:pPr>
            <w:r w:rsidRPr="0064085D">
              <w:rPr>
                <w:rFonts w:ascii="Arial Narrow" w:hAnsi="Arial Narrow" w:cstheme="minorHAnsi"/>
                <w:sz w:val="22"/>
                <w:szCs w:val="22"/>
              </w:rPr>
              <w:t>-</w:t>
            </w:r>
            <w:r w:rsidRPr="0064085D">
              <w:rPr>
                <w:rFonts w:ascii="Arial Narrow" w:hAnsi="Arial Narrow" w:cstheme="minorHAnsi"/>
                <w:sz w:val="22"/>
                <w:szCs w:val="22"/>
              </w:rPr>
              <w:tab/>
              <w:t>Accountability for reasonableness – priority setting literature – bargaining process – Norm</w:t>
            </w:r>
            <w:r w:rsidR="000B02EB">
              <w:rPr>
                <w:rFonts w:ascii="Arial Narrow" w:hAnsi="Arial Narrow" w:cstheme="minorHAnsi"/>
                <w:sz w:val="22"/>
                <w:szCs w:val="22"/>
              </w:rPr>
              <w:t>an</w:t>
            </w:r>
            <w:r w:rsidRPr="0064085D">
              <w:rPr>
                <w:rFonts w:ascii="Arial Narrow" w:hAnsi="Arial Narrow" w:cstheme="minorHAnsi"/>
                <w:sz w:val="22"/>
                <w:szCs w:val="22"/>
              </w:rPr>
              <w:t xml:space="preserve"> Daniels – judge priority setting processes</w:t>
            </w:r>
          </w:p>
          <w:p w14:paraId="129A1FA5" w14:textId="77777777" w:rsidR="008D59F1" w:rsidRPr="0064085D" w:rsidRDefault="008D59F1" w:rsidP="006517CF">
            <w:pPr>
              <w:pStyle w:val="UnitsStyle"/>
              <w:numPr>
                <w:ilvl w:val="12"/>
                <w:numId w:val="0"/>
              </w:numPr>
              <w:rPr>
                <w:rFonts w:ascii="Arial Narrow" w:hAnsi="Arial Narrow" w:cstheme="minorHAnsi"/>
                <w:sz w:val="22"/>
                <w:szCs w:val="22"/>
              </w:rPr>
            </w:pPr>
            <w:r w:rsidRPr="0064085D">
              <w:rPr>
                <w:rFonts w:ascii="Arial Narrow" w:hAnsi="Arial Narrow" w:cstheme="minorHAnsi"/>
                <w:sz w:val="22"/>
                <w:szCs w:val="22"/>
              </w:rPr>
              <w:t>- Transparency</w:t>
            </w:r>
          </w:p>
        </w:tc>
      </w:tr>
      <w:tr w:rsidR="008D59F1" w:rsidRPr="0064085D" w14:paraId="4D48A83A" w14:textId="77777777" w:rsidTr="006517CF">
        <w:trPr>
          <w:trHeight w:val="2160"/>
        </w:trPr>
        <w:tc>
          <w:tcPr>
            <w:tcW w:w="714" w:type="pct"/>
          </w:tcPr>
          <w:p w14:paraId="0C2A5AA4" w14:textId="62EE618A" w:rsidR="008D59F1" w:rsidRPr="0064085D" w:rsidRDefault="008D59F1" w:rsidP="008D59F1">
            <w:pPr>
              <w:pStyle w:val="UnitsStyle"/>
              <w:numPr>
                <w:ilvl w:val="0"/>
                <w:numId w:val="3"/>
              </w:numPr>
              <w:tabs>
                <w:tab w:val="left" w:pos="270"/>
              </w:tabs>
              <w:rPr>
                <w:rFonts w:ascii="Arial Narrow" w:hAnsi="Arial Narrow" w:cstheme="minorHAnsi"/>
                <w:b/>
                <w:sz w:val="22"/>
                <w:szCs w:val="22"/>
              </w:rPr>
            </w:pPr>
            <w:r w:rsidRPr="0064085D">
              <w:rPr>
                <w:rFonts w:ascii="Arial Narrow" w:hAnsi="Arial Narrow" w:cstheme="minorHAnsi"/>
                <w:b/>
                <w:sz w:val="22"/>
                <w:szCs w:val="22"/>
              </w:rPr>
              <w:t xml:space="preserve">Initial reactions and experience with decision-making in </w:t>
            </w:r>
            <w:r w:rsidR="000B02EB">
              <w:rPr>
                <w:rFonts w:ascii="Arial Narrow" w:hAnsi="Arial Narrow" w:cstheme="minorHAnsi"/>
                <w:b/>
                <w:sz w:val="22"/>
                <w:szCs w:val="22"/>
              </w:rPr>
              <w:t>child and young person (</w:t>
            </w:r>
            <w:r w:rsidRPr="0064085D">
              <w:rPr>
                <w:rFonts w:ascii="Arial Narrow" w:hAnsi="Arial Narrow" w:cstheme="minorHAnsi"/>
                <w:b/>
                <w:sz w:val="22"/>
                <w:szCs w:val="22"/>
              </w:rPr>
              <w:t>CYP</w:t>
            </w:r>
            <w:r w:rsidR="000B02EB">
              <w:rPr>
                <w:rFonts w:ascii="Arial Narrow" w:hAnsi="Arial Narrow" w:cstheme="minorHAnsi"/>
                <w:b/>
                <w:sz w:val="22"/>
                <w:szCs w:val="22"/>
              </w:rPr>
              <w:t>)</w:t>
            </w:r>
            <w:r w:rsidRPr="0064085D">
              <w:rPr>
                <w:rFonts w:ascii="Arial Narrow" w:hAnsi="Arial Narrow" w:cstheme="minorHAnsi"/>
                <w:b/>
                <w:sz w:val="22"/>
                <w:szCs w:val="22"/>
              </w:rPr>
              <w:t xml:space="preserve"> </w:t>
            </w:r>
          </w:p>
        </w:tc>
        <w:tc>
          <w:tcPr>
            <w:tcW w:w="1857" w:type="pct"/>
          </w:tcPr>
          <w:p w14:paraId="4FE3F070" w14:textId="77777777" w:rsidR="008D59F1" w:rsidRPr="0064085D" w:rsidRDefault="008D59F1" w:rsidP="006517CF">
            <w:pPr>
              <w:pStyle w:val="UnitsStyle"/>
              <w:rPr>
                <w:rFonts w:ascii="Arial Narrow" w:hAnsi="Arial Narrow" w:cstheme="minorHAnsi"/>
                <w:sz w:val="22"/>
                <w:szCs w:val="22"/>
              </w:rPr>
            </w:pPr>
            <w:r w:rsidRPr="0064085D">
              <w:rPr>
                <w:rFonts w:ascii="Arial Narrow" w:hAnsi="Arial Narrow" w:cstheme="minorHAnsi"/>
                <w:sz w:val="22"/>
                <w:szCs w:val="22"/>
              </w:rPr>
              <w:t xml:space="preserve">- Briefly describe any experiences </w:t>
            </w:r>
          </w:p>
          <w:p w14:paraId="768BCEA1" w14:textId="77777777" w:rsidR="008D59F1" w:rsidRPr="0064085D" w:rsidRDefault="008D59F1" w:rsidP="006517CF">
            <w:pPr>
              <w:pStyle w:val="UnitsStyle"/>
              <w:rPr>
                <w:rFonts w:ascii="Arial Narrow" w:hAnsi="Arial Narrow" w:cstheme="minorHAnsi"/>
                <w:sz w:val="22"/>
                <w:szCs w:val="22"/>
              </w:rPr>
            </w:pPr>
            <w:r w:rsidRPr="0064085D">
              <w:rPr>
                <w:rFonts w:ascii="Arial Narrow" w:hAnsi="Arial Narrow" w:cstheme="minorHAnsi"/>
                <w:sz w:val="22"/>
                <w:szCs w:val="22"/>
              </w:rPr>
              <w:t>- Level of experience (e.g. a lot/moderate/little)</w:t>
            </w:r>
          </w:p>
          <w:p w14:paraId="6C82DD70" w14:textId="77777777" w:rsidR="008D59F1" w:rsidRPr="0064085D" w:rsidRDefault="008D59F1" w:rsidP="006517CF">
            <w:pPr>
              <w:pStyle w:val="UnitsStyle"/>
              <w:numPr>
                <w:ilvl w:val="12"/>
                <w:numId w:val="0"/>
              </w:numPr>
              <w:rPr>
                <w:rFonts w:ascii="Arial Narrow" w:hAnsi="Arial Narrow" w:cstheme="minorHAnsi"/>
                <w:sz w:val="22"/>
                <w:szCs w:val="22"/>
              </w:rPr>
            </w:pPr>
            <w:r w:rsidRPr="0064085D">
              <w:rPr>
                <w:rFonts w:ascii="Arial Narrow" w:hAnsi="Arial Narrow" w:cstheme="minorHAnsi"/>
                <w:sz w:val="22"/>
                <w:szCs w:val="22"/>
              </w:rPr>
              <w:t>- Could you please describe from your perspective how the decision-making process works - to fund new health technologies?</w:t>
            </w:r>
          </w:p>
          <w:p w14:paraId="737601B4" w14:textId="77777777" w:rsidR="008D59F1" w:rsidRPr="0064085D" w:rsidRDefault="008D59F1" w:rsidP="006517CF">
            <w:pPr>
              <w:pStyle w:val="UnitsStyle"/>
              <w:numPr>
                <w:ilvl w:val="12"/>
                <w:numId w:val="0"/>
              </w:numPr>
              <w:rPr>
                <w:rFonts w:ascii="Arial Narrow" w:hAnsi="Arial Narrow" w:cstheme="minorHAnsi"/>
                <w:sz w:val="22"/>
                <w:szCs w:val="22"/>
              </w:rPr>
            </w:pPr>
            <w:r w:rsidRPr="0064085D">
              <w:rPr>
                <w:rFonts w:ascii="Arial Narrow" w:hAnsi="Arial Narrow" w:cstheme="minorHAnsi"/>
                <w:sz w:val="22"/>
                <w:szCs w:val="22"/>
              </w:rPr>
              <w:t xml:space="preserve">- I’ve seen the documents but what does that process look like when you are in the room when talking about CYP? </w:t>
            </w:r>
          </w:p>
          <w:p w14:paraId="112C4583" w14:textId="77777777" w:rsidR="008D59F1" w:rsidRPr="0064085D" w:rsidRDefault="008D59F1" w:rsidP="006517CF">
            <w:pPr>
              <w:pStyle w:val="UnitsStyle"/>
              <w:numPr>
                <w:ilvl w:val="12"/>
                <w:numId w:val="0"/>
              </w:numPr>
              <w:rPr>
                <w:rFonts w:ascii="Arial Narrow" w:hAnsi="Arial Narrow" w:cstheme="minorHAnsi"/>
                <w:sz w:val="22"/>
                <w:szCs w:val="22"/>
              </w:rPr>
            </w:pPr>
            <w:r w:rsidRPr="0064085D">
              <w:rPr>
                <w:rFonts w:ascii="Arial Narrow" w:hAnsi="Arial Narrow" w:cstheme="minorHAnsi"/>
                <w:sz w:val="22"/>
                <w:szCs w:val="22"/>
              </w:rPr>
              <w:t>- And how does that compare for CYP when you are talking about adults?</w:t>
            </w:r>
          </w:p>
        </w:tc>
        <w:tc>
          <w:tcPr>
            <w:tcW w:w="572" w:type="pct"/>
            <w:vMerge/>
          </w:tcPr>
          <w:p w14:paraId="6A737473" w14:textId="77777777" w:rsidR="008D59F1" w:rsidRPr="0064085D" w:rsidRDefault="008D59F1" w:rsidP="008D59F1">
            <w:pPr>
              <w:pStyle w:val="UnitsStyle"/>
              <w:numPr>
                <w:ilvl w:val="0"/>
                <w:numId w:val="3"/>
              </w:numPr>
              <w:tabs>
                <w:tab w:val="left" w:pos="187"/>
              </w:tabs>
              <w:rPr>
                <w:rFonts w:ascii="Arial Narrow" w:hAnsi="Arial Narrow" w:cstheme="minorHAnsi"/>
                <w:b/>
                <w:sz w:val="22"/>
                <w:szCs w:val="22"/>
              </w:rPr>
            </w:pPr>
          </w:p>
        </w:tc>
        <w:tc>
          <w:tcPr>
            <w:tcW w:w="1857" w:type="pct"/>
            <w:vMerge/>
          </w:tcPr>
          <w:p w14:paraId="6A475304" w14:textId="77777777" w:rsidR="008D59F1" w:rsidRPr="0064085D" w:rsidRDefault="008D59F1" w:rsidP="006517CF">
            <w:pPr>
              <w:pStyle w:val="UnitsStyle"/>
              <w:rPr>
                <w:rFonts w:ascii="Arial Narrow" w:hAnsi="Arial Narrow" w:cstheme="minorHAnsi"/>
                <w:sz w:val="22"/>
                <w:szCs w:val="22"/>
              </w:rPr>
            </w:pPr>
          </w:p>
        </w:tc>
      </w:tr>
      <w:tr w:rsidR="008D59F1" w:rsidRPr="0064085D" w14:paraId="79C61CBC" w14:textId="77777777" w:rsidTr="006517CF">
        <w:trPr>
          <w:trHeight w:val="2284"/>
        </w:trPr>
        <w:tc>
          <w:tcPr>
            <w:tcW w:w="714" w:type="pct"/>
          </w:tcPr>
          <w:p w14:paraId="776AA8DC" w14:textId="77777777" w:rsidR="008D59F1" w:rsidRPr="0064085D" w:rsidRDefault="008D59F1" w:rsidP="008D59F1">
            <w:pPr>
              <w:pStyle w:val="UnitsStyle"/>
              <w:numPr>
                <w:ilvl w:val="0"/>
                <w:numId w:val="3"/>
              </w:numPr>
              <w:tabs>
                <w:tab w:val="left" w:pos="270"/>
              </w:tabs>
              <w:rPr>
                <w:rFonts w:ascii="Arial Narrow" w:hAnsi="Arial Narrow" w:cstheme="minorHAnsi"/>
                <w:b/>
                <w:sz w:val="22"/>
                <w:szCs w:val="22"/>
              </w:rPr>
            </w:pPr>
            <w:r w:rsidRPr="0064085D">
              <w:rPr>
                <w:rFonts w:ascii="Arial Narrow" w:hAnsi="Arial Narrow" w:cstheme="minorHAnsi"/>
                <w:b/>
                <w:sz w:val="22"/>
                <w:szCs w:val="22"/>
              </w:rPr>
              <w:t>Experience with and views on social value of a QALY</w:t>
            </w:r>
          </w:p>
        </w:tc>
        <w:tc>
          <w:tcPr>
            <w:tcW w:w="1857" w:type="pct"/>
          </w:tcPr>
          <w:p w14:paraId="51DD006C" w14:textId="77777777" w:rsidR="008D59F1" w:rsidRPr="0064085D" w:rsidRDefault="008D59F1" w:rsidP="006517CF">
            <w:pPr>
              <w:pStyle w:val="UnitsStyle"/>
              <w:rPr>
                <w:rFonts w:ascii="Arial Narrow" w:hAnsi="Arial Narrow" w:cstheme="minorHAnsi"/>
                <w:sz w:val="22"/>
                <w:szCs w:val="22"/>
              </w:rPr>
            </w:pPr>
            <w:r w:rsidRPr="0064085D">
              <w:rPr>
                <w:rFonts w:ascii="Arial Narrow" w:hAnsi="Arial Narrow" w:cstheme="minorHAnsi"/>
                <w:sz w:val="22"/>
                <w:szCs w:val="22"/>
              </w:rPr>
              <w:t xml:space="preserve"> - What do you think about relative values in HTA? (e.g. some demographics, illness severity weighted higher or lower). - Can you describe your familiarity with this concept of the QALYs threshold be set differently in CYP compared to adults? (exp. in with this in practice? types of decisions?)</w:t>
            </w:r>
          </w:p>
          <w:p w14:paraId="26661CDB" w14:textId="77777777" w:rsidR="008D59F1" w:rsidRPr="0064085D" w:rsidRDefault="008D59F1" w:rsidP="006517CF">
            <w:pPr>
              <w:pStyle w:val="UnitsStyle"/>
              <w:rPr>
                <w:rFonts w:ascii="Arial Narrow" w:hAnsi="Arial Narrow" w:cstheme="minorHAnsi"/>
                <w:sz w:val="22"/>
                <w:szCs w:val="22"/>
              </w:rPr>
            </w:pPr>
            <w:r w:rsidRPr="0064085D">
              <w:rPr>
                <w:rFonts w:ascii="Arial Narrow" w:hAnsi="Arial Narrow" w:cstheme="minorHAnsi"/>
                <w:sz w:val="22"/>
                <w:szCs w:val="22"/>
              </w:rPr>
              <w:t>- Should the QALY threshold be set differently for children than adults? (</w:t>
            </w:r>
            <w:proofErr w:type="spellStart"/>
            <w:r w:rsidRPr="0064085D">
              <w:rPr>
                <w:rFonts w:ascii="Arial Narrow" w:hAnsi="Arial Narrow" w:cstheme="minorHAnsi"/>
                <w:sz w:val="22"/>
                <w:szCs w:val="22"/>
              </w:rPr>
              <w:t>ie</w:t>
            </w:r>
            <w:proofErr w:type="spellEnd"/>
            <w:r w:rsidRPr="0064085D">
              <w:rPr>
                <w:rFonts w:ascii="Arial Narrow" w:hAnsi="Arial Narrow" w:cstheme="minorHAnsi"/>
                <w:sz w:val="22"/>
                <w:szCs w:val="22"/>
              </w:rPr>
              <w:t xml:space="preserve"> a more relaxed funding threshold for children than adults?) Why / why not? (potentially use points 2 and 3 as prompts)</w:t>
            </w:r>
          </w:p>
        </w:tc>
        <w:tc>
          <w:tcPr>
            <w:tcW w:w="572" w:type="pct"/>
            <w:vMerge w:val="restart"/>
          </w:tcPr>
          <w:p w14:paraId="366DCD6F" w14:textId="77777777" w:rsidR="008D59F1" w:rsidRPr="0064085D" w:rsidRDefault="008D59F1" w:rsidP="008D59F1">
            <w:pPr>
              <w:pStyle w:val="UnitsStyle"/>
              <w:numPr>
                <w:ilvl w:val="0"/>
                <w:numId w:val="3"/>
              </w:numPr>
              <w:tabs>
                <w:tab w:val="left" w:pos="187"/>
              </w:tabs>
              <w:rPr>
                <w:rFonts w:ascii="Arial Narrow" w:hAnsi="Arial Narrow" w:cstheme="minorHAnsi"/>
                <w:b/>
                <w:sz w:val="22"/>
                <w:szCs w:val="22"/>
              </w:rPr>
            </w:pPr>
            <w:r w:rsidRPr="0064085D">
              <w:rPr>
                <w:rFonts w:ascii="Arial Narrow" w:hAnsi="Arial Narrow" w:cstheme="minorHAnsi"/>
                <w:b/>
                <w:sz w:val="22"/>
                <w:szCs w:val="22"/>
              </w:rPr>
              <w:t>Close</w:t>
            </w:r>
          </w:p>
        </w:tc>
        <w:tc>
          <w:tcPr>
            <w:tcW w:w="1857" w:type="pct"/>
            <w:vMerge w:val="restart"/>
          </w:tcPr>
          <w:p w14:paraId="2D6EE6EE" w14:textId="77777777" w:rsidR="008D59F1" w:rsidRPr="0064085D" w:rsidRDefault="008D59F1" w:rsidP="006517CF">
            <w:pPr>
              <w:pStyle w:val="UnitsStyle"/>
              <w:numPr>
                <w:ilvl w:val="12"/>
                <w:numId w:val="0"/>
              </w:numPr>
              <w:rPr>
                <w:rFonts w:ascii="Arial Narrow" w:hAnsi="Arial Narrow" w:cstheme="minorHAnsi"/>
                <w:sz w:val="22"/>
                <w:szCs w:val="22"/>
              </w:rPr>
            </w:pPr>
            <w:r w:rsidRPr="0064085D">
              <w:rPr>
                <w:rFonts w:ascii="Arial Narrow" w:hAnsi="Arial Narrow" w:cstheme="minorHAnsi"/>
                <w:sz w:val="22"/>
                <w:szCs w:val="22"/>
              </w:rPr>
              <w:t>- Overall, is there anything else you would like to add about weight QALYs in children compared to adults?</w:t>
            </w:r>
          </w:p>
          <w:p w14:paraId="129DF681" w14:textId="77777777" w:rsidR="008D59F1" w:rsidRPr="0064085D" w:rsidRDefault="008D59F1" w:rsidP="006517CF">
            <w:pPr>
              <w:pStyle w:val="UnitsStyle"/>
              <w:numPr>
                <w:ilvl w:val="12"/>
                <w:numId w:val="0"/>
              </w:numPr>
              <w:rPr>
                <w:rFonts w:ascii="Arial Narrow" w:hAnsi="Arial Narrow" w:cstheme="minorHAnsi"/>
                <w:sz w:val="22"/>
                <w:szCs w:val="22"/>
              </w:rPr>
            </w:pPr>
            <w:r w:rsidRPr="0064085D">
              <w:rPr>
                <w:rFonts w:ascii="Arial Narrow" w:hAnsi="Arial Narrow" w:cstheme="minorHAnsi"/>
                <w:sz w:val="22"/>
                <w:szCs w:val="22"/>
              </w:rPr>
              <w:t>- Demographic survey</w:t>
            </w:r>
          </w:p>
          <w:p w14:paraId="510675A0" w14:textId="77777777" w:rsidR="008D59F1" w:rsidRPr="0064085D" w:rsidRDefault="008D59F1" w:rsidP="006517CF">
            <w:pPr>
              <w:pStyle w:val="UnitsStyle"/>
              <w:numPr>
                <w:ilvl w:val="12"/>
                <w:numId w:val="0"/>
              </w:numPr>
              <w:rPr>
                <w:rFonts w:ascii="Arial Narrow" w:hAnsi="Arial Narrow" w:cstheme="minorHAnsi"/>
                <w:sz w:val="22"/>
                <w:szCs w:val="22"/>
              </w:rPr>
            </w:pPr>
          </w:p>
          <w:p w14:paraId="7FDB4EE4" w14:textId="77777777" w:rsidR="008D59F1" w:rsidRPr="0064085D" w:rsidRDefault="008D59F1" w:rsidP="006517CF">
            <w:pPr>
              <w:pStyle w:val="UnitsStyle"/>
              <w:numPr>
                <w:ilvl w:val="12"/>
                <w:numId w:val="0"/>
              </w:numPr>
              <w:rPr>
                <w:rFonts w:ascii="Arial Narrow" w:hAnsi="Arial Narrow" w:cstheme="minorHAnsi"/>
                <w:sz w:val="22"/>
                <w:szCs w:val="22"/>
              </w:rPr>
            </w:pPr>
            <w:r w:rsidRPr="0064085D">
              <w:rPr>
                <w:rFonts w:ascii="Arial Narrow" w:hAnsi="Arial Narrow" w:cstheme="minorHAnsi"/>
                <w:sz w:val="22"/>
                <w:szCs w:val="22"/>
              </w:rPr>
              <w:t>Thank you very much for taking part in this interview.</w:t>
            </w:r>
          </w:p>
          <w:p w14:paraId="1B6E83E1" w14:textId="77777777" w:rsidR="008D59F1" w:rsidRPr="0064085D" w:rsidRDefault="008D59F1" w:rsidP="006517CF">
            <w:pPr>
              <w:pStyle w:val="UnitsStyle"/>
              <w:numPr>
                <w:ilvl w:val="12"/>
                <w:numId w:val="0"/>
              </w:numPr>
              <w:rPr>
                <w:rFonts w:ascii="Arial Narrow" w:hAnsi="Arial Narrow" w:cstheme="minorHAnsi"/>
                <w:sz w:val="22"/>
                <w:szCs w:val="22"/>
              </w:rPr>
            </w:pPr>
          </w:p>
        </w:tc>
      </w:tr>
      <w:tr w:rsidR="008D59F1" w:rsidRPr="0064085D" w14:paraId="4BABD1D4" w14:textId="77777777" w:rsidTr="006517CF">
        <w:trPr>
          <w:trHeight w:val="2115"/>
        </w:trPr>
        <w:tc>
          <w:tcPr>
            <w:tcW w:w="714" w:type="pct"/>
          </w:tcPr>
          <w:p w14:paraId="40495BDF" w14:textId="77777777" w:rsidR="008D59F1" w:rsidRPr="0064085D" w:rsidRDefault="008D59F1" w:rsidP="008D59F1">
            <w:pPr>
              <w:pStyle w:val="UnitsStyle"/>
              <w:numPr>
                <w:ilvl w:val="0"/>
                <w:numId w:val="3"/>
              </w:numPr>
              <w:tabs>
                <w:tab w:val="left" w:pos="270"/>
              </w:tabs>
              <w:rPr>
                <w:rFonts w:ascii="Arial Narrow" w:hAnsi="Arial Narrow" w:cstheme="minorHAnsi"/>
                <w:b/>
                <w:sz w:val="22"/>
                <w:szCs w:val="22"/>
              </w:rPr>
            </w:pPr>
            <w:r w:rsidRPr="0064085D">
              <w:rPr>
                <w:rFonts w:ascii="Arial Narrow" w:hAnsi="Arial Narrow" w:cstheme="minorHAnsi"/>
                <w:b/>
                <w:sz w:val="22"/>
                <w:szCs w:val="22"/>
              </w:rPr>
              <w:t>Other considerations process (MSAC, PBAC)</w:t>
            </w:r>
          </w:p>
        </w:tc>
        <w:tc>
          <w:tcPr>
            <w:tcW w:w="1857" w:type="pct"/>
          </w:tcPr>
          <w:p w14:paraId="5956525A" w14:textId="77777777" w:rsidR="008D59F1" w:rsidRPr="0064085D" w:rsidRDefault="008D59F1" w:rsidP="006517CF">
            <w:pPr>
              <w:pStyle w:val="UnitsStyle"/>
              <w:numPr>
                <w:ilvl w:val="12"/>
                <w:numId w:val="0"/>
              </w:numPr>
              <w:rPr>
                <w:rFonts w:ascii="Arial Narrow" w:hAnsi="Arial Narrow" w:cstheme="minorHAnsi"/>
                <w:sz w:val="22"/>
                <w:szCs w:val="22"/>
              </w:rPr>
            </w:pPr>
            <w:r w:rsidRPr="0064085D">
              <w:rPr>
                <w:rFonts w:ascii="Arial Narrow" w:hAnsi="Arial Narrow" w:cstheme="minorHAnsi"/>
                <w:sz w:val="22"/>
                <w:szCs w:val="22"/>
              </w:rPr>
              <w:t xml:space="preserve"> - Now on the ‘other considerations’ part of the guidelines, how do these factors work in relation to CYP as opposed to adults? - What kind of work occurs at this stage?</w:t>
            </w:r>
          </w:p>
          <w:p w14:paraId="5FA22674" w14:textId="77777777" w:rsidR="008D59F1" w:rsidRPr="0064085D" w:rsidRDefault="008D59F1" w:rsidP="006517CF">
            <w:pPr>
              <w:pStyle w:val="UnitsStyle"/>
              <w:numPr>
                <w:ilvl w:val="12"/>
                <w:numId w:val="0"/>
              </w:numPr>
              <w:rPr>
                <w:rFonts w:ascii="Arial Narrow" w:hAnsi="Arial Narrow" w:cstheme="minorHAnsi"/>
                <w:sz w:val="22"/>
                <w:szCs w:val="22"/>
              </w:rPr>
            </w:pPr>
            <w:r w:rsidRPr="0064085D">
              <w:rPr>
                <w:rFonts w:ascii="Arial Narrow" w:hAnsi="Arial Narrow" w:cstheme="minorHAnsi"/>
                <w:sz w:val="22"/>
                <w:szCs w:val="22"/>
              </w:rPr>
              <w:t>- Does this influence threshold or a separate decision-making process?</w:t>
            </w:r>
          </w:p>
          <w:p w14:paraId="6AAA0F39" w14:textId="77777777" w:rsidR="008D59F1" w:rsidRPr="0064085D" w:rsidRDefault="008D59F1" w:rsidP="006517CF">
            <w:pPr>
              <w:pStyle w:val="UnitsStyle"/>
              <w:numPr>
                <w:ilvl w:val="12"/>
                <w:numId w:val="0"/>
              </w:numPr>
              <w:rPr>
                <w:rFonts w:ascii="Arial Narrow" w:hAnsi="Arial Narrow" w:cstheme="minorHAnsi"/>
                <w:sz w:val="22"/>
                <w:szCs w:val="22"/>
              </w:rPr>
            </w:pPr>
            <w:r w:rsidRPr="0064085D">
              <w:rPr>
                <w:rFonts w:ascii="Arial Narrow" w:hAnsi="Arial Narrow" w:cstheme="minorHAnsi"/>
                <w:sz w:val="22"/>
                <w:szCs w:val="22"/>
              </w:rPr>
              <w:t>- Do you think it is going well / not well? Improved? How?</w:t>
            </w:r>
          </w:p>
          <w:p w14:paraId="1916EACE" w14:textId="77777777" w:rsidR="008D59F1" w:rsidRPr="0064085D" w:rsidRDefault="008D59F1" w:rsidP="006517CF">
            <w:pPr>
              <w:pStyle w:val="UnitsStyle"/>
              <w:numPr>
                <w:ilvl w:val="12"/>
                <w:numId w:val="0"/>
              </w:numPr>
              <w:rPr>
                <w:rFonts w:ascii="Arial Narrow" w:hAnsi="Arial Narrow" w:cstheme="minorHAnsi"/>
                <w:sz w:val="22"/>
                <w:szCs w:val="22"/>
              </w:rPr>
            </w:pPr>
            <w:r w:rsidRPr="0064085D">
              <w:rPr>
                <w:rFonts w:ascii="Arial Narrow" w:hAnsi="Arial Narrow" w:cstheme="minorHAnsi"/>
                <w:sz w:val="22"/>
                <w:szCs w:val="22"/>
              </w:rPr>
              <w:t xml:space="preserve">- Does the process differ if it is CYP compared to adults? What other factors are </w:t>
            </w:r>
            <w:proofErr w:type="gramStart"/>
            <w:r w:rsidRPr="0064085D">
              <w:rPr>
                <w:rFonts w:ascii="Arial Narrow" w:hAnsi="Arial Narrow" w:cstheme="minorHAnsi"/>
                <w:sz w:val="22"/>
                <w:szCs w:val="22"/>
              </w:rPr>
              <w:t>taken into account</w:t>
            </w:r>
            <w:proofErr w:type="gramEnd"/>
            <w:r w:rsidRPr="0064085D">
              <w:rPr>
                <w:rFonts w:ascii="Arial Narrow" w:hAnsi="Arial Narrow" w:cstheme="minorHAnsi"/>
                <w:sz w:val="22"/>
                <w:szCs w:val="22"/>
              </w:rPr>
              <w:t xml:space="preserve"> in that threshold?</w:t>
            </w:r>
          </w:p>
          <w:p w14:paraId="1F3AA64C" w14:textId="77777777" w:rsidR="008D59F1" w:rsidRPr="0064085D" w:rsidRDefault="008D59F1" w:rsidP="006517CF">
            <w:pPr>
              <w:pStyle w:val="UnitsStyle"/>
              <w:numPr>
                <w:ilvl w:val="12"/>
                <w:numId w:val="0"/>
              </w:numPr>
              <w:rPr>
                <w:rFonts w:ascii="Arial Narrow" w:hAnsi="Arial Narrow" w:cstheme="minorHAnsi"/>
                <w:sz w:val="22"/>
                <w:szCs w:val="22"/>
              </w:rPr>
            </w:pPr>
            <w:r w:rsidRPr="0064085D">
              <w:rPr>
                <w:rFonts w:ascii="Arial Narrow" w:hAnsi="Arial Narrow" w:cstheme="minorHAnsi"/>
                <w:sz w:val="22"/>
                <w:szCs w:val="22"/>
              </w:rPr>
              <w:t xml:space="preserve"> - Are there other factors that you think should be </w:t>
            </w:r>
            <w:proofErr w:type="gramStart"/>
            <w:r w:rsidRPr="0064085D">
              <w:rPr>
                <w:rFonts w:ascii="Arial Narrow" w:hAnsi="Arial Narrow" w:cstheme="minorHAnsi"/>
                <w:sz w:val="22"/>
                <w:szCs w:val="22"/>
              </w:rPr>
              <w:t>taken into account</w:t>
            </w:r>
            <w:proofErr w:type="gramEnd"/>
            <w:r w:rsidRPr="0064085D">
              <w:rPr>
                <w:rFonts w:ascii="Arial Narrow" w:hAnsi="Arial Narrow" w:cstheme="minorHAnsi"/>
                <w:sz w:val="22"/>
                <w:szCs w:val="22"/>
              </w:rPr>
              <w:t xml:space="preserve"> that are not? </w:t>
            </w:r>
          </w:p>
        </w:tc>
        <w:tc>
          <w:tcPr>
            <w:tcW w:w="572" w:type="pct"/>
            <w:vMerge/>
          </w:tcPr>
          <w:p w14:paraId="280A73B3" w14:textId="77777777" w:rsidR="008D59F1" w:rsidRPr="0064085D" w:rsidRDefault="008D59F1" w:rsidP="008D59F1">
            <w:pPr>
              <w:pStyle w:val="UnitsStyle"/>
              <w:numPr>
                <w:ilvl w:val="0"/>
                <w:numId w:val="3"/>
              </w:numPr>
              <w:tabs>
                <w:tab w:val="left" w:pos="187"/>
              </w:tabs>
              <w:rPr>
                <w:rFonts w:ascii="Arial Narrow" w:hAnsi="Arial Narrow" w:cstheme="minorHAnsi"/>
                <w:b/>
                <w:sz w:val="22"/>
                <w:szCs w:val="22"/>
              </w:rPr>
            </w:pPr>
          </w:p>
        </w:tc>
        <w:tc>
          <w:tcPr>
            <w:tcW w:w="1857" w:type="pct"/>
            <w:vMerge/>
          </w:tcPr>
          <w:p w14:paraId="34055572" w14:textId="77777777" w:rsidR="008D59F1" w:rsidRPr="0064085D" w:rsidRDefault="008D59F1" w:rsidP="006517CF">
            <w:pPr>
              <w:pStyle w:val="UnitsStyle"/>
              <w:numPr>
                <w:ilvl w:val="12"/>
                <w:numId w:val="0"/>
              </w:numPr>
              <w:rPr>
                <w:rFonts w:ascii="Arial Narrow" w:hAnsi="Arial Narrow" w:cstheme="minorHAnsi"/>
                <w:sz w:val="22"/>
                <w:szCs w:val="22"/>
              </w:rPr>
            </w:pPr>
          </w:p>
        </w:tc>
      </w:tr>
    </w:tbl>
    <w:p w14:paraId="199D7C92" w14:textId="77777777" w:rsidR="008D59F1" w:rsidRPr="0064085D" w:rsidRDefault="008D59F1" w:rsidP="008D59F1">
      <w:pPr>
        <w:jc w:val="both"/>
        <w:rPr>
          <w:rFonts w:cstheme="minorHAnsi"/>
          <w:color w:val="000000"/>
        </w:rPr>
        <w:sectPr w:rsidR="008D59F1" w:rsidRPr="0064085D" w:rsidSect="006517CF">
          <w:pgSz w:w="16838" w:h="11906" w:orient="landscape"/>
          <w:pgMar w:top="1440" w:right="1440" w:bottom="1440" w:left="1440" w:header="708" w:footer="708" w:gutter="0"/>
          <w:cols w:space="708"/>
          <w:docGrid w:linePitch="360"/>
        </w:sectPr>
      </w:pPr>
    </w:p>
    <w:p w14:paraId="49C0BC9D" w14:textId="77777777" w:rsidR="008D59F1" w:rsidRPr="0064085D" w:rsidRDefault="008D59F1" w:rsidP="008D59F1">
      <w:pPr>
        <w:pStyle w:val="ListParagraph"/>
        <w:numPr>
          <w:ilvl w:val="0"/>
          <w:numId w:val="4"/>
        </w:numPr>
        <w:spacing w:line="276" w:lineRule="auto"/>
        <w:contextualSpacing w:val="0"/>
        <w:jc w:val="both"/>
        <w:rPr>
          <w:rFonts w:asciiTheme="minorHAnsi" w:hAnsiTheme="minorHAnsi" w:cstheme="minorHAnsi"/>
          <w:i/>
          <w:iCs/>
          <w:color w:val="000000"/>
        </w:rPr>
      </w:pPr>
      <w:r w:rsidRPr="0064085D">
        <w:rPr>
          <w:rFonts w:asciiTheme="minorHAnsi" w:hAnsiTheme="minorHAnsi" w:cstheme="minorHAnsi"/>
          <w:i/>
          <w:iCs/>
          <w:color w:val="000000"/>
        </w:rPr>
        <w:lastRenderedPageBreak/>
        <w:t>I’ll read out some of the arguments in favour a higher social value of a QALY in CYP and feel free to jump in at any point if you feel strongly about any of these:</w:t>
      </w:r>
    </w:p>
    <w:p w14:paraId="0210A922" w14:textId="77777777" w:rsidR="008D59F1" w:rsidRPr="0064085D" w:rsidRDefault="008D59F1" w:rsidP="008D59F1">
      <w:pPr>
        <w:spacing w:line="276" w:lineRule="auto"/>
        <w:jc w:val="both"/>
        <w:rPr>
          <w:rFonts w:cstheme="minorHAnsi"/>
          <w:i/>
          <w:iCs/>
          <w:color w:val="000000"/>
        </w:rPr>
      </w:pPr>
    </w:p>
    <w:p w14:paraId="54352583" w14:textId="77777777" w:rsidR="008D59F1" w:rsidRPr="0064085D" w:rsidRDefault="008D59F1" w:rsidP="008D59F1">
      <w:pPr>
        <w:pStyle w:val="ListParagraph"/>
        <w:numPr>
          <w:ilvl w:val="0"/>
          <w:numId w:val="5"/>
        </w:numPr>
        <w:spacing w:line="276" w:lineRule="auto"/>
        <w:jc w:val="both"/>
        <w:rPr>
          <w:rFonts w:asciiTheme="minorHAnsi" w:hAnsiTheme="minorHAnsi" w:cstheme="minorHAnsi"/>
          <w:i/>
          <w:iCs/>
          <w:color w:val="000000"/>
          <w:sz w:val="22"/>
        </w:rPr>
      </w:pPr>
      <w:r w:rsidRPr="0064085D">
        <w:rPr>
          <w:rFonts w:asciiTheme="minorHAnsi" w:hAnsiTheme="minorHAnsi" w:cstheme="minorHAnsi"/>
          <w:i/>
          <w:iCs/>
          <w:color w:val="000000"/>
          <w:sz w:val="22"/>
        </w:rPr>
        <w:t xml:space="preserve">Children are a distinct, special group that any compassionate society would value QALY gains more in children compared to adults. This is sometimes referred to as </w:t>
      </w:r>
      <w:proofErr w:type="spellStart"/>
      <w:r w:rsidRPr="0064085D">
        <w:rPr>
          <w:rFonts w:asciiTheme="minorHAnsi" w:hAnsiTheme="minorHAnsi" w:cstheme="minorHAnsi"/>
          <w:i/>
          <w:iCs/>
          <w:color w:val="000000"/>
          <w:sz w:val="22"/>
        </w:rPr>
        <w:t>pediatric</w:t>
      </w:r>
      <w:proofErr w:type="spellEnd"/>
      <w:r w:rsidRPr="0064085D">
        <w:rPr>
          <w:rFonts w:asciiTheme="minorHAnsi" w:hAnsiTheme="minorHAnsi" w:cstheme="minorHAnsi"/>
          <w:i/>
          <w:iCs/>
          <w:color w:val="000000"/>
          <w:sz w:val="22"/>
        </w:rPr>
        <w:t xml:space="preserve"> exceptionalism in the literature</w:t>
      </w:r>
    </w:p>
    <w:p w14:paraId="15ECFA39" w14:textId="77777777" w:rsidR="008D59F1" w:rsidRPr="0064085D" w:rsidRDefault="008D59F1" w:rsidP="008D59F1">
      <w:pPr>
        <w:pStyle w:val="ListParagraph"/>
        <w:spacing w:line="276" w:lineRule="auto"/>
        <w:jc w:val="both"/>
        <w:rPr>
          <w:rFonts w:asciiTheme="minorHAnsi" w:hAnsiTheme="minorHAnsi" w:cstheme="minorHAnsi"/>
          <w:i/>
          <w:iCs/>
          <w:color w:val="000000"/>
          <w:sz w:val="22"/>
        </w:rPr>
      </w:pPr>
      <w:r w:rsidRPr="0064085D">
        <w:rPr>
          <w:rFonts w:asciiTheme="minorHAnsi" w:hAnsiTheme="minorHAnsi" w:cstheme="minorHAnsi"/>
          <w:i/>
          <w:iCs/>
          <w:color w:val="000000"/>
          <w:sz w:val="22"/>
        </w:rPr>
        <w:t xml:space="preserve"> </w:t>
      </w:r>
    </w:p>
    <w:p w14:paraId="3F4808D7" w14:textId="0EA97939" w:rsidR="008D59F1" w:rsidRPr="0064085D" w:rsidRDefault="008D59F1" w:rsidP="008D59F1">
      <w:pPr>
        <w:pStyle w:val="ListParagraph"/>
        <w:numPr>
          <w:ilvl w:val="0"/>
          <w:numId w:val="5"/>
        </w:numPr>
        <w:spacing w:line="276" w:lineRule="auto"/>
        <w:jc w:val="both"/>
        <w:rPr>
          <w:rFonts w:asciiTheme="minorHAnsi" w:hAnsiTheme="minorHAnsi" w:cstheme="minorHAnsi"/>
          <w:i/>
          <w:iCs/>
          <w:color w:val="000000"/>
          <w:sz w:val="22"/>
        </w:rPr>
      </w:pPr>
      <w:r w:rsidRPr="0064085D">
        <w:rPr>
          <w:rFonts w:asciiTheme="minorHAnsi" w:hAnsiTheme="minorHAnsi" w:cstheme="minorHAnsi"/>
          <w:i/>
          <w:iCs/>
          <w:color w:val="000000"/>
          <w:sz w:val="22"/>
        </w:rPr>
        <w:t xml:space="preserve">It is fairer to give children special merit so that they will then get the same opportunity to live a full life </w:t>
      </w:r>
      <w:proofErr w:type="gramStart"/>
      <w:r w:rsidRPr="0064085D">
        <w:rPr>
          <w:rFonts w:asciiTheme="minorHAnsi" w:hAnsiTheme="minorHAnsi" w:cstheme="minorHAnsi"/>
          <w:i/>
          <w:iCs/>
          <w:color w:val="000000"/>
          <w:sz w:val="22"/>
        </w:rPr>
        <w:t>-  to</w:t>
      </w:r>
      <w:proofErr w:type="gramEnd"/>
      <w:r w:rsidRPr="0064085D">
        <w:rPr>
          <w:rFonts w:asciiTheme="minorHAnsi" w:hAnsiTheme="minorHAnsi" w:cstheme="minorHAnsi"/>
          <w:i/>
          <w:iCs/>
          <w:color w:val="000000"/>
          <w:sz w:val="22"/>
        </w:rPr>
        <w:t xml:space="preserve"> experience the same stages of life that adults have experienced. Sometimes referred to as a fair innings argument</w:t>
      </w:r>
    </w:p>
    <w:p w14:paraId="4987F96B" w14:textId="77777777" w:rsidR="008D59F1" w:rsidRPr="0064085D" w:rsidRDefault="008D59F1" w:rsidP="008D59F1">
      <w:pPr>
        <w:pStyle w:val="ListParagraph"/>
        <w:spacing w:line="276" w:lineRule="auto"/>
        <w:jc w:val="both"/>
        <w:rPr>
          <w:rFonts w:asciiTheme="minorHAnsi" w:hAnsiTheme="minorHAnsi" w:cstheme="minorHAnsi"/>
          <w:i/>
          <w:iCs/>
          <w:color w:val="000000"/>
          <w:sz w:val="22"/>
        </w:rPr>
      </w:pPr>
    </w:p>
    <w:p w14:paraId="00786B7F" w14:textId="77777777" w:rsidR="008D59F1" w:rsidRPr="0064085D" w:rsidRDefault="008D59F1" w:rsidP="008D59F1">
      <w:pPr>
        <w:pStyle w:val="ListParagraph"/>
        <w:numPr>
          <w:ilvl w:val="0"/>
          <w:numId w:val="5"/>
        </w:numPr>
        <w:spacing w:line="276" w:lineRule="auto"/>
        <w:jc w:val="both"/>
        <w:rPr>
          <w:rFonts w:asciiTheme="minorHAnsi" w:hAnsiTheme="minorHAnsi" w:cstheme="minorHAnsi"/>
          <w:i/>
          <w:iCs/>
          <w:color w:val="000000"/>
          <w:sz w:val="22"/>
        </w:rPr>
      </w:pPr>
      <w:r w:rsidRPr="0064085D">
        <w:rPr>
          <w:rFonts w:asciiTheme="minorHAnsi" w:hAnsiTheme="minorHAnsi" w:cstheme="minorHAnsi"/>
          <w:i/>
          <w:iCs/>
          <w:color w:val="000000"/>
          <w:sz w:val="22"/>
        </w:rPr>
        <w:t xml:space="preserve">In a similar way, some people point to other societal impacts of giving children special </w:t>
      </w:r>
      <w:proofErr w:type="gramStart"/>
      <w:r w:rsidRPr="0064085D">
        <w:rPr>
          <w:rFonts w:asciiTheme="minorHAnsi" w:hAnsiTheme="minorHAnsi" w:cstheme="minorHAnsi"/>
          <w:i/>
          <w:iCs/>
          <w:color w:val="000000"/>
          <w:sz w:val="22"/>
        </w:rPr>
        <w:t>merit ,</w:t>
      </w:r>
      <w:proofErr w:type="gramEnd"/>
      <w:r w:rsidRPr="0064085D">
        <w:rPr>
          <w:rFonts w:asciiTheme="minorHAnsi" w:hAnsiTheme="minorHAnsi" w:cstheme="minorHAnsi"/>
          <w:i/>
          <w:iCs/>
          <w:color w:val="000000"/>
          <w:sz w:val="22"/>
        </w:rPr>
        <w:t xml:space="preserve"> such as it may impact the productivity or wellbeing of families and therefore be more productive in the long run</w:t>
      </w:r>
    </w:p>
    <w:p w14:paraId="26C090A6" w14:textId="77777777" w:rsidR="008D59F1" w:rsidRPr="0064085D" w:rsidRDefault="008D59F1" w:rsidP="008D59F1">
      <w:pPr>
        <w:pStyle w:val="ListParagraph"/>
        <w:rPr>
          <w:rFonts w:asciiTheme="minorHAnsi" w:hAnsiTheme="minorHAnsi" w:cstheme="minorHAnsi"/>
          <w:i/>
          <w:iCs/>
          <w:color w:val="000000"/>
          <w:sz w:val="22"/>
        </w:rPr>
      </w:pPr>
    </w:p>
    <w:p w14:paraId="4479FBE9" w14:textId="77777777" w:rsidR="008D59F1" w:rsidRPr="0064085D" w:rsidRDefault="008D59F1" w:rsidP="008D59F1">
      <w:pPr>
        <w:pStyle w:val="ListParagraph"/>
        <w:numPr>
          <w:ilvl w:val="0"/>
          <w:numId w:val="5"/>
        </w:numPr>
        <w:spacing w:line="276" w:lineRule="auto"/>
        <w:jc w:val="both"/>
        <w:rPr>
          <w:rFonts w:asciiTheme="minorHAnsi" w:hAnsiTheme="minorHAnsi" w:cstheme="minorHAnsi"/>
          <w:i/>
          <w:iCs/>
          <w:color w:val="000000"/>
          <w:sz w:val="22"/>
        </w:rPr>
      </w:pPr>
      <w:r w:rsidRPr="0064085D">
        <w:rPr>
          <w:rFonts w:asciiTheme="minorHAnsi" w:hAnsiTheme="minorHAnsi" w:cstheme="minorHAnsi"/>
          <w:i/>
          <w:iCs/>
          <w:color w:val="000000"/>
          <w:sz w:val="22"/>
        </w:rPr>
        <w:t>Intrinsic vulnerability – children lack a voice, “invisible minority”, “marginalized”, lack capacity to advocate for themselves. In addition, children are less culpable for illness because of capacity to choose lifestyle and external factors</w:t>
      </w:r>
    </w:p>
    <w:p w14:paraId="16C1E331" w14:textId="77777777" w:rsidR="008D59F1" w:rsidRPr="0064085D" w:rsidRDefault="008D59F1" w:rsidP="008D59F1">
      <w:pPr>
        <w:pStyle w:val="ListParagraph"/>
        <w:rPr>
          <w:rFonts w:asciiTheme="minorHAnsi" w:hAnsiTheme="minorHAnsi" w:cstheme="minorHAnsi"/>
          <w:i/>
          <w:iCs/>
          <w:color w:val="000000"/>
          <w:sz w:val="22"/>
        </w:rPr>
      </w:pPr>
    </w:p>
    <w:p w14:paraId="273579D0" w14:textId="6FD212B5" w:rsidR="008D59F1" w:rsidRPr="0064085D" w:rsidRDefault="008D59F1" w:rsidP="008D59F1">
      <w:pPr>
        <w:pStyle w:val="ListParagraph"/>
        <w:numPr>
          <w:ilvl w:val="0"/>
          <w:numId w:val="5"/>
        </w:numPr>
        <w:spacing w:line="276" w:lineRule="auto"/>
        <w:jc w:val="both"/>
        <w:rPr>
          <w:rFonts w:asciiTheme="minorHAnsi" w:hAnsiTheme="minorHAnsi" w:cstheme="minorHAnsi"/>
          <w:i/>
          <w:iCs/>
          <w:color w:val="000000"/>
          <w:sz w:val="22"/>
        </w:rPr>
      </w:pPr>
      <w:r w:rsidRPr="0064085D">
        <w:rPr>
          <w:rFonts w:asciiTheme="minorHAnsi" w:hAnsiTheme="minorHAnsi" w:cstheme="minorHAnsi"/>
          <w:i/>
          <w:iCs/>
          <w:color w:val="000000"/>
          <w:sz w:val="22"/>
        </w:rPr>
        <w:t xml:space="preserve">Systemic inequalities – the way the HTA systems function is bias toward adults compared to children. Compared to </w:t>
      </w:r>
      <w:proofErr w:type="gramStart"/>
      <w:r w:rsidRPr="0064085D">
        <w:rPr>
          <w:rFonts w:asciiTheme="minorHAnsi" w:hAnsiTheme="minorHAnsi" w:cstheme="minorHAnsi"/>
          <w:i/>
          <w:iCs/>
          <w:color w:val="000000"/>
          <w:sz w:val="22"/>
        </w:rPr>
        <w:t>adults</w:t>
      </w:r>
      <w:proofErr w:type="gramEnd"/>
      <w:r w:rsidRPr="0064085D">
        <w:rPr>
          <w:rFonts w:asciiTheme="minorHAnsi" w:hAnsiTheme="minorHAnsi" w:cstheme="minorHAnsi"/>
          <w:i/>
          <w:iCs/>
          <w:color w:val="000000"/>
          <w:sz w:val="22"/>
        </w:rPr>
        <w:t xml:space="preserve"> drug coverage and comparable HTA systems are insufficient in children and therefore the social value of child health is not currently being achieved. This was perceived unfair to child </w:t>
      </w:r>
      <w:r w:rsidR="000B02EB">
        <w:rPr>
          <w:rFonts w:asciiTheme="minorHAnsi" w:hAnsiTheme="minorHAnsi" w:cstheme="minorHAnsi"/>
          <w:i/>
          <w:iCs/>
          <w:color w:val="000000"/>
          <w:sz w:val="22"/>
        </w:rPr>
        <w:t xml:space="preserve">in </w:t>
      </w:r>
      <w:r w:rsidRPr="0064085D">
        <w:rPr>
          <w:rFonts w:asciiTheme="minorHAnsi" w:hAnsiTheme="minorHAnsi" w:cstheme="minorHAnsi"/>
          <w:i/>
          <w:iCs/>
          <w:color w:val="000000"/>
          <w:sz w:val="22"/>
        </w:rPr>
        <w:t>reality and need and has resulted in gaps in clinical evidence, drug development, and licensed indications.</w:t>
      </w:r>
    </w:p>
    <w:p w14:paraId="498EDE14" w14:textId="77777777" w:rsidR="008D59F1" w:rsidRPr="0064085D" w:rsidRDefault="008D59F1" w:rsidP="008D59F1">
      <w:pPr>
        <w:pStyle w:val="ListParagraph"/>
        <w:rPr>
          <w:rFonts w:asciiTheme="minorHAnsi" w:hAnsiTheme="minorHAnsi" w:cstheme="minorHAnsi"/>
          <w:i/>
          <w:iCs/>
          <w:color w:val="000000"/>
          <w:sz w:val="22"/>
        </w:rPr>
      </w:pPr>
    </w:p>
    <w:p w14:paraId="08EA83FB" w14:textId="77777777" w:rsidR="008D59F1" w:rsidRPr="0064085D" w:rsidRDefault="008D59F1" w:rsidP="008D59F1">
      <w:pPr>
        <w:pStyle w:val="ListParagraph"/>
        <w:numPr>
          <w:ilvl w:val="0"/>
          <w:numId w:val="4"/>
        </w:numPr>
        <w:rPr>
          <w:rFonts w:asciiTheme="minorHAnsi" w:hAnsiTheme="minorHAnsi" w:cstheme="minorHAnsi"/>
          <w:i/>
          <w:iCs/>
          <w:color w:val="000000"/>
          <w:sz w:val="22"/>
        </w:rPr>
      </w:pPr>
      <w:r w:rsidRPr="0064085D">
        <w:rPr>
          <w:rFonts w:asciiTheme="minorHAnsi" w:hAnsiTheme="minorHAnsi" w:cstheme="minorHAnsi"/>
          <w:i/>
          <w:iCs/>
          <w:color w:val="000000"/>
          <w:sz w:val="22"/>
        </w:rPr>
        <w:t>Okay, now I’ll read out some of the arguments opposed to using a social value of a QALY in children. Again, feel free to jump in at any time if you feel strongly about any of these.</w:t>
      </w:r>
      <w:r w:rsidRPr="0064085D">
        <w:rPr>
          <w:rFonts w:asciiTheme="minorHAnsi" w:hAnsiTheme="minorHAnsi" w:cstheme="minorHAnsi"/>
        </w:rPr>
        <w:t xml:space="preserve"> </w:t>
      </w:r>
    </w:p>
    <w:p w14:paraId="27D5D813" w14:textId="77777777" w:rsidR="008D59F1" w:rsidRPr="0064085D" w:rsidRDefault="008D59F1" w:rsidP="008D59F1">
      <w:pPr>
        <w:pStyle w:val="ListParagraph"/>
        <w:ind w:left="360"/>
        <w:rPr>
          <w:rFonts w:asciiTheme="minorHAnsi" w:hAnsiTheme="minorHAnsi" w:cstheme="minorHAnsi"/>
          <w:i/>
          <w:iCs/>
          <w:color w:val="000000"/>
          <w:sz w:val="22"/>
        </w:rPr>
      </w:pPr>
    </w:p>
    <w:p w14:paraId="51CF2AF7" w14:textId="77777777" w:rsidR="008D59F1" w:rsidRPr="0064085D" w:rsidRDefault="008D59F1" w:rsidP="008D59F1">
      <w:pPr>
        <w:pStyle w:val="ListParagraph"/>
        <w:numPr>
          <w:ilvl w:val="0"/>
          <w:numId w:val="5"/>
        </w:numPr>
        <w:rPr>
          <w:rFonts w:asciiTheme="minorHAnsi" w:hAnsiTheme="minorHAnsi" w:cstheme="minorHAnsi"/>
          <w:i/>
          <w:iCs/>
          <w:color w:val="000000"/>
          <w:sz w:val="22"/>
        </w:rPr>
      </w:pPr>
      <w:r w:rsidRPr="0064085D">
        <w:rPr>
          <w:rFonts w:asciiTheme="minorHAnsi" w:hAnsiTheme="minorHAnsi" w:cstheme="minorHAnsi"/>
          <w:i/>
          <w:iCs/>
          <w:color w:val="000000"/>
          <w:sz w:val="22"/>
        </w:rPr>
        <w:t xml:space="preserve">Egalitarianism - builds from the concept of social equality, prioritizing it for all people. Egalitarianism is characterized by the idea that all humans are equal in fundamental worth or moral status. Health care should be open regardless of age and that everyone in society should be entitled to same care regardless of social circumstances. </w:t>
      </w:r>
    </w:p>
    <w:p w14:paraId="13B02C4F" w14:textId="77777777" w:rsidR="008D59F1" w:rsidRPr="0064085D" w:rsidRDefault="008D59F1" w:rsidP="008D59F1">
      <w:pPr>
        <w:pStyle w:val="ListParagraph"/>
        <w:rPr>
          <w:rFonts w:asciiTheme="minorHAnsi" w:hAnsiTheme="minorHAnsi" w:cstheme="minorHAnsi"/>
          <w:i/>
          <w:iCs/>
          <w:color w:val="000000"/>
          <w:sz w:val="22"/>
        </w:rPr>
      </w:pPr>
    </w:p>
    <w:p w14:paraId="68A09FB9" w14:textId="77777777" w:rsidR="008D59F1" w:rsidRPr="0064085D" w:rsidRDefault="008D59F1" w:rsidP="008D59F1">
      <w:pPr>
        <w:pStyle w:val="ListParagraph"/>
        <w:numPr>
          <w:ilvl w:val="0"/>
          <w:numId w:val="5"/>
        </w:numPr>
        <w:rPr>
          <w:rFonts w:asciiTheme="minorHAnsi" w:hAnsiTheme="minorHAnsi" w:cstheme="minorHAnsi"/>
          <w:i/>
          <w:iCs/>
          <w:color w:val="000000"/>
          <w:sz w:val="22"/>
        </w:rPr>
      </w:pPr>
      <w:r w:rsidRPr="0064085D">
        <w:rPr>
          <w:rFonts w:asciiTheme="minorHAnsi" w:hAnsiTheme="minorHAnsi" w:cstheme="minorHAnsi"/>
          <w:i/>
          <w:iCs/>
          <w:color w:val="000000"/>
          <w:sz w:val="22"/>
        </w:rPr>
        <w:t>That we should use social values but they should prioritise biological over chronological age because it is more relevant to whether that person will benefit from treatment</w:t>
      </w:r>
    </w:p>
    <w:p w14:paraId="751C71EB" w14:textId="77777777" w:rsidR="008D59F1" w:rsidRPr="0064085D" w:rsidRDefault="008D59F1" w:rsidP="008D59F1">
      <w:pPr>
        <w:pStyle w:val="ListParagraph"/>
        <w:rPr>
          <w:rFonts w:asciiTheme="minorHAnsi" w:hAnsiTheme="minorHAnsi" w:cstheme="minorHAnsi"/>
          <w:i/>
          <w:iCs/>
          <w:color w:val="000000"/>
          <w:sz w:val="22"/>
        </w:rPr>
      </w:pPr>
    </w:p>
    <w:p w14:paraId="5F4B2BEC" w14:textId="77777777" w:rsidR="008D59F1" w:rsidRPr="0064085D" w:rsidRDefault="008D59F1" w:rsidP="008D59F1">
      <w:pPr>
        <w:pStyle w:val="ListParagraph"/>
        <w:numPr>
          <w:ilvl w:val="0"/>
          <w:numId w:val="5"/>
        </w:numPr>
        <w:rPr>
          <w:rFonts w:asciiTheme="minorHAnsi" w:hAnsiTheme="minorHAnsi" w:cstheme="minorHAnsi"/>
          <w:i/>
          <w:iCs/>
          <w:color w:val="000000"/>
          <w:sz w:val="22"/>
        </w:rPr>
      </w:pPr>
      <w:r w:rsidRPr="0064085D">
        <w:rPr>
          <w:rFonts w:asciiTheme="minorHAnsi" w:hAnsiTheme="minorHAnsi" w:cstheme="minorHAnsi"/>
          <w:i/>
          <w:iCs/>
          <w:color w:val="000000"/>
          <w:sz w:val="22"/>
        </w:rPr>
        <w:t xml:space="preserve"> Social value of a QALY is unable to capture diverse cultural mores and beliefs. For example, one could argue that a ‘fair innings’ argument is fundamentally a Western concept and may not hold up in a global context or capture the nuance and variation in society</w:t>
      </w:r>
    </w:p>
    <w:p w14:paraId="61E0D7C5" w14:textId="77777777" w:rsidR="008D59F1" w:rsidRPr="0064085D" w:rsidRDefault="008D59F1" w:rsidP="008D59F1">
      <w:pPr>
        <w:pStyle w:val="ListParagraph"/>
        <w:rPr>
          <w:rFonts w:asciiTheme="minorHAnsi" w:hAnsiTheme="minorHAnsi" w:cstheme="minorHAnsi"/>
          <w:i/>
          <w:iCs/>
          <w:color w:val="000000"/>
          <w:sz w:val="22"/>
        </w:rPr>
      </w:pPr>
    </w:p>
    <w:p w14:paraId="09C29502" w14:textId="69249F3E" w:rsidR="008D59F1" w:rsidRPr="0064085D" w:rsidRDefault="008D59F1" w:rsidP="008D59F1">
      <w:pPr>
        <w:pStyle w:val="ListParagraph"/>
        <w:numPr>
          <w:ilvl w:val="0"/>
          <w:numId w:val="5"/>
        </w:numPr>
        <w:rPr>
          <w:rFonts w:asciiTheme="minorHAnsi" w:hAnsiTheme="minorHAnsi" w:cstheme="minorHAnsi"/>
          <w:i/>
          <w:iCs/>
          <w:color w:val="000000"/>
          <w:sz w:val="22"/>
        </w:rPr>
        <w:sectPr w:rsidR="008D59F1" w:rsidRPr="0064085D">
          <w:headerReference w:type="default" r:id="rId15"/>
          <w:pgSz w:w="11906" w:h="16838"/>
          <w:pgMar w:top="1440" w:right="1440" w:bottom="1440" w:left="1440" w:header="708" w:footer="708" w:gutter="0"/>
          <w:cols w:space="708"/>
          <w:docGrid w:linePitch="360"/>
        </w:sectPr>
      </w:pPr>
      <w:r w:rsidRPr="0064085D">
        <w:rPr>
          <w:rFonts w:asciiTheme="minorHAnsi" w:hAnsiTheme="minorHAnsi" w:cstheme="minorHAnsi"/>
          <w:i/>
          <w:iCs/>
          <w:color w:val="000000"/>
          <w:sz w:val="22"/>
        </w:rPr>
        <w:t>Some people fear that if we start to use social values they might be unable to access treatments, such as if when they become older, because the social values framework has deemed them as less worth</w:t>
      </w:r>
    </w:p>
    <w:p w14:paraId="6CC694D7" w14:textId="0211AD9A" w:rsidR="00301324" w:rsidRDefault="008D59F1" w:rsidP="00301324">
      <w:pPr>
        <w:pStyle w:val="Heading1"/>
        <w:keepNext/>
        <w:keepLines/>
        <w:widowControl w:val="0"/>
        <w:pBdr>
          <w:bottom w:val="none" w:sz="0" w:space="0" w:color="auto"/>
        </w:pBdr>
        <w:spacing w:before="480" w:line="360" w:lineRule="auto"/>
        <w:jc w:val="both"/>
        <w:rPr>
          <w:rFonts w:asciiTheme="minorHAnsi" w:eastAsiaTheme="majorEastAsia" w:hAnsiTheme="minorHAnsi" w:cstheme="minorHAnsi"/>
          <w:b/>
          <w:bCs/>
          <w:caps w:val="0"/>
          <w:snapToGrid w:val="0"/>
          <w:color w:val="auto"/>
          <w:spacing w:val="0"/>
          <w:lang w:eastAsia="en-US"/>
        </w:rPr>
      </w:pPr>
      <w:r w:rsidRPr="00044BD5">
        <w:rPr>
          <w:rFonts w:asciiTheme="minorHAnsi" w:eastAsiaTheme="majorEastAsia" w:hAnsiTheme="minorHAnsi" w:cstheme="minorHAnsi"/>
          <w:b/>
          <w:bCs/>
          <w:caps w:val="0"/>
          <w:snapToGrid w:val="0"/>
          <w:color w:val="auto"/>
          <w:spacing w:val="0"/>
          <w:lang w:eastAsia="en-US"/>
        </w:rPr>
        <w:lastRenderedPageBreak/>
        <w:t>A</w:t>
      </w:r>
      <w:r>
        <w:rPr>
          <w:rFonts w:asciiTheme="minorHAnsi" w:eastAsiaTheme="majorEastAsia" w:hAnsiTheme="minorHAnsi" w:cstheme="minorHAnsi"/>
          <w:b/>
          <w:bCs/>
          <w:caps w:val="0"/>
          <w:snapToGrid w:val="0"/>
          <w:color w:val="auto"/>
          <w:spacing w:val="0"/>
          <w:lang w:eastAsia="en-US"/>
        </w:rPr>
        <w:t>ppendix</w:t>
      </w:r>
      <w:r w:rsidRPr="00044BD5">
        <w:rPr>
          <w:rFonts w:asciiTheme="minorHAnsi" w:eastAsiaTheme="majorEastAsia" w:hAnsiTheme="minorHAnsi" w:cstheme="minorHAnsi"/>
          <w:b/>
          <w:bCs/>
          <w:caps w:val="0"/>
          <w:snapToGrid w:val="0"/>
          <w:color w:val="auto"/>
          <w:spacing w:val="0"/>
          <w:lang w:eastAsia="en-US"/>
        </w:rPr>
        <w:t xml:space="preserve"> </w:t>
      </w:r>
      <w:r>
        <w:rPr>
          <w:rFonts w:asciiTheme="minorHAnsi" w:eastAsiaTheme="majorEastAsia" w:hAnsiTheme="minorHAnsi" w:cstheme="minorHAnsi"/>
          <w:b/>
          <w:bCs/>
          <w:caps w:val="0"/>
          <w:snapToGrid w:val="0"/>
          <w:color w:val="auto"/>
          <w:spacing w:val="0"/>
          <w:lang w:eastAsia="en-US"/>
        </w:rPr>
        <w:t xml:space="preserve">3: </w:t>
      </w:r>
      <w:r w:rsidR="00301324">
        <w:rPr>
          <w:rFonts w:asciiTheme="minorHAnsi" w:eastAsiaTheme="majorEastAsia" w:hAnsiTheme="minorHAnsi" w:cstheme="minorHAnsi"/>
          <w:b/>
          <w:bCs/>
          <w:caps w:val="0"/>
          <w:snapToGrid w:val="0"/>
          <w:color w:val="auto"/>
          <w:spacing w:val="0"/>
          <w:lang w:eastAsia="en-US"/>
        </w:rPr>
        <w:t>Policy changes relevant to A4R affecting centralised reviews of health technologies at PBAC and MSAC Years 2014 to 2022</w:t>
      </w:r>
    </w:p>
    <w:p w14:paraId="183B7F54" w14:textId="69479738" w:rsidR="00C74F87" w:rsidRDefault="00C74F87" w:rsidP="00C74F87">
      <w:pPr>
        <w:spacing w:after="0"/>
      </w:pPr>
      <w:r>
        <w:t>Key acronyms used across tables:</w:t>
      </w:r>
    </w:p>
    <w:tbl>
      <w:tblPr>
        <w:tblStyle w:val="TableGrid"/>
        <w:tblW w:w="0" w:type="auto"/>
        <w:tblLook w:val="04A0" w:firstRow="1" w:lastRow="0" w:firstColumn="1" w:lastColumn="0" w:noHBand="0" w:noVBand="1"/>
      </w:tblPr>
      <w:tblGrid>
        <w:gridCol w:w="1413"/>
        <w:gridCol w:w="9781"/>
      </w:tblGrid>
      <w:tr w:rsidR="00C74F87" w:rsidRPr="00C74F87" w14:paraId="5234425B" w14:textId="77777777" w:rsidTr="00D54EDB">
        <w:tc>
          <w:tcPr>
            <w:tcW w:w="1413" w:type="dxa"/>
          </w:tcPr>
          <w:p w14:paraId="5F96459C" w14:textId="3EC4D999" w:rsidR="00C74F87" w:rsidRPr="00C74F87" w:rsidRDefault="00C74F87" w:rsidP="00C74F87">
            <w:pPr>
              <w:rPr>
                <w:rFonts w:ascii="Arial Narrow" w:hAnsi="Arial Narrow" w:cs="Arial"/>
              </w:rPr>
            </w:pPr>
            <w:r w:rsidRPr="00C74F87">
              <w:rPr>
                <w:rFonts w:ascii="Arial Narrow" w:hAnsi="Arial Narrow" w:cs="Arial"/>
              </w:rPr>
              <w:t>A4R</w:t>
            </w:r>
          </w:p>
        </w:tc>
        <w:tc>
          <w:tcPr>
            <w:tcW w:w="9781" w:type="dxa"/>
          </w:tcPr>
          <w:p w14:paraId="22F954BB" w14:textId="37769670" w:rsidR="00C74F87" w:rsidRPr="00C74F87" w:rsidRDefault="00C74F87" w:rsidP="00C74F87">
            <w:pPr>
              <w:rPr>
                <w:rFonts w:ascii="Arial Narrow" w:hAnsi="Arial Narrow" w:cs="Arial"/>
              </w:rPr>
            </w:pPr>
            <w:r>
              <w:rPr>
                <w:rFonts w:ascii="Arial Narrow" w:hAnsi="Arial Narrow" w:cs="Arial"/>
              </w:rPr>
              <w:t>Accountability for Reasonableness</w:t>
            </w:r>
          </w:p>
        </w:tc>
      </w:tr>
      <w:tr w:rsidR="00D54EDB" w:rsidRPr="00C74F87" w14:paraId="2AB60131" w14:textId="77777777" w:rsidTr="00D54EDB">
        <w:tc>
          <w:tcPr>
            <w:tcW w:w="1413" w:type="dxa"/>
          </w:tcPr>
          <w:p w14:paraId="47A1AF60" w14:textId="2358741E" w:rsidR="00D54EDB" w:rsidRPr="00C74F87" w:rsidRDefault="00D54EDB" w:rsidP="00C74F87">
            <w:pPr>
              <w:rPr>
                <w:rFonts w:ascii="Arial Narrow" w:hAnsi="Arial Narrow" w:cs="Arial"/>
              </w:rPr>
            </w:pPr>
            <w:r w:rsidRPr="008522AB">
              <w:rPr>
                <w:rFonts w:ascii="Arial Narrow" w:hAnsi="Arial Narrow" w:cs="Calibri"/>
              </w:rPr>
              <w:t xml:space="preserve">CAR-T </w:t>
            </w:r>
          </w:p>
        </w:tc>
        <w:tc>
          <w:tcPr>
            <w:tcW w:w="9781" w:type="dxa"/>
          </w:tcPr>
          <w:p w14:paraId="20D1C66D" w14:textId="6154B1BF" w:rsidR="00D54EDB" w:rsidRDefault="00D54EDB" w:rsidP="00C74F87">
            <w:pPr>
              <w:rPr>
                <w:rFonts w:ascii="Arial Narrow" w:hAnsi="Arial Narrow" w:cs="Arial"/>
              </w:rPr>
            </w:pPr>
            <w:r w:rsidRPr="00D54EDB">
              <w:rPr>
                <w:rFonts w:ascii="Arial Narrow" w:hAnsi="Arial Narrow" w:cs="Arial"/>
              </w:rPr>
              <w:t>Chimeric Antigen Receptor T-cell therapy</w:t>
            </w:r>
          </w:p>
        </w:tc>
      </w:tr>
      <w:tr w:rsidR="00D54EDB" w:rsidRPr="00C74F87" w14:paraId="41AB9D19" w14:textId="77777777" w:rsidTr="00D54EDB">
        <w:tc>
          <w:tcPr>
            <w:tcW w:w="1413" w:type="dxa"/>
          </w:tcPr>
          <w:p w14:paraId="7D1110A3" w14:textId="4CF8085A" w:rsidR="00D54EDB" w:rsidRPr="00C74F87" w:rsidRDefault="00D54EDB" w:rsidP="00C74F87">
            <w:pPr>
              <w:rPr>
                <w:rFonts w:ascii="Arial Narrow" w:hAnsi="Arial Narrow" w:cs="Arial"/>
              </w:rPr>
            </w:pPr>
            <w:r>
              <w:rPr>
                <w:rFonts w:ascii="Arial Narrow" w:hAnsi="Arial Narrow" w:cs="Arial"/>
              </w:rPr>
              <w:t>CCC</w:t>
            </w:r>
          </w:p>
        </w:tc>
        <w:tc>
          <w:tcPr>
            <w:tcW w:w="9781" w:type="dxa"/>
          </w:tcPr>
          <w:p w14:paraId="12B8413E" w14:textId="509D2C45" w:rsidR="00D54EDB" w:rsidRDefault="00D54EDB" w:rsidP="00C74F87">
            <w:pPr>
              <w:rPr>
                <w:rFonts w:ascii="Arial Narrow" w:hAnsi="Arial Narrow" w:cs="Arial"/>
              </w:rPr>
            </w:pPr>
            <w:r>
              <w:rPr>
                <w:rFonts w:ascii="Arial Narrow" w:hAnsi="Arial Narrow" w:cs="Arial"/>
              </w:rPr>
              <w:t>Consumer Consultative Committee</w:t>
            </w:r>
          </w:p>
        </w:tc>
      </w:tr>
      <w:tr w:rsidR="00C74F87" w:rsidRPr="00C74F87" w14:paraId="6B2FCBA5" w14:textId="77777777" w:rsidTr="00D54EDB">
        <w:tc>
          <w:tcPr>
            <w:tcW w:w="1413" w:type="dxa"/>
          </w:tcPr>
          <w:p w14:paraId="5C9ACCEF" w14:textId="3D8595FC" w:rsidR="00C74F87" w:rsidRPr="00C74F87" w:rsidRDefault="00C74F87" w:rsidP="00C74F87">
            <w:pPr>
              <w:rPr>
                <w:rFonts w:ascii="Arial Narrow" w:hAnsi="Arial Narrow" w:cs="Arial"/>
              </w:rPr>
            </w:pPr>
            <w:r>
              <w:rPr>
                <w:rFonts w:ascii="Arial Narrow" w:hAnsi="Arial Narrow" w:cs="Arial"/>
              </w:rPr>
              <w:t>ESC</w:t>
            </w:r>
          </w:p>
        </w:tc>
        <w:tc>
          <w:tcPr>
            <w:tcW w:w="9781" w:type="dxa"/>
          </w:tcPr>
          <w:p w14:paraId="39B4E130" w14:textId="14B186CD" w:rsidR="00C74F87" w:rsidRDefault="00C74F87" w:rsidP="00C74F87">
            <w:pPr>
              <w:rPr>
                <w:rFonts w:ascii="Arial Narrow" w:hAnsi="Arial Narrow" w:cs="Arial"/>
              </w:rPr>
            </w:pPr>
            <w:r>
              <w:rPr>
                <w:rFonts w:ascii="Arial Narrow" w:hAnsi="Arial Narrow" w:cs="Arial"/>
              </w:rPr>
              <w:t>Economics Subcommittee</w:t>
            </w:r>
          </w:p>
        </w:tc>
      </w:tr>
      <w:tr w:rsidR="00C74F87" w:rsidRPr="00C74F87" w14:paraId="24642409" w14:textId="77777777" w:rsidTr="00D54EDB">
        <w:tc>
          <w:tcPr>
            <w:tcW w:w="1413" w:type="dxa"/>
          </w:tcPr>
          <w:p w14:paraId="39E26E48" w14:textId="37AF48AA" w:rsidR="00C74F87" w:rsidRPr="00C74F87" w:rsidRDefault="00C74F87" w:rsidP="00C74F87">
            <w:pPr>
              <w:rPr>
                <w:rFonts w:ascii="Arial Narrow" w:hAnsi="Arial Narrow" w:cs="Arial"/>
              </w:rPr>
            </w:pPr>
            <w:r>
              <w:rPr>
                <w:rFonts w:ascii="Arial Narrow" w:hAnsi="Arial Narrow" w:cs="Arial"/>
              </w:rPr>
              <w:t>HTA</w:t>
            </w:r>
          </w:p>
        </w:tc>
        <w:tc>
          <w:tcPr>
            <w:tcW w:w="9781" w:type="dxa"/>
          </w:tcPr>
          <w:p w14:paraId="3EAD9619" w14:textId="576552FE" w:rsidR="00C74F87" w:rsidRPr="00C74F87" w:rsidRDefault="00C74F87" w:rsidP="00C74F87">
            <w:pPr>
              <w:rPr>
                <w:rFonts w:ascii="Arial Narrow" w:hAnsi="Arial Narrow" w:cs="Arial"/>
              </w:rPr>
            </w:pPr>
            <w:r>
              <w:rPr>
                <w:rFonts w:ascii="Arial Narrow" w:hAnsi="Arial Narrow" w:cs="Arial"/>
              </w:rPr>
              <w:t>Health Technology Assessment</w:t>
            </w:r>
          </w:p>
        </w:tc>
      </w:tr>
      <w:tr w:rsidR="00C74F87" w:rsidRPr="00C74F87" w14:paraId="48CB66D5" w14:textId="77777777" w:rsidTr="00D54EDB">
        <w:tc>
          <w:tcPr>
            <w:tcW w:w="1413" w:type="dxa"/>
          </w:tcPr>
          <w:p w14:paraId="7F52C6CE" w14:textId="3E34CBA7" w:rsidR="00C74F87" w:rsidRDefault="00C74F87" w:rsidP="00C74F87">
            <w:pPr>
              <w:rPr>
                <w:rFonts w:ascii="Arial Narrow" w:hAnsi="Arial Narrow" w:cs="Arial"/>
              </w:rPr>
            </w:pPr>
            <w:r w:rsidRPr="008522AB">
              <w:rPr>
                <w:rFonts w:ascii="Arial Narrow" w:hAnsi="Arial Narrow" w:cs="Calibri"/>
                <w:color w:val="000000"/>
              </w:rPr>
              <w:t>ICMJE</w:t>
            </w:r>
          </w:p>
        </w:tc>
        <w:tc>
          <w:tcPr>
            <w:tcW w:w="9781" w:type="dxa"/>
          </w:tcPr>
          <w:p w14:paraId="25A1BC8E" w14:textId="3C457737" w:rsidR="00C74F87" w:rsidRDefault="00C74F87" w:rsidP="00C74F87">
            <w:pPr>
              <w:rPr>
                <w:rFonts w:ascii="Arial Narrow" w:hAnsi="Arial Narrow" w:cs="Arial"/>
              </w:rPr>
            </w:pPr>
            <w:r w:rsidRPr="008522AB">
              <w:rPr>
                <w:rFonts w:ascii="Arial Narrow" w:hAnsi="Arial Narrow" w:cs="Calibri"/>
                <w:color w:val="000000"/>
              </w:rPr>
              <w:t xml:space="preserve">International Committee of Journal Editors </w:t>
            </w:r>
          </w:p>
        </w:tc>
      </w:tr>
      <w:tr w:rsidR="00D54EDB" w:rsidRPr="00C74F87" w14:paraId="3B1EEAA7" w14:textId="77777777" w:rsidTr="00D54EDB">
        <w:tc>
          <w:tcPr>
            <w:tcW w:w="1413" w:type="dxa"/>
          </w:tcPr>
          <w:p w14:paraId="06092751" w14:textId="70C14774" w:rsidR="00D54EDB" w:rsidRPr="008522AB" w:rsidRDefault="00D54EDB" w:rsidP="00C74F87">
            <w:pPr>
              <w:rPr>
                <w:rFonts w:ascii="Arial Narrow" w:hAnsi="Arial Narrow" w:cs="Calibri"/>
                <w:color w:val="000000"/>
              </w:rPr>
            </w:pPr>
            <w:r>
              <w:rPr>
                <w:rFonts w:ascii="Arial Narrow" w:hAnsi="Arial Narrow" w:cs="Calibri"/>
                <w:color w:val="000000"/>
              </w:rPr>
              <w:t>LSDP</w:t>
            </w:r>
          </w:p>
        </w:tc>
        <w:tc>
          <w:tcPr>
            <w:tcW w:w="9781" w:type="dxa"/>
          </w:tcPr>
          <w:p w14:paraId="28360307" w14:textId="3D829375" w:rsidR="00D54EDB" w:rsidRPr="008522AB" w:rsidRDefault="00D54EDB" w:rsidP="00C74F87">
            <w:pPr>
              <w:rPr>
                <w:rFonts w:ascii="Arial Narrow" w:hAnsi="Arial Narrow" w:cs="Calibri"/>
                <w:color w:val="000000"/>
              </w:rPr>
            </w:pPr>
            <w:r>
              <w:rPr>
                <w:rFonts w:ascii="Arial Narrow" w:hAnsi="Arial Narrow" w:cs="Calibri"/>
                <w:color w:val="000000"/>
              </w:rPr>
              <w:t xml:space="preserve">Life-Saving Drugs Programs </w:t>
            </w:r>
          </w:p>
        </w:tc>
      </w:tr>
      <w:tr w:rsidR="00D54EDB" w:rsidRPr="00C74F87" w14:paraId="7EBB18B9" w14:textId="77777777" w:rsidTr="00D54EDB">
        <w:tc>
          <w:tcPr>
            <w:tcW w:w="1413" w:type="dxa"/>
          </w:tcPr>
          <w:p w14:paraId="5D10EBEA" w14:textId="6B6E2BCC" w:rsidR="00D54EDB" w:rsidRDefault="00D54EDB" w:rsidP="00C74F87">
            <w:pPr>
              <w:rPr>
                <w:rFonts w:ascii="Arial Narrow" w:hAnsi="Arial Narrow" w:cs="Calibri"/>
                <w:color w:val="000000"/>
              </w:rPr>
            </w:pPr>
            <w:r>
              <w:rPr>
                <w:rFonts w:ascii="Arial Narrow" w:hAnsi="Arial Narrow" w:cs="Calibri"/>
                <w:color w:val="000000"/>
              </w:rPr>
              <w:t>MBS</w:t>
            </w:r>
          </w:p>
        </w:tc>
        <w:tc>
          <w:tcPr>
            <w:tcW w:w="9781" w:type="dxa"/>
          </w:tcPr>
          <w:p w14:paraId="6D3754BF" w14:textId="3976632F" w:rsidR="00D54EDB" w:rsidRDefault="00D54EDB" w:rsidP="00C74F87">
            <w:pPr>
              <w:rPr>
                <w:rFonts w:ascii="Arial Narrow" w:hAnsi="Arial Narrow" w:cs="Calibri"/>
                <w:color w:val="000000"/>
              </w:rPr>
            </w:pPr>
            <w:r>
              <w:rPr>
                <w:rFonts w:ascii="Arial Narrow" w:hAnsi="Arial Narrow" w:cs="Calibri"/>
                <w:color w:val="000000"/>
              </w:rPr>
              <w:t>Medical Benefits Schedule</w:t>
            </w:r>
          </w:p>
        </w:tc>
      </w:tr>
      <w:tr w:rsidR="00C74F87" w:rsidRPr="00C74F87" w14:paraId="73B8E1B1" w14:textId="77777777" w:rsidTr="00D54EDB">
        <w:tc>
          <w:tcPr>
            <w:tcW w:w="1413" w:type="dxa"/>
          </w:tcPr>
          <w:p w14:paraId="30C736C7" w14:textId="67D8EA5D" w:rsidR="00C74F87" w:rsidRPr="00C74F87" w:rsidRDefault="00C74F87" w:rsidP="00C74F87">
            <w:pPr>
              <w:rPr>
                <w:rFonts w:ascii="Arial Narrow" w:hAnsi="Arial Narrow" w:cs="Arial"/>
              </w:rPr>
            </w:pPr>
            <w:r>
              <w:rPr>
                <w:rFonts w:ascii="Arial Narrow" w:hAnsi="Arial Narrow" w:cs="Arial"/>
              </w:rPr>
              <w:t>MSAC</w:t>
            </w:r>
          </w:p>
        </w:tc>
        <w:tc>
          <w:tcPr>
            <w:tcW w:w="9781" w:type="dxa"/>
          </w:tcPr>
          <w:p w14:paraId="658D2B09" w14:textId="3A8AE5BD" w:rsidR="00C74F87" w:rsidRPr="00C74F87" w:rsidRDefault="00C74F87" w:rsidP="00C74F87">
            <w:pPr>
              <w:rPr>
                <w:rFonts w:ascii="Arial Narrow" w:hAnsi="Arial Narrow" w:cs="Arial"/>
              </w:rPr>
            </w:pPr>
            <w:r>
              <w:rPr>
                <w:rFonts w:ascii="Arial Narrow" w:hAnsi="Arial Narrow" w:cs="Arial"/>
              </w:rPr>
              <w:t>Medical Services Advisory Committee</w:t>
            </w:r>
          </w:p>
        </w:tc>
      </w:tr>
      <w:tr w:rsidR="00D54EDB" w:rsidRPr="00C74F87" w14:paraId="687C9C00" w14:textId="77777777" w:rsidTr="00D54EDB">
        <w:tc>
          <w:tcPr>
            <w:tcW w:w="1413" w:type="dxa"/>
          </w:tcPr>
          <w:p w14:paraId="312DF34D" w14:textId="543343B2" w:rsidR="00D54EDB" w:rsidRDefault="00D54EDB" w:rsidP="00C74F87">
            <w:pPr>
              <w:rPr>
                <w:rFonts w:ascii="Arial Narrow" w:hAnsi="Arial Narrow" w:cs="Arial"/>
              </w:rPr>
            </w:pPr>
            <w:r w:rsidRPr="008522AB">
              <w:rPr>
                <w:rFonts w:ascii="Arial Narrow" w:hAnsi="Arial Narrow" w:cs="Calibri"/>
              </w:rPr>
              <w:t>NHRA</w:t>
            </w:r>
          </w:p>
        </w:tc>
        <w:tc>
          <w:tcPr>
            <w:tcW w:w="9781" w:type="dxa"/>
          </w:tcPr>
          <w:p w14:paraId="4ADBACAF" w14:textId="78428598" w:rsidR="00D54EDB" w:rsidRDefault="00D54EDB" w:rsidP="00C74F87">
            <w:pPr>
              <w:rPr>
                <w:rFonts w:ascii="Arial Narrow" w:hAnsi="Arial Narrow" w:cs="Arial"/>
              </w:rPr>
            </w:pPr>
            <w:r w:rsidRPr="008522AB">
              <w:rPr>
                <w:rFonts w:ascii="Arial Narrow" w:hAnsi="Arial Narrow" w:cs="Calibri"/>
              </w:rPr>
              <w:t>National Health Reform Agreement</w:t>
            </w:r>
          </w:p>
        </w:tc>
      </w:tr>
      <w:tr w:rsidR="00D54EDB" w:rsidRPr="00C74F87" w14:paraId="63B5CB18" w14:textId="77777777" w:rsidTr="00D54EDB">
        <w:tc>
          <w:tcPr>
            <w:tcW w:w="1413" w:type="dxa"/>
          </w:tcPr>
          <w:p w14:paraId="2A8EE150" w14:textId="503D48A3" w:rsidR="00D54EDB" w:rsidRDefault="00D54EDB" w:rsidP="00C74F87">
            <w:pPr>
              <w:rPr>
                <w:rFonts w:ascii="Arial Narrow" w:hAnsi="Arial Narrow" w:cs="Arial"/>
              </w:rPr>
            </w:pPr>
            <w:r w:rsidRPr="008522AB">
              <w:rPr>
                <w:rFonts w:ascii="Arial Narrow" w:hAnsi="Arial Narrow" w:cs="Calibri"/>
                <w:color w:val="000000"/>
              </w:rPr>
              <w:t>NSCLC</w:t>
            </w:r>
          </w:p>
        </w:tc>
        <w:tc>
          <w:tcPr>
            <w:tcW w:w="9781" w:type="dxa"/>
          </w:tcPr>
          <w:p w14:paraId="4666757B" w14:textId="3BC141C1" w:rsidR="00D54EDB" w:rsidRDefault="00D54EDB" w:rsidP="00C74F87">
            <w:pPr>
              <w:rPr>
                <w:rFonts w:ascii="Arial Narrow" w:hAnsi="Arial Narrow" w:cs="Arial"/>
              </w:rPr>
            </w:pPr>
            <w:proofErr w:type="spellStart"/>
            <w:r>
              <w:rPr>
                <w:rFonts w:ascii="Arial Narrow" w:hAnsi="Arial Narrow" w:cs="Arial"/>
              </w:rPr>
              <w:t>Non small</w:t>
            </w:r>
            <w:proofErr w:type="spellEnd"/>
            <w:r>
              <w:rPr>
                <w:rFonts w:ascii="Arial Narrow" w:hAnsi="Arial Narrow" w:cs="Arial"/>
              </w:rPr>
              <w:t xml:space="preserve"> cell lung cancer</w:t>
            </w:r>
          </w:p>
        </w:tc>
      </w:tr>
      <w:tr w:rsidR="00C74F87" w:rsidRPr="00C74F87" w14:paraId="06A28E3A" w14:textId="77777777" w:rsidTr="00D54EDB">
        <w:tc>
          <w:tcPr>
            <w:tcW w:w="1413" w:type="dxa"/>
          </w:tcPr>
          <w:p w14:paraId="6534D739" w14:textId="77777777" w:rsidR="00C74F87" w:rsidRPr="00C74F87" w:rsidRDefault="00C74F87" w:rsidP="00C74F87">
            <w:pPr>
              <w:rPr>
                <w:rFonts w:ascii="Arial Narrow" w:hAnsi="Arial Narrow" w:cs="Arial"/>
              </w:rPr>
            </w:pPr>
            <w:r>
              <w:rPr>
                <w:rFonts w:ascii="Arial Narrow" w:hAnsi="Arial Narrow" w:cs="Arial"/>
              </w:rPr>
              <w:t>PASC</w:t>
            </w:r>
          </w:p>
        </w:tc>
        <w:tc>
          <w:tcPr>
            <w:tcW w:w="9781" w:type="dxa"/>
          </w:tcPr>
          <w:p w14:paraId="3731A563" w14:textId="77777777" w:rsidR="00C74F87" w:rsidRPr="00C74F87" w:rsidRDefault="00C74F87" w:rsidP="00C74F87">
            <w:pPr>
              <w:rPr>
                <w:rFonts w:ascii="Arial Narrow" w:hAnsi="Arial Narrow" w:cs="Arial"/>
              </w:rPr>
            </w:pPr>
            <w:r>
              <w:rPr>
                <w:rFonts w:ascii="Arial Narrow" w:hAnsi="Arial Narrow" w:cs="Arial"/>
              </w:rPr>
              <w:t>Population Intervention Comparator Outcomes (PICO) Advisory Sub-committee</w:t>
            </w:r>
          </w:p>
        </w:tc>
      </w:tr>
      <w:tr w:rsidR="00C74F87" w:rsidRPr="00C74F87" w14:paraId="280A2011" w14:textId="77777777" w:rsidTr="00D54EDB">
        <w:tc>
          <w:tcPr>
            <w:tcW w:w="1413" w:type="dxa"/>
          </w:tcPr>
          <w:p w14:paraId="16B732F2" w14:textId="54FD544C" w:rsidR="00C74F87" w:rsidRPr="00C74F87" w:rsidRDefault="00C74F87" w:rsidP="00C74F87">
            <w:pPr>
              <w:rPr>
                <w:rFonts w:ascii="Arial Narrow" w:hAnsi="Arial Narrow" w:cs="Arial"/>
              </w:rPr>
            </w:pPr>
            <w:r>
              <w:rPr>
                <w:rFonts w:ascii="Arial Narrow" w:hAnsi="Arial Narrow" w:cs="Arial"/>
              </w:rPr>
              <w:t>PBAC</w:t>
            </w:r>
          </w:p>
        </w:tc>
        <w:tc>
          <w:tcPr>
            <w:tcW w:w="9781" w:type="dxa"/>
          </w:tcPr>
          <w:p w14:paraId="0D2A3A45" w14:textId="268A67C5" w:rsidR="00C74F87" w:rsidRPr="00C74F87" w:rsidRDefault="00C74F87" w:rsidP="00C74F87">
            <w:pPr>
              <w:rPr>
                <w:rFonts w:ascii="Arial Narrow" w:hAnsi="Arial Narrow" w:cs="Arial"/>
              </w:rPr>
            </w:pPr>
            <w:r>
              <w:rPr>
                <w:rFonts w:ascii="Arial Narrow" w:hAnsi="Arial Narrow" w:cs="Arial"/>
              </w:rPr>
              <w:t>Pharmaceutical Benefits Advisory Committee</w:t>
            </w:r>
          </w:p>
        </w:tc>
      </w:tr>
      <w:tr w:rsidR="00C74F87" w:rsidRPr="00C74F87" w14:paraId="489BD578" w14:textId="77777777" w:rsidTr="00D54EDB">
        <w:tc>
          <w:tcPr>
            <w:tcW w:w="1413" w:type="dxa"/>
          </w:tcPr>
          <w:p w14:paraId="191AD865" w14:textId="489C7604" w:rsidR="00C74F87" w:rsidRDefault="00C74F87" w:rsidP="00C74F87">
            <w:pPr>
              <w:rPr>
                <w:rFonts w:ascii="Arial Narrow" w:hAnsi="Arial Narrow" w:cs="Arial"/>
              </w:rPr>
            </w:pPr>
            <w:r>
              <w:rPr>
                <w:rFonts w:ascii="Arial Narrow" w:hAnsi="Arial Narrow" w:cs="Arial"/>
              </w:rPr>
              <w:t>PBS</w:t>
            </w:r>
          </w:p>
        </w:tc>
        <w:tc>
          <w:tcPr>
            <w:tcW w:w="9781" w:type="dxa"/>
          </w:tcPr>
          <w:p w14:paraId="35EC62EC" w14:textId="2D8BBF7F" w:rsidR="00C74F87" w:rsidRDefault="00C74F87" w:rsidP="00C74F87">
            <w:pPr>
              <w:rPr>
                <w:rFonts w:ascii="Arial Narrow" w:hAnsi="Arial Narrow" w:cs="Arial"/>
              </w:rPr>
            </w:pPr>
            <w:r>
              <w:rPr>
                <w:rFonts w:ascii="Arial Narrow" w:hAnsi="Arial Narrow" w:cs="Arial"/>
              </w:rPr>
              <w:t>Pharmaceutical Benefits Schedule</w:t>
            </w:r>
          </w:p>
        </w:tc>
      </w:tr>
      <w:tr w:rsidR="00C74F87" w:rsidRPr="00C74F87" w14:paraId="211BDA70" w14:textId="77777777" w:rsidTr="00D54EDB">
        <w:tc>
          <w:tcPr>
            <w:tcW w:w="1413" w:type="dxa"/>
          </w:tcPr>
          <w:p w14:paraId="5CE2F7DF" w14:textId="42C9AB06" w:rsidR="00C74F87" w:rsidRDefault="00C74F87" w:rsidP="00C74F87">
            <w:pPr>
              <w:rPr>
                <w:rFonts w:ascii="Arial Narrow" w:hAnsi="Arial Narrow" w:cs="Arial"/>
              </w:rPr>
            </w:pPr>
            <w:r>
              <w:rPr>
                <w:rFonts w:ascii="Arial Narrow" w:hAnsi="Arial Narrow" w:cs="Arial"/>
              </w:rPr>
              <w:t>PMR</w:t>
            </w:r>
          </w:p>
        </w:tc>
        <w:tc>
          <w:tcPr>
            <w:tcW w:w="9781" w:type="dxa"/>
          </w:tcPr>
          <w:p w14:paraId="0A4C0300" w14:textId="06898378" w:rsidR="00C74F87" w:rsidRDefault="00C74F87" w:rsidP="00C74F87">
            <w:pPr>
              <w:rPr>
                <w:rFonts w:ascii="Arial Narrow" w:hAnsi="Arial Narrow" w:cs="Arial"/>
              </w:rPr>
            </w:pPr>
            <w:r>
              <w:rPr>
                <w:rFonts w:ascii="Arial Narrow" w:hAnsi="Arial Narrow" w:cs="Arial"/>
              </w:rPr>
              <w:t>Post Market Review</w:t>
            </w:r>
          </w:p>
        </w:tc>
      </w:tr>
      <w:tr w:rsidR="00C74F87" w:rsidRPr="00C74F87" w14:paraId="6B4D731E" w14:textId="77777777" w:rsidTr="00D54EDB">
        <w:tc>
          <w:tcPr>
            <w:tcW w:w="1413" w:type="dxa"/>
          </w:tcPr>
          <w:p w14:paraId="78791398" w14:textId="02A0B9EF" w:rsidR="00C74F87" w:rsidRPr="00C74F87" w:rsidRDefault="00C74F87" w:rsidP="00C74F87">
            <w:pPr>
              <w:rPr>
                <w:rFonts w:ascii="Arial Narrow" w:hAnsi="Arial Narrow" w:cs="Arial"/>
              </w:rPr>
            </w:pPr>
            <w:r>
              <w:rPr>
                <w:rFonts w:ascii="Arial Narrow" w:hAnsi="Arial Narrow" w:cs="Arial"/>
              </w:rPr>
              <w:t>PSD</w:t>
            </w:r>
          </w:p>
        </w:tc>
        <w:tc>
          <w:tcPr>
            <w:tcW w:w="9781" w:type="dxa"/>
          </w:tcPr>
          <w:p w14:paraId="57F19E29" w14:textId="002FB2B7" w:rsidR="00C74F87" w:rsidRPr="00C74F87" w:rsidRDefault="00C74F87" w:rsidP="00C74F87">
            <w:pPr>
              <w:rPr>
                <w:rFonts w:ascii="Arial Narrow" w:hAnsi="Arial Narrow" w:cs="Arial"/>
              </w:rPr>
            </w:pPr>
            <w:r>
              <w:rPr>
                <w:rFonts w:ascii="Arial Narrow" w:hAnsi="Arial Narrow" w:cs="Arial"/>
              </w:rPr>
              <w:t>Public Summary Document</w:t>
            </w:r>
          </w:p>
        </w:tc>
      </w:tr>
      <w:tr w:rsidR="00C74F87" w:rsidRPr="00C74F87" w14:paraId="433501C7" w14:textId="77777777" w:rsidTr="00D54EDB">
        <w:tc>
          <w:tcPr>
            <w:tcW w:w="1413" w:type="dxa"/>
            <w:vAlign w:val="center"/>
          </w:tcPr>
          <w:p w14:paraId="4AE0C3FE" w14:textId="7781591C" w:rsidR="00C74F87" w:rsidRDefault="00C74F87" w:rsidP="00C74F87">
            <w:pPr>
              <w:rPr>
                <w:rFonts w:ascii="Arial Narrow" w:hAnsi="Arial Narrow" w:cs="Arial"/>
              </w:rPr>
            </w:pPr>
            <w:r>
              <w:rPr>
                <w:rFonts w:ascii="Arial Narrow" w:hAnsi="Arial Narrow" w:cs="Arial"/>
              </w:rPr>
              <w:t>SIP</w:t>
            </w:r>
          </w:p>
        </w:tc>
        <w:tc>
          <w:tcPr>
            <w:tcW w:w="9781" w:type="dxa"/>
          </w:tcPr>
          <w:p w14:paraId="2BCBC443" w14:textId="3B05EAE0" w:rsidR="00C74F87" w:rsidRDefault="00C74F87" w:rsidP="00C74F87">
            <w:pPr>
              <w:rPr>
                <w:rFonts w:ascii="Arial Narrow" w:hAnsi="Arial Narrow" w:cs="Arial"/>
              </w:rPr>
            </w:pPr>
            <w:r w:rsidRPr="008522AB">
              <w:rPr>
                <w:rFonts w:ascii="Arial Narrow" w:hAnsi="Arial Narrow" w:cs="Calibri"/>
                <w:color w:val="000000"/>
              </w:rPr>
              <w:t xml:space="preserve">Standardised Summary of Information </w:t>
            </w:r>
          </w:p>
        </w:tc>
      </w:tr>
      <w:tr w:rsidR="00C74F87" w:rsidRPr="00C74F87" w14:paraId="2924F0FE" w14:textId="77777777" w:rsidTr="00D54EDB">
        <w:tc>
          <w:tcPr>
            <w:tcW w:w="1413" w:type="dxa"/>
          </w:tcPr>
          <w:p w14:paraId="3864C961" w14:textId="09D9D257" w:rsidR="00C74F87" w:rsidRDefault="00C74F87" w:rsidP="00C74F87">
            <w:pPr>
              <w:rPr>
                <w:rFonts w:ascii="Arial Narrow" w:hAnsi="Arial Narrow" w:cs="Arial"/>
              </w:rPr>
            </w:pPr>
            <w:r>
              <w:rPr>
                <w:rFonts w:ascii="Arial Narrow" w:hAnsi="Arial Narrow" w:cs="Arial"/>
              </w:rPr>
              <w:t>TAAD</w:t>
            </w:r>
          </w:p>
        </w:tc>
        <w:tc>
          <w:tcPr>
            <w:tcW w:w="9781" w:type="dxa"/>
          </w:tcPr>
          <w:p w14:paraId="0D8E5A25" w14:textId="58A336B8" w:rsidR="00C74F87" w:rsidRDefault="00C74F87" w:rsidP="00C74F87">
            <w:pPr>
              <w:rPr>
                <w:rFonts w:ascii="Arial Narrow" w:hAnsi="Arial Narrow" w:cs="Arial"/>
              </w:rPr>
            </w:pPr>
            <w:r w:rsidRPr="008522AB">
              <w:rPr>
                <w:rFonts w:ascii="Arial Narrow" w:hAnsi="Arial Narrow" w:cs="Calibri"/>
                <w:color w:val="000000"/>
              </w:rPr>
              <w:t xml:space="preserve">Technology Assessment and Access Division </w:t>
            </w:r>
            <w:r>
              <w:rPr>
                <w:rFonts w:ascii="Arial Narrow" w:hAnsi="Arial Narrow" w:cs="Calibri"/>
                <w:color w:val="000000"/>
              </w:rPr>
              <w:t>with Australian Government Department of Health, Disability and Aging.</w:t>
            </w:r>
          </w:p>
        </w:tc>
      </w:tr>
    </w:tbl>
    <w:p w14:paraId="4F687A93" w14:textId="379DBB10" w:rsidR="00A656B3" w:rsidRPr="00301324" w:rsidRDefault="00A656B3" w:rsidP="00301324">
      <w:pPr>
        <w:pStyle w:val="Title1"/>
        <w:spacing w:line="240" w:lineRule="auto"/>
        <w:outlineLvl w:val="2"/>
        <w:rPr>
          <w:rFonts w:ascii="Arial Narrow" w:hAnsi="Arial Narrow" w:cstheme="minorHAnsi"/>
          <w:sz w:val="20"/>
          <w:szCs w:val="20"/>
          <w:lang w:val="en-AU" w:eastAsia="en-US"/>
        </w:rPr>
      </w:pPr>
      <w:bookmarkStart w:id="0" w:name="_Ref127451670"/>
      <w:r w:rsidRPr="00301324">
        <w:rPr>
          <w:rFonts w:ascii="Arial Narrow" w:hAnsi="Arial Narrow" w:cstheme="minorHAnsi"/>
          <w:sz w:val="20"/>
          <w:szCs w:val="20"/>
          <w:lang w:val="en-AU" w:eastAsia="en-US"/>
        </w:rPr>
        <w:t xml:space="preserve">Table </w:t>
      </w:r>
      <w:r w:rsidRPr="00301324">
        <w:rPr>
          <w:rFonts w:ascii="Arial Narrow" w:hAnsi="Arial Narrow" w:cstheme="minorHAnsi"/>
          <w:sz w:val="20"/>
          <w:szCs w:val="20"/>
          <w:lang w:val="en-AU" w:eastAsia="en-US"/>
        </w:rPr>
        <w:fldChar w:fldCharType="begin"/>
      </w:r>
      <w:r w:rsidRPr="00301324">
        <w:rPr>
          <w:rFonts w:ascii="Arial Narrow" w:hAnsi="Arial Narrow" w:cstheme="minorHAnsi"/>
          <w:sz w:val="20"/>
          <w:szCs w:val="20"/>
          <w:lang w:val="en-AU" w:eastAsia="en-US"/>
        </w:rPr>
        <w:instrText xml:space="preserve"> SEQ Table \* ARABIC </w:instrText>
      </w:r>
      <w:r w:rsidRPr="00301324">
        <w:rPr>
          <w:rFonts w:ascii="Arial Narrow" w:hAnsi="Arial Narrow" w:cstheme="minorHAnsi"/>
          <w:sz w:val="20"/>
          <w:szCs w:val="20"/>
          <w:lang w:val="en-AU" w:eastAsia="en-US"/>
        </w:rPr>
        <w:fldChar w:fldCharType="separate"/>
      </w:r>
      <w:r w:rsidR="00D26BA4">
        <w:rPr>
          <w:rFonts w:ascii="Arial Narrow" w:hAnsi="Arial Narrow" w:cstheme="minorHAnsi"/>
          <w:noProof/>
          <w:sz w:val="20"/>
          <w:szCs w:val="20"/>
          <w:lang w:val="en-AU" w:eastAsia="en-US"/>
        </w:rPr>
        <w:t>1</w:t>
      </w:r>
      <w:r w:rsidRPr="00301324">
        <w:rPr>
          <w:rFonts w:ascii="Arial Narrow" w:hAnsi="Arial Narrow" w:cstheme="minorHAnsi"/>
          <w:sz w:val="20"/>
          <w:szCs w:val="20"/>
          <w:lang w:val="en-AU" w:eastAsia="en-US"/>
        </w:rPr>
        <w:fldChar w:fldCharType="end"/>
      </w:r>
      <w:bookmarkEnd w:id="0"/>
      <w:r w:rsidRPr="00301324">
        <w:rPr>
          <w:rFonts w:ascii="Arial Narrow" w:hAnsi="Arial Narrow" w:cstheme="minorHAnsi"/>
          <w:sz w:val="20"/>
          <w:szCs w:val="20"/>
          <w:lang w:val="en-AU" w:eastAsia="en-US"/>
        </w:rPr>
        <w:t xml:space="preserve">: </w:t>
      </w:r>
      <w:r w:rsidR="00E9212E" w:rsidRPr="00301324">
        <w:rPr>
          <w:rFonts w:ascii="Arial Narrow" w:hAnsi="Arial Narrow" w:cstheme="minorHAnsi"/>
          <w:sz w:val="20"/>
          <w:szCs w:val="20"/>
          <w:lang w:val="en-AU" w:eastAsia="en-US"/>
        </w:rPr>
        <w:t>inclusion/exclusion criteria for</w:t>
      </w:r>
      <w:r w:rsidR="0082397E" w:rsidRPr="00301324">
        <w:rPr>
          <w:rFonts w:ascii="Arial Narrow" w:hAnsi="Arial Narrow" w:cstheme="minorHAnsi"/>
          <w:sz w:val="20"/>
          <w:szCs w:val="20"/>
          <w:lang w:val="en-AU" w:eastAsia="en-US"/>
        </w:rPr>
        <w:t xml:space="preserve"> identification of</w:t>
      </w:r>
      <w:r w:rsidR="00E9212E" w:rsidRPr="00301324">
        <w:rPr>
          <w:rFonts w:ascii="Arial Narrow" w:hAnsi="Arial Narrow" w:cstheme="minorHAnsi"/>
          <w:sz w:val="20"/>
          <w:szCs w:val="20"/>
          <w:lang w:val="en-AU" w:eastAsia="en-US"/>
        </w:rPr>
        <w:t xml:space="preserve"> policy changes </w:t>
      </w:r>
      <w:r w:rsidR="006B402F" w:rsidRPr="00301324">
        <w:rPr>
          <w:rFonts w:ascii="Arial Narrow" w:hAnsi="Arial Narrow" w:cstheme="minorHAnsi"/>
          <w:sz w:val="20"/>
          <w:szCs w:val="20"/>
          <w:lang w:val="en-AU" w:eastAsia="en-US"/>
        </w:rPr>
        <w:t xml:space="preserve">relevant to </w:t>
      </w:r>
      <w:r w:rsidR="00E9212E" w:rsidRPr="00301324">
        <w:rPr>
          <w:rFonts w:ascii="Arial Narrow" w:hAnsi="Arial Narrow" w:cstheme="minorHAnsi"/>
          <w:sz w:val="20"/>
          <w:szCs w:val="20"/>
          <w:lang w:val="en-AU" w:eastAsia="en-US"/>
        </w:rPr>
        <w:t>A4R</w:t>
      </w:r>
      <w:r w:rsidR="00D74965" w:rsidRPr="00301324">
        <w:rPr>
          <w:rFonts w:ascii="Arial Narrow" w:hAnsi="Arial Narrow" w:cstheme="minorHAnsi"/>
          <w:sz w:val="20"/>
          <w:szCs w:val="20"/>
          <w:lang w:val="en-AU" w:eastAsia="en-US"/>
        </w:rPr>
        <w:t xml:space="preserve"> from primary sources</w:t>
      </w:r>
    </w:p>
    <w:tbl>
      <w:tblPr>
        <w:tblStyle w:val="TableGrid"/>
        <w:tblW w:w="10627" w:type="dxa"/>
        <w:tblCellMar>
          <w:left w:w="28" w:type="dxa"/>
          <w:right w:w="28" w:type="dxa"/>
        </w:tblCellMar>
        <w:tblLook w:val="04A0" w:firstRow="1" w:lastRow="0" w:firstColumn="1" w:lastColumn="0" w:noHBand="0" w:noVBand="1"/>
      </w:tblPr>
      <w:tblGrid>
        <w:gridCol w:w="2122"/>
        <w:gridCol w:w="8505"/>
      </w:tblGrid>
      <w:tr w:rsidR="00A656B3" w:rsidRPr="00D775E0" w14:paraId="1ABBC1D7" w14:textId="77777777" w:rsidTr="00291D28">
        <w:tc>
          <w:tcPr>
            <w:tcW w:w="2122" w:type="dxa"/>
          </w:tcPr>
          <w:p w14:paraId="76334705" w14:textId="77777777" w:rsidR="00A656B3" w:rsidRPr="00D775E0" w:rsidRDefault="00A656B3" w:rsidP="00814406">
            <w:pPr>
              <w:pStyle w:val="Default"/>
              <w:jc w:val="both"/>
              <w:rPr>
                <w:rFonts w:ascii="Arial Narrow" w:hAnsi="Arial Narrow"/>
                <w:b/>
                <w:sz w:val="20"/>
                <w:szCs w:val="20"/>
                <w:lang w:val="en-AU"/>
              </w:rPr>
            </w:pPr>
            <w:r w:rsidRPr="00D775E0">
              <w:rPr>
                <w:rFonts w:ascii="Arial Narrow" w:hAnsi="Arial Narrow"/>
                <w:b/>
                <w:sz w:val="20"/>
                <w:szCs w:val="20"/>
                <w:lang w:val="en-AU"/>
              </w:rPr>
              <w:t>Inclusion criteria</w:t>
            </w:r>
          </w:p>
        </w:tc>
        <w:tc>
          <w:tcPr>
            <w:tcW w:w="8505" w:type="dxa"/>
          </w:tcPr>
          <w:p w14:paraId="2838810E" w14:textId="77777777" w:rsidR="00A656B3" w:rsidRPr="00D775E0" w:rsidRDefault="00A656B3" w:rsidP="00814406">
            <w:pPr>
              <w:pStyle w:val="Default"/>
              <w:jc w:val="both"/>
              <w:rPr>
                <w:rFonts w:ascii="Arial Narrow" w:hAnsi="Arial Narrow"/>
                <w:b/>
                <w:sz w:val="20"/>
                <w:szCs w:val="20"/>
                <w:lang w:val="en-AU"/>
              </w:rPr>
            </w:pPr>
            <w:r w:rsidRPr="00D775E0">
              <w:rPr>
                <w:rFonts w:ascii="Arial Narrow" w:hAnsi="Arial Narrow"/>
                <w:b/>
                <w:sz w:val="20"/>
                <w:szCs w:val="20"/>
                <w:lang w:val="en-AU"/>
              </w:rPr>
              <w:t>Exclusion criteria</w:t>
            </w:r>
          </w:p>
        </w:tc>
      </w:tr>
      <w:tr w:rsidR="00A656B3" w:rsidRPr="00D775E0" w14:paraId="5FFEC95A" w14:textId="77777777" w:rsidTr="00291D28">
        <w:tc>
          <w:tcPr>
            <w:tcW w:w="2122" w:type="dxa"/>
            <w:tcBorders>
              <w:bottom w:val="single" w:sz="4" w:space="0" w:color="auto"/>
            </w:tcBorders>
          </w:tcPr>
          <w:p w14:paraId="26958D1C" w14:textId="444CFF8F" w:rsidR="004D30A8" w:rsidRPr="00291D28" w:rsidRDefault="00A656B3" w:rsidP="00291D28">
            <w:pPr>
              <w:pStyle w:val="Default"/>
              <w:numPr>
                <w:ilvl w:val="0"/>
                <w:numId w:val="14"/>
              </w:numPr>
              <w:ind w:left="247" w:hanging="247"/>
              <w:jc w:val="both"/>
              <w:rPr>
                <w:rFonts w:ascii="Arial Narrow" w:hAnsi="Arial Narrow"/>
                <w:sz w:val="20"/>
                <w:szCs w:val="20"/>
                <w:lang w:val="en-AU"/>
              </w:rPr>
            </w:pPr>
            <w:r>
              <w:rPr>
                <w:rFonts w:ascii="Arial Narrow" w:hAnsi="Arial Narrow"/>
                <w:sz w:val="20"/>
                <w:szCs w:val="20"/>
                <w:lang w:val="en-AU"/>
              </w:rPr>
              <w:t>All</w:t>
            </w:r>
            <w:r w:rsidR="00E9212E">
              <w:rPr>
                <w:rFonts w:ascii="Arial Narrow" w:hAnsi="Arial Narrow"/>
                <w:sz w:val="20"/>
                <w:szCs w:val="20"/>
                <w:lang w:val="en-AU"/>
              </w:rPr>
              <w:t xml:space="preserve"> </w:t>
            </w:r>
            <w:r w:rsidR="00BF0705">
              <w:rPr>
                <w:rFonts w:ascii="Arial Narrow" w:hAnsi="Arial Narrow"/>
                <w:sz w:val="20"/>
                <w:szCs w:val="20"/>
                <w:lang w:val="en-AU"/>
              </w:rPr>
              <w:t xml:space="preserve">policy documents and news </w:t>
            </w:r>
            <w:r>
              <w:rPr>
                <w:rFonts w:ascii="Arial Narrow" w:hAnsi="Arial Narrow"/>
                <w:sz w:val="20"/>
                <w:szCs w:val="20"/>
                <w:lang w:val="en-AU"/>
              </w:rPr>
              <w:t xml:space="preserve">published on </w:t>
            </w:r>
            <w:r w:rsidR="00E9212E">
              <w:rPr>
                <w:rFonts w:ascii="Arial Narrow" w:hAnsi="Arial Narrow"/>
                <w:sz w:val="20"/>
                <w:szCs w:val="20"/>
                <w:lang w:val="en-AU"/>
              </w:rPr>
              <w:t>www.pbs.gov.au</w:t>
            </w:r>
            <w:r>
              <w:rPr>
                <w:rFonts w:ascii="Arial Narrow" w:hAnsi="Arial Narrow"/>
                <w:sz w:val="20"/>
                <w:szCs w:val="20"/>
                <w:lang w:val="en-AU"/>
              </w:rPr>
              <w:t xml:space="preserve">, </w:t>
            </w:r>
            <w:r w:rsidR="00E9212E">
              <w:rPr>
                <w:rFonts w:ascii="Arial Narrow" w:hAnsi="Arial Narrow"/>
                <w:sz w:val="20"/>
                <w:szCs w:val="20"/>
                <w:lang w:val="en-AU"/>
              </w:rPr>
              <w:t>www.</w:t>
            </w:r>
            <w:r w:rsidR="00D74965">
              <w:rPr>
                <w:rFonts w:ascii="Arial Narrow" w:hAnsi="Arial Narrow"/>
                <w:sz w:val="20"/>
                <w:szCs w:val="20"/>
                <w:lang w:val="en-AU"/>
              </w:rPr>
              <w:t>msac</w:t>
            </w:r>
            <w:r w:rsidR="00E9212E">
              <w:rPr>
                <w:rFonts w:ascii="Arial Narrow" w:hAnsi="Arial Narrow"/>
                <w:sz w:val="20"/>
                <w:szCs w:val="20"/>
                <w:lang w:val="en-AU"/>
              </w:rPr>
              <w:t>.gov.au</w:t>
            </w:r>
            <w:r>
              <w:rPr>
                <w:rFonts w:ascii="Arial Narrow" w:hAnsi="Arial Narrow"/>
                <w:sz w:val="20"/>
                <w:szCs w:val="20"/>
                <w:lang w:val="en-AU"/>
              </w:rPr>
              <w:t xml:space="preserve"> </w:t>
            </w:r>
            <w:r w:rsidR="00E9212E">
              <w:rPr>
                <w:rFonts w:ascii="Arial Narrow" w:hAnsi="Arial Narrow"/>
                <w:sz w:val="20"/>
                <w:szCs w:val="20"/>
                <w:lang w:val="en-AU"/>
              </w:rPr>
              <w:t xml:space="preserve">or </w:t>
            </w:r>
            <w:proofErr w:type="gramStart"/>
            <w:r w:rsidR="00E9212E">
              <w:rPr>
                <w:rFonts w:ascii="Arial Narrow" w:hAnsi="Arial Narrow"/>
                <w:sz w:val="20"/>
                <w:szCs w:val="20"/>
                <w:lang w:val="en-AU"/>
              </w:rPr>
              <w:t>www.mbsonline.gov.au</w:t>
            </w:r>
            <w:r>
              <w:rPr>
                <w:rFonts w:ascii="Arial Narrow" w:hAnsi="Arial Narrow"/>
                <w:sz w:val="20"/>
                <w:szCs w:val="20"/>
                <w:lang w:val="en-AU"/>
              </w:rPr>
              <w:t xml:space="preserve">  </w:t>
            </w:r>
            <w:r w:rsidR="00E9212E">
              <w:rPr>
                <w:rFonts w:ascii="Arial Narrow" w:hAnsi="Arial Narrow"/>
                <w:sz w:val="20"/>
                <w:szCs w:val="20"/>
                <w:lang w:val="en-AU"/>
              </w:rPr>
              <w:t>between</w:t>
            </w:r>
            <w:proofErr w:type="gramEnd"/>
            <w:r w:rsidR="00E9212E">
              <w:rPr>
                <w:rFonts w:ascii="Arial Narrow" w:hAnsi="Arial Narrow"/>
                <w:sz w:val="20"/>
                <w:szCs w:val="20"/>
                <w:lang w:val="en-AU"/>
              </w:rPr>
              <w:t> </w:t>
            </w:r>
            <w:r w:rsidRPr="00D775E0">
              <w:rPr>
                <w:rFonts w:ascii="Arial Narrow" w:hAnsi="Arial Narrow"/>
                <w:sz w:val="20"/>
                <w:szCs w:val="20"/>
                <w:lang w:val="en-AU"/>
              </w:rPr>
              <w:t>January 201</w:t>
            </w:r>
            <w:r>
              <w:rPr>
                <w:rFonts w:ascii="Arial Narrow" w:hAnsi="Arial Narrow"/>
                <w:sz w:val="20"/>
                <w:szCs w:val="20"/>
                <w:lang w:val="en-AU"/>
              </w:rPr>
              <w:t>4</w:t>
            </w:r>
            <w:r w:rsidRPr="00D775E0">
              <w:rPr>
                <w:rFonts w:ascii="Arial Narrow" w:hAnsi="Arial Narrow"/>
                <w:sz w:val="20"/>
                <w:szCs w:val="20"/>
                <w:lang w:val="en-AU"/>
              </w:rPr>
              <w:t xml:space="preserve"> and </w:t>
            </w:r>
            <w:r>
              <w:rPr>
                <w:rFonts w:ascii="Arial Narrow" w:hAnsi="Arial Narrow"/>
                <w:sz w:val="20"/>
                <w:szCs w:val="20"/>
                <w:lang w:val="en-AU"/>
              </w:rPr>
              <w:t xml:space="preserve">December </w:t>
            </w:r>
            <w:r w:rsidRPr="00D775E0">
              <w:rPr>
                <w:rFonts w:ascii="Arial Narrow" w:hAnsi="Arial Narrow"/>
                <w:sz w:val="20"/>
                <w:szCs w:val="20"/>
                <w:lang w:val="en-AU"/>
              </w:rPr>
              <w:t>2022</w:t>
            </w:r>
          </w:p>
        </w:tc>
        <w:tc>
          <w:tcPr>
            <w:tcW w:w="8505" w:type="dxa"/>
            <w:tcBorders>
              <w:bottom w:val="single" w:sz="4" w:space="0" w:color="auto"/>
            </w:tcBorders>
          </w:tcPr>
          <w:p w14:paraId="07856E79" w14:textId="680DB13E" w:rsidR="00504F2C" w:rsidRDefault="00E9212E" w:rsidP="00504F2C">
            <w:pPr>
              <w:pStyle w:val="Default"/>
              <w:numPr>
                <w:ilvl w:val="0"/>
                <w:numId w:val="14"/>
              </w:numPr>
              <w:ind w:left="247" w:hanging="247"/>
              <w:jc w:val="both"/>
              <w:rPr>
                <w:rFonts w:ascii="Arial Narrow" w:hAnsi="Arial Narrow"/>
                <w:sz w:val="20"/>
                <w:szCs w:val="20"/>
                <w:lang w:val="en-AU"/>
              </w:rPr>
            </w:pPr>
            <w:r>
              <w:rPr>
                <w:rFonts w:ascii="Arial Narrow" w:hAnsi="Arial Narrow"/>
                <w:sz w:val="20"/>
                <w:szCs w:val="20"/>
                <w:lang w:val="en-AU"/>
              </w:rPr>
              <w:t xml:space="preserve">If the </w:t>
            </w:r>
            <w:r w:rsidR="00BF0705">
              <w:rPr>
                <w:rFonts w:ascii="Arial Narrow" w:hAnsi="Arial Narrow"/>
                <w:sz w:val="20"/>
                <w:szCs w:val="20"/>
                <w:lang w:val="en-AU"/>
              </w:rPr>
              <w:t>policy</w:t>
            </w:r>
            <w:r>
              <w:rPr>
                <w:rFonts w:ascii="Arial Narrow" w:hAnsi="Arial Narrow"/>
                <w:sz w:val="20"/>
                <w:szCs w:val="20"/>
                <w:lang w:val="en-AU"/>
              </w:rPr>
              <w:t xml:space="preserve"> did </w:t>
            </w:r>
            <w:r w:rsidR="0082397E">
              <w:rPr>
                <w:rFonts w:ascii="Arial Narrow" w:hAnsi="Arial Narrow"/>
                <w:sz w:val="20"/>
                <w:szCs w:val="20"/>
                <w:lang w:val="en-AU"/>
              </w:rPr>
              <w:t>NOT</w:t>
            </w:r>
            <w:r>
              <w:rPr>
                <w:rFonts w:ascii="Arial Narrow" w:hAnsi="Arial Narrow"/>
                <w:sz w:val="20"/>
                <w:szCs w:val="20"/>
                <w:lang w:val="en-AU"/>
              </w:rPr>
              <w:t xml:space="preserve"> relate to the listing process</w:t>
            </w:r>
            <w:r w:rsidR="0082397E">
              <w:rPr>
                <w:rFonts w:ascii="Arial Narrow" w:hAnsi="Arial Narrow"/>
                <w:sz w:val="20"/>
                <w:szCs w:val="20"/>
                <w:lang w:val="en-AU"/>
              </w:rPr>
              <w:t xml:space="preserve"> (e.g. process changes affecting dispensing in pharmacies)</w:t>
            </w:r>
          </w:p>
          <w:p w14:paraId="70558477" w14:textId="448F3459" w:rsidR="00504F2C" w:rsidRPr="00504F2C" w:rsidRDefault="00504F2C" w:rsidP="00504F2C">
            <w:pPr>
              <w:pStyle w:val="Default"/>
              <w:numPr>
                <w:ilvl w:val="0"/>
                <w:numId w:val="14"/>
              </w:numPr>
              <w:ind w:left="247" w:hanging="247"/>
              <w:jc w:val="both"/>
              <w:rPr>
                <w:rFonts w:ascii="Arial Narrow" w:hAnsi="Arial Narrow"/>
                <w:sz w:val="20"/>
                <w:szCs w:val="20"/>
                <w:lang w:val="en-AU"/>
              </w:rPr>
            </w:pPr>
            <w:r>
              <w:rPr>
                <w:rFonts w:ascii="Arial Narrow" w:hAnsi="Arial Narrow"/>
                <w:sz w:val="20"/>
                <w:szCs w:val="20"/>
                <w:lang w:val="en-AU"/>
              </w:rPr>
              <w:t>Duplicated news reporting the same policies</w:t>
            </w:r>
          </w:p>
          <w:p w14:paraId="758CF741" w14:textId="141E238A" w:rsidR="00D74965" w:rsidRDefault="00E9212E" w:rsidP="00E9212E">
            <w:pPr>
              <w:pStyle w:val="Default"/>
              <w:numPr>
                <w:ilvl w:val="0"/>
                <w:numId w:val="14"/>
              </w:numPr>
              <w:ind w:left="247" w:hanging="247"/>
              <w:jc w:val="both"/>
              <w:rPr>
                <w:rFonts w:ascii="Arial Narrow" w:hAnsi="Arial Narrow"/>
                <w:sz w:val="20"/>
                <w:szCs w:val="20"/>
                <w:lang w:val="en-AU"/>
              </w:rPr>
            </w:pPr>
            <w:r>
              <w:rPr>
                <w:rFonts w:ascii="Arial Narrow" w:hAnsi="Arial Narrow"/>
                <w:sz w:val="20"/>
                <w:szCs w:val="20"/>
                <w:lang w:val="en-AU"/>
              </w:rPr>
              <w:t xml:space="preserve">If the </w:t>
            </w:r>
            <w:r w:rsidR="00BF0705">
              <w:rPr>
                <w:rFonts w:ascii="Arial Narrow" w:hAnsi="Arial Narrow"/>
                <w:sz w:val="20"/>
                <w:szCs w:val="20"/>
                <w:lang w:val="en-AU"/>
              </w:rPr>
              <w:t xml:space="preserve">policy </w:t>
            </w:r>
            <w:r w:rsidR="00291D28">
              <w:rPr>
                <w:rFonts w:ascii="Arial Narrow" w:hAnsi="Arial Narrow"/>
                <w:sz w:val="20"/>
                <w:szCs w:val="20"/>
                <w:lang w:val="en-AU"/>
              </w:rPr>
              <w:t xml:space="preserve">was NOT relevant to </w:t>
            </w:r>
            <w:r>
              <w:rPr>
                <w:rFonts w:ascii="Arial Narrow" w:hAnsi="Arial Narrow"/>
                <w:sz w:val="20"/>
                <w:szCs w:val="20"/>
                <w:lang w:val="en-AU"/>
              </w:rPr>
              <w:t>one of the A4R domains</w:t>
            </w:r>
            <w:r w:rsidR="00D74965">
              <w:rPr>
                <w:rFonts w:ascii="Arial Narrow" w:hAnsi="Arial Narrow"/>
                <w:sz w:val="20"/>
                <w:szCs w:val="20"/>
                <w:lang w:val="en-AU"/>
              </w:rPr>
              <w:t>:</w:t>
            </w:r>
          </w:p>
          <w:p w14:paraId="661F2166" w14:textId="138D32C9" w:rsidR="0082397E" w:rsidRDefault="00D74965" w:rsidP="00D26BA4">
            <w:pPr>
              <w:pStyle w:val="Default"/>
              <w:numPr>
                <w:ilvl w:val="1"/>
                <w:numId w:val="14"/>
              </w:numPr>
              <w:ind w:left="676" w:hanging="283"/>
              <w:jc w:val="both"/>
              <w:rPr>
                <w:rFonts w:ascii="Arial Narrow" w:hAnsi="Arial Narrow"/>
                <w:sz w:val="20"/>
                <w:szCs w:val="20"/>
                <w:lang w:val="en-AU"/>
              </w:rPr>
            </w:pPr>
            <w:r w:rsidRPr="00914BA4">
              <w:rPr>
                <w:rFonts w:ascii="Arial Narrow" w:hAnsi="Arial Narrow"/>
                <w:i/>
                <w:iCs/>
                <w:sz w:val="20"/>
                <w:szCs w:val="20"/>
                <w:lang w:val="en-AU"/>
              </w:rPr>
              <w:t>R</w:t>
            </w:r>
            <w:r w:rsidR="00E9212E" w:rsidRPr="00914BA4">
              <w:rPr>
                <w:rFonts w:ascii="Arial Narrow" w:hAnsi="Arial Narrow"/>
                <w:i/>
                <w:iCs/>
                <w:sz w:val="20"/>
                <w:szCs w:val="20"/>
                <w:lang w:val="en-AU"/>
              </w:rPr>
              <w:t>elevance</w:t>
            </w:r>
            <w:r>
              <w:rPr>
                <w:rFonts w:ascii="Arial Narrow" w:hAnsi="Arial Narrow"/>
                <w:sz w:val="20"/>
                <w:szCs w:val="20"/>
                <w:lang w:val="en-AU"/>
              </w:rPr>
              <w:t xml:space="preserve">: changes </w:t>
            </w:r>
            <w:r w:rsidR="0082397E">
              <w:rPr>
                <w:rFonts w:ascii="Arial Narrow" w:hAnsi="Arial Narrow"/>
                <w:sz w:val="20"/>
                <w:szCs w:val="20"/>
                <w:lang w:val="en-AU"/>
              </w:rPr>
              <w:t xml:space="preserve">potentially </w:t>
            </w:r>
            <w:r>
              <w:rPr>
                <w:rFonts w:ascii="Arial Narrow" w:hAnsi="Arial Narrow"/>
                <w:sz w:val="20"/>
                <w:szCs w:val="20"/>
                <w:lang w:val="en-AU"/>
              </w:rPr>
              <w:t xml:space="preserve">affecting </w:t>
            </w:r>
            <w:r w:rsidRPr="00D74965">
              <w:rPr>
                <w:rFonts w:ascii="Arial Narrow" w:hAnsi="Arial Narrow"/>
                <w:sz w:val="20"/>
                <w:szCs w:val="20"/>
                <w:lang w:val="en-AU"/>
              </w:rPr>
              <w:t xml:space="preserve">reasons (e.g., evidence, principles) </w:t>
            </w:r>
            <w:r w:rsidR="0082397E">
              <w:rPr>
                <w:rFonts w:ascii="Arial Narrow" w:hAnsi="Arial Narrow"/>
                <w:sz w:val="20"/>
                <w:szCs w:val="20"/>
                <w:lang w:val="en-AU"/>
              </w:rPr>
              <w:t xml:space="preserve">that fair-minded parties can agree are relevant to the decisions </w:t>
            </w:r>
          </w:p>
          <w:p w14:paraId="1F6CDF92" w14:textId="77777777" w:rsidR="00E9212E" w:rsidRDefault="00D74965" w:rsidP="00D26BA4">
            <w:pPr>
              <w:pStyle w:val="Default"/>
              <w:numPr>
                <w:ilvl w:val="1"/>
                <w:numId w:val="14"/>
              </w:numPr>
              <w:ind w:left="676" w:hanging="283"/>
              <w:jc w:val="both"/>
              <w:rPr>
                <w:rFonts w:ascii="Arial Narrow" w:hAnsi="Arial Narrow"/>
                <w:sz w:val="20"/>
                <w:szCs w:val="20"/>
                <w:lang w:val="en-AU"/>
              </w:rPr>
            </w:pPr>
            <w:r w:rsidRPr="00914BA4">
              <w:rPr>
                <w:rFonts w:ascii="Arial Narrow" w:hAnsi="Arial Narrow"/>
                <w:i/>
                <w:iCs/>
                <w:sz w:val="20"/>
                <w:szCs w:val="20"/>
                <w:lang w:val="en-AU"/>
              </w:rPr>
              <w:t>P</w:t>
            </w:r>
            <w:r w:rsidR="00E9212E" w:rsidRPr="00914BA4">
              <w:rPr>
                <w:rFonts w:ascii="Arial Narrow" w:hAnsi="Arial Narrow"/>
                <w:i/>
                <w:iCs/>
                <w:sz w:val="20"/>
                <w:szCs w:val="20"/>
                <w:lang w:val="en-AU"/>
              </w:rPr>
              <w:t>ublicity</w:t>
            </w:r>
            <w:r w:rsidR="0082397E">
              <w:rPr>
                <w:rFonts w:ascii="Arial Narrow" w:hAnsi="Arial Narrow"/>
                <w:sz w:val="20"/>
                <w:szCs w:val="20"/>
                <w:lang w:val="en-AU"/>
              </w:rPr>
              <w:t>: any policy changes affecting the accessibility of committee decisions or rationales</w:t>
            </w:r>
          </w:p>
          <w:p w14:paraId="1097C56F" w14:textId="77777777" w:rsidR="0082397E" w:rsidRDefault="0082397E" w:rsidP="00D26BA4">
            <w:pPr>
              <w:pStyle w:val="Default"/>
              <w:numPr>
                <w:ilvl w:val="1"/>
                <w:numId w:val="14"/>
              </w:numPr>
              <w:ind w:left="676" w:hanging="283"/>
              <w:jc w:val="both"/>
              <w:rPr>
                <w:rFonts w:ascii="Arial Narrow" w:hAnsi="Arial Narrow"/>
                <w:sz w:val="20"/>
                <w:szCs w:val="20"/>
                <w:lang w:val="en-AU"/>
              </w:rPr>
            </w:pPr>
            <w:r w:rsidRPr="00914BA4">
              <w:rPr>
                <w:rFonts w:ascii="Arial Narrow" w:hAnsi="Arial Narrow"/>
                <w:i/>
                <w:iCs/>
                <w:sz w:val="20"/>
                <w:szCs w:val="20"/>
                <w:lang w:val="en-AU"/>
              </w:rPr>
              <w:t>Revision</w:t>
            </w:r>
            <w:r>
              <w:rPr>
                <w:rFonts w:ascii="Arial Narrow" w:hAnsi="Arial Narrow"/>
                <w:sz w:val="20"/>
                <w:szCs w:val="20"/>
                <w:lang w:val="en-AU"/>
              </w:rPr>
              <w:t>: any policy changes impacting resubmissions or opportunities to revise the committee’s previous decisions or mechanisms to resolve disputes</w:t>
            </w:r>
          </w:p>
          <w:p w14:paraId="5EEA5D01" w14:textId="73111C10" w:rsidR="0082397E" w:rsidRPr="00E9212E" w:rsidRDefault="0082397E" w:rsidP="00D26BA4">
            <w:pPr>
              <w:pStyle w:val="Default"/>
              <w:numPr>
                <w:ilvl w:val="1"/>
                <w:numId w:val="14"/>
              </w:numPr>
              <w:ind w:left="676" w:hanging="283"/>
              <w:jc w:val="both"/>
              <w:rPr>
                <w:rFonts w:ascii="Arial Narrow" w:hAnsi="Arial Narrow"/>
                <w:sz w:val="20"/>
                <w:szCs w:val="20"/>
                <w:lang w:val="en-AU"/>
              </w:rPr>
            </w:pPr>
            <w:r w:rsidRPr="00914BA4">
              <w:rPr>
                <w:rFonts w:ascii="Arial Narrow" w:hAnsi="Arial Narrow"/>
                <w:i/>
                <w:iCs/>
                <w:sz w:val="20"/>
                <w:szCs w:val="20"/>
                <w:lang w:val="en-AU"/>
              </w:rPr>
              <w:t>Enforcement</w:t>
            </w:r>
            <w:r>
              <w:rPr>
                <w:rFonts w:ascii="Arial Narrow" w:hAnsi="Arial Narrow"/>
                <w:sz w:val="20"/>
                <w:szCs w:val="20"/>
                <w:lang w:val="en-AU"/>
              </w:rPr>
              <w:t xml:space="preserve">: any changes in policy that affect how the listing process is voluntarily or publicly regulated. </w:t>
            </w:r>
          </w:p>
        </w:tc>
      </w:tr>
    </w:tbl>
    <w:p w14:paraId="7F390F3E" w14:textId="06E94F8E" w:rsidR="008D59F1" w:rsidRPr="00AA2929" w:rsidRDefault="00E937CD" w:rsidP="008D59F1">
      <w:pPr>
        <w:pStyle w:val="Title1"/>
        <w:spacing w:line="240" w:lineRule="auto"/>
        <w:outlineLvl w:val="2"/>
        <w:rPr>
          <w:rFonts w:ascii="Arial Narrow" w:hAnsi="Arial Narrow" w:cstheme="minorHAnsi"/>
          <w:sz w:val="20"/>
          <w:szCs w:val="20"/>
          <w:lang w:val="en-AU" w:eastAsia="en-US"/>
        </w:rPr>
      </w:pPr>
      <w:r>
        <w:rPr>
          <w:rFonts w:ascii="Arial Narrow" w:hAnsi="Arial Narrow" w:cstheme="minorHAnsi"/>
          <w:sz w:val="20"/>
          <w:szCs w:val="20"/>
          <w:lang w:val="en-AU" w:eastAsia="en-US"/>
        </w:rPr>
        <w:lastRenderedPageBreak/>
        <w:t xml:space="preserve">Table </w:t>
      </w:r>
      <w:r w:rsidR="00301324">
        <w:rPr>
          <w:rFonts w:ascii="Arial Narrow" w:hAnsi="Arial Narrow" w:cstheme="minorHAnsi"/>
          <w:sz w:val="20"/>
          <w:szCs w:val="20"/>
          <w:lang w:val="en-AU" w:eastAsia="en-US"/>
        </w:rPr>
        <w:t>2</w:t>
      </w:r>
      <w:r>
        <w:rPr>
          <w:rFonts w:ascii="Arial Narrow" w:hAnsi="Arial Narrow" w:cstheme="minorHAnsi"/>
          <w:sz w:val="20"/>
          <w:szCs w:val="20"/>
          <w:lang w:val="en-AU" w:eastAsia="en-US"/>
        </w:rPr>
        <w:t xml:space="preserve">: </w:t>
      </w:r>
      <w:r w:rsidR="00454EC8">
        <w:rPr>
          <w:rFonts w:ascii="Arial Narrow" w:hAnsi="Arial Narrow" w:cstheme="minorHAnsi"/>
          <w:sz w:val="20"/>
          <w:szCs w:val="20"/>
          <w:lang w:val="en-AU" w:eastAsia="en-US"/>
        </w:rPr>
        <w:t xml:space="preserve">Listing of the 36 identified PBAC and MSAC </w:t>
      </w:r>
      <w:r w:rsidR="008D59F1" w:rsidRPr="00AA2929">
        <w:rPr>
          <w:rFonts w:ascii="Arial Narrow" w:hAnsi="Arial Narrow" w:cstheme="minorHAnsi"/>
          <w:sz w:val="20"/>
          <w:szCs w:val="20"/>
          <w:lang w:val="en-AU" w:eastAsia="en-US"/>
        </w:rPr>
        <w:t xml:space="preserve">policy changes </w:t>
      </w:r>
      <w:r w:rsidR="00454EC8">
        <w:rPr>
          <w:rFonts w:ascii="Arial Narrow" w:hAnsi="Arial Narrow" w:cstheme="minorHAnsi"/>
          <w:sz w:val="20"/>
          <w:szCs w:val="20"/>
          <w:lang w:val="en-AU" w:eastAsia="en-US"/>
        </w:rPr>
        <w:t xml:space="preserve">pertaining to </w:t>
      </w:r>
      <w:r w:rsidR="008D59F1" w:rsidRPr="00AA2929">
        <w:rPr>
          <w:rFonts w:ascii="Arial Narrow" w:hAnsi="Arial Narrow" w:cstheme="minorHAnsi"/>
          <w:sz w:val="20"/>
          <w:szCs w:val="20"/>
          <w:lang w:val="en-AU" w:eastAsia="en-US"/>
        </w:rPr>
        <w:t xml:space="preserve">A4R </w:t>
      </w:r>
      <w:r w:rsidR="00454EC8">
        <w:rPr>
          <w:rFonts w:ascii="Arial Narrow" w:hAnsi="Arial Narrow" w:cstheme="minorHAnsi"/>
          <w:sz w:val="20"/>
          <w:szCs w:val="20"/>
          <w:lang w:val="en-AU" w:eastAsia="en-US"/>
        </w:rPr>
        <w:t xml:space="preserve">and the impacted A4R domains </w:t>
      </w:r>
      <w:r w:rsidR="008D59F1" w:rsidRPr="00AA2929">
        <w:rPr>
          <w:rFonts w:ascii="Arial Narrow" w:hAnsi="Arial Narrow" w:cstheme="minorHAnsi"/>
          <w:sz w:val="20"/>
          <w:szCs w:val="20"/>
          <w:lang w:val="en-AU" w:eastAsia="en-US"/>
        </w:rPr>
        <w:t>between 2014 and 2022 (organised in chronological order</w:t>
      </w:r>
      <w:r w:rsidR="00944832">
        <w:rPr>
          <w:rFonts w:ascii="Arial Narrow" w:hAnsi="Arial Narrow" w:cstheme="minorHAnsi"/>
          <w:sz w:val="20"/>
          <w:szCs w:val="20"/>
          <w:lang w:val="en-AU" w:eastAsia="en-US"/>
        </w:rPr>
        <w:t xml:space="preserve"> and by committee</w:t>
      </w:r>
      <w:r w:rsidR="008D59F1" w:rsidRPr="00AA2929">
        <w:rPr>
          <w:rFonts w:ascii="Arial Narrow" w:hAnsi="Arial Narrow" w:cstheme="minorHAnsi"/>
          <w:sz w:val="20"/>
          <w:szCs w:val="20"/>
          <w:lang w:val="en-AU" w:eastAsia="en-US"/>
        </w:rPr>
        <w:t>)</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87"/>
        <w:gridCol w:w="1276"/>
        <w:gridCol w:w="7655"/>
        <w:gridCol w:w="4252"/>
      </w:tblGrid>
      <w:tr w:rsidR="008D59F1" w:rsidRPr="008522AB" w14:paraId="39DB51C6" w14:textId="77777777" w:rsidTr="00DD1568">
        <w:trPr>
          <w:cantSplit/>
          <w:trHeight w:val="475"/>
          <w:tblHeader/>
        </w:trPr>
        <w:tc>
          <w:tcPr>
            <w:tcW w:w="987" w:type="dxa"/>
            <w:tcBorders>
              <w:bottom w:val="single" w:sz="4" w:space="0" w:color="auto"/>
            </w:tcBorders>
            <w:noWrap/>
            <w:vAlign w:val="center"/>
            <w:hideMark/>
          </w:tcPr>
          <w:p w14:paraId="4B0AC093" w14:textId="77777777" w:rsidR="008D59F1" w:rsidRPr="008522AB" w:rsidRDefault="008D59F1" w:rsidP="00950892">
            <w:pPr>
              <w:spacing w:after="120" w:line="240" w:lineRule="auto"/>
              <w:rPr>
                <w:rFonts w:ascii="Arial Narrow" w:eastAsia="Times New Roman" w:hAnsi="Arial Narrow" w:cs="Calibri"/>
                <w:b/>
                <w:bCs/>
                <w:color w:val="000000"/>
                <w:sz w:val="20"/>
                <w:szCs w:val="20"/>
              </w:rPr>
            </w:pPr>
            <w:bookmarkStart w:id="1" w:name="_Hlk139284211"/>
            <w:r w:rsidRPr="008522AB">
              <w:rPr>
                <w:rFonts w:ascii="Arial Narrow" w:eastAsia="Times New Roman" w:hAnsi="Arial Narrow" w:cs="Calibri"/>
                <w:b/>
                <w:bCs/>
                <w:color w:val="000000"/>
                <w:sz w:val="20"/>
                <w:szCs w:val="20"/>
              </w:rPr>
              <w:t>Date of change</w:t>
            </w:r>
          </w:p>
        </w:tc>
        <w:tc>
          <w:tcPr>
            <w:tcW w:w="1276" w:type="dxa"/>
            <w:tcBorders>
              <w:bottom w:val="single" w:sz="4" w:space="0" w:color="auto"/>
            </w:tcBorders>
            <w:noWrap/>
            <w:vAlign w:val="center"/>
            <w:hideMark/>
          </w:tcPr>
          <w:p w14:paraId="768A9566" w14:textId="77777777" w:rsidR="008D59F1" w:rsidRPr="008522AB" w:rsidRDefault="008D59F1" w:rsidP="00950892">
            <w:pPr>
              <w:spacing w:after="120" w:line="240" w:lineRule="auto"/>
              <w:rPr>
                <w:rFonts w:ascii="Arial Narrow" w:eastAsia="Times New Roman" w:hAnsi="Arial Narrow" w:cs="Calibri"/>
                <w:b/>
                <w:bCs/>
                <w:color w:val="000000"/>
                <w:sz w:val="20"/>
                <w:szCs w:val="20"/>
              </w:rPr>
            </w:pPr>
            <w:r w:rsidRPr="008522AB">
              <w:rPr>
                <w:rFonts w:ascii="Arial Narrow" w:eastAsia="Times New Roman" w:hAnsi="Arial Narrow" w:cs="Calibri"/>
                <w:b/>
                <w:bCs/>
                <w:color w:val="000000"/>
                <w:sz w:val="20"/>
                <w:szCs w:val="20"/>
              </w:rPr>
              <w:t>A4R domain(s)</w:t>
            </w:r>
          </w:p>
        </w:tc>
        <w:tc>
          <w:tcPr>
            <w:tcW w:w="7655" w:type="dxa"/>
            <w:tcBorders>
              <w:bottom w:val="single" w:sz="4" w:space="0" w:color="auto"/>
            </w:tcBorders>
            <w:noWrap/>
            <w:vAlign w:val="center"/>
            <w:hideMark/>
          </w:tcPr>
          <w:p w14:paraId="3D926DA1" w14:textId="77777777" w:rsidR="008D59F1" w:rsidRPr="008522AB" w:rsidRDefault="008D59F1" w:rsidP="00950892">
            <w:pPr>
              <w:spacing w:after="120" w:line="240" w:lineRule="auto"/>
              <w:rPr>
                <w:rFonts w:ascii="Arial Narrow" w:eastAsia="Times New Roman" w:hAnsi="Arial Narrow" w:cs="Calibri"/>
                <w:b/>
                <w:bCs/>
                <w:color w:val="000000"/>
                <w:sz w:val="20"/>
                <w:szCs w:val="20"/>
              </w:rPr>
            </w:pPr>
            <w:r w:rsidRPr="008522AB">
              <w:rPr>
                <w:rFonts w:ascii="Arial Narrow" w:eastAsia="Times New Roman" w:hAnsi="Arial Narrow" w:cs="Calibri"/>
                <w:b/>
                <w:bCs/>
                <w:color w:val="000000"/>
                <w:sz w:val="20"/>
                <w:szCs w:val="20"/>
              </w:rPr>
              <w:t>Event</w:t>
            </w:r>
          </w:p>
        </w:tc>
        <w:tc>
          <w:tcPr>
            <w:tcW w:w="4252" w:type="dxa"/>
            <w:tcBorders>
              <w:bottom w:val="single" w:sz="4" w:space="0" w:color="auto"/>
            </w:tcBorders>
            <w:vAlign w:val="center"/>
            <w:hideMark/>
          </w:tcPr>
          <w:p w14:paraId="358491D4" w14:textId="77777777" w:rsidR="008D59F1" w:rsidRPr="00DD1568" w:rsidRDefault="008D59F1" w:rsidP="00950892">
            <w:pPr>
              <w:spacing w:after="120" w:line="240" w:lineRule="auto"/>
              <w:rPr>
                <w:rFonts w:ascii="Arial Narrow" w:eastAsia="Times New Roman" w:hAnsi="Arial Narrow" w:cs="Calibri"/>
                <w:b/>
                <w:bCs/>
                <w:sz w:val="20"/>
                <w:szCs w:val="20"/>
              </w:rPr>
            </w:pPr>
            <w:r w:rsidRPr="00DD1568">
              <w:rPr>
                <w:rFonts w:ascii="Arial Narrow" w:eastAsia="Times New Roman" w:hAnsi="Arial Narrow" w:cs="Calibri"/>
                <w:b/>
                <w:bCs/>
                <w:sz w:val="20"/>
                <w:szCs w:val="20"/>
              </w:rPr>
              <w:t>Source</w:t>
            </w:r>
          </w:p>
        </w:tc>
      </w:tr>
      <w:tr w:rsidR="008D59F1" w:rsidRPr="008522AB" w14:paraId="7A7EA85B" w14:textId="77777777" w:rsidTr="00DD1568">
        <w:trPr>
          <w:cantSplit/>
          <w:trHeight w:val="388"/>
        </w:trPr>
        <w:tc>
          <w:tcPr>
            <w:tcW w:w="987" w:type="dxa"/>
            <w:tcBorders>
              <w:right w:val="nil"/>
            </w:tcBorders>
            <w:shd w:val="clear" w:color="auto" w:fill="E7E6E6" w:themeFill="background2"/>
            <w:noWrap/>
            <w:vAlign w:val="center"/>
          </w:tcPr>
          <w:p w14:paraId="2DDCF804" w14:textId="77777777" w:rsidR="008D59F1" w:rsidRPr="008522AB" w:rsidRDefault="008D59F1" w:rsidP="00950892">
            <w:pPr>
              <w:spacing w:after="120" w:line="240" w:lineRule="auto"/>
              <w:rPr>
                <w:rFonts w:ascii="Arial Narrow" w:eastAsia="Times New Roman" w:hAnsi="Arial Narrow" w:cs="Calibri"/>
                <w:b/>
                <w:bCs/>
                <w:color w:val="000000"/>
                <w:sz w:val="20"/>
                <w:szCs w:val="20"/>
              </w:rPr>
            </w:pPr>
            <w:r w:rsidRPr="008522AB">
              <w:rPr>
                <w:rFonts w:ascii="Arial Narrow" w:eastAsia="Times New Roman" w:hAnsi="Arial Narrow" w:cs="Calibri"/>
                <w:b/>
                <w:bCs/>
                <w:color w:val="000000"/>
                <w:sz w:val="20"/>
                <w:szCs w:val="20"/>
              </w:rPr>
              <w:t>PBAC</w:t>
            </w:r>
          </w:p>
        </w:tc>
        <w:tc>
          <w:tcPr>
            <w:tcW w:w="1276" w:type="dxa"/>
            <w:tcBorders>
              <w:left w:val="nil"/>
              <w:right w:val="nil"/>
            </w:tcBorders>
            <w:shd w:val="clear" w:color="auto" w:fill="E7E6E6" w:themeFill="background2"/>
            <w:noWrap/>
            <w:vAlign w:val="center"/>
          </w:tcPr>
          <w:p w14:paraId="11237830" w14:textId="77777777" w:rsidR="008D59F1" w:rsidRPr="008522AB" w:rsidRDefault="008D59F1" w:rsidP="00950892">
            <w:pPr>
              <w:spacing w:after="120" w:line="240" w:lineRule="auto"/>
              <w:rPr>
                <w:rFonts w:ascii="Arial Narrow" w:eastAsia="Times New Roman" w:hAnsi="Arial Narrow" w:cs="Calibri"/>
                <w:b/>
                <w:bCs/>
                <w:color w:val="000000"/>
                <w:sz w:val="20"/>
                <w:szCs w:val="20"/>
              </w:rPr>
            </w:pPr>
          </w:p>
        </w:tc>
        <w:tc>
          <w:tcPr>
            <w:tcW w:w="7655" w:type="dxa"/>
            <w:tcBorders>
              <w:left w:val="nil"/>
              <w:right w:val="nil"/>
            </w:tcBorders>
            <w:shd w:val="clear" w:color="auto" w:fill="E7E6E6" w:themeFill="background2"/>
            <w:noWrap/>
            <w:vAlign w:val="center"/>
          </w:tcPr>
          <w:p w14:paraId="18C68EE6" w14:textId="77777777" w:rsidR="008D59F1" w:rsidRPr="008522AB" w:rsidRDefault="008D59F1" w:rsidP="00950892">
            <w:pPr>
              <w:spacing w:after="120" w:line="240" w:lineRule="auto"/>
              <w:rPr>
                <w:rFonts w:ascii="Arial Narrow" w:eastAsia="Times New Roman" w:hAnsi="Arial Narrow" w:cs="Calibri"/>
                <w:b/>
                <w:bCs/>
                <w:color w:val="000000"/>
                <w:sz w:val="20"/>
                <w:szCs w:val="20"/>
              </w:rPr>
            </w:pPr>
          </w:p>
        </w:tc>
        <w:tc>
          <w:tcPr>
            <w:tcW w:w="4252" w:type="dxa"/>
            <w:tcBorders>
              <w:left w:val="nil"/>
              <w:right w:val="single" w:sz="4" w:space="0" w:color="auto"/>
            </w:tcBorders>
            <w:shd w:val="clear" w:color="auto" w:fill="E7E6E6" w:themeFill="background2"/>
            <w:vAlign w:val="center"/>
          </w:tcPr>
          <w:p w14:paraId="1464CFA5" w14:textId="77777777" w:rsidR="008D59F1" w:rsidRPr="00DD1568" w:rsidRDefault="008D59F1" w:rsidP="00950892">
            <w:pPr>
              <w:spacing w:after="120" w:line="240" w:lineRule="auto"/>
              <w:rPr>
                <w:rFonts w:ascii="Arial Narrow" w:eastAsia="Times New Roman" w:hAnsi="Arial Narrow" w:cs="Calibri"/>
                <w:b/>
                <w:bCs/>
                <w:sz w:val="20"/>
                <w:szCs w:val="20"/>
              </w:rPr>
            </w:pPr>
          </w:p>
        </w:tc>
      </w:tr>
      <w:bookmarkEnd w:id="1"/>
      <w:tr w:rsidR="008D59F1" w:rsidRPr="00CD1719" w14:paraId="1D7A318C" w14:textId="77777777" w:rsidTr="00DD1568">
        <w:trPr>
          <w:cantSplit/>
          <w:trHeight w:val="1353"/>
        </w:trPr>
        <w:tc>
          <w:tcPr>
            <w:tcW w:w="987" w:type="dxa"/>
            <w:noWrap/>
            <w:vAlign w:val="center"/>
            <w:hideMark/>
          </w:tcPr>
          <w:p w14:paraId="734306D9"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Jan 2014</w:t>
            </w:r>
          </w:p>
        </w:tc>
        <w:tc>
          <w:tcPr>
            <w:tcW w:w="1276" w:type="dxa"/>
            <w:noWrap/>
            <w:vAlign w:val="center"/>
            <w:hideMark/>
          </w:tcPr>
          <w:p w14:paraId="6D6A9583" w14:textId="0CECD920"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4472C4" w:themeColor="accent1"/>
                <w:sz w:val="20"/>
                <w:szCs w:val="20"/>
              </w:rPr>
              <w:t>Relevance</w:t>
            </w:r>
            <w:r w:rsidR="00AB5FC3">
              <w:rPr>
                <w:rFonts w:ascii="Arial Narrow" w:eastAsia="Times New Roman" w:hAnsi="Arial Narrow" w:cs="Calibri"/>
                <w:color w:val="4472C4" w:themeColor="accent1"/>
                <w:sz w:val="20"/>
                <w:szCs w:val="20"/>
              </w:rPr>
              <w:sym w:font="Symbol" w:char="F0AD"/>
            </w:r>
          </w:p>
          <w:p w14:paraId="2CF6A4F9" w14:textId="75524E8E"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70AD47" w:themeColor="accent6"/>
                <w:sz w:val="20"/>
                <w:szCs w:val="20"/>
              </w:rPr>
              <w:t>Publicity</w:t>
            </w:r>
            <w:r w:rsidR="00AB5FC3">
              <w:rPr>
                <w:rFonts w:ascii="Arial Narrow" w:eastAsia="Times New Roman" w:hAnsi="Arial Narrow" w:cs="Calibri"/>
                <w:color w:val="70AD47" w:themeColor="accent6"/>
                <w:sz w:val="20"/>
                <w:szCs w:val="20"/>
              </w:rPr>
              <w:sym w:font="Symbol" w:char="F0AD"/>
            </w:r>
          </w:p>
        </w:tc>
        <w:tc>
          <w:tcPr>
            <w:tcW w:w="7655" w:type="dxa"/>
            <w:vAlign w:val="center"/>
            <w:hideMark/>
          </w:tcPr>
          <w:p w14:paraId="0D23AAF8" w14:textId="5FF7815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 xml:space="preserve">Publication of PBAC agenda moved to 10 weeks </w:t>
            </w:r>
            <w:r w:rsidR="00004F78" w:rsidRPr="008522AB">
              <w:rPr>
                <w:rFonts w:ascii="Arial Narrow" w:eastAsia="Times New Roman" w:hAnsi="Arial Narrow" w:cs="Calibri"/>
                <w:color w:val="000000"/>
                <w:sz w:val="20"/>
                <w:szCs w:val="20"/>
              </w:rPr>
              <w:t xml:space="preserve">before </w:t>
            </w:r>
            <w:r w:rsidRPr="008522AB">
              <w:rPr>
                <w:rFonts w:ascii="Arial Narrow" w:eastAsia="Times New Roman" w:hAnsi="Arial Narrow" w:cs="Calibri"/>
                <w:color w:val="000000"/>
                <w:sz w:val="20"/>
                <w:szCs w:val="20"/>
              </w:rPr>
              <w:t>PBAC meeting</w:t>
            </w:r>
            <w:r w:rsidR="00004F78" w:rsidRPr="008522AB">
              <w:rPr>
                <w:rFonts w:ascii="Arial Narrow" w:eastAsia="Times New Roman" w:hAnsi="Arial Narrow" w:cs="Calibri"/>
                <w:color w:val="000000"/>
                <w:sz w:val="20"/>
                <w:szCs w:val="20"/>
              </w:rPr>
              <w:t>s</w:t>
            </w:r>
            <w:r w:rsidRPr="008522AB">
              <w:rPr>
                <w:rFonts w:ascii="Arial Narrow" w:eastAsia="Times New Roman" w:hAnsi="Arial Narrow" w:cs="Calibri"/>
                <w:color w:val="000000"/>
                <w:sz w:val="20"/>
                <w:szCs w:val="20"/>
              </w:rPr>
              <w:t xml:space="preserve"> to allow </w:t>
            </w:r>
            <w:r w:rsidR="00FD03EC" w:rsidRPr="008522AB">
              <w:rPr>
                <w:rFonts w:ascii="Arial Narrow" w:eastAsia="Times New Roman" w:hAnsi="Arial Narrow" w:cs="Calibri"/>
                <w:color w:val="000000"/>
                <w:sz w:val="20"/>
                <w:szCs w:val="20"/>
              </w:rPr>
              <w:t xml:space="preserve">more time </w:t>
            </w:r>
            <w:r w:rsidRPr="008522AB">
              <w:rPr>
                <w:rFonts w:ascii="Arial Narrow" w:eastAsia="Times New Roman" w:hAnsi="Arial Narrow" w:cs="Calibri"/>
                <w:color w:val="000000"/>
                <w:sz w:val="20"/>
                <w:szCs w:val="20"/>
              </w:rPr>
              <w:t>for consumer inputs</w:t>
            </w:r>
            <w:r w:rsidR="00FD03EC" w:rsidRPr="008522AB">
              <w:rPr>
                <w:rFonts w:ascii="Arial Narrow" w:eastAsia="Times New Roman" w:hAnsi="Arial Narrow" w:cs="Calibri"/>
                <w:color w:val="000000"/>
                <w:sz w:val="20"/>
                <w:szCs w:val="20"/>
              </w:rPr>
              <w:t xml:space="preserve"> (prior to this date, the agendas are published 6 weeks prior to the PBAC meetings).</w:t>
            </w:r>
          </w:p>
        </w:tc>
        <w:tc>
          <w:tcPr>
            <w:tcW w:w="4252" w:type="dxa"/>
            <w:vAlign w:val="center"/>
            <w:hideMark/>
          </w:tcPr>
          <w:p w14:paraId="3E64A99D" w14:textId="2EA0D44E" w:rsidR="00FD03EC" w:rsidRPr="00DD1568" w:rsidRDefault="008522AB" w:rsidP="00950892">
            <w:pPr>
              <w:spacing w:after="120" w:line="240" w:lineRule="auto"/>
              <w:rPr>
                <w:rFonts w:ascii="Arial Narrow" w:eastAsia="Times New Roman" w:hAnsi="Arial Narrow" w:cs="Calibri"/>
                <w:sz w:val="20"/>
                <w:szCs w:val="20"/>
                <w:lang w:val="it-IT"/>
              </w:rPr>
            </w:pPr>
            <w:hyperlink r:id="rId16" w:history="1">
              <w:r w:rsidRPr="00DD1568">
                <w:rPr>
                  <w:rStyle w:val="Hyperlink"/>
                  <w:rFonts w:ascii="Arial Narrow" w:eastAsia="Times New Roman" w:hAnsi="Arial Narrow" w:cs="Calibri"/>
                  <w:color w:val="auto"/>
                  <w:sz w:val="20"/>
                  <w:szCs w:val="20"/>
                  <w:u w:val="none"/>
                  <w:lang w:val="it-IT"/>
                </w:rPr>
                <w:t>https://www.pbs.gov.au/info/industry/listing/elements/pbac-meetings/agenda/03-2014</w:t>
              </w:r>
            </w:hyperlink>
          </w:p>
          <w:p w14:paraId="1A467EC6" w14:textId="2FCCF5AB" w:rsidR="008D59F1" w:rsidRPr="00DD1568" w:rsidRDefault="008D59F1" w:rsidP="00950892">
            <w:pPr>
              <w:spacing w:after="120" w:line="240" w:lineRule="auto"/>
              <w:rPr>
                <w:rFonts w:ascii="Arial Narrow" w:eastAsia="Times New Roman" w:hAnsi="Arial Narrow" w:cs="Calibri"/>
                <w:sz w:val="20"/>
                <w:szCs w:val="20"/>
                <w:lang w:val="it-IT"/>
              </w:rPr>
            </w:pPr>
            <w:hyperlink r:id="rId17" w:history="1">
              <w:r w:rsidRPr="00DD1568">
                <w:rPr>
                  <w:rStyle w:val="Hyperlink"/>
                  <w:rFonts w:ascii="Arial Narrow" w:eastAsia="Times New Roman" w:hAnsi="Arial Narrow" w:cs="Calibri"/>
                  <w:color w:val="auto"/>
                  <w:sz w:val="20"/>
                  <w:szCs w:val="20"/>
                  <w:u w:val="none"/>
                  <w:lang w:val="it-IT"/>
                </w:rPr>
                <w:t>https://www.medicinesaustralia.com.au/media-release/industry-supports-greater-pbac-transparency/</w:t>
              </w:r>
            </w:hyperlink>
          </w:p>
        </w:tc>
      </w:tr>
      <w:tr w:rsidR="00FD03EC" w:rsidRPr="008522AB" w14:paraId="1B30F3C5" w14:textId="77777777" w:rsidTr="00DD1568">
        <w:trPr>
          <w:cantSplit/>
          <w:trHeight w:val="533"/>
        </w:trPr>
        <w:tc>
          <w:tcPr>
            <w:tcW w:w="987" w:type="dxa"/>
            <w:noWrap/>
            <w:vAlign w:val="center"/>
          </w:tcPr>
          <w:p w14:paraId="4349055D" w14:textId="2F57903C" w:rsidR="00FD03EC" w:rsidRPr="008522AB" w:rsidRDefault="00FD03EC"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Jan 2014</w:t>
            </w:r>
          </w:p>
        </w:tc>
        <w:tc>
          <w:tcPr>
            <w:tcW w:w="1276" w:type="dxa"/>
            <w:noWrap/>
            <w:vAlign w:val="center"/>
          </w:tcPr>
          <w:p w14:paraId="635F9BBF" w14:textId="719C84AF" w:rsidR="00FD03EC" w:rsidRPr="008522AB" w:rsidRDefault="00FD03EC" w:rsidP="00950892">
            <w:pPr>
              <w:spacing w:after="120" w:line="240" w:lineRule="auto"/>
              <w:rPr>
                <w:rFonts w:ascii="Arial Narrow" w:eastAsia="Times New Roman" w:hAnsi="Arial Narrow" w:cs="Calibri"/>
                <w:color w:val="4472C4" w:themeColor="accent1"/>
                <w:sz w:val="20"/>
                <w:szCs w:val="20"/>
              </w:rPr>
            </w:pPr>
            <w:r w:rsidRPr="00DA3C06">
              <w:rPr>
                <w:rFonts w:ascii="Arial Narrow" w:eastAsia="Times New Roman" w:hAnsi="Arial Narrow" w:cs="Calibri"/>
                <w:color w:val="70AD47" w:themeColor="accent6"/>
                <w:sz w:val="20"/>
                <w:szCs w:val="20"/>
              </w:rPr>
              <w:t>Publicity</w:t>
            </w:r>
            <w:r w:rsidR="00AB5FC3" w:rsidRPr="00DA3C06">
              <w:rPr>
                <w:rFonts w:ascii="Arial Narrow" w:eastAsia="Times New Roman" w:hAnsi="Arial Narrow" w:cs="Calibri"/>
                <w:color w:val="70AD47" w:themeColor="accent6"/>
                <w:sz w:val="20"/>
                <w:szCs w:val="20"/>
              </w:rPr>
              <w:sym w:font="Symbol" w:char="F0AD"/>
            </w:r>
          </w:p>
        </w:tc>
        <w:tc>
          <w:tcPr>
            <w:tcW w:w="7655" w:type="dxa"/>
            <w:vAlign w:val="center"/>
          </w:tcPr>
          <w:p w14:paraId="65E6DBDB" w14:textId="544DD5CD" w:rsidR="00FD03EC" w:rsidRPr="008522AB" w:rsidRDefault="00FD03EC"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 xml:space="preserve">A new </w:t>
            </w:r>
            <w:r w:rsidR="008522AB">
              <w:rPr>
                <w:rFonts w:ascii="Arial Narrow" w:eastAsia="Times New Roman" w:hAnsi="Arial Narrow" w:cs="Calibri"/>
                <w:color w:val="000000"/>
                <w:sz w:val="20"/>
                <w:szCs w:val="20"/>
              </w:rPr>
              <w:t>smartphone and tablet versions</w:t>
            </w:r>
            <w:r w:rsidRPr="008522AB">
              <w:rPr>
                <w:rFonts w:ascii="Arial Narrow" w:eastAsia="Times New Roman" w:hAnsi="Arial Narrow" w:cs="Calibri"/>
                <w:color w:val="000000"/>
                <w:sz w:val="20"/>
                <w:szCs w:val="20"/>
              </w:rPr>
              <w:t xml:space="preserve"> of the PBS website became available.</w:t>
            </w:r>
          </w:p>
        </w:tc>
        <w:tc>
          <w:tcPr>
            <w:tcW w:w="4252" w:type="dxa"/>
            <w:vAlign w:val="center"/>
          </w:tcPr>
          <w:p w14:paraId="648D48DB" w14:textId="15B1F32B" w:rsidR="008522AB" w:rsidRPr="00DD1568" w:rsidRDefault="008522AB" w:rsidP="00950892">
            <w:pPr>
              <w:spacing w:after="120" w:line="240" w:lineRule="auto"/>
              <w:rPr>
                <w:rFonts w:ascii="Arial Narrow" w:eastAsia="Times New Roman" w:hAnsi="Arial Narrow" w:cs="Calibri"/>
                <w:sz w:val="20"/>
                <w:szCs w:val="20"/>
                <w:lang w:val="it-IT"/>
              </w:rPr>
            </w:pPr>
            <w:hyperlink r:id="rId18" w:history="1">
              <w:r w:rsidRPr="00DD1568">
                <w:rPr>
                  <w:rStyle w:val="Hyperlink"/>
                  <w:rFonts w:ascii="Arial Narrow" w:eastAsia="Times New Roman" w:hAnsi="Arial Narrow" w:cs="Calibri"/>
                  <w:color w:val="auto"/>
                  <w:sz w:val="20"/>
                  <w:szCs w:val="20"/>
                  <w:u w:val="none"/>
                  <w:lang w:val="it-IT"/>
                </w:rPr>
                <w:t>https://www.pbs.gov.au/info/news/2014/01/mobile-website</w:t>
              </w:r>
            </w:hyperlink>
          </w:p>
        </w:tc>
      </w:tr>
      <w:tr w:rsidR="008D59F1" w:rsidRPr="008522AB" w14:paraId="590C9BD9" w14:textId="77777777" w:rsidTr="00DD1568">
        <w:trPr>
          <w:cantSplit/>
        </w:trPr>
        <w:tc>
          <w:tcPr>
            <w:tcW w:w="987" w:type="dxa"/>
            <w:noWrap/>
            <w:vAlign w:val="center"/>
            <w:hideMark/>
          </w:tcPr>
          <w:p w14:paraId="73CB8380"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Feb 2014</w:t>
            </w:r>
          </w:p>
        </w:tc>
        <w:tc>
          <w:tcPr>
            <w:tcW w:w="1276" w:type="dxa"/>
            <w:noWrap/>
            <w:vAlign w:val="center"/>
            <w:hideMark/>
          </w:tcPr>
          <w:p w14:paraId="6180B5D1" w14:textId="1C9B2B62"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4472C4" w:themeColor="accent1"/>
                <w:sz w:val="20"/>
                <w:szCs w:val="20"/>
              </w:rPr>
              <w:t>Relevance</w:t>
            </w:r>
            <w:r w:rsidR="00AB5FC3">
              <w:rPr>
                <w:rFonts w:ascii="Arial Narrow" w:eastAsia="Times New Roman" w:hAnsi="Arial Narrow" w:cs="Calibri"/>
                <w:color w:val="4472C4" w:themeColor="accent1"/>
                <w:sz w:val="20"/>
                <w:szCs w:val="20"/>
              </w:rPr>
              <w:sym w:font="Symbol" w:char="F0AD"/>
            </w:r>
          </w:p>
          <w:p w14:paraId="21CBF78F" w14:textId="07DC012F"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70AD47" w:themeColor="accent6"/>
                <w:sz w:val="20"/>
                <w:szCs w:val="20"/>
              </w:rPr>
              <w:t>Publicity</w:t>
            </w:r>
            <w:r w:rsidR="00AB5FC3">
              <w:rPr>
                <w:rFonts w:ascii="Arial Narrow" w:eastAsia="Times New Roman" w:hAnsi="Arial Narrow" w:cs="Calibri"/>
                <w:color w:val="70AD47" w:themeColor="accent6"/>
                <w:sz w:val="20"/>
                <w:szCs w:val="20"/>
              </w:rPr>
              <w:sym w:font="Symbol" w:char="F0AD"/>
            </w:r>
          </w:p>
        </w:tc>
        <w:tc>
          <w:tcPr>
            <w:tcW w:w="7655" w:type="dxa"/>
            <w:vAlign w:val="center"/>
            <w:hideMark/>
          </w:tcPr>
          <w:p w14:paraId="28E4DA41" w14:textId="7BEFB518" w:rsidR="008D59F1" w:rsidRPr="008522AB" w:rsidRDefault="006D70CF"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Introduction of s</w:t>
            </w:r>
            <w:r w:rsidR="008D59F1" w:rsidRPr="008522AB">
              <w:rPr>
                <w:rFonts w:ascii="Arial Narrow" w:eastAsia="Times New Roman" w:hAnsi="Arial Narrow" w:cs="Calibri"/>
                <w:color w:val="000000"/>
                <w:sz w:val="20"/>
                <w:szCs w:val="20"/>
              </w:rPr>
              <w:t>takeholder meetings</w:t>
            </w:r>
            <w:r w:rsidRPr="008522AB">
              <w:rPr>
                <w:rFonts w:ascii="Arial Narrow" w:eastAsia="Times New Roman" w:hAnsi="Arial Narrow" w:cs="Calibri"/>
                <w:color w:val="000000"/>
                <w:sz w:val="20"/>
                <w:szCs w:val="20"/>
              </w:rPr>
              <w:t xml:space="preserve"> for PBAC submission. The</w:t>
            </w:r>
            <w:r w:rsidR="008D59F1" w:rsidRPr="008522AB">
              <w:rPr>
                <w:rFonts w:ascii="Arial Narrow" w:eastAsia="Times New Roman" w:hAnsi="Arial Narrow" w:cs="Calibri"/>
                <w:color w:val="000000"/>
                <w:sz w:val="20"/>
                <w:szCs w:val="20"/>
              </w:rPr>
              <w:t xml:space="preserve"> first</w:t>
            </w:r>
            <w:r w:rsidRPr="008522AB">
              <w:rPr>
                <w:rFonts w:ascii="Arial Narrow" w:eastAsia="Times New Roman" w:hAnsi="Arial Narrow" w:cs="Calibri"/>
                <w:color w:val="000000"/>
                <w:sz w:val="20"/>
                <w:szCs w:val="20"/>
              </w:rPr>
              <w:t>-</w:t>
            </w:r>
            <w:r w:rsidR="008D59F1" w:rsidRPr="008522AB">
              <w:rPr>
                <w:rFonts w:ascii="Arial Narrow" w:eastAsia="Times New Roman" w:hAnsi="Arial Narrow" w:cs="Calibri"/>
                <w:color w:val="000000"/>
                <w:sz w:val="20"/>
                <w:szCs w:val="20"/>
              </w:rPr>
              <w:t>ever meeting record</w:t>
            </w:r>
            <w:r w:rsidRPr="008522AB">
              <w:rPr>
                <w:rFonts w:ascii="Arial Narrow" w:eastAsia="Times New Roman" w:hAnsi="Arial Narrow" w:cs="Calibri"/>
                <w:color w:val="000000"/>
                <w:sz w:val="20"/>
                <w:szCs w:val="20"/>
              </w:rPr>
              <w:t>ed</w:t>
            </w:r>
            <w:r w:rsidR="008D59F1" w:rsidRPr="008522AB">
              <w:rPr>
                <w:rFonts w:ascii="Arial Narrow" w:eastAsia="Times New Roman" w:hAnsi="Arial Narrow" w:cs="Calibri"/>
                <w:color w:val="000000"/>
                <w:sz w:val="20"/>
                <w:szCs w:val="20"/>
              </w:rPr>
              <w:t xml:space="preserve"> was Feb 2014 for </w:t>
            </w:r>
            <w:r w:rsidR="00AC6990" w:rsidRPr="008522AB">
              <w:rPr>
                <w:rFonts w:ascii="Arial Narrow" w:eastAsia="Times New Roman" w:hAnsi="Arial Narrow" w:cs="Calibri"/>
                <w:color w:val="000000"/>
                <w:sz w:val="20"/>
                <w:szCs w:val="20"/>
              </w:rPr>
              <w:t>n</w:t>
            </w:r>
            <w:r w:rsidR="008D59F1" w:rsidRPr="008522AB">
              <w:rPr>
                <w:rFonts w:ascii="Arial Narrow" w:eastAsia="Times New Roman" w:hAnsi="Arial Narrow" w:cs="Calibri"/>
                <w:color w:val="000000"/>
                <w:sz w:val="20"/>
                <w:szCs w:val="20"/>
              </w:rPr>
              <w:t xml:space="preserve">ew oral antivirals for Hep C. </w:t>
            </w:r>
            <w:r w:rsidR="008D59F1" w:rsidRPr="008522AB">
              <w:rPr>
                <w:rFonts w:ascii="Arial Narrow" w:eastAsia="Times New Roman" w:hAnsi="Arial Narrow" w:cs="Calibri"/>
                <w:sz w:val="20"/>
                <w:szCs w:val="20"/>
              </w:rPr>
              <w:t>This is the first reference to stakeholder meetings after agreement was reached whereby applicants could request a stakeholder meeting. However, the PBAC did</w:t>
            </w:r>
            <w:r w:rsidR="00AC6990" w:rsidRPr="008522AB">
              <w:rPr>
                <w:rFonts w:ascii="Arial Narrow" w:eastAsia="Times New Roman" w:hAnsi="Arial Narrow" w:cs="Calibri"/>
                <w:sz w:val="20"/>
                <w:szCs w:val="20"/>
              </w:rPr>
              <w:t>, on occasion,</w:t>
            </w:r>
            <w:r w:rsidR="008D59F1" w:rsidRPr="008522AB">
              <w:rPr>
                <w:rFonts w:ascii="Arial Narrow" w:eastAsia="Times New Roman" w:hAnsi="Arial Narrow" w:cs="Calibri"/>
                <w:sz w:val="20"/>
                <w:szCs w:val="20"/>
              </w:rPr>
              <w:t xml:space="preserve"> initiate stakeholder meetings prior to this time.</w:t>
            </w:r>
            <w:r w:rsidR="00AC6990" w:rsidRPr="008522AB">
              <w:rPr>
                <w:rFonts w:ascii="Arial Narrow" w:eastAsia="Times New Roman" w:hAnsi="Arial Narrow" w:cs="Calibri"/>
                <w:sz w:val="20"/>
                <w:szCs w:val="20"/>
              </w:rPr>
              <w:t xml:space="preserve">  Prior to this time, stakeholder meetings for post-market reviews of listed PBS medications.</w:t>
            </w:r>
          </w:p>
        </w:tc>
        <w:tc>
          <w:tcPr>
            <w:tcW w:w="4252" w:type="dxa"/>
            <w:vAlign w:val="center"/>
            <w:hideMark/>
          </w:tcPr>
          <w:p w14:paraId="7A81A359" w14:textId="6EEB761F" w:rsidR="008522AB" w:rsidRPr="00DD1568" w:rsidRDefault="008522AB" w:rsidP="00950892">
            <w:pPr>
              <w:spacing w:after="120" w:line="240" w:lineRule="auto"/>
              <w:rPr>
                <w:rFonts w:ascii="Arial Narrow" w:hAnsi="Arial Narrow"/>
                <w:sz w:val="20"/>
                <w:szCs w:val="20"/>
              </w:rPr>
            </w:pPr>
            <w:hyperlink r:id="rId19" w:history="1">
              <w:r w:rsidRPr="00DD1568">
                <w:rPr>
                  <w:rStyle w:val="Hyperlink"/>
                  <w:rFonts w:ascii="Arial Narrow" w:hAnsi="Arial Narrow"/>
                  <w:color w:val="auto"/>
                  <w:sz w:val="20"/>
                  <w:szCs w:val="20"/>
                  <w:u w:val="none"/>
                </w:rPr>
                <w:t>https://www.pbs.gov.au/info/industry/listing/elements/initiation-of-stakeholder-meetings</w:t>
              </w:r>
            </w:hyperlink>
          </w:p>
          <w:p w14:paraId="009B18A1" w14:textId="78DC7919" w:rsidR="008D59F1" w:rsidRPr="00DD1568" w:rsidRDefault="008D59F1" w:rsidP="00950892">
            <w:pPr>
              <w:spacing w:after="120" w:line="240" w:lineRule="auto"/>
              <w:rPr>
                <w:rFonts w:ascii="Arial Narrow" w:eastAsia="Times New Roman" w:hAnsi="Arial Narrow" w:cs="Calibri"/>
                <w:sz w:val="20"/>
                <w:szCs w:val="20"/>
              </w:rPr>
            </w:pPr>
            <w:hyperlink r:id="rId20" w:history="1">
              <w:r w:rsidRPr="00DD1568">
                <w:rPr>
                  <w:rStyle w:val="Hyperlink"/>
                  <w:rFonts w:ascii="Arial Narrow" w:eastAsia="Times New Roman" w:hAnsi="Arial Narrow" w:cs="Calibri"/>
                  <w:color w:val="auto"/>
                  <w:sz w:val="20"/>
                  <w:szCs w:val="20"/>
                  <w:u w:val="none"/>
                </w:rPr>
                <w:t>https://www.pbs.gov.au/pbs/industry/listing/elements/pbac-meetings/stakeholder-meetings</w:t>
              </w:r>
            </w:hyperlink>
          </w:p>
        </w:tc>
      </w:tr>
      <w:tr w:rsidR="00004F78" w:rsidRPr="008522AB" w14:paraId="785F647C" w14:textId="77777777" w:rsidTr="00DD1568">
        <w:trPr>
          <w:cantSplit/>
          <w:trHeight w:val="645"/>
        </w:trPr>
        <w:tc>
          <w:tcPr>
            <w:tcW w:w="987" w:type="dxa"/>
            <w:noWrap/>
            <w:vAlign w:val="center"/>
            <w:hideMark/>
          </w:tcPr>
          <w:p w14:paraId="096F9C14" w14:textId="53D33E78" w:rsidR="00004F78" w:rsidRPr="008522AB" w:rsidRDefault="00004F78"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April 2014</w:t>
            </w:r>
          </w:p>
        </w:tc>
        <w:tc>
          <w:tcPr>
            <w:tcW w:w="1276" w:type="dxa"/>
            <w:vAlign w:val="center"/>
            <w:hideMark/>
          </w:tcPr>
          <w:p w14:paraId="19C35B13" w14:textId="67B5E17C" w:rsidR="00004F78" w:rsidRPr="008522AB" w:rsidRDefault="00004F78"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ED7D31" w:themeColor="accent2"/>
                <w:sz w:val="20"/>
                <w:szCs w:val="20"/>
              </w:rPr>
              <w:t>Enforcement</w:t>
            </w:r>
            <w:r w:rsidRPr="008522AB">
              <w:rPr>
                <w:rFonts w:ascii="Arial Narrow" w:eastAsia="Times New Roman" w:hAnsi="Arial Narrow" w:cs="Calibri"/>
                <w:color w:val="000000"/>
                <w:sz w:val="20"/>
                <w:szCs w:val="20"/>
              </w:rPr>
              <w:t xml:space="preserve"> of </w:t>
            </w:r>
            <w:r w:rsidRPr="008522AB">
              <w:rPr>
                <w:rFonts w:ascii="Arial Narrow" w:eastAsia="Times New Roman" w:hAnsi="Arial Narrow" w:cs="Calibri"/>
                <w:color w:val="4472C4" w:themeColor="accent1"/>
                <w:sz w:val="20"/>
                <w:szCs w:val="20"/>
              </w:rPr>
              <w:t>relevance</w:t>
            </w:r>
            <w:r w:rsidR="00823CAD">
              <w:rPr>
                <w:rFonts w:ascii="Arial Narrow" w:eastAsia="Times New Roman" w:hAnsi="Arial Narrow" w:cs="Calibri"/>
                <w:color w:val="4472C4" w:themeColor="accent1"/>
                <w:sz w:val="20"/>
                <w:szCs w:val="20"/>
              </w:rPr>
              <w:sym w:font="Symbol" w:char="F0AD"/>
            </w:r>
          </w:p>
        </w:tc>
        <w:tc>
          <w:tcPr>
            <w:tcW w:w="7655" w:type="dxa"/>
            <w:vAlign w:val="center"/>
            <w:hideMark/>
          </w:tcPr>
          <w:p w14:paraId="76899707" w14:textId="55ED0DDB" w:rsidR="00004F78" w:rsidRPr="008522AB" w:rsidRDefault="00004F78"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themeColor="text1"/>
                <w:sz w:val="20"/>
                <w:szCs w:val="20"/>
              </w:rPr>
              <w:t>Streamlined PBS pricing processes, including cessation of the Pharmaceutical Benefits Pricing Authority (PBPA). This arguably means the PBAC t</w:t>
            </w:r>
            <w:r w:rsidR="00B8676C">
              <w:rPr>
                <w:rFonts w:ascii="Arial Narrow" w:eastAsia="Times New Roman" w:hAnsi="Arial Narrow" w:cs="Calibri"/>
                <w:color w:val="000000" w:themeColor="text1"/>
                <w:sz w:val="20"/>
                <w:szCs w:val="20"/>
              </w:rPr>
              <w:t xml:space="preserve">ook </w:t>
            </w:r>
            <w:r w:rsidRPr="008522AB">
              <w:rPr>
                <w:rFonts w:ascii="Arial Narrow" w:eastAsia="Times New Roman" w:hAnsi="Arial Narrow" w:cs="Calibri"/>
                <w:color w:val="000000" w:themeColor="text1"/>
                <w:sz w:val="20"/>
                <w:szCs w:val="20"/>
              </w:rPr>
              <w:t xml:space="preserve">on more of a role in </w:t>
            </w:r>
            <w:r w:rsidRPr="008522AB">
              <w:rPr>
                <w:rFonts w:ascii="Arial Narrow" w:eastAsia="Times New Roman" w:hAnsi="Arial Narrow" w:cs="Calibri"/>
                <w:sz w:val="20"/>
                <w:szCs w:val="20"/>
              </w:rPr>
              <w:t>considering budget impact</w:t>
            </w:r>
            <w:r w:rsidRPr="008522AB">
              <w:rPr>
                <w:rFonts w:ascii="Arial Narrow" w:eastAsia="Times New Roman" w:hAnsi="Arial Narrow" w:cs="Calibri"/>
                <w:color w:val="000000" w:themeColor="text1"/>
                <w:sz w:val="20"/>
                <w:szCs w:val="20"/>
              </w:rPr>
              <w:t>, deeds of agreements, net prices and risk sharing.</w:t>
            </w:r>
          </w:p>
        </w:tc>
        <w:tc>
          <w:tcPr>
            <w:tcW w:w="4252" w:type="dxa"/>
            <w:vAlign w:val="center"/>
            <w:hideMark/>
          </w:tcPr>
          <w:p w14:paraId="56012B60" w14:textId="77777777" w:rsidR="00004F78" w:rsidRPr="00DD1568" w:rsidRDefault="00004F78" w:rsidP="00950892">
            <w:pPr>
              <w:spacing w:after="120" w:line="240" w:lineRule="auto"/>
              <w:rPr>
                <w:rFonts w:ascii="Arial Narrow" w:eastAsia="Times New Roman" w:hAnsi="Arial Narrow" w:cs="Calibri"/>
                <w:sz w:val="20"/>
                <w:szCs w:val="20"/>
              </w:rPr>
            </w:pPr>
            <w:hyperlink r:id="rId21" w:history="1">
              <w:r w:rsidRPr="00DD1568">
                <w:rPr>
                  <w:rStyle w:val="Hyperlink"/>
                  <w:rFonts w:ascii="Arial Narrow" w:eastAsia="Times New Roman" w:hAnsi="Arial Narrow" w:cs="Calibri"/>
                  <w:color w:val="auto"/>
                  <w:sz w:val="20"/>
                  <w:szCs w:val="20"/>
                  <w:u w:val="none"/>
                </w:rPr>
                <w:t>https://m.pbs.gov.au/news/2014/03/streamlined-pbs-pricing.html</w:t>
              </w:r>
            </w:hyperlink>
          </w:p>
          <w:p w14:paraId="05E9E0BD" w14:textId="77777777" w:rsidR="00004F78" w:rsidRPr="00DD1568" w:rsidRDefault="00004F78" w:rsidP="00950892">
            <w:pPr>
              <w:spacing w:after="120" w:line="240" w:lineRule="auto"/>
              <w:rPr>
                <w:rFonts w:ascii="Arial Narrow" w:eastAsia="Times New Roman" w:hAnsi="Arial Narrow" w:cs="Calibri"/>
                <w:sz w:val="20"/>
                <w:szCs w:val="20"/>
              </w:rPr>
            </w:pPr>
          </w:p>
        </w:tc>
      </w:tr>
      <w:tr w:rsidR="008D59F1" w:rsidRPr="008522AB" w14:paraId="4AF043DC" w14:textId="77777777" w:rsidTr="00DD1568">
        <w:trPr>
          <w:cantSplit/>
        </w:trPr>
        <w:tc>
          <w:tcPr>
            <w:tcW w:w="987" w:type="dxa"/>
            <w:noWrap/>
            <w:vAlign w:val="center"/>
            <w:hideMark/>
          </w:tcPr>
          <w:p w14:paraId="53C3B8FC" w14:textId="77BA765A" w:rsidR="008D59F1" w:rsidRPr="008522AB" w:rsidRDefault="00491B33"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July </w:t>
            </w:r>
            <w:r w:rsidR="008D59F1" w:rsidRPr="008522AB">
              <w:rPr>
                <w:rFonts w:ascii="Arial Narrow" w:eastAsia="Times New Roman" w:hAnsi="Arial Narrow" w:cs="Calibri"/>
                <w:color w:val="000000"/>
                <w:sz w:val="20"/>
                <w:szCs w:val="20"/>
              </w:rPr>
              <w:t>2014</w:t>
            </w:r>
          </w:p>
        </w:tc>
        <w:tc>
          <w:tcPr>
            <w:tcW w:w="1276" w:type="dxa"/>
            <w:noWrap/>
            <w:vAlign w:val="center"/>
            <w:hideMark/>
          </w:tcPr>
          <w:p w14:paraId="169C8918" w14:textId="47983208"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70AD47" w:themeColor="accent6"/>
                <w:sz w:val="20"/>
                <w:szCs w:val="20"/>
              </w:rPr>
              <w:t>Publicity</w:t>
            </w:r>
            <w:r w:rsidR="00823CAD">
              <w:rPr>
                <w:rFonts w:ascii="Arial Narrow" w:eastAsia="Times New Roman" w:hAnsi="Arial Narrow" w:cs="Calibri"/>
                <w:color w:val="70AD47" w:themeColor="accent6"/>
                <w:sz w:val="20"/>
                <w:szCs w:val="20"/>
              </w:rPr>
              <w:sym w:font="Symbol" w:char="F0AD"/>
            </w:r>
          </w:p>
        </w:tc>
        <w:tc>
          <w:tcPr>
            <w:tcW w:w="7655" w:type="dxa"/>
            <w:vAlign w:val="center"/>
            <w:hideMark/>
          </w:tcPr>
          <w:p w14:paraId="0E4426A1" w14:textId="024C6BD5"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Full PSDs published online. This is more complete compared to previously published PSDs.</w:t>
            </w:r>
            <w:r w:rsidR="00944832" w:rsidRPr="008522AB">
              <w:rPr>
                <w:rFonts w:ascii="Arial Narrow" w:eastAsia="Times New Roman" w:hAnsi="Arial Narrow" w:cs="Calibri"/>
                <w:color w:val="000000"/>
                <w:sz w:val="20"/>
                <w:szCs w:val="20"/>
              </w:rPr>
              <w:t xml:space="preserve"> Can see clear change in PSD</w:t>
            </w:r>
            <w:r w:rsidR="00944832">
              <w:rPr>
                <w:rFonts w:ascii="Arial Narrow" w:eastAsia="Times New Roman" w:hAnsi="Arial Narrow" w:cs="Calibri"/>
                <w:color w:val="000000"/>
                <w:sz w:val="20"/>
                <w:szCs w:val="20"/>
              </w:rPr>
              <w:t xml:space="preserve"> details </w:t>
            </w:r>
            <w:r w:rsidR="00944832" w:rsidRPr="008522AB">
              <w:rPr>
                <w:rFonts w:ascii="Arial Narrow" w:eastAsia="Times New Roman" w:hAnsi="Arial Narrow" w:cs="Calibri"/>
                <w:color w:val="000000"/>
                <w:sz w:val="20"/>
                <w:szCs w:val="20"/>
              </w:rPr>
              <w:t>post this date.</w:t>
            </w:r>
          </w:p>
        </w:tc>
        <w:tc>
          <w:tcPr>
            <w:tcW w:w="4252" w:type="dxa"/>
            <w:vAlign w:val="center"/>
            <w:hideMark/>
          </w:tcPr>
          <w:p w14:paraId="678A97D9" w14:textId="0A1E30BA" w:rsidR="008D59F1" w:rsidRPr="00DD1568" w:rsidRDefault="00944832" w:rsidP="00950892">
            <w:pPr>
              <w:spacing w:after="120" w:line="240" w:lineRule="auto"/>
              <w:rPr>
                <w:rFonts w:ascii="Arial Narrow" w:eastAsia="Times New Roman" w:hAnsi="Arial Narrow" w:cs="Calibri"/>
                <w:sz w:val="20"/>
                <w:szCs w:val="20"/>
              </w:rPr>
            </w:pPr>
            <w:hyperlink r:id="rId22" w:history="1">
              <w:r w:rsidRPr="00DD1568">
                <w:rPr>
                  <w:rStyle w:val="Hyperlink"/>
                  <w:rFonts w:ascii="Arial Narrow" w:eastAsia="Times New Roman" w:hAnsi="Arial Narrow" w:cs="Calibri"/>
                  <w:color w:val="auto"/>
                  <w:sz w:val="20"/>
                  <w:szCs w:val="20"/>
                  <w:u w:val="none"/>
                </w:rPr>
                <w:t>https://www.pbs.gov.au/info/industry/listing/elements/pbac-meetings/psd</w:t>
              </w:r>
            </w:hyperlink>
            <w:r w:rsidRPr="00DD1568">
              <w:rPr>
                <w:rFonts w:ascii="Arial Narrow" w:eastAsia="Times New Roman" w:hAnsi="Arial Narrow" w:cs="Calibri"/>
                <w:sz w:val="20"/>
                <w:szCs w:val="20"/>
              </w:rPr>
              <w:t xml:space="preserve"> </w:t>
            </w:r>
          </w:p>
        </w:tc>
      </w:tr>
      <w:tr w:rsidR="008D59F1" w:rsidRPr="008522AB" w14:paraId="6BA07E46" w14:textId="77777777" w:rsidTr="00DD1568">
        <w:trPr>
          <w:cantSplit/>
          <w:trHeight w:val="878"/>
        </w:trPr>
        <w:tc>
          <w:tcPr>
            <w:tcW w:w="987" w:type="dxa"/>
            <w:noWrap/>
            <w:vAlign w:val="center"/>
            <w:hideMark/>
          </w:tcPr>
          <w:p w14:paraId="7E683B90" w14:textId="29D50D63" w:rsidR="008D59F1" w:rsidRPr="008522AB" w:rsidRDefault="0084264A" w:rsidP="00950892">
            <w:pPr>
              <w:spacing w:after="120" w:line="240" w:lineRule="auto"/>
              <w:rPr>
                <w:rFonts w:ascii="Arial Narrow" w:eastAsia="Times New Roman" w:hAnsi="Arial Narrow" w:cs="Calibri"/>
                <w:color w:val="000000"/>
                <w:sz w:val="20"/>
                <w:szCs w:val="20"/>
              </w:rPr>
            </w:pPr>
            <w:bookmarkStart w:id="2" w:name="_Hlk139284177"/>
            <w:r>
              <w:rPr>
                <w:rFonts w:ascii="Arial Narrow" w:eastAsia="Times New Roman" w:hAnsi="Arial Narrow" w:cs="Calibri"/>
                <w:color w:val="000000"/>
                <w:sz w:val="20"/>
                <w:szCs w:val="20"/>
              </w:rPr>
              <w:t>Mar</w:t>
            </w:r>
            <w:r w:rsidR="006B65AD">
              <w:rPr>
                <w:rFonts w:ascii="Arial Narrow" w:eastAsia="Times New Roman" w:hAnsi="Arial Narrow" w:cs="Calibri"/>
                <w:color w:val="000000"/>
                <w:sz w:val="20"/>
                <w:szCs w:val="20"/>
              </w:rPr>
              <w:t xml:space="preserve"> </w:t>
            </w:r>
            <w:r w:rsidR="008D59F1" w:rsidRPr="008522AB">
              <w:rPr>
                <w:rFonts w:ascii="Arial Narrow" w:eastAsia="Times New Roman" w:hAnsi="Arial Narrow" w:cs="Calibri"/>
                <w:color w:val="000000"/>
                <w:sz w:val="20"/>
                <w:szCs w:val="20"/>
              </w:rPr>
              <w:t>2015</w:t>
            </w:r>
          </w:p>
        </w:tc>
        <w:tc>
          <w:tcPr>
            <w:tcW w:w="1276" w:type="dxa"/>
            <w:noWrap/>
            <w:vAlign w:val="center"/>
            <w:hideMark/>
          </w:tcPr>
          <w:p w14:paraId="7FC2120C" w14:textId="64A08423"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4472C4" w:themeColor="accent1"/>
                <w:sz w:val="20"/>
                <w:szCs w:val="20"/>
              </w:rPr>
              <w:t>Relevance</w:t>
            </w:r>
            <w:r w:rsidR="00823CAD">
              <w:rPr>
                <w:rFonts w:ascii="Arial Narrow" w:eastAsia="Times New Roman" w:hAnsi="Arial Narrow" w:cs="Calibri"/>
                <w:color w:val="4472C4" w:themeColor="accent1"/>
                <w:sz w:val="20"/>
                <w:szCs w:val="20"/>
              </w:rPr>
              <w:sym w:font="Symbol" w:char="F0AD"/>
            </w:r>
          </w:p>
        </w:tc>
        <w:tc>
          <w:tcPr>
            <w:tcW w:w="7655" w:type="dxa"/>
            <w:noWrap/>
            <w:vAlign w:val="center"/>
            <w:hideMark/>
          </w:tcPr>
          <w:p w14:paraId="533B579C" w14:textId="34C42A88"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PBAC also piloted a new process of consumer and patient hearings on selected applications prior to the meeting. These meetings involve select members of the PBAC and invited patient reps.</w:t>
            </w:r>
          </w:p>
        </w:tc>
        <w:tc>
          <w:tcPr>
            <w:tcW w:w="4252" w:type="dxa"/>
            <w:vAlign w:val="center"/>
            <w:hideMark/>
          </w:tcPr>
          <w:p w14:paraId="269CE240" w14:textId="74D87150" w:rsidR="008D59F1" w:rsidRPr="00DD1568" w:rsidRDefault="00944832" w:rsidP="00950892">
            <w:pPr>
              <w:spacing w:after="120" w:line="240" w:lineRule="auto"/>
              <w:rPr>
                <w:rFonts w:ascii="Arial Narrow" w:eastAsia="Times New Roman" w:hAnsi="Arial Narrow" w:cs="Calibri"/>
                <w:sz w:val="20"/>
                <w:szCs w:val="20"/>
              </w:rPr>
            </w:pPr>
            <w:hyperlink r:id="rId23" w:history="1">
              <w:r w:rsidRPr="00DD1568">
                <w:rPr>
                  <w:rStyle w:val="Hyperlink"/>
                  <w:rFonts w:ascii="Arial Narrow" w:eastAsia="Times New Roman" w:hAnsi="Arial Narrow" w:cs="Calibri"/>
                  <w:color w:val="auto"/>
                  <w:sz w:val="20"/>
                  <w:szCs w:val="20"/>
                  <w:u w:val="none"/>
                </w:rPr>
                <w:t>https://www.pbs.gov.au/industry/listing/elements/pbac-meetings/pbac-submission-senate-inquiry/pbac-submission-senate-inquiry-16-march-2015.pdf</w:t>
              </w:r>
            </w:hyperlink>
            <w:r w:rsidRPr="00DD1568">
              <w:rPr>
                <w:rFonts w:ascii="Arial Narrow" w:eastAsia="Times New Roman" w:hAnsi="Arial Narrow" w:cs="Calibri"/>
                <w:sz w:val="20"/>
                <w:szCs w:val="20"/>
              </w:rPr>
              <w:t xml:space="preserve"> </w:t>
            </w:r>
          </w:p>
        </w:tc>
      </w:tr>
      <w:tr w:rsidR="00BA15D4" w:rsidRPr="008522AB" w14:paraId="59E268E6" w14:textId="77777777" w:rsidTr="00DD1568">
        <w:trPr>
          <w:cantSplit/>
          <w:trHeight w:val="1176"/>
        </w:trPr>
        <w:tc>
          <w:tcPr>
            <w:tcW w:w="987" w:type="dxa"/>
            <w:noWrap/>
            <w:vAlign w:val="center"/>
          </w:tcPr>
          <w:p w14:paraId="4804C99C" w14:textId="3B6FCEDB" w:rsidR="00BA15D4" w:rsidRDefault="00BA15D4"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Mar 2015</w:t>
            </w:r>
          </w:p>
        </w:tc>
        <w:tc>
          <w:tcPr>
            <w:tcW w:w="1276" w:type="dxa"/>
            <w:noWrap/>
            <w:vAlign w:val="center"/>
          </w:tcPr>
          <w:p w14:paraId="7AB73697" w14:textId="77B2C244" w:rsidR="00BA15D4" w:rsidRPr="008522AB" w:rsidRDefault="00F028CB" w:rsidP="00950892">
            <w:pPr>
              <w:spacing w:after="120" w:line="240" w:lineRule="auto"/>
              <w:rPr>
                <w:rFonts w:ascii="Arial Narrow" w:eastAsia="Times New Roman" w:hAnsi="Arial Narrow" w:cs="Calibri"/>
                <w:color w:val="4472C4" w:themeColor="accent1"/>
                <w:sz w:val="20"/>
                <w:szCs w:val="20"/>
              </w:rPr>
            </w:pPr>
            <w:r>
              <w:rPr>
                <w:rFonts w:ascii="Arial Narrow" w:eastAsia="Times New Roman" w:hAnsi="Arial Narrow" w:cs="Calibri"/>
                <w:color w:val="4472C4" w:themeColor="accent1"/>
                <w:sz w:val="20"/>
                <w:szCs w:val="20"/>
              </w:rPr>
              <w:t>R</w:t>
            </w:r>
            <w:r w:rsidR="00BA15D4" w:rsidRPr="008522AB">
              <w:rPr>
                <w:rFonts w:ascii="Arial Narrow" w:eastAsia="Times New Roman" w:hAnsi="Arial Narrow" w:cs="Calibri"/>
                <w:color w:val="4472C4" w:themeColor="accent1"/>
                <w:sz w:val="20"/>
                <w:szCs w:val="20"/>
              </w:rPr>
              <w:t>elevance</w:t>
            </w:r>
            <w:r w:rsidR="00823CAD">
              <w:rPr>
                <w:rFonts w:ascii="Arial Narrow" w:eastAsia="Times New Roman" w:hAnsi="Arial Narrow" w:cs="Calibri"/>
                <w:color w:val="4472C4" w:themeColor="accent1"/>
                <w:sz w:val="20"/>
                <w:szCs w:val="20"/>
              </w:rPr>
              <w:sym w:font="Symbol" w:char="F0AD"/>
            </w:r>
            <w:r w:rsidR="00BA15D4" w:rsidRPr="008522AB">
              <w:rPr>
                <w:rFonts w:ascii="Arial Narrow" w:eastAsia="Times New Roman" w:hAnsi="Arial Narrow" w:cs="Calibri"/>
                <w:color w:val="000000"/>
                <w:sz w:val="20"/>
                <w:szCs w:val="20"/>
              </w:rPr>
              <w:t xml:space="preserve">, </w:t>
            </w:r>
            <w:r>
              <w:rPr>
                <w:rFonts w:ascii="Arial Narrow" w:eastAsia="Times New Roman" w:hAnsi="Arial Narrow" w:cs="Calibri"/>
                <w:color w:val="70AD47" w:themeColor="accent6"/>
                <w:sz w:val="20"/>
                <w:szCs w:val="20"/>
              </w:rPr>
              <w:t>P</w:t>
            </w:r>
            <w:r w:rsidRPr="00F028CB">
              <w:rPr>
                <w:rFonts w:ascii="Arial Narrow" w:eastAsia="Times New Roman" w:hAnsi="Arial Narrow" w:cs="Calibri"/>
                <w:color w:val="70AD47" w:themeColor="accent6"/>
                <w:sz w:val="20"/>
                <w:szCs w:val="20"/>
              </w:rPr>
              <w:t>u</w:t>
            </w:r>
            <w:r w:rsidR="00BA15D4" w:rsidRPr="008522AB">
              <w:rPr>
                <w:rFonts w:ascii="Arial Narrow" w:eastAsia="Times New Roman" w:hAnsi="Arial Narrow" w:cs="Calibri"/>
                <w:color w:val="70AD47" w:themeColor="accent6"/>
                <w:sz w:val="20"/>
                <w:szCs w:val="20"/>
              </w:rPr>
              <w:t>blicity</w:t>
            </w:r>
            <w:r w:rsidR="00823CAD">
              <w:rPr>
                <w:rFonts w:ascii="Arial Narrow" w:eastAsia="Times New Roman" w:hAnsi="Arial Narrow" w:cs="Calibri"/>
                <w:color w:val="70AD47" w:themeColor="accent6"/>
                <w:sz w:val="20"/>
                <w:szCs w:val="20"/>
              </w:rPr>
              <w:sym w:font="Symbol" w:char="F0AD"/>
            </w:r>
            <w:r w:rsidR="00BA15D4" w:rsidRPr="008522AB">
              <w:rPr>
                <w:rFonts w:ascii="Arial Narrow" w:eastAsia="Times New Roman" w:hAnsi="Arial Narrow" w:cs="Calibri"/>
                <w:color w:val="000000"/>
                <w:sz w:val="20"/>
                <w:szCs w:val="20"/>
              </w:rPr>
              <w:t xml:space="preserve"> </w:t>
            </w:r>
            <w:r>
              <w:rPr>
                <w:rFonts w:ascii="Arial Narrow" w:eastAsia="Times New Roman" w:hAnsi="Arial Narrow" w:cs="Calibri"/>
                <w:color w:val="FF0000"/>
                <w:sz w:val="20"/>
                <w:szCs w:val="20"/>
              </w:rPr>
              <w:t>R</w:t>
            </w:r>
            <w:r w:rsidR="00BA15D4" w:rsidRPr="008522AB">
              <w:rPr>
                <w:rFonts w:ascii="Arial Narrow" w:eastAsia="Times New Roman" w:hAnsi="Arial Narrow" w:cs="Calibri"/>
                <w:color w:val="FF0000"/>
                <w:sz w:val="20"/>
                <w:szCs w:val="20"/>
              </w:rPr>
              <w:t>evision</w:t>
            </w:r>
            <w:r w:rsidR="00823CAD">
              <w:rPr>
                <w:rFonts w:ascii="Arial Narrow" w:eastAsia="Times New Roman" w:hAnsi="Arial Narrow" w:cs="Calibri"/>
                <w:color w:val="FF0000"/>
                <w:sz w:val="20"/>
                <w:szCs w:val="20"/>
              </w:rPr>
              <w:sym w:font="Symbol" w:char="F0AD"/>
            </w:r>
          </w:p>
        </w:tc>
        <w:tc>
          <w:tcPr>
            <w:tcW w:w="7655" w:type="dxa"/>
            <w:noWrap/>
            <w:vAlign w:val="center"/>
          </w:tcPr>
          <w:p w14:paraId="61B645A6" w14:textId="065B09D4" w:rsidR="00952531" w:rsidRPr="00CB07F2" w:rsidRDefault="00952531" w:rsidP="00950892">
            <w:pPr>
              <w:spacing w:after="120" w:line="240" w:lineRule="auto"/>
              <w:rPr>
                <w:rFonts w:ascii="Arial Narrow" w:eastAsia="Times New Roman" w:hAnsi="Arial Narrow" w:cs="Calibri"/>
                <w:sz w:val="20"/>
                <w:szCs w:val="20"/>
              </w:rPr>
            </w:pPr>
            <w:r w:rsidRPr="00CB07F2">
              <w:rPr>
                <w:rFonts w:ascii="Arial Narrow" w:eastAsia="Times New Roman" w:hAnsi="Arial Narrow" w:cs="Calibri"/>
                <w:sz w:val="20"/>
                <w:szCs w:val="20"/>
              </w:rPr>
              <w:t xml:space="preserve">Introduction of the </w:t>
            </w:r>
            <w:r w:rsidR="00BA15D4" w:rsidRPr="00CB07F2">
              <w:rPr>
                <w:rFonts w:ascii="Arial Narrow" w:eastAsia="Times New Roman" w:hAnsi="Arial Narrow" w:cs="Calibri"/>
                <w:sz w:val="20"/>
                <w:szCs w:val="20"/>
              </w:rPr>
              <w:t>2015 Post Market Review (PMR)</w:t>
            </w:r>
            <w:r w:rsidRPr="00CB07F2">
              <w:rPr>
                <w:rFonts w:ascii="Arial Narrow" w:eastAsia="Times New Roman" w:hAnsi="Arial Narrow" w:cs="Calibri"/>
                <w:sz w:val="20"/>
                <w:szCs w:val="20"/>
              </w:rPr>
              <w:t xml:space="preserve"> Framework</w:t>
            </w:r>
            <w:r w:rsidR="00941875" w:rsidRPr="00CB07F2">
              <w:rPr>
                <w:rFonts w:ascii="Arial Narrow" w:eastAsia="Times New Roman" w:hAnsi="Arial Narrow" w:cs="Calibri"/>
                <w:sz w:val="20"/>
                <w:szCs w:val="20"/>
              </w:rPr>
              <w:t>. This made more transparent and clear the</w:t>
            </w:r>
            <w:r w:rsidRPr="00CB07F2">
              <w:rPr>
                <w:rFonts w:ascii="Arial Narrow" w:eastAsia="Times New Roman" w:hAnsi="Arial Narrow" w:cs="Calibri"/>
                <w:sz w:val="20"/>
                <w:szCs w:val="20"/>
              </w:rPr>
              <w:t xml:space="preserve"> process started in 2011/12 to systematically monitor medicines following PBS listing, to inform decision-making relating to ongoing access and subsidy. The 2015</w:t>
            </w:r>
            <w:r w:rsidR="00BA15D4" w:rsidRPr="00CB07F2">
              <w:rPr>
                <w:rFonts w:ascii="Arial Narrow" w:eastAsia="Times New Roman" w:hAnsi="Arial Narrow" w:cs="Calibri"/>
                <w:sz w:val="20"/>
                <w:szCs w:val="20"/>
              </w:rPr>
              <w:t xml:space="preserve"> </w:t>
            </w:r>
            <w:r w:rsidRPr="00CB07F2">
              <w:rPr>
                <w:rFonts w:ascii="Arial Narrow" w:eastAsia="Times New Roman" w:hAnsi="Arial Narrow" w:cs="Calibri"/>
                <w:sz w:val="20"/>
                <w:szCs w:val="20"/>
              </w:rPr>
              <w:t xml:space="preserve">PMR Framework </w:t>
            </w:r>
            <w:r w:rsidR="00BA15D4" w:rsidRPr="00CB07F2">
              <w:rPr>
                <w:rFonts w:ascii="Arial Narrow" w:eastAsia="Times New Roman" w:hAnsi="Arial Narrow" w:cs="Calibri"/>
                <w:sz w:val="20"/>
                <w:szCs w:val="20"/>
              </w:rPr>
              <w:t xml:space="preserve">was developed in consultation with the industry. </w:t>
            </w:r>
            <w:r w:rsidRPr="00CB07F2">
              <w:rPr>
                <w:rFonts w:ascii="Arial Narrow" w:eastAsia="Times New Roman" w:hAnsi="Arial Narrow" w:cs="Calibri"/>
                <w:sz w:val="20"/>
                <w:szCs w:val="20"/>
              </w:rPr>
              <w:t>PMRs provide evidence and options to the PBAC on continued access, investment, or disinvestment in PBS-listed medicines.</w:t>
            </w:r>
          </w:p>
        </w:tc>
        <w:tc>
          <w:tcPr>
            <w:tcW w:w="4252" w:type="dxa"/>
            <w:vAlign w:val="center"/>
          </w:tcPr>
          <w:p w14:paraId="289AE8D1" w14:textId="4D41EFB1" w:rsidR="00CB07F2" w:rsidRPr="00CB07F2" w:rsidRDefault="00CB07F2" w:rsidP="00CB07F2">
            <w:pPr>
              <w:spacing w:after="120" w:line="240" w:lineRule="auto"/>
              <w:rPr>
                <w:rStyle w:val="Hyperlink"/>
                <w:rFonts w:ascii="Arial Narrow" w:eastAsia="Times New Roman" w:hAnsi="Arial Narrow" w:cs="Calibri"/>
                <w:color w:val="auto"/>
                <w:sz w:val="20"/>
                <w:szCs w:val="20"/>
                <w:u w:val="none"/>
              </w:rPr>
            </w:pPr>
            <w:hyperlink r:id="rId24" w:history="1">
              <w:r w:rsidRPr="00CB07F2">
                <w:rPr>
                  <w:rStyle w:val="Hyperlink"/>
                  <w:rFonts w:ascii="Arial Narrow" w:eastAsia="Times New Roman" w:hAnsi="Arial Narrow" w:cs="Calibri"/>
                  <w:color w:val="auto"/>
                  <w:sz w:val="20"/>
                  <w:szCs w:val="20"/>
                  <w:u w:val="none"/>
                </w:rPr>
                <w:t>https://www.pbs.gov.au/info/news/2015/03/post-market-review-framework</w:t>
              </w:r>
            </w:hyperlink>
          </w:p>
        </w:tc>
      </w:tr>
      <w:tr w:rsidR="008D59F1" w:rsidRPr="008522AB" w14:paraId="29FED8BF" w14:textId="77777777" w:rsidTr="00DD1568">
        <w:trPr>
          <w:cantSplit/>
          <w:trHeight w:val="2918"/>
        </w:trPr>
        <w:tc>
          <w:tcPr>
            <w:tcW w:w="987" w:type="dxa"/>
            <w:noWrap/>
            <w:vAlign w:val="center"/>
            <w:hideMark/>
          </w:tcPr>
          <w:p w14:paraId="07193925" w14:textId="34813387" w:rsidR="008D59F1" w:rsidRPr="008522AB" w:rsidRDefault="0084264A"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lastRenderedPageBreak/>
              <w:t>J</w:t>
            </w:r>
            <w:r w:rsidR="00C24743">
              <w:rPr>
                <w:rFonts w:ascii="Arial Narrow" w:eastAsia="Times New Roman" w:hAnsi="Arial Narrow" w:cs="Calibri"/>
                <w:color w:val="000000"/>
                <w:sz w:val="20"/>
                <w:szCs w:val="20"/>
              </w:rPr>
              <w:t xml:space="preserve">uly </w:t>
            </w:r>
            <w:r w:rsidR="008D59F1" w:rsidRPr="008522AB">
              <w:rPr>
                <w:rFonts w:ascii="Arial Narrow" w:eastAsia="Times New Roman" w:hAnsi="Arial Narrow" w:cs="Calibri"/>
                <w:color w:val="000000"/>
                <w:sz w:val="20"/>
                <w:szCs w:val="20"/>
              </w:rPr>
              <w:t>2015</w:t>
            </w:r>
          </w:p>
        </w:tc>
        <w:tc>
          <w:tcPr>
            <w:tcW w:w="1276" w:type="dxa"/>
            <w:vAlign w:val="center"/>
            <w:hideMark/>
          </w:tcPr>
          <w:p w14:paraId="6DB201B4" w14:textId="5886C0D0"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ED7D31" w:themeColor="accent2"/>
                <w:sz w:val="20"/>
                <w:szCs w:val="20"/>
              </w:rPr>
              <w:t>Enforcement</w:t>
            </w:r>
            <w:r w:rsidRPr="008522AB">
              <w:rPr>
                <w:rFonts w:ascii="Arial Narrow" w:eastAsia="Times New Roman" w:hAnsi="Arial Narrow" w:cs="Calibri"/>
                <w:color w:val="000000"/>
                <w:sz w:val="20"/>
                <w:szCs w:val="20"/>
              </w:rPr>
              <w:t xml:space="preserve"> of </w:t>
            </w:r>
            <w:r w:rsidRPr="008522AB">
              <w:rPr>
                <w:rFonts w:ascii="Arial Narrow" w:eastAsia="Times New Roman" w:hAnsi="Arial Narrow" w:cs="Calibri"/>
                <w:color w:val="4472C4" w:themeColor="accent1"/>
                <w:sz w:val="20"/>
                <w:szCs w:val="20"/>
              </w:rPr>
              <w:t>relevance</w:t>
            </w:r>
            <w:r w:rsidR="00823CAD">
              <w:rPr>
                <w:rFonts w:ascii="Arial Narrow" w:eastAsia="Times New Roman" w:hAnsi="Arial Narrow" w:cs="Calibri"/>
                <w:color w:val="4472C4" w:themeColor="accent1"/>
                <w:sz w:val="20"/>
                <w:szCs w:val="20"/>
              </w:rPr>
              <w:sym w:font="Symbol" w:char="F0AD"/>
            </w:r>
            <w:r w:rsidRPr="008522AB">
              <w:rPr>
                <w:rFonts w:ascii="Arial Narrow" w:eastAsia="Times New Roman" w:hAnsi="Arial Narrow" w:cs="Calibri"/>
                <w:color w:val="000000"/>
                <w:sz w:val="20"/>
                <w:szCs w:val="20"/>
              </w:rPr>
              <w:t xml:space="preserve">, </w:t>
            </w:r>
            <w:r w:rsidRPr="008522AB">
              <w:rPr>
                <w:rFonts w:ascii="Arial Narrow" w:eastAsia="Times New Roman" w:hAnsi="Arial Narrow" w:cs="Calibri"/>
                <w:color w:val="70AD47" w:themeColor="accent6"/>
                <w:sz w:val="20"/>
                <w:szCs w:val="20"/>
              </w:rPr>
              <w:t>publicity</w:t>
            </w:r>
            <w:r w:rsidR="00823CAD">
              <w:rPr>
                <w:rFonts w:ascii="Arial Narrow" w:eastAsia="Times New Roman" w:hAnsi="Arial Narrow" w:cs="Calibri"/>
                <w:color w:val="70AD47" w:themeColor="accent6"/>
                <w:sz w:val="20"/>
                <w:szCs w:val="20"/>
              </w:rPr>
              <w:sym w:font="Symbol" w:char="F0AD"/>
            </w:r>
            <w:r w:rsidRPr="008522AB">
              <w:rPr>
                <w:rFonts w:ascii="Arial Narrow" w:eastAsia="Times New Roman" w:hAnsi="Arial Narrow" w:cs="Calibri"/>
                <w:color w:val="000000"/>
                <w:sz w:val="20"/>
                <w:szCs w:val="20"/>
              </w:rPr>
              <w:t xml:space="preserve"> and </w:t>
            </w:r>
            <w:r w:rsidRPr="008522AB">
              <w:rPr>
                <w:rFonts w:ascii="Arial Narrow" w:eastAsia="Times New Roman" w:hAnsi="Arial Narrow" w:cs="Calibri"/>
                <w:color w:val="FF0000"/>
                <w:sz w:val="20"/>
                <w:szCs w:val="20"/>
              </w:rPr>
              <w:t>revision</w:t>
            </w:r>
            <w:r w:rsidR="00823CAD">
              <w:rPr>
                <w:rFonts w:ascii="Arial Narrow" w:eastAsia="Times New Roman" w:hAnsi="Arial Narrow" w:cs="Calibri"/>
                <w:color w:val="FF0000"/>
                <w:sz w:val="20"/>
                <w:szCs w:val="20"/>
              </w:rPr>
              <w:sym w:font="Symbol" w:char="F0AD"/>
            </w:r>
          </w:p>
        </w:tc>
        <w:tc>
          <w:tcPr>
            <w:tcW w:w="7655" w:type="dxa"/>
            <w:vAlign w:val="center"/>
            <w:hideMark/>
          </w:tcPr>
          <w:p w14:paraId="60F8383F" w14:textId="77777777" w:rsidR="008D59F1" w:rsidRPr="008522AB" w:rsidRDefault="008D59F1" w:rsidP="00950892">
            <w:pPr>
              <w:spacing w:after="120" w:line="240" w:lineRule="auto"/>
              <w:rPr>
                <w:rFonts w:ascii="Arial Narrow" w:eastAsia="Times New Roman" w:hAnsi="Arial Narrow" w:cs="Calibri"/>
                <w:color w:val="000000" w:themeColor="text1"/>
                <w:sz w:val="20"/>
                <w:szCs w:val="20"/>
              </w:rPr>
            </w:pPr>
            <w:r w:rsidRPr="008522AB">
              <w:rPr>
                <w:rFonts w:ascii="Arial Narrow" w:eastAsia="Times New Roman" w:hAnsi="Arial Narrow" w:cs="Calibri"/>
                <w:color w:val="000000" w:themeColor="text1"/>
                <w:sz w:val="20"/>
                <w:szCs w:val="20"/>
              </w:rPr>
              <w:t>PBS Access and Sustainability Package included a number of measures to improve the capacity, flexibility, efficiency and transparency of PBAC processes:</w:t>
            </w:r>
          </w:p>
          <w:p w14:paraId="2D92AB6B" w14:textId="77777777" w:rsidR="008D59F1" w:rsidRPr="008522AB" w:rsidRDefault="008D59F1" w:rsidP="00950892">
            <w:pPr>
              <w:pStyle w:val="ListParagraph"/>
              <w:numPr>
                <w:ilvl w:val="0"/>
                <w:numId w:val="1"/>
              </w:numPr>
              <w:spacing w:after="120"/>
              <w:ind w:left="256" w:hanging="141"/>
              <w:rPr>
                <w:rFonts w:ascii="Arial Narrow" w:hAnsi="Arial Narrow" w:cs="Calibri"/>
                <w:color w:val="000000"/>
              </w:rPr>
            </w:pPr>
            <w:r w:rsidRPr="008522AB">
              <w:rPr>
                <w:rFonts w:ascii="Arial Narrow" w:hAnsi="Arial Narrow" w:cs="Calibri"/>
                <w:color w:val="000000" w:themeColor="text1"/>
              </w:rPr>
              <w:t>increase PBAC membership from 18 to 21 members, including new deputy chair, and provide the opportunity for members to be nominated and appointed from industry.</w:t>
            </w:r>
          </w:p>
          <w:p w14:paraId="6EC6FC3D" w14:textId="41342F8D" w:rsidR="008D59F1" w:rsidRPr="008522AB" w:rsidRDefault="008D59F1" w:rsidP="00950892">
            <w:pPr>
              <w:pStyle w:val="ListParagraph"/>
              <w:numPr>
                <w:ilvl w:val="0"/>
                <w:numId w:val="1"/>
              </w:numPr>
              <w:spacing w:after="120"/>
              <w:ind w:left="256" w:hanging="141"/>
              <w:rPr>
                <w:rFonts w:ascii="Arial Narrow" w:hAnsi="Arial Narrow" w:cs="Calibri"/>
                <w:color w:val="000000"/>
              </w:rPr>
            </w:pPr>
            <w:r w:rsidRPr="008522AB">
              <w:rPr>
                <w:rFonts w:ascii="Arial Narrow" w:hAnsi="Arial Narrow" w:cs="Calibri"/>
                <w:color w:val="000000" w:themeColor="text1"/>
              </w:rPr>
              <w:t xml:space="preserve">introduce a PBAC </w:t>
            </w:r>
            <w:r w:rsidRPr="008522AB">
              <w:rPr>
                <w:rFonts w:ascii="Arial Narrow" w:hAnsi="Arial Narrow" w:cs="Calibri"/>
              </w:rPr>
              <w:t>executiv</w:t>
            </w:r>
            <w:r w:rsidR="00504F2C">
              <w:rPr>
                <w:rFonts w:ascii="Arial Narrow" w:hAnsi="Arial Narrow" w:cs="Calibri"/>
              </w:rPr>
              <w:t>e</w:t>
            </w:r>
            <w:r w:rsidRPr="008522AB">
              <w:rPr>
                <w:rFonts w:ascii="Arial Narrow" w:hAnsi="Arial Narrow" w:cs="Calibri"/>
              </w:rPr>
              <w:t xml:space="preserve"> to triage and consider certain applications</w:t>
            </w:r>
            <w:r w:rsidR="00D53CDB">
              <w:rPr>
                <w:rFonts w:ascii="Arial Narrow" w:hAnsi="Arial Narrow" w:cs="Calibri"/>
              </w:rPr>
              <w:t xml:space="preserve"> (</w:t>
            </w:r>
            <w:r w:rsidR="00D53CDB" w:rsidRPr="00504F2C">
              <w:rPr>
                <w:rFonts w:ascii="Arial Narrow" w:hAnsi="Arial Narrow" w:cs="Calibri"/>
                <w:i/>
              </w:rPr>
              <w:t xml:space="preserve">in operation </w:t>
            </w:r>
            <w:r w:rsidR="00504F2C" w:rsidRPr="00504F2C">
              <w:rPr>
                <w:rFonts w:ascii="Arial Narrow" w:hAnsi="Arial Narrow" w:cs="Calibri"/>
                <w:i/>
              </w:rPr>
              <w:t>June 2017</w:t>
            </w:r>
            <w:r w:rsidR="00504F2C">
              <w:rPr>
                <w:rFonts w:ascii="Arial Narrow" w:hAnsi="Arial Narrow" w:cs="Calibri"/>
              </w:rPr>
              <w:t>)</w:t>
            </w:r>
            <w:r w:rsidRPr="008522AB">
              <w:rPr>
                <w:rFonts w:ascii="Arial Narrow" w:hAnsi="Arial Narrow"/>
              </w:rPr>
              <w:br/>
            </w:r>
            <w:r w:rsidRPr="008522AB">
              <w:rPr>
                <w:rFonts w:ascii="Arial Narrow" w:hAnsi="Arial Narrow" w:cs="Calibri"/>
                <w:u w:val="single"/>
              </w:rPr>
              <w:t>objectives:</w:t>
            </w:r>
            <w:r w:rsidRPr="008522AB">
              <w:rPr>
                <w:rFonts w:ascii="Arial Narrow" w:hAnsi="Arial Narrow" w:cs="Calibri"/>
              </w:rPr>
              <w:t xml:space="preserve"> improve engagement with key stakeholder, improve transparency of process and outcomes will generate more informed public debate about the true benefits of </w:t>
            </w:r>
            <w:r w:rsidRPr="008522AB">
              <w:rPr>
                <w:rFonts w:ascii="Arial Narrow" w:hAnsi="Arial Narrow" w:cs="Calibri"/>
                <w:color w:val="000000" w:themeColor="text1"/>
              </w:rPr>
              <w:t>the medicine, and allow patients and subscribers to make informed choices.</w:t>
            </w:r>
          </w:p>
          <w:p w14:paraId="62C79E3A" w14:textId="2613DA8A" w:rsidR="008D59F1" w:rsidRPr="008522AB" w:rsidRDefault="008D59F1" w:rsidP="00950892">
            <w:pPr>
              <w:pStyle w:val="ListParagraph"/>
              <w:numPr>
                <w:ilvl w:val="0"/>
                <w:numId w:val="1"/>
              </w:numPr>
              <w:spacing w:after="120"/>
              <w:ind w:left="256" w:hanging="141"/>
              <w:rPr>
                <w:rFonts w:ascii="Arial Narrow" w:hAnsi="Arial Narrow" w:cs="Calibri"/>
                <w:color w:val="000000"/>
              </w:rPr>
            </w:pPr>
            <w:r w:rsidRPr="008522AB">
              <w:rPr>
                <w:rFonts w:ascii="Arial Narrow" w:hAnsi="Arial Narrow" w:cs="Calibri"/>
                <w:color w:val="000000" w:themeColor="text1"/>
              </w:rPr>
              <w:t xml:space="preserve">The changes will </w:t>
            </w:r>
            <w:r w:rsidRPr="008522AB">
              <w:rPr>
                <w:rFonts w:ascii="Arial Narrow" w:hAnsi="Arial Narrow" w:cs="Calibri"/>
                <w:i/>
                <w:iCs/>
                <w:color w:val="000000" w:themeColor="text1"/>
                <w:u w:val="single"/>
              </w:rPr>
              <w:t>facilitate data collection and research for PBS drugs</w:t>
            </w:r>
            <w:r w:rsidRPr="008522AB">
              <w:rPr>
                <w:rFonts w:ascii="Arial Narrow" w:hAnsi="Arial Narrow" w:cs="Calibri"/>
                <w:i/>
                <w:iCs/>
                <w:color w:val="000000" w:themeColor="text1"/>
              </w:rPr>
              <w:t xml:space="preserve"> </w:t>
            </w:r>
            <w:r w:rsidRPr="008522AB">
              <w:rPr>
                <w:rFonts w:ascii="Arial Narrow" w:hAnsi="Arial Narrow" w:cs="Calibri"/>
                <w:color w:val="000000" w:themeColor="text1"/>
              </w:rPr>
              <w:t>to track real-life benefits and side effects to ensure the listing of meds on PBS is properly targeted.  This is particularly in the case where a medicine addresses an area of high clinical need, but where the extent of the additional clinical benefit is unclear.</w:t>
            </w:r>
          </w:p>
        </w:tc>
        <w:tc>
          <w:tcPr>
            <w:tcW w:w="4252" w:type="dxa"/>
            <w:vAlign w:val="center"/>
            <w:hideMark/>
          </w:tcPr>
          <w:p w14:paraId="1959EA60" w14:textId="1B0ADFF0" w:rsidR="00867DD9" w:rsidRPr="00DD1568" w:rsidRDefault="00DD1568" w:rsidP="00950892">
            <w:pPr>
              <w:spacing w:after="120" w:line="240" w:lineRule="auto"/>
              <w:rPr>
                <w:rFonts w:ascii="Arial Narrow" w:eastAsia="Times New Roman" w:hAnsi="Arial Narrow" w:cs="Calibri"/>
                <w:sz w:val="20"/>
                <w:szCs w:val="20"/>
              </w:rPr>
            </w:pPr>
            <w:hyperlink r:id="rId25" w:history="1">
              <w:r w:rsidRPr="00DD1568">
                <w:rPr>
                  <w:rStyle w:val="Hyperlink"/>
                  <w:rFonts w:ascii="Arial Narrow" w:eastAsia="Times New Roman" w:hAnsi="Arial Narrow" w:cs="Calibri"/>
                  <w:color w:val="auto"/>
                  <w:sz w:val="20"/>
                  <w:szCs w:val="20"/>
                  <w:u w:val="none"/>
                </w:rPr>
                <w:t>https://www.pbs.gov.au/info/news/2017/06/new-appointments-to-the-pbac</w:t>
              </w:r>
            </w:hyperlink>
            <w:r w:rsidRPr="00DD1568">
              <w:rPr>
                <w:rFonts w:ascii="Arial Narrow" w:eastAsia="Times New Roman" w:hAnsi="Arial Narrow" w:cs="Calibri"/>
                <w:sz w:val="20"/>
                <w:szCs w:val="20"/>
              </w:rPr>
              <w:t xml:space="preserve"> </w:t>
            </w:r>
            <w:hyperlink r:id="rId26">
              <w:r w:rsidR="008D59F1" w:rsidRPr="00DD1568">
                <w:rPr>
                  <w:rFonts w:ascii="Arial Narrow" w:eastAsia="Times New Roman" w:hAnsi="Arial Narrow" w:cs="Calibri"/>
                  <w:sz w:val="20"/>
                  <w:szCs w:val="20"/>
                </w:rPr>
                <w:t>https://www.pbs.gov.au/info/general/pbs-access-sustainability/fact-sheet-streamlining-of-pharmaceutical-benefits-advisory-committee-processes</w:t>
              </w:r>
            </w:hyperlink>
          </w:p>
          <w:p w14:paraId="4EA5EE3D" w14:textId="123DFA8A" w:rsidR="008D59F1" w:rsidRPr="00DD1568" w:rsidRDefault="008D59F1" w:rsidP="00950892">
            <w:pPr>
              <w:spacing w:after="120" w:line="240" w:lineRule="auto"/>
              <w:rPr>
                <w:rFonts w:ascii="Arial Narrow" w:eastAsia="Times New Roman" w:hAnsi="Arial Narrow" w:cs="Calibri"/>
                <w:sz w:val="20"/>
                <w:szCs w:val="20"/>
              </w:rPr>
            </w:pPr>
            <w:r w:rsidRPr="00DD1568">
              <w:rPr>
                <w:rFonts w:ascii="Arial Narrow" w:eastAsia="Times New Roman" w:hAnsi="Arial Narrow" w:cs="Calibri"/>
                <w:sz w:val="20"/>
                <w:szCs w:val="20"/>
              </w:rPr>
              <w:t>See</w:t>
            </w:r>
            <w:r w:rsidR="00364FE1" w:rsidRPr="00DD1568">
              <w:rPr>
                <w:rFonts w:ascii="Arial Narrow" w:eastAsia="Times New Roman" w:hAnsi="Arial Narrow" w:cs="Calibri"/>
                <w:sz w:val="20"/>
                <w:szCs w:val="20"/>
              </w:rPr>
              <w:t xml:space="preserve"> </w:t>
            </w:r>
            <w:hyperlink r:id="rId27" w:history="1">
              <w:r w:rsidR="00364FE1" w:rsidRPr="00DD1568">
                <w:rPr>
                  <w:rStyle w:val="Hyperlink"/>
                  <w:rFonts w:ascii="Arial Narrow" w:eastAsia="Times New Roman" w:hAnsi="Arial Narrow" w:cs="Calibri"/>
                  <w:color w:val="auto"/>
                  <w:sz w:val="20"/>
                  <w:szCs w:val="20"/>
                  <w:u w:val="none"/>
                </w:rPr>
                <w:t>https://www.legislation.gov.au/C2015A00089/latest/text</w:t>
              </w:r>
            </w:hyperlink>
            <w:r w:rsidR="00364FE1" w:rsidRPr="00DD1568">
              <w:rPr>
                <w:rFonts w:ascii="Arial Narrow" w:eastAsia="Times New Roman" w:hAnsi="Arial Narrow" w:cs="Calibri"/>
                <w:sz w:val="20"/>
                <w:szCs w:val="20"/>
              </w:rPr>
              <w:t xml:space="preserve">, </w:t>
            </w:r>
            <w:r w:rsidRPr="00DD1568">
              <w:rPr>
                <w:rFonts w:ascii="Arial Narrow" w:eastAsia="Times New Roman" w:hAnsi="Arial Narrow" w:cs="Calibri"/>
                <w:sz w:val="20"/>
                <w:szCs w:val="20"/>
              </w:rPr>
              <w:t>clauses 33 to 39 for the PBAC-related changes to the NHA 1953.</w:t>
            </w:r>
          </w:p>
          <w:p w14:paraId="07ECFEFD" w14:textId="0B3DB097" w:rsidR="008B5431" w:rsidRPr="00DD1568" w:rsidRDefault="008B5431" w:rsidP="00950892">
            <w:pPr>
              <w:spacing w:after="120" w:line="240" w:lineRule="auto"/>
              <w:rPr>
                <w:rFonts w:ascii="Arial Narrow" w:eastAsia="Times New Roman" w:hAnsi="Arial Narrow" w:cs="Calibri"/>
                <w:sz w:val="20"/>
                <w:szCs w:val="20"/>
              </w:rPr>
            </w:pPr>
            <w:hyperlink r:id="rId28" w:history="1">
              <w:r w:rsidRPr="00DD1568">
                <w:rPr>
                  <w:rStyle w:val="Hyperlink"/>
                  <w:rFonts w:ascii="Arial Narrow" w:eastAsia="Times New Roman" w:hAnsi="Arial Narrow" w:cs="Calibri"/>
                  <w:color w:val="auto"/>
                  <w:sz w:val="20"/>
                  <w:szCs w:val="20"/>
                  <w:u w:val="none"/>
                </w:rPr>
                <w:t>https://www.medicinesaustralia.com.au/media-release/pbac-announces-appointment-of-industry-expert-to-committee/</w:t>
              </w:r>
            </w:hyperlink>
          </w:p>
        </w:tc>
      </w:tr>
      <w:bookmarkEnd w:id="2"/>
      <w:tr w:rsidR="008D59F1" w:rsidRPr="008522AB" w14:paraId="74E20EF1" w14:textId="77777777" w:rsidTr="00DD1568">
        <w:trPr>
          <w:cantSplit/>
          <w:trHeight w:val="762"/>
        </w:trPr>
        <w:tc>
          <w:tcPr>
            <w:tcW w:w="987" w:type="dxa"/>
            <w:noWrap/>
            <w:vAlign w:val="center"/>
          </w:tcPr>
          <w:p w14:paraId="30CDF101"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2016</w:t>
            </w:r>
          </w:p>
        </w:tc>
        <w:tc>
          <w:tcPr>
            <w:tcW w:w="1276" w:type="dxa"/>
            <w:noWrap/>
            <w:vAlign w:val="center"/>
          </w:tcPr>
          <w:p w14:paraId="67A37021" w14:textId="4B3247BC"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ED7D31" w:themeColor="accent2"/>
                <w:sz w:val="20"/>
                <w:szCs w:val="20"/>
              </w:rPr>
              <w:t>Enforcement</w:t>
            </w:r>
            <w:r w:rsidRPr="008522AB">
              <w:rPr>
                <w:rFonts w:ascii="Arial Narrow" w:eastAsia="Times New Roman" w:hAnsi="Arial Narrow" w:cs="Calibri"/>
                <w:color w:val="000000"/>
                <w:sz w:val="20"/>
                <w:szCs w:val="20"/>
              </w:rPr>
              <w:t xml:space="preserve"> of </w:t>
            </w:r>
            <w:r w:rsidRPr="008522AB">
              <w:rPr>
                <w:rFonts w:ascii="Arial Narrow" w:eastAsia="Times New Roman" w:hAnsi="Arial Narrow" w:cs="Calibri"/>
                <w:color w:val="4472C4" w:themeColor="accent1"/>
                <w:sz w:val="20"/>
                <w:szCs w:val="20"/>
              </w:rPr>
              <w:t>relevance</w:t>
            </w:r>
            <w:r w:rsidR="00823CAD">
              <w:rPr>
                <w:rFonts w:ascii="Arial Narrow" w:eastAsia="Times New Roman" w:hAnsi="Arial Narrow" w:cs="Calibri"/>
                <w:color w:val="4472C4" w:themeColor="accent1"/>
                <w:sz w:val="20"/>
                <w:szCs w:val="20"/>
              </w:rPr>
              <w:sym w:font="Symbol" w:char="F0AD"/>
            </w:r>
            <w:r w:rsidRPr="008522AB">
              <w:rPr>
                <w:rFonts w:ascii="Arial Narrow" w:eastAsia="Times New Roman" w:hAnsi="Arial Narrow" w:cs="Calibri"/>
                <w:color w:val="000000"/>
                <w:sz w:val="20"/>
                <w:szCs w:val="20"/>
              </w:rPr>
              <w:t xml:space="preserve">, </w:t>
            </w:r>
            <w:r w:rsidRPr="008522AB">
              <w:rPr>
                <w:rFonts w:ascii="Arial Narrow" w:eastAsia="Times New Roman" w:hAnsi="Arial Narrow" w:cs="Calibri"/>
                <w:color w:val="70AD47" w:themeColor="accent6"/>
                <w:sz w:val="20"/>
                <w:szCs w:val="20"/>
              </w:rPr>
              <w:t>publicity</w:t>
            </w:r>
            <w:r w:rsidR="00823CAD">
              <w:rPr>
                <w:rFonts w:ascii="Arial Narrow" w:eastAsia="Times New Roman" w:hAnsi="Arial Narrow" w:cs="Calibri"/>
                <w:color w:val="70AD47" w:themeColor="accent6"/>
                <w:sz w:val="20"/>
                <w:szCs w:val="20"/>
              </w:rPr>
              <w:sym w:font="Symbol" w:char="F0AD"/>
            </w:r>
            <w:r w:rsidRPr="008522AB">
              <w:rPr>
                <w:rFonts w:ascii="Arial Narrow" w:eastAsia="Times New Roman" w:hAnsi="Arial Narrow" w:cs="Calibri"/>
                <w:color w:val="000000"/>
                <w:sz w:val="20"/>
                <w:szCs w:val="20"/>
              </w:rPr>
              <w:t xml:space="preserve"> and </w:t>
            </w:r>
            <w:r w:rsidRPr="008522AB">
              <w:rPr>
                <w:rFonts w:ascii="Arial Narrow" w:eastAsia="Times New Roman" w:hAnsi="Arial Narrow" w:cs="Calibri"/>
                <w:color w:val="FF0000"/>
                <w:sz w:val="20"/>
                <w:szCs w:val="20"/>
              </w:rPr>
              <w:t>revision</w:t>
            </w:r>
            <w:r w:rsidR="00823CAD">
              <w:rPr>
                <w:rFonts w:ascii="Arial Narrow" w:eastAsia="Times New Roman" w:hAnsi="Arial Narrow" w:cs="Calibri"/>
                <w:color w:val="FF0000"/>
                <w:sz w:val="20"/>
                <w:szCs w:val="20"/>
              </w:rPr>
              <w:sym w:font="Symbol" w:char="F0AD"/>
            </w:r>
          </w:p>
        </w:tc>
        <w:tc>
          <w:tcPr>
            <w:tcW w:w="7655" w:type="dxa"/>
            <w:vAlign w:val="center"/>
          </w:tcPr>
          <w:p w14:paraId="041187BF"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Creation of the Technology Assessment and Access Division (TAAD) in the Department comprising the Office of Health Technology Assessment. This restructure brought all the HTA frameworks together in one organisational structure.</w:t>
            </w:r>
          </w:p>
        </w:tc>
        <w:tc>
          <w:tcPr>
            <w:tcW w:w="4252" w:type="dxa"/>
            <w:vAlign w:val="center"/>
          </w:tcPr>
          <w:p w14:paraId="2F915120" w14:textId="58AC3F62" w:rsidR="008B5431" w:rsidRPr="00DD1568" w:rsidRDefault="008B5431" w:rsidP="00950892">
            <w:pPr>
              <w:spacing w:after="120" w:line="240" w:lineRule="auto"/>
              <w:rPr>
                <w:rFonts w:ascii="Arial Narrow" w:eastAsia="Times New Roman" w:hAnsi="Arial Narrow" w:cs="Calibri"/>
                <w:sz w:val="20"/>
                <w:szCs w:val="20"/>
              </w:rPr>
            </w:pPr>
            <w:hyperlink r:id="rId29" w:history="1">
              <w:r w:rsidRPr="00DD1568">
                <w:rPr>
                  <w:rStyle w:val="Hyperlink"/>
                  <w:rFonts w:ascii="Arial Narrow" w:eastAsia="Times New Roman" w:hAnsi="Arial Narrow" w:cs="Calibri"/>
                  <w:color w:val="auto"/>
                  <w:sz w:val="20"/>
                  <w:szCs w:val="20"/>
                  <w:u w:val="none"/>
                </w:rPr>
                <w:t>https://www.directory.gov.au/portfolios/health/department-health/health-resourcing/technology-assessment-access</w:t>
              </w:r>
            </w:hyperlink>
          </w:p>
        </w:tc>
      </w:tr>
      <w:tr w:rsidR="008D59F1" w:rsidRPr="008522AB" w14:paraId="149E78DA" w14:textId="77777777" w:rsidTr="00DD1568">
        <w:trPr>
          <w:cantSplit/>
          <w:trHeight w:val="542"/>
        </w:trPr>
        <w:tc>
          <w:tcPr>
            <w:tcW w:w="987" w:type="dxa"/>
            <w:noWrap/>
            <w:vAlign w:val="center"/>
            <w:hideMark/>
          </w:tcPr>
          <w:p w14:paraId="1F6416FC" w14:textId="58AA29E0" w:rsidR="008D59F1" w:rsidRPr="008522AB" w:rsidRDefault="0084264A"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Sep </w:t>
            </w:r>
            <w:r w:rsidR="008D59F1" w:rsidRPr="008522AB">
              <w:rPr>
                <w:rFonts w:ascii="Arial Narrow" w:eastAsia="Times New Roman" w:hAnsi="Arial Narrow" w:cs="Calibri"/>
                <w:color w:val="000000"/>
                <w:sz w:val="20"/>
                <w:szCs w:val="20"/>
              </w:rPr>
              <w:t>2016</w:t>
            </w:r>
          </w:p>
        </w:tc>
        <w:tc>
          <w:tcPr>
            <w:tcW w:w="1276" w:type="dxa"/>
            <w:noWrap/>
            <w:vAlign w:val="center"/>
            <w:hideMark/>
          </w:tcPr>
          <w:p w14:paraId="1746FC57" w14:textId="77777777" w:rsidR="000A14AB" w:rsidRDefault="008D59F1" w:rsidP="00950892">
            <w:pPr>
              <w:spacing w:after="120" w:line="240" w:lineRule="auto"/>
              <w:rPr>
                <w:rFonts w:ascii="Arial Narrow" w:eastAsia="Times New Roman" w:hAnsi="Arial Narrow" w:cs="Calibri"/>
                <w:color w:val="4472C4" w:themeColor="accent1"/>
                <w:sz w:val="20"/>
                <w:szCs w:val="20"/>
              </w:rPr>
            </w:pPr>
            <w:r w:rsidRPr="008522AB">
              <w:rPr>
                <w:rFonts w:ascii="Arial Narrow" w:eastAsia="Times New Roman" w:hAnsi="Arial Narrow" w:cs="Calibri"/>
                <w:color w:val="4472C4" w:themeColor="accent1"/>
                <w:sz w:val="20"/>
                <w:szCs w:val="20"/>
              </w:rPr>
              <w:t>Relevance</w:t>
            </w:r>
            <w:r w:rsidR="00823CAD">
              <w:rPr>
                <w:rFonts w:ascii="Arial Narrow" w:eastAsia="Times New Roman" w:hAnsi="Arial Narrow" w:cs="Calibri"/>
                <w:color w:val="4472C4" w:themeColor="accent1"/>
                <w:sz w:val="20"/>
                <w:szCs w:val="20"/>
              </w:rPr>
              <w:sym w:font="Symbol" w:char="F0AD"/>
            </w:r>
          </w:p>
          <w:p w14:paraId="5DD27685" w14:textId="126AFA55" w:rsidR="000A14AB" w:rsidRPr="000A14AB" w:rsidRDefault="00F170F7" w:rsidP="00950892">
            <w:pPr>
              <w:spacing w:after="120" w:line="240" w:lineRule="auto"/>
              <w:rPr>
                <w:rFonts w:ascii="Arial Narrow" w:eastAsia="Times New Roman" w:hAnsi="Arial Narrow" w:cs="Calibri"/>
                <w:color w:val="4472C4" w:themeColor="accent1"/>
                <w:sz w:val="20"/>
                <w:szCs w:val="20"/>
              </w:rPr>
            </w:pPr>
            <w:r>
              <w:rPr>
                <w:rFonts w:ascii="Arial Narrow" w:eastAsia="Times New Roman" w:hAnsi="Arial Narrow" w:cs="Calibri"/>
                <w:color w:val="70AD47" w:themeColor="accent6"/>
                <w:sz w:val="20"/>
                <w:szCs w:val="20"/>
              </w:rPr>
              <w:t>P</w:t>
            </w:r>
            <w:r w:rsidR="000A14AB" w:rsidRPr="008522AB">
              <w:rPr>
                <w:rFonts w:ascii="Arial Narrow" w:eastAsia="Times New Roman" w:hAnsi="Arial Narrow" w:cs="Calibri"/>
                <w:color w:val="70AD47" w:themeColor="accent6"/>
                <w:sz w:val="20"/>
                <w:szCs w:val="20"/>
              </w:rPr>
              <w:t>ublicity</w:t>
            </w:r>
            <w:r w:rsidR="000A14AB">
              <w:rPr>
                <w:rFonts w:ascii="Arial Narrow" w:eastAsia="Times New Roman" w:hAnsi="Arial Narrow" w:cs="Calibri"/>
                <w:color w:val="70AD47" w:themeColor="accent6"/>
                <w:sz w:val="20"/>
                <w:szCs w:val="20"/>
              </w:rPr>
              <w:sym w:font="Symbol" w:char="F0AD"/>
            </w:r>
            <w:r w:rsidR="000A14AB" w:rsidRPr="008522AB">
              <w:rPr>
                <w:rFonts w:ascii="Arial Narrow" w:eastAsia="Times New Roman" w:hAnsi="Arial Narrow" w:cs="Calibri"/>
                <w:sz w:val="20"/>
                <w:szCs w:val="20"/>
              </w:rPr>
              <w:t xml:space="preserve"> </w:t>
            </w:r>
          </w:p>
        </w:tc>
        <w:tc>
          <w:tcPr>
            <w:tcW w:w="7655" w:type="dxa"/>
            <w:vAlign w:val="center"/>
            <w:hideMark/>
          </w:tcPr>
          <w:p w14:paraId="6E19B643" w14:textId="199B1BE8"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themeColor="text1"/>
                <w:sz w:val="20"/>
                <w:szCs w:val="20"/>
              </w:rPr>
              <w:t xml:space="preserve">New PBAC guidelines V.5.0 </w:t>
            </w:r>
            <w:r w:rsidRPr="008522AB">
              <w:rPr>
                <w:rFonts w:ascii="Arial Narrow" w:eastAsia="Times New Roman" w:hAnsi="Arial Narrow" w:cs="Calibri"/>
                <w:sz w:val="20"/>
                <w:szCs w:val="20"/>
              </w:rPr>
              <w:t>S</w:t>
            </w:r>
            <w:r w:rsidRPr="008522AB">
              <w:rPr>
                <w:rFonts w:ascii="Arial Narrow" w:eastAsia="Times New Roman" w:hAnsi="Arial Narrow" w:cs="Calibri"/>
                <w:color w:val="000000" w:themeColor="text1"/>
                <w:sz w:val="20"/>
                <w:szCs w:val="20"/>
              </w:rPr>
              <w:t>ep 2016.</w:t>
            </w:r>
            <w:r w:rsidR="00904E85">
              <w:rPr>
                <w:rFonts w:ascii="Arial Narrow" w:eastAsia="Times New Roman" w:hAnsi="Arial Narrow" w:cs="Calibri"/>
                <w:color w:val="000000" w:themeColor="text1"/>
                <w:sz w:val="20"/>
                <w:szCs w:val="20"/>
              </w:rPr>
              <w:t xml:space="preserve"> This was a major revision to the guidelines and reorganisation of text and sections within.</w:t>
            </w:r>
            <w:r w:rsidR="00060739">
              <w:rPr>
                <w:rFonts w:ascii="Arial Narrow" w:eastAsia="Times New Roman" w:hAnsi="Arial Narrow" w:cs="Calibri"/>
                <w:color w:val="000000" w:themeColor="text1"/>
                <w:sz w:val="20"/>
                <w:szCs w:val="20"/>
              </w:rPr>
              <w:t xml:space="preserve"> Including additional information on codependent technology submissions to MSAC and PBAC.</w:t>
            </w:r>
          </w:p>
        </w:tc>
        <w:tc>
          <w:tcPr>
            <w:tcW w:w="4252" w:type="dxa"/>
            <w:vAlign w:val="center"/>
            <w:hideMark/>
          </w:tcPr>
          <w:p w14:paraId="30019E28" w14:textId="4C222CBF" w:rsidR="008D59F1" w:rsidRPr="00DD1568" w:rsidRDefault="008B5431" w:rsidP="00950892">
            <w:pPr>
              <w:spacing w:after="120" w:line="240" w:lineRule="auto"/>
              <w:rPr>
                <w:rStyle w:val="Hyperlink"/>
                <w:rFonts w:ascii="Arial Narrow" w:eastAsia="Times New Roman" w:hAnsi="Arial Narrow" w:cs="Calibri"/>
                <w:color w:val="auto"/>
                <w:sz w:val="20"/>
                <w:szCs w:val="20"/>
                <w:u w:val="none"/>
              </w:rPr>
            </w:pPr>
            <w:hyperlink r:id="rId30" w:history="1">
              <w:r w:rsidRPr="00DD1568">
                <w:rPr>
                  <w:rStyle w:val="Hyperlink"/>
                  <w:rFonts w:ascii="Arial Narrow" w:eastAsia="Times New Roman" w:hAnsi="Arial Narrow" w:cs="Calibri"/>
                  <w:color w:val="auto"/>
                  <w:sz w:val="20"/>
                  <w:szCs w:val="20"/>
                  <w:u w:val="none"/>
                </w:rPr>
                <w:t>https://pbac.pbs.gov.au/information/about-the-guidelines.html</w:t>
              </w:r>
            </w:hyperlink>
          </w:p>
          <w:p w14:paraId="6B722265" w14:textId="1E1789DE" w:rsidR="008B5431" w:rsidRPr="00DD1568" w:rsidRDefault="0002101E" w:rsidP="00950892">
            <w:pPr>
              <w:spacing w:after="120" w:line="240" w:lineRule="auto"/>
            </w:pPr>
            <w:hyperlink r:id="rId31" w:history="1">
              <w:r w:rsidRPr="00DD1568">
                <w:rPr>
                  <w:rStyle w:val="Hyperlink"/>
                  <w:rFonts w:ascii="Arial Narrow" w:eastAsia="Times New Roman" w:hAnsi="Arial Narrow" w:cs="Calibri"/>
                  <w:color w:val="auto"/>
                  <w:sz w:val="20"/>
                  <w:szCs w:val="20"/>
                  <w:u w:val="none"/>
                </w:rPr>
                <w:t>https://www.pbs.gov.au/info/reviews/pbac-guidelines-review</w:t>
              </w:r>
            </w:hyperlink>
          </w:p>
        </w:tc>
      </w:tr>
      <w:tr w:rsidR="008D59F1" w:rsidRPr="008522AB" w14:paraId="53ABCDA6" w14:textId="77777777" w:rsidTr="00DD1568">
        <w:trPr>
          <w:cantSplit/>
          <w:trHeight w:val="1143"/>
        </w:trPr>
        <w:tc>
          <w:tcPr>
            <w:tcW w:w="987" w:type="dxa"/>
            <w:noWrap/>
            <w:vAlign w:val="center"/>
            <w:hideMark/>
          </w:tcPr>
          <w:p w14:paraId="140F4EF0" w14:textId="6206896F" w:rsidR="008D59F1" w:rsidRPr="008522AB" w:rsidRDefault="006B65AD"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Mar </w:t>
            </w:r>
            <w:r w:rsidR="008D59F1" w:rsidRPr="008522AB">
              <w:rPr>
                <w:rFonts w:ascii="Arial Narrow" w:eastAsia="Times New Roman" w:hAnsi="Arial Narrow" w:cs="Calibri"/>
                <w:color w:val="000000"/>
                <w:sz w:val="20"/>
                <w:szCs w:val="20"/>
              </w:rPr>
              <w:t>2017</w:t>
            </w:r>
          </w:p>
        </w:tc>
        <w:tc>
          <w:tcPr>
            <w:tcW w:w="1276" w:type="dxa"/>
            <w:noWrap/>
            <w:vAlign w:val="center"/>
            <w:hideMark/>
          </w:tcPr>
          <w:p w14:paraId="682EA967" w14:textId="77777777" w:rsidR="00D97792" w:rsidRDefault="008D59F1" w:rsidP="00950892">
            <w:pPr>
              <w:spacing w:after="120" w:line="240" w:lineRule="auto"/>
              <w:rPr>
                <w:rFonts w:ascii="Arial Narrow" w:eastAsia="Times New Roman" w:hAnsi="Arial Narrow" w:cs="Calibri"/>
                <w:color w:val="4472C4" w:themeColor="accent1"/>
                <w:sz w:val="20"/>
                <w:szCs w:val="20"/>
              </w:rPr>
            </w:pPr>
            <w:r w:rsidRPr="008522AB">
              <w:rPr>
                <w:rFonts w:ascii="Arial Narrow" w:eastAsia="Times New Roman" w:hAnsi="Arial Narrow" w:cs="Calibri"/>
                <w:color w:val="4472C4" w:themeColor="accent1"/>
                <w:sz w:val="20"/>
                <w:szCs w:val="20"/>
              </w:rPr>
              <w:t>Relevance</w:t>
            </w:r>
            <w:r w:rsidR="00823CAD">
              <w:rPr>
                <w:rFonts w:ascii="Arial Narrow" w:eastAsia="Times New Roman" w:hAnsi="Arial Narrow" w:cs="Calibri"/>
                <w:color w:val="4472C4" w:themeColor="accent1"/>
                <w:sz w:val="20"/>
                <w:szCs w:val="20"/>
              </w:rPr>
              <w:sym w:font="Symbol" w:char="F0AD"/>
            </w:r>
          </w:p>
          <w:p w14:paraId="2A541798" w14:textId="3501EE76" w:rsidR="00F170F7" w:rsidRPr="00113F11" w:rsidRDefault="00F170F7" w:rsidP="00950892">
            <w:pPr>
              <w:spacing w:after="120" w:line="240" w:lineRule="auto"/>
              <w:rPr>
                <w:rFonts w:ascii="Arial Narrow" w:eastAsia="Times New Roman" w:hAnsi="Arial Narrow" w:cs="Calibri"/>
                <w:color w:val="4472C4" w:themeColor="accent1"/>
                <w:sz w:val="20"/>
                <w:szCs w:val="20"/>
              </w:rPr>
            </w:pPr>
            <w:r>
              <w:rPr>
                <w:rFonts w:ascii="Arial Narrow" w:eastAsia="Times New Roman" w:hAnsi="Arial Narrow" w:cs="Calibri"/>
                <w:color w:val="70AD47" w:themeColor="accent6"/>
                <w:sz w:val="20"/>
                <w:szCs w:val="20"/>
              </w:rPr>
              <w:t>P</w:t>
            </w:r>
            <w:r w:rsidRPr="008522AB">
              <w:rPr>
                <w:rFonts w:ascii="Arial Narrow" w:eastAsia="Times New Roman" w:hAnsi="Arial Narrow" w:cs="Calibri"/>
                <w:color w:val="70AD47" w:themeColor="accent6"/>
                <w:sz w:val="20"/>
                <w:szCs w:val="20"/>
              </w:rPr>
              <w:t>ublicity</w:t>
            </w:r>
            <w:r>
              <w:rPr>
                <w:rFonts w:ascii="Arial Narrow" w:eastAsia="Times New Roman" w:hAnsi="Arial Narrow" w:cs="Calibri"/>
                <w:color w:val="70AD47" w:themeColor="accent6"/>
                <w:sz w:val="20"/>
                <w:szCs w:val="20"/>
              </w:rPr>
              <w:sym w:font="Symbol" w:char="F0AD"/>
            </w:r>
            <w:r w:rsidRPr="008522AB">
              <w:rPr>
                <w:rFonts w:ascii="Arial Narrow" w:eastAsia="Times New Roman" w:hAnsi="Arial Narrow" w:cs="Calibri"/>
                <w:sz w:val="20"/>
                <w:szCs w:val="20"/>
              </w:rPr>
              <w:t xml:space="preserve"> </w:t>
            </w:r>
          </w:p>
        </w:tc>
        <w:tc>
          <w:tcPr>
            <w:tcW w:w="7655" w:type="dxa"/>
            <w:vAlign w:val="center"/>
            <w:hideMark/>
          </w:tcPr>
          <w:p w14:paraId="7719E3DA" w14:textId="378BF3CF"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 xml:space="preserve">HTA Consumer Consultative Committee (CCC) </w:t>
            </w:r>
            <w:r w:rsidR="00B8676C">
              <w:rPr>
                <w:rFonts w:ascii="Arial Narrow" w:eastAsia="Times New Roman" w:hAnsi="Arial Narrow" w:cs="Calibri"/>
                <w:color w:val="000000"/>
                <w:sz w:val="20"/>
                <w:szCs w:val="20"/>
              </w:rPr>
              <w:t xml:space="preserve">was </w:t>
            </w:r>
            <w:r w:rsidRPr="008522AB">
              <w:rPr>
                <w:rFonts w:ascii="Arial Narrow" w:eastAsia="Times New Roman" w:hAnsi="Arial Narrow" w:cs="Calibri"/>
                <w:color w:val="000000"/>
                <w:sz w:val="20"/>
                <w:szCs w:val="20"/>
              </w:rPr>
              <w:t>established in 2017 to provide strategic advice and support to the principal Health Technology Assessment Committees (PBAC and MSAC) and the Department of Health. The Committee’s work plan included activities especially relating to consumer engagement and participation in Health Technology Assessment processes of the Australian government.</w:t>
            </w:r>
          </w:p>
        </w:tc>
        <w:tc>
          <w:tcPr>
            <w:tcW w:w="4252" w:type="dxa"/>
            <w:vAlign w:val="center"/>
            <w:hideMark/>
          </w:tcPr>
          <w:p w14:paraId="3AC5DF8E" w14:textId="2253D3DF" w:rsidR="002D7E29" w:rsidRPr="00DD1568" w:rsidRDefault="002D7E29" w:rsidP="00950892">
            <w:pPr>
              <w:spacing w:after="120" w:line="240" w:lineRule="auto"/>
              <w:rPr>
                <w:rFonts w:ascii="Arial Narrow" w:eastAsia="Times New Roman" w:hAnsi="Arial Narrow" w:cs="Calibri"/>
                <w:sz w:val="20"/>
                <w:szCs w:val="20"/>
              </w:rPr>
            </w:pPr>
            <w:r w:rsidRPr="00DD1568">
              <w:rPr>
                <w:rFonts w:ascii="Arial Narrow" w:eastAsia="Times New Roman" w:hAnsi="Arial Narrow" w:cs="Calibri"/>
                <w:sz w:val="20"/>
                <w:szCs w:val="20"/>
              </w:rPr>
              <w:t>https://www.pbs.gov.au/info/news/2017/08/new-appointment-pbac-august-2017</w:t>
            </w:r>
          </w:p>
          <w:p w14:paraId="41B18E45" w14:textId="4B264CFB" w:rsidR="008D59F1" w:rsidRPr="00DD1568" w:rsidRDefault="00BD2848" w:rsidP="00950892">
            <w:pPr>
              <w:spacing w:after="120" w:line="240" w:lineRule="auto"/>
              <w:rPr>
                <w:rFonts w:ascii="Arial Narrow" w:eastAsia="Times New Roman" w:hAnsi="Arial Narrow" w:cs="Calibri"/>
                <w:sz w:val="20"/>
                <w:szCs w:val="20"/>
              </w:rPr>
            </w:pPr>
            <w:hyperlink r:id="rId32" w:history="1">
              <w:r w:rsidRPr="00DD1568">
                <w:rPr>
                  <w:rStyle w:val="Hyperlink"/>
                  <w:rFonts w:ascii="Arial Narrow" w:eastAsia="Times New Roman" w:hAnsi="Arial Narrow" w:cs="Calibri"/>
                  <w:color w:val="auto"/>
                  <w:sz w:val="20"/>
                  <w:szCs w:val="20"/>
                  <w:u w:val="none"/>
                </w:rPr>
                <w:t>https://webarchive</w:t>
              </w:r>
            </w:hyperlink>
            <w:r w:rsidR="008D59F1" w:rsidRPr="00DD1568">
              <w:rPr>
                <w:rFonts w:ascii="Arial Narrow" w:eastAsia="Times New Roman" w:hAnsi="Arial Narrow" w:cs="Calibri"/>
                <w:sz w:val="20"/>
                <w:szCs w:val="20"/>
              </w:rPr>
              <w:t>.nla.gov.au/awa/20211214223311/https://www1.health.gov.au/internet/hta/publishing.nsf/Content/ccc</w:t>
            </w:r>
          </w:p>
        </w:tc>
      </w:tr>
      <w:tr w:rsidR="008D59F1" w:rsidRPr="008522AB" w14:paraId="2F4D5D0F" w14:textId="77777777" w:rsidTr="00DD1568">
        <w:trPr>
          <w:cantSplit/>
          <w:trHeight w:val="961"/>
        </w:trPr>
        <w:tc>
          <w:tcPr>
            <w:tcW w:w="987" w:type="dxa"/>
            <w:noWrap/>
            <w:vAlign w:val="center"/>
            <w:hideMark/>
          </w:tcPr>
          <w:p w14:paraId="00FD3851"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2017</w:t>
            </w:r>
          </w:p>
        </w:tc>
        <w:tc>
          <w:tcPr>
            <w:tcW w:w="1276" w:type="dxa"/>
            <w:noWrap/>
            <w:vAlign w:val="center"/>
            <w:hideMark/>
          </w:tcPr>
          <w:p w14:paraId="0D663B31" w14:textId="1D15CAE6" w:rsidR="008D59F1" w:rsidRPr="008522AB" w:rsidRDefault="008A5E44"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ED7D31" w:themeColor="accent2"/>
                <w:sz w:val="20"/>
                <w:szCs w:val="20"/>
              </w:rPr>
              <w:t>Enforcement</w:t>
            </w:r>
            <w:r w:rsidRPr="008522AB">
              <w:rPr>
                <w:rFonts w:ascii="Arial Narrow" w:eastAsia="Times New Roman" w:hAnsi="Arial Narrow" w:cs="Calibri"/>
                <w:color w:val="000000"/>
                <w:sz w:val="20"/>
                <w:szCs w:val="20"/>
              </w:rPr>
              <w:t xml:space="preserve"> of </w:t>
            </w:r>
            <w:r w:rsidRPr="008522AB">
              <w:rPr>
                <w:rFonts w:ascii="Arial Narrow" w:eastAsia="Times New Roman" w:hAnsi="Arial Narrow" w:cs="Calibri"/>
                <w:color w:val="4472C4" w:themeColor="accent1"/>
                <w:sz w:val="20"/>
                <w:szCs w:val="20"/>
              </w:rPr>
              <w:t>relevance</w:t>
            </w:r>
            <w:r>
              <w:rPr>
                <w:rFonts w:ascii="Arial Narrow" w:eastAsia="Times New Roman" w:hAnsi="Arial Narrow" w:cs="Calibri"/>
                <w:color w:val="4472C4" w:themeColor="accent1"/>
                <w:sz w:val="20"/>
                <w:szCs w:val="20"/>
              </w:rPr>
              <w:sym w:font="Symbol" w:char="F0AD"/>
            </w:r>
          </w:p>
        </w:tc>
        <w:tc>
          <w:tcPr>
            <w:tcW w:w="7655" w:type="dxa"/>
            <w:vAlign w:val="center"/>
            <w:hideMark/>
          </w:tcPr>
          <w:p w14:paraId="25F99062"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In 2015, the Consumer Health Forum recommended that the PBAC appoint a second consumer rep, 2</w:t>
            </w:r>
            <w:r w:rsidRPr="00BD2848">
              <w:rPr>
                <w:rFonts w:ascii="Arial Narrow" w:eastAsia="Times New Roman" w:hAnsi="Arial Narrow" w:cs="Calibri"/>
                <w:color w:val="000000"/>
                <w:sz w:val="20"/>
                <w:szCs w:val="20"/>
                <w:vertAlign w:val="superscript"/>
              </w:rPr>
              <w:t>nd</w:t>
            </w:r>
            <w:r w:rsidRPr="008522AB">
              <w:rPr>
                <w:rFonts w:ascii="Arial Narrow" w:eastAsia="Times New Roman" w:hAnsi="Arial Narrow" w:cs="Calibri"/>
                <w:color w:val="000000"/>
                <w:sz w:val="20"/>
                <w:szCs w:val="20"/>
              </w:rPr>
              <w:t xml:space="preserve"> consumer rep added in June 2017.  </w:t>
            </w:r>
          </w:p>
          <w:p w14:paraId="7224CCD0" w14:textId="66A00010" w:rsidR="008D59F1" w:rsidRPr="008522AB" w:rsidRDefault="008D59F1" w:rsidP="00950892">
            <w:pPr>
              <w:spacing w:after="120" w:line="240" w:lineRule="auto"/>
              <w:rPr>
                <w:rFonts w:ascii="Arial Narrow" w:eastAsia="Times New Roman" w:hAnsi="Arial Narrow" w:cs="Calibri"/>
                <w:color w:val="000000"/>
                <w:sz w:val="20"/>
                <w:szCs w:val="20"/>
              </w:rPr>
            </w:pPr>
            <w:r w:rsidRPr="002D7E29">
              <w:rPr>
                <w:rFonts w:ascii="Arial Narrow" w:eastAsia="Times New Roman" w:hAnsi="Arial Narrow" w:cs="Calibri"/>
                <w:sz w:val="20"/>
                <w:szCs w:val="20"/>
              </w:rPr>
              <w:t xml:space="preserve">The </w:t>
            </w:r>
            <w:hyperlink r:id="rId33">
              <w:r w:rsidRPr="002D7E29">
                <w:rPr>
                  <w:rStyle w:val="Hyperlink"/>
                  <w:rFonts w:ascii="Arial Narrow" w:eastAsia="Arial Narrow" w:hAnsi="Arial Narrow" w:cs="Arial Narrow"/>
                  <w:color w:val="auto"/>
                  <w:sz w:val="20"/>
                  <w:szCs w:val="20"/>
                </w:rPr>
                <w:t>National Health Act 1953 (legislation.gov.au)</w:t>
              </w:r>
            </w:hyperlink>
            <w:r w:rsidRPr="002D7E29">
              <w:rPr>
                <w:rFonts w:ascii="Arial Narrow" w:eastAsia="Arial Narrow" w:hAnsi="Arial Narrow" w:cs="Arial Narrow"/>
                <w:sz w:val="20"/>
                <w:szCs w:val="20"/>
              </w:rPr>
              <w:t xml:space="preserve"> Section </w:t>
            </w:r>
            <w:r w:rsidRPr="008522AB">
              <w:rPr>
                <w:rFonts w:ascii="Arial Narrow" w:eastAsia="Arial Narrow" w:hAnsi="Arial Narrow" w:cs="Arial Narrow"/>
                <w:sz w:val="20"/>
                <w:szCs w:val="20"/>
              </w:rPr>
              <w:t>101A(3) provides for “at least” one consumer on PBAC, so adding a second consumer was a matter for the Minister/Government without amending the NHA 1953.</w:t>
            </w:r>
          </w:p>
        </w:tc>
        <w:tc>
          <w:tcPr>
            <w:tcW w:w="4252" w:type="dxa"/>
            <w:vAlign w:val="center"/>
            <w:hideMark/>
          </w:tcPr>
          <w:p w14:paraId="15BC4508" w14:textId="75E1C96E" w:rsidR="008A5E44" w:rsidRPr="008A5E44" w:rsidRDefault="008A5E44" w:rsidP="00950892">
            <w:pPr>
              <w:spacing w:after="120" w:line="240" w:lineRule="auto"/>
              <w:rPr>
                <w:rStyle w:val="Hyperlink"/>
                <w:rFonts w:ascii="Arial Narrow" w:eastAsia="Times New Roman" w:hAnsi="Arial Narrow" w:cs="Calibri"/>
                <w:color w:val="auto"/>
                <w:sz w:val="20"/>
                <w:szCs w:val="20"/>
                <w:u w:val="none"/>
              </w:rPr>
            </w:pPr>
            <w:hyperlink r:id="rId34" w:history="1">
              <w:r w:rsidRPr="008A5E44">
                <w:rPr>
                  <w:rStyle w:val="Hyperlink"/>
                  <w:rFonts w:ascii="Arial Narrow" w:eastAsia="Times New Roman" w:hAnsi="Arial Narrow" w:cs="Calibri"/>
                  <w:color w:val="auto"/>
                  <w:sz w:val="20"/>
                  <w:szCs w:val="20"/>
                  <w:u w:val="none"/>
                </w:rPr>
                <w:t>https://chf.org.au/sites/default/files/chf_annual_report_2016-17.pdf</w:t>
              </w:r>
            </w:hyperlink>
          </w:p>
          <w:p w14:paraId="7CCBBE38" w14:textId="392D30F7" w:rsidR="008D59F1" w:rsidRPr="008A5E44" w:rsidRDefault="008D59F1" w:rsidP="00950892">
            <w:pPr>
              <w:spacing w:after="120" w:line="240" w:lineRule="auto"/>
              <w:rPr>
                <w:rStyle w:val="Hyperlink"/>
                <w:color w:val="auto"/>
                <w:u w:val="none"/>
              </w:rPr>
            </w:pPr>
            <w:hyperlink r:id="rId35" w:history="1">
              <w:r w:rsidRPr="00DD1568">
                <w:rPr>
                  <w:rStyle w:val="Hyperlink"/>
                  <w:rFonts w:ascii="Arial Narrow" w:eastAsia="Times New Roman" w:hAnsi="Arial Narrow" w:cs="Calibri"/>
                  <w:color w:val="auto"/>
                  <w:sz w:val="20"/>
                  <w:szCs w:val="20"/>
                  <w:u w:val="none"/>
                </w:rPr>
                <w:t>https://www.legislation.gov.au/Details/C2023C00085</w:t>
              </w:r>
            </w:hyperlink>
          </w:p>
        </w:tc>
      </w:tr>
      <w:tr w:rsidR="00BD2848" w:rsidRPr="008522AB" w14:paraId="49CF6D89" w14:textId="77777777" w:rsidTr="00DD1568">
        <w:trPr>
          <w:cantSplit/>
          <w:trHeight w:val="597"/>
        </w:trPr>
        <w:tc>
          <w:tcPr>
            <w:tcW w:w="987" w:type="dxa"/>
            <w:noWrap/>
            <w:vAlign w:val="center"/>
          </w:tcPr>
          <w:p w14:paraId="4C5D3928" w14:textId="7C9FA485" w:rsidR="00BD2848" w:rsidRPr="008522AB" w:rsidRDefault="00BD2848"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lastRenderedPageBreak/>
              <w:t>Jul 2017</w:t>
            </w:r>
          </w:p>
        </w:tc>
        <w:tc>
          <w:tcPr>
            <w:tcW w:w="1276" w:type="dxa"/>
            <w:noWrap/>
            <w:vAlign w:val="center"/>
          </w:tcPr>
          <w:p w14:paraId="2F668A13" w14:textId="6FAA1044" w:rsidR="00BD2848" w:rsidRPr="008522AB" w:rsidRDefault="0043215A" w:rsidP="00950892">
            <w:pPr>
              <w:spacing w:after="120" w:line="240" w:lineRule="auto"/>
              <w:rPr>
                <w:rFonts w:ascii="Arial Narrow" w:eastAsia="Times New Roman" w:hAnsi="Arial Narrow" w:cs="Calibri"/>
                <w:color w:val="4472C4" w:themeColor="accent1"/>
                <w:sz w:val="20"/>
                <w:szCs w:val="20"/>
              </w:rPr>
            </w:pPr>
            <w:r w:rsidRPr="008522AB">
              <w:rPr>
                <w:rFonts w:ascii="Arial Narrow" w:eastAsia="Times New Roman" w:hAnsi="Arial Narrow" w:cs="Calibri"/>
                <w:color w:val="ED7D31" w:themeColor="accent2"/>
                <w:sz w:val="20"/>
                <w:szCs w:val="20"/>
              </w:rPr>
              <w:t>Enforcement</w:t>
            </w:r>
            <w:r w:rsidRPr="008522AB">
              <w:rPr>
                <w:rFonts w:ascii="Arial Narrow" w:eastAsia="Times New Roman" w:hAnsi="Arial Narrow" w:cs="Calibri"/>
                <w:color w:val="000000"/>
                <w:sz w:val="20"/>
                <w:szCs w:val="20"/>
              </w:rPr>
              <w:t xml:space="preserve"> of </w:t>
            </w:r>
            <w:r w:rsidRPr="008522AB">
              <w:rPr>
                <w:rFonts w:ascii="Arial Narrow" w:eastAsia="Times New Roman" w:hAnsi="Arial Narrow" w:cs="Calibri"/>
                <w:color w:val="4472C4" w:themeColor="accent1"/>
                <w:sz w:val="20"/>
                <w:szCs w:val="20"/>
              </w:rPr>
              <w:t>relevance</w:t>
            </w:r>
            <w:r>
              <w:rPr>
                <w:rFonts w:ascii="Arial Narrow" w:eastAsia="Times New Roman" w:hAnsi="Arial Narrow" w:cs="Calibri"/>
                <w:color w:val="4472C4" w:themeColor="accent1"/>
                <w:sz w:val="20"/>
                <w:szCs w:val="20"/>
              </w:rPr>
              <w:sym w:font="Symbol" w:char="F0AD"/>
            </w:r>
          </w:p>
        </w:tc>
        <w:tc>
          <w:tcPr>
            <w:tcW w:w="7655" w:type="dxa"/>
            <w:vAlign w:val="center"/>
          </w:tcPr>
          <w:p w14:paraId="0BCBCCE1" w14:textId="781B21C1" w:rsidR="00BD2848" w:rsidRPr="008522AB" w:rsidRDefault="002D7E29" w:rsidP="00950892">
            <w:pPr>
              <w:spacing w:after="120" w:line="240" w:lineRule="auto"/>
              <w:rPr>
                <w:rFonts w:ascii="Arial Narrow" w:eastAsia="Times New Roman" w:hAnsi="Arial Narrow" w:cs="Calibri"/>
                <w:color w:val="000000"/>
                <w:sz w:val="20"/>
                <w:szCs w:val="20"/>
              </w:rPr>
            </w:pPr>
            <w:r w:rsidRPr="002D7E29">
              <w:rPr>
                <w:rFonts w:ascii="Arial Narrow" w:eastAsia="Times New Roman" w:hAnsi="Arial Narrow" w:cs="Calibri"/>
                <w:color w:val="000000"/>
                <w:sz w:val="20"/>
                <w:szCs w:val="20"/>
              </w:rPr>
              <w:t xml:space="preserve">The Minister for Health </w:t>
            </w:r>
            <w:r>
              <w:rPr>
                <w:rFonts w:ascii="Arial Narrow" w:eastAsia="Times New Roman" w:hAnsi="Arial Narrow" w:cs="Calibri"/>
                <w:color w:val="000000"/>
                <w:sz w:val="20"/>
                <w:szCs w:val="20"/>
              </w:rPr>
              <w:t xml:space="preserve">appointed </w:t>
            </w:r>
            <w:r w:rsidRPr="002D7E29">
              <w:rPr>
                <w:rFonts w:ascii="Arial Narrow" w:eastAsia="Times New Roman" w:hAnsi="Arial Narrow" w:cs="Calibri"/>
                <w:color w:val="000000"/>
                <w:sz w:val="20"/>
                <w:szCs w:val="20"/>
              </w:rPr>
              <w:t>Michelle Burke, an industry nominee</w:t>
            </w:r>
            <w:r>
              <w:rPr>
                <w:rFonts w:ascii="Arial Narrow" w:eastAsia="Times New Roman" w:hAnsi="Arial Narrow" w:cs="Calibri"/>
                <w:color w:val="000000"/>
                <w:sz w:val="20"/>
                <w:szCs w:val="20"/>
              </w:rPr>
              <w:t xml:space="preserve"> to the PBAC. This appointment is made under the PBS Access and Sustainability Package of reformed announced May 2015.</w:t>
            </w:r>
          </w:p>
        </w:tc>
        <w:tc>
          <w:tcPr>
            <w:tcW w:w="4252" w:type="dxa"/>
            <w:vAlign w:val="center"/>
          </w:tcPr>
          <w:p w14:paraId="247F7C47" w14:textId="6B632CFC" w:rsidR="00BD2848" w:rsidRPr="00DD1568" w:rsidRDefault="002D7E29" w:rsidP="00950892">
            <w:pPr>
              <w:spacing w:after="120" w:line="240" w:lineRule="auto"/>
              <w:rPr>
                <w:rStyle w:val="Hyperlink"/>
                <w:rFonts w:ascii="Arial Narrow" w:eastAsia="Times New Roman" w:hAnsi="Arial Narrow" w:cs="Calibri"/>
                <w:color w:val="auto"/>
                <w:sz w:val="20"/>
                <w:szCs w:val="20"/>
                <w:u w:val="none"/>
              </w:rPr>
            </w:pPr>
            <w:r w:rsidRPr="00DD1568">
              <w:rPr>
                <w:rStyle w:val="Hyperlink"/>
                <w:rFonts w:ascii="Arial Narrow" w:eastAsia="Times New Roman" w:hAnsi="Arial Narrow" w:cs="Calibri"/>
                <w:color w:val="auto"/>
                <w:sz w:val="20"/>
                <w:szCs w:val="20"/>
                <w:u w:val="none"/>
              </w:rPr>
              <w:t>https://www.pbs.gov.au/info/news/2017/07/new-appointment-to-the-pbac</w:t>
            </w:r>
          </w:p>
        </w:tc>
      </w:tr>
      <w:tr w:rsidR="002D7E29" w:rsidRPr="008522AB" w14:paraId="7D638B7E" w14:textId="77777777" w:rsidTr="00DD1568">
        <w:trPr>
          <w:cantSplit/>
          <w:trHeight w:val="1075"/>
        </w:trPr>
        <w:tc>
          <w:tcPr>
            <w:tcW w:w="987" w:type="dxa"/>
            <w:noWrap/>
            <w:vAlign w:val="center"/>
            <w:hideMark/>
          </w:tcPr>
          <w:p w14:paraId="44C75D7F" w14:textId="77777777" w:rsidR="002D7E29" w:rsidRPr="008522AB" w:rsidRDefault="002D7E29"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Aug </w:t>
            </w:r>
            <w:r w:rsidRPr="008522AB">
              <w:rPr>
                <w:rFonts w:ascii="Arial Narrow" w:eastAsia="Times New Roman" w:hAnsi="Arial Narrow" w:cs="Calibri"/>
                <w:color w:val="000000"/>
                <w:sz w:val="20"/>
                <w:szCs w:val="20"/>
              </w:rPr>
              <w:t>2017</w:t>
            </w:r>
          </w:p>
        </w:tc>
        <w:tc>
          <w:tcPr>
            <w:tcW w:w="1276" w:type="dxa"/>
            <w:noWrap/>
            <w:vAlign w:val="center"/>
            <w:hideMark/>
          </w:tcPr>
          <w:p w14:paraId="2F5AB372" w14:textId="0B6C348D" w:rsidR="002D7E29" w:rsidRPr="008522AB" w:rsidRDefault="0043215A"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ED7D31" w:themeColor="accent2"/>
                <w:sz w:val="20"/>
                <w:szCs w:val="20"/>
              </w:rPr>
              <w:t>Enforcement</w:t>
            </w:r>
            <w:r w:rsidRPr="008522AB">
              <w:rPr>
                <w:rFonts w:ascii="Arial Narrow" w:eastAsia="Times New Roman" w:hAnsi="Arial Narrow" w:cs="Calibri"/>
                <w:color w:val="000000"/>
                <w:sz w:val="20"/>
                <w:szCs w:val="20"/>
              </w:rPr>
              <w:t xml:space="preserve"> of </w:t>
            </w:r>
            <w:r w:rsidRPr="008522AB">
              <w:rPr>
                <w:rFonts w:ascii="Arial Narrow" w:eastAsia="Times New Roman" w:hAnsi="Arial Narrow" w:cs="Calibri"/>
                <w:color w:val="4472C4" w:themeColor="accent1"/>
                <w:sz w:val="20"/>
                <w:szCs w:val="20"/>
              </w:rPr>
              <w:t>relevance</w:t>
            </w:r>
            <w:r>
              <w:rPr>
                <w:rFonts w:ascii="Arial Narrow" w:eastAsia="Times New Roman" w:hAnsi="Arial Narrow" w:cs="Calibri"/>
                <w:color w:val="4472C4" w:themeColor="accent1"/>
                <w:sz w:val="20"/>
                <w:szCs w:val="20"/>
              </w:rPr>
              <w:sym w:font="Symbol" w:char="F0AD"/>
            </w:r>
          </w:p>
        </w:tc>
        <w:tc>
          <w:tcPr>
            <w:tcW w:w="7655" w:type="dxa"/>
            <w:vAlign w:val="center"/>
            <w:hideMark/>
          </w:tcPr>
          <w:p w14:paraId="45A2DBE1" w14:textId="37E8D8AE" w:rsidR="002D7E29" w:rsidRPr="008522AB" w:rsidRDefault="002D7E29"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Jo Watson (a consumer leader) appointed as the inaugural PBAC deputy chair</w:t>
            </w:r>
            <w:r>
              <w:rPr>
                <w:rFonts w:ascii="Arial Narrow" w:eastAsia="Times New Roman" w:hAnsi="Arial Narrow" w:cs="Calibri"/>
                <w:color w:val="000000"/>
                <w:sz w:val="20"/>
                <w:szCs w:val="20"/>
              </w:rPr>
              <w:t xml:space="preserve">. A number of other clinicians were also appointed raising the PBAC membership to 21 members (fulfilling the PBS Access and Sustainability Package of reformed announced May 2015). </w:t>
            </w:r>
          </w:p>
        </w:tc>
        <w:tc>
          <w:tcPr>
            <w:tcW w:w="4252" w:type="dxa"/>
            <w:vAlign w:val="center"/>
            <w:hideMark/>
          </w:tcPr>
          <w:p w14:paraId="13DA1AD0" w14:textId="77777777" w:rsidR="002D7E29" w:rsidRPr="00DD1568" w:rsidRDefault="002D7E29" w:rsidP="00950892">
            <w:pPr>
              <w:spacing w:after="120" w:line="240" w:lineRule="auto"/>
              <w:rPr>
                <w:rFonts w:ascii="Arial Narrow" w:eastAsia="Times New Roman" w:hAnsi="Arial Narrow" w:cs="Calibri"/>
                <w:sz w:val="20"/>
                <w:szCs w:val="20"/>
              </w:rPr>
            </w:pPr>
            <w:hyperlink r:id="rId36" w:history="1">
              <w:r w:rsidRPr="00DD1568">
                <w:rPr>
                  <w:rStyle w:val="Hyperlink"/>
                  <w:rFonts w:ascii="Arial Narrow" w:eastAsia="Times New Roman" w:hAnsi="Arial Narrow" w:cs="Calibri"/>
                  <w:color w:val="auto"/>
                  <w:sz w:val="20"/>
                  <w:szCs w:val="20"/>
                  <w:u w:val="none"/>
                </w:rPr>
                <w:t>https://www.pbs.gov.au/info/news/2017/08/new-appointment-pbac-august-2017</w:t>
              </w:r>
            </w:hyperlink>
          </w:p>
          <w:p w14:paraId="31434966" w14:textId="77777777" w:rsidR="002D7E29" w:rsidRPr="00DD1568" w:rsidRDefault="002D7E29" w:rsidP="00950892">
            <w:pPr>
              <w:spacing w:after="120" w:line="240" w:lineRule="auto"/>
              <w:rPr>
                <w:rFonts w:ascii="Arial Narrow" w:eastAsia="Times New Roman" w:hAnsi="Arial Narrow" w:cs="Calibri"/>
                <w:sz w:val="20"/>
                <w:szCs w:val="20"/>
              </w:rPr>
            </w:pPr>
            <w:hyperlink r:id="rId37" w:history="1">
              <w:r w:rsidRPr="00DD1568">
                <w:rPr>
                  <w:rStyle w:val="Hyperlink"/>
                  <w:rFonts w:ascii="Arial Narrow" w:eastAsia="Times New Roman" w:hAnsi="Arial Narrow" w:cs="Calibri"/>
                  <w:color w:val="auto"/>
                  <w:sz w:val="20"/>
                  <w:szCs w:val="20"/>
                  <w:u w:val="none"/>
                </w:rPr>
                <w:t>https://chf.org.au/media-releases/promoting-consumer-involvement-medicine-decisions-welcomed</w:t>
              </w:r>
            </w:hyperlink>
          </w:p>
        </w:tc>
      </w:tr>
      <w:tr w:rsidR="00491B33" w:rsidRPr="008522AB" w14:paraId="0EE2C849" w14:textId="77777777" w:rsidTr="00DD1568">
        <w:trPr>
          <w:cantSplit/>
          <w:trHeight w:val="1201"/>
        </w:trPr>
        <w:tc>
          <w:tcPr>
            <w:tcW w:w="987" w:type="dxa"/>
            <w:noWrap/>
            <w:vAlign w:val="center"/>
          </w:tcPr>
          <w:p w14:paraId="054C128A" w14:textId="1B35303A" w:rsidR="00491B33" w:rsidRPr="008522AB" w:rsidRDefault="005D288B"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2018</w:t>
            </w:r>
          </w:p>
        </w:tc>
        <w:tc>
          <w:tcPr>
            <w:tcW w:w="1276" w:type="dxa"/>
            <w:noWrap/>
            <w:vAlign w:val="center"/>
          </w:tcPr>
          <w:p w14:paraId="526FEC95" w14:textId="5E8D0A83" w:rsidR="00491B33" w:rsidRPr="008522AB" w:rsidRDefault="00113F11" w:rsidP="00950892">
            <w:pPr>
              <w:spacing w:after="120" w:line="240" w:lineRule="auto"/>
              <w:rPr>
                <w:rFonts w:ascii="Arial Narrow" w:eastAsia="Times New Roman" w:hAnsi="Arial Narrow" w:cs="Calibri"/>
                <w:color w:val="4472C4" w:themeColor="accent1"/>
                <w:sz w:val="20"/>
                <w:szCs w:val="20"/>
              </w:rPr>
            </w:pPr>
            <w:r w:rsidRPr="008522AB">
              <w:rPr>
                <w:rFonts w:ascii="Arial Narrow" w:eastAsia="Times New Roman" w:hAnsi="Arial Narrow" w:cs="Calibri"/>
                <w:color w:val="ED7D31" w:themeColor="accent2"/>
                <w:sz w:val="20"/>
                <w:szCs w:val="20"/>
              </w:rPr>
              <w:t xml:space="preserve">Enforcement </w:t>
            </w:r>
            <w:r w:rsidRPr="008522AB">
              <w:rPr>
                <w:rFonts w:ascii="Arial Narrow" w:eastAsia="Times New Roman" w:hAnsi="Arial Narrow" w:cs="Calibri"/>
                <w:sz w:val="20"/>
                <w:szCs w:val="20"/>
              </w:rPr>
              <w:t>of</w:t>
            </w:r>
            <w:r w:rsidRPr="008522AB">
              <w:rPr>
                <w:rFonts w:ascii="Arial Narrow" w:eastAsia="Times New Roman" w:hAnsi="Arial Narrow" w:cs="Calibri"/>
                <w:color w:val="ED7D31" w:themeColor="accent2"/>
                <w:sz w:val="20"/>
                <w:szCs w:val="20"/>
              </w:rPr>
              <w:t xml:space="preserve"> </w:t>
            </w:r>
            <w:r w:rsidRPr="008522AB">
              <w:rPr>
                <w:rFonts w:ascii="Arial Narrow" w:eastAsia="Times New Roman" w:hAnsi="Arial Narrow" w:cs="Calibri"/>
                <w:color w:val="4472C4" w:themeColor="accent1"/>
                <w:sz w:val="20"/>
                <w:szCs w:val="20"/>
              </w:rPr>
              <w:t>relevance</w:t>
            </w:r>
            <w:r w:rsidR="009547A5">
              <w:rPr>
                <w:rFonts w:ascii="Arial Narrow" w:eastAsia="Times New Roman" w:hAnsi="Arial Narrow" w:cs="Calibri"/>
                <w:color w:val="4472C4" w:themeColor="accent1"/>
                <w:sz w:val="20"/>
                <w:szCs w:val="20"/>
              </w:rPr>
              <w:sym w:font="Symbol" w:char="F0AD"/>
            </w:r>
            <w:r w:rsidRPr="008522AB">
              <w:rPr>
                <w:rFonts w:ascii="Arial Narrow" w:eastAsia="Times New Roman" w:hAnsi="Arial Narrow" w:cs="Calibri"/>
                <w:sz w:val="20"/>
                <w:szCs w:val="20"/>
              </w:rPr>
              <w:t xml:space="preserve">, </w:t>
            </w:r>
            <w:r w:rsidRPr="008522AB">
              <w:rPr>
                <w:rFonts w:ascii="Arial Narrow" w:eastAsia="Times New Roman" w:hAnsi="Arial Narrow" w:cs="Calibri"/>
                <w:color w:val="70AD47" w:themeColor="accent6"/>
                <w:sz w:val="20"/>
                <w:szCs w:val="20"/>
              </w:rPr>
              <w:t>publicity</w:t>
            </w:r>
            <w:r w:rsidR="009547A5">
              <w:rPr>
                <w:rFonts w:ascii="Arial Narrow" w:eastAsia="Times New Roman" w:hAnsi="Arial Narrow" w:cs="Calibri"/>
                <w:color w:val="70AD47" w:themeColor="accent6"/>
                <w:sz w:val="20"/>
                <w:szCs w:val="20"/>
              </w:rPr>
              <w:sym w:font="Symbol" w:char="F0AD"/>
            </w:r>
            <w:r w:rsidRPr="008522AB">
              <w:rPr>
                <w:rFonts w:ascii="Arial Narrow" w:eastAsia="Times New Roman" w:hAnsi="Arial Narrow" w:cs="Calibri"/>
                <w:sz w:val="20"/>
                <w:szCs w:val="20"/>
              </w:rPr>
              <w:t xml:space="preserve">, and </w:t>
            </w:r>
            <w:r w:rsidRPr="008522AB">
              <w:rPr>
                <w:rFonts w:ascii="Arial Narrow" w:eastAsia="Times New Roman" w:hAnsi="Arial Narrow" w:cs="Calibri"/>
                <w:color w:val="FF0000"/>
                <w:sz w:val="20"/>
                <w:szCs w:val="20"/>
              </w:rPr>
              <w:t>revision</w:t>
            </w:r>
            <w:r w:rsidR="009547A5">
              <w:rPr>
                <w:rFonts w:ascii="Arial Narrow" w:eastAsia="Times New Roman" w:hAnsi="Arial Narrow" w:cs="Calibri"/>
                <w:color w:val="FF0000"/>
                <w:sz w:val="20"/>
                <w:szCs w:val="20"/>
              </w:rPr>
              <w:sym w:font="Symbol" w:char="F0AD"/>
            </w:r>
          </w:p>
        </w:tc>
        <w:tc>
          <w:tcPr>
            <w:tcW w:w="7655" w:type="dxa"/>
            <w:vAlign w:val="center"/>
          </w:tcPr>
          <w:p w14:paraId="2AD3EFAA" w14:textId="42ED5FCB" w:rsidR="00491B33" w:rsidRPr="008522AB" w:rsidRDefault="005D288B"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The g</w:t>
            </w:r>
            <w:r w:rsidR="00491B33">
              <w:rPr>
                <w:rFonts w:ascii="Arial Narrow" w:eastAsia="Times New Roman" w:hAnsi="Arial Narrow" w:cs="Calibri"/>
                <w:color w:val="000000"/>
                <w:sz w:val="20"/>
                <w:szCs w:val="20"/>
              </w:rPr>
              <w:t>overnment release</w:t>
            </w:r>
            <w:r>
              <w:rPr>
                <w:rFonts w:ascii="Arial Narrow" w:eastAsia="Times New Roman" w:hAnsi="Arial Narrow" w:cs="Calibri"/>
                <w:color w:val="000000"/>
                <w:sz w:val="20"/>
                <w:szCs w:val="20"/>
              </w:rPr>
              <w:t>d</w:t>
            </w:r>
            <w:r w:rsidR="00491B33">
              <w:rPr>
                <w:rFonts w:ascii="Arial Narrow" w:eastAsia="Times New Roman" w:hAnsi="Arial Narrow" w:cs="Calibri"/>
                <w:color w:val="000000"/>
                <w:sz w:val="20"/>
                <w:szCs w:val="20"/>
              </w:rPr>
              <w:t xml:space="preserve"> its response to the review of the life</w:t>
            </w:r>
            <w:r>
              <w:rPr>
                <w:rFonts w:ascii="Arial Narrow" w:eastAsia="Times New Roman" w:hAnsi="Arial Narrow" w:cs="Calibri"/>
                <w:color w:val="000000"/>
                <w:sz w:val="20"/>
                <w:szCs w:val="20"/>
              </w:rPr>
              <w:t>-</w:t>
            </w:r>
            <w:r w:rsidR="00491B33">
              <w:rPr>
                <w:rFonts w:ascii="Arial Narrow" w:eastAsia="Times New Roman" w:hAnsi="Arial Narrow" w:cs="Calibri"/>
                <w:color w:val="000000"/>
                <w:sz w:val="20"/>
                <w:szCs w:val="20"/>
              </w:rPr>
              <w:t>saving drug</w:t>
            </w:r>
            <w:r w:rsidR="00D54EDB">
              <w:rPr>
                <w:rFonts w:ascii="Arial Narrow" w:eastAsia="Times New Roman" w:hAnsi="Arial Narrow" w:cs="Calibri"/>
                <w:color w:val="000000"/>
                <w:sz w:val="20"/>
                <w:szCs w:val="20"/>
              </w:rPr>
              <w:t>s</w:t>
            </w:r>
            <w:r w:rsidR="00491B33">
              <w:rPr>
                <w:rFonts w:ascii="Arial Narrow" w:eastAsia="Times New Roman" w:hAnsi="Arial Narrow" w:cs="Calibri"/>
                <w:color w:val="000000"/>
                <w:sz w:val="20"/>
                <w:szCs w:val="20"/>
              </w:rPr>
              <w:t xml:space="preserve"> program (LSDP)</w:t>
            </w:r>
            <w:r w:rsidR="00D97792">
              <w:rPr>
                <w:rFonts w:ascii="Arial Narrow" w:eastAsia="Times New Roman" w:hAnsi="Arial Narrow" w:cs="Calibri"/>
                <w:color w:val="000000"/>
                <w:sz w:val="20"/>
                <w:szCs w:val="20"/>
              </w:rPr>
              <w:t>,</w:t>
            </w:r>
            <w:r>
              <w:rPr>
                <w:rFonts w:ascii="Arial Narrow" w:eastAsia="Times New Roman" w:hAnsi="Arial Narrow" w:cs="Calibri"/>
                <w:color w:val="000000"/>
                <w:sz w:val="20"/>
                <w:szCs w:val="20"/>
              </w:rPr>
              <w:t xml:space="preserve"> agreeing to retain the LSDP</w:t>
            </w:r>
            <w:r w:rsidR="00D97792">
              <w:rPr>
                <w:rFonts w:ascii="Arial Narrow" w:eastAsia="Times New Roman" w:hAnsi="Arial Narrow" w:cs="Calibri"/>
                <w:color w:val="000000"/>
                <w:sz w:val="20"/>
                <w:szCs w:val="20"/>
              </w:rPr>
              <w:t xml:space="preserve"> and further clarify</w:t>
            </w:r>
            <w:r>
              <w:rPr>
                <w:rFonts w:ascii="Arial Narrow" w:eastAsia="Times New Roman" w:hAnsi="Arial Narrow" w:cs="Calibri"/>
                <w:color w:val="000000"/>
                <w:sz w:val="20"/>
                <w:szCs w:val="20"/>
              </w:rPr>
              <w:t xml:space="preserve"> program eligibility</w:t>
            </w:r>
            <w:r w:rsidR="00D97792">
              <w:rPr>
                <w:rFonts w:ascii="Arial Narrow" w:eastAsia="Times New Roman" w:hAnsi="Arial Narrow" w:cs="Calibri"/>
                <w:color w:val="000000"/>
                <w:sz w:val="20"/>
                <w:szCs w:val="20"/>
              </w:rPr>
              <w:t xml:space="preserve"> and </w:t>
            </w:r>
            <w:r>
              <w:rPr>
                <w:rFonts w:ascii="Arial Narrow" w:eastAsia="Times New Roman" w:hAnsi="Arial Narrow" w:cs="Calibri"/>
                <w:color w:val="000000"/>
                <w:sz w:val="20"/>
                <w:szCs w:val="20"/>
              </w:rPr>
              <w:t xml:space="preserve">establishment of a separate expert panel </w:t>
            </w:r>
            <w:r w:rsidR="00D97792">
              <w:rPr>
                <w:rFonts w:ascii="Arial Narrow" w:eastAsia="Times New Roman" w:hAnsi="Arial Narrow" w:cs="Calibri"/>
                <w:color w:val="000000"/>
                <w:sz w:val="20"/>
                <w:szCs w:val="20"/>
              </w:rPr>
              <w:t>with</w:t>
            </w:r>
            <w:r>
              <w:rPr>
                <w:rFonts w:ascii="Arial Narrow" w:eastAsia="Times New Roman" w:hAnsi="Arial Narrow" w:cs="Calibri"/>
                <w:color w:val="000000"/>
                <w:sz w:val="20"/>
                <w:szCs w:val="20"/>
              </w:rPr>
              <w:t xml:space="preserve"> more transparent and rigorous clinical efficacy and cost-effectiveness assessments of medicines for rare diseases.</w:t>
            </w:r>
            <w:r>
              <w:t xml:space="preserve"> </w:t>
            </w:r>
            <w:r w:rsidRPr="005D288B">
              <w:rPr>
                <w:rFonts w:ascii="Arial Narrow" w:eastAsia="Times New Roman" w:hAnsi="Arial Narrow" w:cs="Calibri"/>
                <w:color w:val="000000"/>
                <w:sz w:val="20"/>
                <w:szCs w:val="20"/>
              </w:rPr>
              <w:t>All new medicines for rare diseases will still need to be considered first by the</w:t>
            </w:r>
            <w:r>
              <w:rPr>
                <w:rFonts w:ascii="Arial Narrow" w:eastAsia="Times New Roman" w:hAnsi="Arial Narrow" w:cs="Calibri"/>
                <w:color w:val="000000"/>
                <w:sz w:val="20"/>
                <w:szCs w:val="20"/>
              </w:rPr>
              <w:t xml:space="preserve"> </w:t>
            </w:r>
            <w:r w:rsidRPr="005D288B">
              <w:rPr>
                <w:rFonts w:ascii="Arial Narrow" w:eastAsia="Times New Roman" w:hAnsi="Arial Narrow" w:cs="Calibri"/>
                <w:color w:val="000000"/>
                <w:sz w:val="20"/>
                <w:szCs w:val="20"/>
              </w:rPr>
              <w:t>PBAC for potential listing on the PBS. If the PBAC considers the new medicine</w:t>
            </w:r>
            <w:r>
              <w:rPr>
                <w:rFonts w:ascii="Arial Narrow" w:eastAsia="Times New Roman" w:hAnsi="Arial Narrow" w:cs="Calibri"/>
                <w:color w:val="000000"/>
                <w:sz w:val="20"/>
                <w:szCs w:val="20"/>
              </w:rPr>
              <w:t xml:space="preserve"> </w:t>
            </w:r>
            <w:r w:rsidRPr="005D288B">
              <w:rPr>
                <w:rFonts w:ascii="Arial Narrow" w:eastAsia="Times New Roman" w:hAnsi="Arial Narrow" w:cs="Calibri"/>
                <w:color w:val="000000"/>
                <w:sz w:val="20"/>
                <w:szCs w:val="20"/>
              </w:rPr>
              <w:t>clinically effective but not cost</w:t>
            </w:r>
            <w:r>
              <w:rPr>
                <w:rFonts w:ascii="Arial Narrow" w:eastAsia="Times New Roman" w:hAnsi="Arial Narrow" w:cs="Calibri"/>
                <w:color w:val="000000"/>
                <w:sz w:val="20"/>
                <w:szCs w:val="20"/>
              </w:rPr>
              <w:t>-</w:t>
            </w:r>
            <w:r w:rsidRPr="005D288B">
              <w:rPr>
                <w:rFonts w:ascii="Arial Narrow" w:eastAsia="Times New Roman" w:hAnsi="Arial Narrow" w:cs="Calibri"/>
                <w:color w:val="000000"/>
                <w:sz w:val="20"/>
                <w:szCs w:val="20"/>
              </w:rPr>
              <w:t>effective, so not suitable for the PBS, the sponsor of</w:t>
            </w:r>
            <w:r>
              <w:rPr>
                <w:rFonts w:ascii="Arial Narrow" w:eastAsia="Times New Roman" w:hAnsi="Arial Narrow" w:cs="Calibri"/>
                <w:color w:val="000000"/>
                <w:sz w:val="20"/>
                <w:szCs w:val="20"/>
              </w:rPr>
              <w:t xml:space="preserve"> </w:t>
            </w:r>
            <w:r w:rsidRPr="005D288B">
              <w:rPr>
                <w:rFonts w:ascii="Arial Narrow" w:eastAsia="Times New Roman" w:hAnsi="Arial Narrow" w:cs="Calibri"/>
                <w:color w:val="000000"/>
                <w:sz w:val="20"/>
                <w:szCs w:val="20"/>
              </w:rPr>
              <w:t>the medicine may then apply for inclusion</w:t>
            </w:r>
            <w:r>
              <w:rPr>
                <w:rFonts w:ascii="Arial Narrow" w:eastAsia="Times New Roman" w:hAnsi="Arial Narrow" w:cs="Calibri"/>
                <w:color w:val="000000"/>
                <w:sz w:val="20"/>
                <w:szCs w:val="20"/>
              </w:rPr>
              <w:t xml:space="preserve"> </w:t>
            </w:r>
            <w:r w:rsidRPr="005D288B">
              <w:rPr>
                <w:rFonts w:ascii="Arial Narrow" w:eastAsia="Times New Roman" w:hAnsi="Arial Narrow" w:cs="Calibri"/>
                <w:color w:val="000000"/>
                <w:sz w:val="20"/>
                <w:szCs w:val="20"/>
              </w:rPr>
              <w:t>on the LSDP</w:t>
            </w:r>
            <w:r>
              <w:rPr>
                <w:rFonts w:ascii="Arial Narrow" w:eastAsia="Times New Roman" w:hAnsi="Arial Narrow" w:cs="Calibri"/>
                <w:color w:val="000000"/>
                <w:sz w:val="20"/>
                <w:szCs w:val="20"/>
              </w:rPr>
              <w:t>.</w:t>
            </w:r>
          </w:p>
        </w:tc>
        <w:tc>
          <w:tcPr>
            <w:tcW w:w="4252" w:type="dxa"/>
            <w:vAlign w:val="center"/>
          </w:tcPr>
          <w:p w14:paraId="42B5BA1D" w14:textId="65A57ED2" w:rsidR="00491B33" w:rsidRPr="00DD1568" w:rsidRDefault="005D288B" w:rsidP="00950892">
            <w:pPr>
              <w:spacing w:after="120" w:line="240" w:lineRule="auto"/>
              <w:rPr>
                <w:rStyle w:val="Hyperlink"/>
                <w:rFonts w:ascii="Arial Narrow" w:eastAsia="Times New Roman" w:hAnsi="Arial Narrow" w:cs="Calibri"/>
                <w:color w:val="auto"/>
                <w:sz w:val="20"/>
                <w:szCs w:val="20"/>
                <w:u w:val="none"/>
              </w:rPr>
            </w:pPr>
            <w:hyperlink r:id="rId38" w:history="1">
              <w:r w:rsidRPr="00DD1568">
                <w:rPr>
                  <w:rStyle w:val="Hyperlink"/>
                  <w:rFonts w:ascii="Arial Narrow" w:eastAsia="Times New Roman" w:hAnsi="Arial Narrow" w:cs="Calibri"/>
                  <w:color w:val="auto"/>
                  <w:sz w:val="20"/>
                  <w:szCs w:val="20"/>
                  <w:u w:val="none"/>
                </w:rPr>
                <w:t>https://www.pbs.gov.au/reviews/lsdp-report/government-response-to-lsdp-review.pdf</w:t>
              </w:r>
            </w:hyperlink>
          </w:p>
          <w:p w14:paraId="1F9E16F0" w14:textId="33A22C99" w:rsidR="005D288B" w:rsidRPr="00DD1568" w:rsidRDefault="005D288B" w:rsidP="00950892">
            <w:pPr>
              <w:spacing w:after="120" w:line="240" w:lineRule="auto"/>
            </w:pPr>
            <w:r w:rsidRPr="00DD1568">
              <w:rPr>
                <w:rStyle w:val="Hyperlink"/>
                <w:rFonts w:ascii="Arial Narrow" w:eastAsia="Times New Roman" w:hAnsi="Arial Narrow" w:cs="Calibri"/>
                <w:color w:val="auto"/>
                <w:sz w:val="20"/>
                <w:szCs w:val="20"/>
                <w:u w:val="none"/>
              </w:rPr>
              <w:t>https://www.pbs.gov.au/info/reviews/life-saving-drugs</w:t>
            </w:r>
          </w:p>
        </w:tc>
      </w:tr>
      <w:tr w:rsidR="008D59F1" w:rsidRPr="008522AB" w14:paraId="182834D4" w14:textId="77777777" w:rsidTr="00DD1568">
        <w:trPr>
          <w:cantSplit/>
        </w:trPr>
        <w:tc>
          <w:tcPr>
            <w:tcW w:w="987" w:type="dxa"/>
            <w:noWrap/>
            <w:vAlign w:val="center"/>
          </w:tcPr>
          <w:p w14:paraId="45F7E5E2"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2019</w:t>
            </w:r>
          </w:p>
        </w:tc>
        <w:tc>
          <w:tcPr>
            <w:tcW w:w="1276" w:type="dxa"/>
            <w:noWrap/>
            <w:vAlign w:val="center"/>
          </w:tcPr>
          <w:p w14:paraId="4961A57D" w14:textId="77777777" w:rsidR="00F170F7" w:rsidRDefault="00F170F7" w:rsidP="00950892">
            <w:pPr>
              <w:spacing w:after="120" w:line="240" w:lineRule="auto"/>
              <w:rPr>
                <w:rFonts w:ascii="Arial Narrow" w:eastAsia="Times New Roman" w:hAnsi="Arial Narrow" w:cs="Calibri"/>
                <w:color w:val="4472C4" w:themeColor="accent1"/>
                <w:sz w:val="20"/>
                <w:szCs w:val="20"/>
              </w:rPr>
            </w:pPr>
            <w:r>
              <w:rPr>
                <w:rFonts w:ascii="Arial Narrow" w:eastAsia="Times New Roman" w:hAnsi="Arial Narrow" w:cs="Calibri"/>
                <w:color w:val="4472C4" w:themeColor="accent1"/>
                <w:sz w:val="20"/>
                <w:szCs w:val="20"/>
              </w:rPr>
              <w:t>R</w:t>
            </w:r>
            <w:r w:rsidR="0043215A" w:rsidRPr="008522AB">
              <w:rPr>
                <w:rFonts w:ascii="Arial Narrow" w:eastAsia="Times New Roman" w:hAnsi="Arial Narrow" w:cs="Calibri"/>
                <w:color w:val="4472C4" w:themeColor="accent1"/>
                <w:sz w:val="20"/>
                <w:szCs w:val="20"/>
              </w:rPr>
              <w:t>elevance</w:t>
            </w:r>
            <w:r w:rsidR="0043215A">
              <w:rPr>
                <w:rFonts w:ascii="Arial Narrow" w:eastAsia="Times New Roman" w:hAnsi="Arial Narrow" w:cs="Calibri"/>
                <w:color w:val="4472C4" w:themeColor="accent1"/>
                <w:sz w:val="20"/>
                <w:szCs w:val="20"/>
              </w:rPr>
              <w:sym w:font="Symbol" w:char="F0AD"/>
            </w:r>
          </w:p>
          <w:p w14:paraId="523AFC59" w14:textId="421675C4" w:rsidR="008D59F1" w:rsidRPr="0043215A" w:rsidRDefault="00F170F7" w:rsidP="00950892">
            <w:pPr>
              <w:spacing w:after="120" w:line="240" w:lineRule="auto"/>
              <w:rPr>
                <w:rFonts w:ascii="Arial Narrow" w:eastAsia="Times New Roman" w:hAnsi="Arial Narrow" w:cs="Calibri"/>
                <w:color w:val="4472C4" w:themeColor="accent1"/>
                <w:sz w:val="20"/>
                <w:szCs w:val="20"/>
              </w:rPr>
            </w:pPr>
            <w:r w:rsidRPr="008522AB">
              <w:rPr>
                <w:rFonts w:ascii="Arial Narrow" w:eastAsia="Times New Roman" w:hAnsi="Arial Narrow" w:cs="Calibri"/>
                <w:color w:val="70AD47" w:themeColor="accent6"/>
                <w:sz w:val="20"/>
                <w:szCs w:val="20"/>
              </w:rPr>
              <w:t>Publicity</w:t>
            </w:r>
            <w:r>
              <w:rPr>
                <w:rFonts w:ascii="Arial Narrow" w:eastAsia="Times New Roman" w:hAnsi="Arial Narrow" w:cs="Calibri"/>
                <w:color w:val="70AD47" w:themeColor="accent6"/>
                <w:sz w:val="20"/>
                <w:szCs w:val="20"/>
              </w:rPr>
              <w:sym w:font="Symbol" w:char="F0AD"/>
            </w:r>
            <w:r w:rsidR="008D59F1" w:rsidRPr="008522AB">
              <w:rPr>
                <w:rFonts w:ascii="Arial Narrow" w:eastAsia="Times New Roman" w:hAnsi="Arial Narrow" w:cs="Calibri"/>
                <w:color w:val="000000"/>
                <w:sz w:val="20"/>
                <w:szCs w:val="20"/>
              </w:rPr>
              <w:t xml:space="preserve"> </w:t>
            </w:r>
          </w:p>
        </w:tc>
        <w:tc>
          <w:tcPr>
            <w:tcW w:w="7655" w:type="dxa"/>
            <w:vAlign w:val="center"/>
          </w:tcPr>
          <w:p w14:paraId="3BEFB5BA" w14:textId="77777777" w:rsidR="008D59F1" w:rsidRPr="008522AB" w:rsidRDefault="008D59F1" w:rsidP="00950892">
            <w:pPr>
              <w:spacing w:after="120" w:line="240" w:lineRule="auto"/>
              <w:rPr>
                <w:rFonts w:ascii="Arial Narrow" w:eastAsia="Times New Roman" w:hAnsi="Arial Narrow" w:cs="Calibri"/>
                <w:color w:val="000000" w:themeColor="text1"/>
                <w:sz w:val="20"/>
                <w:szCs w:val="20"/>
              </w:rPr>
            </w:pPr>
            <w:bookmarkStart w:id="3" w:name="_Hlk140594538"/>
            <w:r w:rsidRPr="008522AB">
              <w:rPr>
                <w:rFonts w:ascii="Arial Narrow" w:eastAsia="Times New Roman" w:hAnsi="Arial Narrow" w:cs="Calibri"/>
                <w:color w:val="000000" w:themeColor="text1"/>
                <w:sz w:val="20"/>
                <w:szCs w:val="20"/>
              </w:rPr>
              <w:t xml:space="preserve">Establishment of the consumer evidence and engagement unit with paid staff within the Department of Health </w:t>
            </w:r>
            <w:bookmarkEnd w:id="3"/>
            <w:r w:rsidRPr="008522AB">
              <w:rPr>
                <w:rFonts w:ascii="Arial Narrow" w:eastAsia="Times New Roman" w:hAnsi="Arial Narrow" w:cs="Calibri"/>
                <w:color w:val="000000" w:themeColor="text1"/>
                <w:sz w:val="20"/>
                <w:szCs w:val="20"/>
              </w:rPr>
              <w:t>to develop structured projects to engage consumer and patient groups in HTA bodies (including PBAC and MSAC). It also supports the HTA CCC.</w:t>
            </w:r>
          </w:p>
        </w:tc>
        <w:tc>
          <w:tcPr>
            <w:tcW w:w="4252" w:type="dxa"/>
            <w:vAlign w:val="center"/>
          </w:tcPr>
          <w:p w14:paraId="761B80C6" w14:textId="0AD21CEA" w:rsidR="00FF4DAB" w:rsidRPr="00DD1568" w:rsidRDefault="00FF4DAB" w:rsidP="00950892">
            <w:pPr>
              <w:spacing w:after="120" w:line="240" w:lineRule="auto"/>
              <w:rPr>
                <w:rFonts w:ascii="Arial Narrow" w:eastAsia="Times New Roman" w:hAnsi="Arial Narrow" w:cs="Calibri"/>
                <w:sz w:val="20"/>
                <w:szCs w:val="20"/>
              </w:rPr>
            </w:pPr>
            <w:hyperlink r:id="rId39" w:history="1">
              <w:r w:rsidRPr="00DD1568">
                <w:rPr>
                  <w:rStyle w:val="Hyperlink"/>
                  <w:rFonts w:ascii="Arial Narrow" w:eastAsia="Times New Roman" w:hAnsi="Arial Narrow" w:cs="Calibri"/>
                  <w:color w:val="auto"/>
                  <w:sz w:val="20"/>
                  <w:szCs w:val="20"/>
                  <w:u w:val="none"/>
                </w:rPr>
                <w:t>https://webarchive.nla.gov.au/awa/20211214223311/https://www1.health.gov.au/internet/hta/publishing.nsf/Content/ccc</w:t>
              </w:r>
            </w:hyperlink>
          </w:p>
        </w:tc>
      </w:tr>
      <w:tr w:rsidR="009227C0" w:rsidRPr="008522AB" w14:paraId="4CD49300" w14:textId="77777777" w:rsidTr="00DD1568">
        <w:trPr>
          <w:cantSplit/>
          <w:trHeight w:val="1010"/>
        </w:trPr>
        <w:tc>
          <w:tcPr>
            <w:tcW w:w="987" w:type="dxa"/>
            <w:noWrap/>
            <w:vAlign w:val="center"/>
          </w:tcPr>
          <w:p w14:paraId="481196AD" w14:textId="155B0012" w:rsidR="009227C0" w:rsidRPr="008522AB" w:rsidRDefault="009227C0"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Jul 2019</w:t>
            </w:r>
          </w:p>
        </w:tc>
        <w:tc>
          <w:tcPr>
            <w:tcW w:w="1276" w:type="dxa"/>
            <w:noWrap/>
            <w:vAlign w:val="center"/>
          </w:tcPr>
          <w:p w14:paraId="2086280D" w14:textId="08F0CBD1" w:rsidR="00715235" w:rsidRDefault="00715235" w:rsidP="00950892">
            <w:pPr>
              <w:spacing w:after="120" w:line="240" w:lineRule="auto"/>
              <w:rPr>
                <w:rFonts w:ascii="Arial Narrow" w:eastAsia="Times New Roman" w:hAnsi="Arial Narrow" w:cs="Calibri"/>
                <w:color w:val="4472C4" w:themeColor="accent1"/>
                <w:sz w:val="20"/>
                <w:szCs w:val="20"/>
              </w:rPr>
            </w:pPr>
            <w:r>
              <w:rPr>
                <w:rFonts w:ascii="Arial Narrow" w:eastAsia="Times New Roman" w:hAnsi="Arial Narrow" w:cs="Calibri"/>
                <w:color w:val="4472C4" w:themeColor="accent1"/>
                <w:sz w:val="20"/>
                <w:szCs w:val="20"/>
              </w:rPr>
              <w:t>R</w:t>
            </w:r>
            <w:r w:rsidR="009227C0" w:rsidRPr="008522AB">
              <w:rPr>
                <w:rFonts w:ascii="Arial Narrow" w:eastAsia="Times New Roman" w:hAnsi="Arial Narrow" w:cs="Calibri"/>
                <w:color w:val="4472C4" w:themeColor="accent1"/>
                <w:sz w:val="20"/>
                <w:szCs w:val="20"/>
              </w:rPr>
              <w:t>elevance</w:t>
            </w:r>
            <w:r w:rsidR="00963700">
              <w:rPr>
                <w:rFonts w:ascii="Arial Narrow" w:eastAsia="Times New Roman" w:hAnsi="Arial Narrow" w:cs="Calibri"/>
                <w:color w:val="4472C4" w:themeColor="accent1"/>
                <w:sz w:val="20"/>
                <w:szCs w:val="20"/>
              </w:rPr>
              <w:t xml:space="preserve"> </w:t>
            </w:r>
            <w:r w:rsidR="00963700">
              <w:rPr>
                <w:rFonts w:ascii="Arial Narrow" w:eastAsia="Times New Roman" w:hAnsi="Arial Narrow" w:cs="Calibri"/>
                <w:color w:val="4472C4" w:themeColor="accent1"/>
                <w:sz w:val="20"/>
                <w:szCs w:val="20"/>
              </w:rPr>
              <w:sym w:font="Symbol" w:char="F0AD"/>
            </w:r>
          </w:p>
          <w:p w14:paraId="65CE38D9" w14:textId="4D8F8BE4" w:rsidR="009227C0" w:rsidRPr="008522AB" w:rsidRDefault="00715235" w:rsidP="00950892">
            <w:pPr>
              <w:spacing w:after="120" w:line="240" w:lineRule="auto"/>
              <w:rPr>
                <w:rFonts w:ascii="Arial Narrow" w:eastAsia="Times New Roman" w:hAnsi="Arial Narrow" w:cs="Calibri"/>
                <w:color w:val="4472C4" w:themeColor="accent1"/>
                <w:sz w:val="20"/>
                <w:szCs w:val="20"/>
              </w:rPr>
            </w:pPr>
            <w:r>
              <w:rPr>
                <w:rFonts w:ascii="Arial Narrow" w:eastAsia="Times New Roman" w:hAnsi="Arial Narrow" w:cs="Calibri"/>
                <w:color w:val="FF0000"/>
                <w:sz w:val="20"/>
                <w:szCs w:val="20"/>
              </w:rPr>
              <w:t>R</w:t>
            </w:r>
            <w:r w:rsidR="009227C0" w:rsidRPr="008522AB">
              <w:rPr>
                <w:rFonts w:ascii="Arial Narrow" w:eastAsia="Times New Roman" w:hAnsi="Arial Narrow" w:cs="Calibri"/>
                <w:color w:val="FF0000"/>
                <w:sz w:val="20"/>
                <w:szCs w:val="20"/>
              </w:rPr>
              <w:t>evision</w:t>
            </w:r>
            <w:r w:rsidR="00963700">
              <w:rPr>
                <w:rFonts w:ascii="Arial Narrow" w:eastAsia="Times New Roman" w:hAnsi="Arial Narrow" w:cs="Calibri"/>
                <w:color w:val="FF0000"/>
                <w:sz w:val="20"/>
                <w:szCs w:val="20"/>
              </w:rPr>
              <w:t xml:space="preserve"> </w:t>
            </w:r>
            <w:r w:rsidR="00963700">
              <w:rPr>
                <w:rFonts w:ascii="Arial Narrow" w:eastAsia="Times New Roman" w:hAnsi="Arial Narrow" w:cs="Calibri"/>
                <w:color w:val="FF0000"/>
                <w:sz w:val="20"/>
                <w:szCs w:val="20"/>
              </w:rPr>
              <w:sym w:font="Symbol" w:char="F0AD"/>
            </w:r>
          </w:p>
        </w:tc>
        <w:tc>
          <w:tcPr>
            <w:tcW w:w="7655" w:type="dxa"/>
            <w:vAlign w:val="center"/>
          </w:tcPr>
          <w:p w14:paraId="258F094A" w14:textId="3B91A6B8" w:rsidR="00FF4DAB" w:rsidRDefault="00FF4DAB" w:rsidP="00950892">
            <w:pPr>
              <w:spacing w:after="120" w:line="240" w:lineRule="auto"/>
              <w:rPr>
                <w:rFonts w:ascii="Arial Narrow" w:eastAsia="Times New Roman" w:hAnsi="Arial Narrow" w:cs="Calibri"/>
                <w:color w:val="000000" w:themeColor="text1"/>
                <w:sz w:val="20"/>
                <w:szCs w:val="20"/>
              </w:rPr>
            </w:pPr>
            <w:r>
              <w:rPr>
                <w:rFonts w:ascii="Arial Narrow" w:eastAsia="Times New Roman" w:hAnsi="Arial Narrow" w:cs="Calibri"/>
                <w:color w:val="000000" w:themeColor="text1"/>
                <w:sz w:val="20"/>
                <w:szCs w:val="20"/>
              </w:rPr>
              <w:t>Stage 1 PBS process improvements implemented under Strategic Agreement 2017-2022 with Medicines Australia:</w:t>
            </w:r>
          </w:p>
          <w:p w14:paraId="47326383" w14:textId="61E19146" w:rsidR="009227C0" w:rsidRPr="00FF4DAB" w:rsidRDefault="009227C0" w:rsidP="00950892">
            <w:pPr>
              <w:pStyle w:val="ListParagraph"/>
              <w:numPr>
                <w:ilvl w:val="0"/>
                <w:numId w:val="16"/>
              </w:numPr>
              <w:spacing w:after="120"/>
              <w:rPr>
                <w:rFonts w:ascii="Arial Narrow" w:hAnsi="Arial Narrow" w:cs="Calibri"/>
                <w:color w:val="000000" w:themeColor="text1"/>
              </w:rPr>
            </w:pPr>
            <w:r w:rsidRPr="00FF4DAB">
              <w:rPr>
                <w:rFonts w:ascii="Arial Narrow" w:hAnsi="Arial Narrow" w:cs="Calibri"/>
                <w:color w:val="000000" w:themeColor="text1"/>
              </w:rPr>
              <w:t>Changes to pre-submission meetings providing additional guidance and support for complex</w:t>
            </w:r>
            <w:r w:rsidR="00FF4DAB" w:rsidRPr="00FF4DAB">
              <w:rPr>
                <w:rFonts w:ascii="Arial Narrow" w:hAnsi="Arial Narrow" w:cs="Calibri"/>
                <w:color w:val="000000" w:themeColor="text1"/>
              </w:rPr>
              <w:t xml:space="preserve"> </w:t>
            </w:r>
            <w:r w:rsidRPr="00FF4DAB">
              <w:rPr>
                <w:rFonts w:ascii="Arial Narrow" w:hAnsi="Arial Narrow" w:cs="Calibri"/>
                <w:color w:val="000000" w:themeColor="text1"/>
              </w:rPr>
              <w:t>submissions.</w:t>
            </w:r>
          </w:p>
          <w:p w14:paraId="1D1A243E" w14:textId="77777777" w:rsidR="00FF4DAB" w:rsidRDefault="009227C0" w:rsidP="00950892">
            <w:pPr>
              <w:pStyle w:val="ListParagraph"/>
              <w:numPr>
                <w:ilvl w:val="0"/>
                <w:numId w:val="16"/>
              </w:numPr>
              <w:spacing w:after="120"/>
              <w:rPr>
                <w:rFonts w:ascii="Arial Narrow" w:hAnsi="Arial Narrow" w:cs="Calibri"/>
                <w:color w:val="000000" w:themeColor="text1"/>
              </w:rPr>
            </w:pPr>
            <w:r w:rsidRPr="00FF4DAB">
              <w:rPr>
                <w:rFonts w:ascii="Arial Narrow" w:hAnsi="Arial Narrow" w:cs="Calibri"/>
                <w:color w:val="000000" w:themeColor="text1"/>
              </w:rPr>
              <w:t>Introduction of a compulsory intent to apply step for Major and Minor submissions.</w:t>
            </w:r>
          </w:p>
          <w:p w14:paraId="3367BA0B" w14:textId="0453C786" w:rsidR="009227C0" w:rsidRPr="00FF4DAB" w:rsidRDefault="009227C0" w:rsidP="00950892">
            <w:pPr>
              <w:pStyle w:val="ListParagraph"/>
              <w:numPr>
                <w:ilvl w:val="0"/>
                <w:numId w:val="16"/>
              </w:numPr>
              <w:spacing w:after="120"/>
              <w:ind w:left="714" w:hanging="357"/>
              <w:rPr>
                <w:rFonts w:ascii="Arial Narrow" w:hAnsi="Arial Narrow" w:cs="Calibri"/>
                <w:color w:val="000000" w:themeColor="text1"/>
              </w:rPr>
            </w:pPr>
            <w:r w:rsidRPr="00FF4DAB">
              <w:rPr>
                <w:rFonts w:ascii="Arial Narrow" w:hAnsi="Arial Narrow" w:cs="Calibri"/>
                <w:color w:val="000000" w:themeColor="text1"/>
              </w:rPr>
              <w:t>Introduction of four new transparent pathways following a positive PBAC recommendation.</w:t>
            </w:r>
          </w:p>
        </w:tc>
        <w:tc>
          <w:tcPr>
            <w:tcW w:w="4252" w:type="dxa"/>
            <w:vAlign w:val="center"/>
          </w:tcPr>
          <w:p w14:paraId="2D591057" w14:textId="5FC10462" w:rsidR="00FF4DAB" w:rsidRPr="00DD1568" w:rsidRDefault="00FF4DAB" w:rsidP="00950892">
            <w:pPr>
              <w:spacing w:after="120" w:line="240" w:lineRule="auto"/>
              <w:rPr>
                <w:rFonts w:ascii="Arial Narrow" w:eastAsia="Times New Roman" w:hAnsi="Arial Narrow" w:cs="Calibri"/>
                <w:sz w:val="20"/>
                <w:szCs w:val="20"/>
              </w:rPr>
            </w:pPr>
            <w:hyperlink r:id="rId40" w:history="1">
              <w:r w:rsidRPr="00DD1568">
                <w:rPr>
                  <w:rStyle w:val="Hyperlink"/>
                  <w:rFonts w:ascii="Arial Narrow" w:eastAsia="Times New Roman" w:hAnsi="Arial Narrow" w:cs="Calibri"/>
                  <w:color w:val="auto"/>
                  <w:sz w:val="20"/>
                  <w:szCs w:val="20"/>
                  <w:u w:val="none"/>
                </w:rPr>
                <w:t>https://www.pbs.gov.au/info/general/pbs-process-improvements</w:t>
              </w:r>
            </w:hyperlink>
          </w:p>
        </w:tc>
      </w:tr>
      <w:tr w:rsidR="008D59F1" w:rsidRPr="008522AB" w14:paraId="3108F100" w14:textId="77777777" w:rsidTr="00DD1568">
        <w:trPr>
          <w:cantSplit/>
          <w:trHeight w:val="307"/>
        </w:trPr>
        <w:tc>
          <w:tcPr>
            <w:tcW w:w="987" w:type="dxa"/>
            <w:noWrap/>
            <w:vAlign w:val="center"/>
            <w:hideMark/>
          </w:tcPr>
          <w:p w14:paraId="597F5718" w14:textId="64A7675D" w:rsidR="008D59F1" w:rsidRPr="008522AB" w:rsidRDefault="006B65AD"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Feb </w:t>
            </w:r>
            <w:r w:rsidR="008D59F1" w:rsidRPr="008522AB">
              <w:rPr>
                <w:rFonts w:ascii="Arial Narrow" w:eastAsia="Times New Roman" w:hAnsi="Arial Narrow" w:cs="Calibri"/>
                <w:color w:val="000000"/>
                <w:sz w:val="20"/>
                <w:szCs w:val="20"/>
              </w:rPr>
              <w:t>2020</w:t>
            </w:r>
          </w:p>
        </w:tc>
        <w:tc>
          <w:tcPr>
            <w:tcW w:w="1276" w:type="dxa"/>
            <w:noWrap/>
            <w:vAlign w:val="center"/>
            <w:hideMark/>
          </w:tcPr>
          <w:p w14:paraId="053D28C3" w14:textId="00191BA9"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70AD47" w:themeColor="accent6"/>
                <w:sz w:val="20"/>
                <w:szCs w:val="20"/>
              </w:rPr>
              <w:t>Publicity</w:t>
            </w:r>
            <w:r w:rsidR="005866AE">
              <w:rPr>
                <w:rFonts w:ascii="Arial Narrow" w:eastAsia="Times New Roman" w:hAnsi="Arial Narrow" w:cs="Calibri"/>
                <w:color w:val="70AD47" w:themeColor="accent6"/>
                <w:sz w:val="20"/>
                <w:szCs w:val="20"/>
              </w:rPr>
              <w:sym w:font="Symbol" w:char="F0AD"/>
            </w:r>
          </w:p>
        </w:tc>
        <w:tc>
          <w:tcPr>
            <w:tcW w:w="7655" w:type="dxa"/>
            <w:vAlign w:val="center"/>
            <w:hideMark/>
          </w:tcPr>
          <w:p w14:paraId="165169AE"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Launch of the Medicine Status Website to track medicine status in the application process.</w:t>
            </w:r>
          </w:p>
        </w:tc>
        <w:tc>
          <w:tcPr>
            <w:tcW w:w="4252" w:type="dxa"/>
            <w:vAlign w:val="center"/>
            <w:hideMark/>
          </w:tcPr>
          <w:p w14:paraId="4C4FEB76" w14:textId="77777777" w:rsidR="008D59F1" w:rsidRPr="00DD1568" w:rsidRDefault="008D59F1" w:rsidP="00950892">
            <w:pPr>
              <w:spacing w:after="120" w:line="240" w:lineRule="auto"/>
              <w:rPr>
                <w:rFonts w:ascii="Arial Narrow" w:eastAsia="Times New Roman" w:hAnsi="Arial Narrow" w:cs="Calibri"/>
                <w:sz w:val="20"/>
                <w:szCs w:val="20"/>
              </w:rPr>
            </w:pPr>
            <w:r w:rsidRPr="00DD1568">
              <w:rPr>
                <w:rFonts w:ascii="Arial Narrow" w:eastAsia="Times New Roman" w:hAnsi="Arial Narrow" w:cs="Calibri"/>
                <w:sz w:val="20"/>
                <w:szCs w:val="20"/>
              </w:rPr>
              <w:t>https://www.pbs.gov.au/pbs/news/2020/02/launch-of-the-medicine-status-website</w:t>
            </w:r>
          </w:p>
        </w:tc>
      </w:tr>
      <w:tr w:rsidR="008D59F1" w:rsidRPr="008522AB" w14:paraId="21F254A2" w14:textId="77777777" w:rsidTr="00DD1568">
        <w:trPr>
          <w:cantSplit/>
        </w:trPr>
        <w:tc>
          <w:tcPr>
            <w:tcW w:w="987" w:type="dxa"/>
            <w:noWrap/>
            <w:vAlign w:val="center"/>
          </w:tcPr>
          <w:p w14:paraId="3F124C64" w14:textId="36542C2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lastRenderedPageBreak/>
              <w:t>Nov 2020</w:t>
            </w:r>
          </w:p>
        </w:tc>
        <w:tc>
          <w:tcPr>
            <w:tcW w:w="1276" w:type="dxa"/>
            <w:noWrap/>
            <w:vAlign w:val="center"/>
          </w:tcPr>
          <w:p w14:paraId="3C09656E" w14:textId="5E46CAB4"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70AD47" w:themeColor="accent6"/>
                <w:sz w:val="20"/>
                <w:szCs w:val="20"/>
              </w:rPr>
              <w:t>Publicity</w:t>
            </w:r>
            <w:r w:rsidR="005866AE">
              <w:rPr>
                <w:rFonts w:ascii="Arial Narrow" w:eastAsia="Times New Roman" w:hAnsi="Arial Narrow" w:cs="Calibri"/>
                <w:color w:val="70AD47" w:themeColor="accent6"/>
                <w:sz w:val="20"/>
                <w:szCs w:val="20"/>
              </w:rPr>
              <w:sym w:font="Symbol" w:char="F0AD"/>
            </w:r>
          </w:p>
        </w:tc>
        <w:tc>
          <w:tcPr>
            <w:tcW w:w="7655" w:type="dxa"/>
            <w:vAlign w:val="center"/>
          </w:tcPr>
          <w:p w14:paraId="4F850347"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Standardised redaction of Public Summary Documents (PSDs) with fewer agreed ground for redacting clinical data.</w:t>
            </w:r>
          </w:p>
          <w:p w14:paraId="5051CBF8"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 xml:space="preserve">In July 2020, the PBAC issued a Statement of Endorsement of the changes to PSDs, which is publicly available. </w:t>
            </w:r>
          </w:p>
          <w:p w14:paraId="5243CCB8"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 xml:space="preserve">All submissions considered from and including the November 2020 PBAC meeting are subject to the revised process and criteria as outlined in the </w:t>
            </w:r>
            <w:hyperlink r:id="rId41" w:history="1">
              <w:r w:rsidRPr="00DD1568">
                <w:rPr>
                  <w:rStyle w:val="Hyperlink"/>
                  <w:rFonts w:ascii="Arial Narrow" w:eastAsia="Times New Roman" w:hAnsi="Arial Narrow" w:cs="Calibri"/>
                  <w:color w:val="auto"/>
                  <w:sz w:val="20"/>
                  <w:szCs w:val="20"/>
                </w:rPr>
                <w:t>Procedure Guidance for listing medicines on the Pharmaceutical Benefits Scheme (Procedure Guidance).</w:t>
              </w:r>
            </w:hyperlink>
            <w:r w:rsidRPr="00DD1568">
              <w:rPr>
                <w:rStyle w:val="Hyperlink"/>
                <w:color w:val="auto"/>
              </w:rPr>
              <w:t xml:space="preserve"> </w:t>
            </w:r>
            <w:r w:rsidRPr="008522AB">
              <w:rPr>
                <w:rFonts w:ascii="Arial Narrow" w:eastAsia="Times New Roman" w:hAnsi="Arial Narrow" w:cs="Calibri"/>
                <w:color w:val="000000"/>
                <w:sz w:val="20"/>
                <w:szCs w:val="20"/>
              </w:rPr>
              <w:t xml:space="preserve">A supporting guidance document is also available at </w:t>
            </w:r>
            <w:hyperlink r:id="rId42" w:history="1">
              <w:r w:rsidRPr="00DD1568">
                <w:rPr>
                  <w:rStyle w:val="Hyperlink"/>
                  <w:rFonts w:ascii="Arial Narrow" w:eastAsia="Times New Roman" w:hAnsi="Arial Narrow" w:cs="Calibri"/>
                  <w:color w:val="auto"/>
                  <w:sz w:val="20"/>
                  <w:szCs w:val="20"/>
                </w:rPr>
                <w:t>Appendix B</w:t>
              </w:r>
            </w:hyperlink>
            <w:r w:rsidRPr="00DD1568">
              <w:rPr>
                <w:rStyle w:val="Hyperlink"/>
                <w:color w:val="auto"/>
              </w:rPr>
              <w:t xml:space="preserve"> </w:t>
            </w:r>
            <w:r w:rsidRPr="008522AB">
              <w:rPr>
                <w:rFonts w:ascii="Arial Narrow" w:eastAsia="Times New Roman" w:hAnsi="Arial Narrow" w:cs="Calibri"/>
                <w:color w:val="000000"/>
                <w:sz w:val="20"/>
                <w:szCs w:val="20"/>
              </w:rPr>
              <w:t>of the Procedure Guidance.</w:t>
            </w:r>
          </w:p>
        </w:tc>
        <w:tc>
          <w:tcPr>
            <w:tcW w:w="4252" w:type="dxa"/>
            <w:vAlign w:val="center"/>
          </w:tcPr>
          <w:p w14:paraId="0E118431" w14:textId="77777777" w:rsidR="008D59F1" w:rsidRPr="00DD1568" w:rsidRDefault="008D59F1" w:rsidP="00950892">
            <w:pPr>
              <w:spacing w:after="120" w:line="240" w:lineRule="auto"/>
              <w:rPr>
                <w:rFonts w:ascii="Arial Narrow" w:eastAsia="Times New Roman" w:hAnsi="Arial Narrow" w:cs="Calibri"/>
                <w:sz w:val="20"/>
                <w:szCs w:val="20"/>
              </w:rPr>
            </w:pPr>
            <w:hyperlink r:id="rId43" w:history="1">
              <w:r w:rsidRPr="00DD1568">
                <w:rPr>
                  <w:rStyle w:val="Hyperlink"/>
                  <w:rFonts w:ascii="Arial Narrow" w:eastAsia="Times New Roman" w:hAnsi="Arial Narrow" w:cs="Calibri"/>
                  <w:color w:val="auto"/>
                  <w:sz w:val="20"/>
                  <w:szCs w:val="20"/>
                  <w:u w:val="none"/>
                </w:rPr>
                <w:t>https://www.pbs.gov.au/industry/listing/elements/pbac-meetings/files/PBAC-Statement-of-Endorsement-July-2020.pdf</w:t>
              </w:r>
            </w:hyperlink>
          </w:p>
          <w:p w14:paraId="60923FD6" w14:textId="77777777" w:rsidR="008D59F1" w:rsidRPr="00DD1568" w:rsidRDefault="008D59F1" w:rsidP="00950892">
            <w:pPr>
              <w:spacing w:after="120" w:line="240" w:lineRule="auto"/>
              <w:rPr>
                <w:rFonts w:ascii="Arial Narrow" w:eastAsia="Times New Roman" w:hAnsi="Arial Narrow" w:cs="Calibri"/>
                <w:sz w:val="20"/>
                <w:szCs w:val="20"/>
              </w:rPr>
            </w:pPr>
            <w:hyperlink r:id="rId44" w:history="1">
              <w:r w:rsidRPr="00DD1568">
                <w:rPr>
                  <w:rStyle w:val="Hyperlink"/>
                  <w:rFonts w:ascii="Arial Narrow" w:eastAsia="Times New Roman" w:hAnsi="Arial Narrow" w:cs="Calibri"/>
                  <w:color w:val="auto"/>
                  <w:sz w:val="20"/>
                  <w:szCs w:val="20"/>
                  <w:u w:val="none"/>
                </w:rPr>
                <w:t>https://www.pbs.gov.au/info/industry/listing/procedure-guidance/appendix-b</w:t>
              </w:r>
            </w:hyperlink>
          </w:p>
          <w:p w14:paraId="7250D46D" w14:textId="65EBE7C1" w:rsidR="008D59F1" w:rsidRPr="00DD1568" w:rsidRDefault="00DD1568" w:rsidP="00950892">
            <w:pPr>
              <w:spacing w:after="120" w:line="240" w:lineRule="auto"/>
              <w:rPr>
                <w:rFonts w:ascii="Arial Narrow" w:eastAsia="Times New Roman" w:hAnsi="Arial Narrow" w:cs="Calibri"/>
                <w:sz w:val="20"/>
                <w:szCs w:val="20"/>
              </w:rPr>
            </w:pPr>
            <w:r w:rsidRPr="00DD1568">
              <w:rPr>
                <w:rStyle w:val="Hyperlink"/>
                <w:rFonts w:ascii="Arial Narrow" w:eastAsia="Times New Roman" w:hAnsi="Arial Narrow" w:cs="Calibri"/>
                <w:color w:val="auto"/>
                <w:sz w:val="20"/>
                <w:szCs w:val="20"/>
                <w:u w:val="none"/>
              </w:rPr>
              <w:t>https://www.pbs.gov.au/info/industry/listing/procedure-guidance/7-post-pbac-decision-procedures-sponsors/7-4-public-summary-documents</w:t>
            </w:r>
          </w:p>
        </w:tc>
      </w:tr>
      <w:tr w:rsidR="008D59F1" w:rsidRPr="008522AB" w14:paraId="64B349FB" w14:textId="77777777" w:rsidTr="00DD1568">
        <w:trPr>
          <w:cantSplit/>
        </w:trPr>
        <w:tc>
          <w:tcPr>
            <w:tcW w:w="987" w:type="dxa"/>
            <w:noWrap/>
            <w:vAlign w:val="center"/>
          </w:tcPr>
          <w:p w14:paraId="68A58837"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Nov 2020</w:t>
            </w:r>
          </w:p>
        </w:tc>
        <w:tc>
          <w:tcPr>
            <w:tcW w:w="1276" w:type="dxa"/>
            <w:noWrap/>
            <w:vAlign w:val="center"/>
          </w:tcPr>
          <w:p w14:paraId="053A74A2" w14:textId="77777777" w:rsidR="008D59F1" w:rsidRDefault="008D59F1" w:rsidP="00950892">
            <w:pPr>
              <w:spacing w:after="120" w:line="240" w:lineRule="auto"/>
              <w:rPr>
                <w:rFonts w:ascii="Arial Narrow" w:eastAsia="Times New Roman" w:hAnsi="Arial Narrow" w:cs="Calibri"/>
                <w:color w:val="4472C4" w:themeColor="accent1"/>
                <w:sz w:val="20"/>
                <w:szCs w:val="20"/>
              </w:rPr>
            </w:pPr>
            <w:r w:rsidRPr="008522AB">
              <w:rPr>
                <w:rFonts w:ascii="Arial Narrow" w:eastAsia="Times New Roman" w:hAnsi="Arial Narrow" w:cs="Calibri"/>
                <w:color w:val="4472C4" w:themeColor="accent1"/>
                <w:sz w:val="20"/>
                <w:szCs w:val="20"/>
              </w:rPr>
              <w:t>Relevance</w:t>
            </w:r>
            <w:r w:rsidR="005866AE">
              <w:rPr>
                <w:rFonts w:ascii="Arial Narrow" w:eastAsia="Times New Roman" w:hAnsi="Arial Narrow" w:cs="Calibri"/>
                <w:color w:val="4472C4" w:themeColor="accent1"/>
                <w:sz w:val="20"/>
                <w:szCs w:val="20"/>
              </w:rPr>
              <w:sym w:font="Symbol" w:char="F0AD"/>
            </w:r>
          </w:p>
          <w:p w14:paraId="31679D1E" w14:textId="2E991D5B" w:rsidR="00F170F7" w:rsidRPr="008522AB" w:rsidRDefault="00F170F7"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70AD47" w:themeColor="accent6"/>
                <w:sz w:val="20"/>
                <w:szCs w:val="20"/>
              </w:rPr>
              <w:t>Publicity</w:t>
            </w:r>
            <w:r>
              <w:rPr>
                <w:rFonts w:ascii="Arial Narrow" w:eastAsia="Times New Roman" w:hAnsi="Arial Narrow" w:cs="Calibri"/>
                <w:color w:val="70AD47" w:themeColor="accent6"/>
                <w:sz w:val="20"/>
                <w:szCs w:val="20"/>
              </w:rPr>
              <w:sym w:font="Symbol" w:char="F0AD"/>
            </w:r>
          </w:p>
        </w:tc>
        <w:tc>
          <w:tcPr>
            <w:tcW w:w="7655" w:type="dxa"/>
            <w:vAlign w:val="center"/>
          </w:tcPr>
          <w:p w14:paraId="6F035A64" w14:textId="272EBD3F"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Standardised Summary of Information (SIP) initially piloted for 2 lung cancer submissions. 1</w:t>
            </w:r>
            <w:r w:rsidRPr="008522AB">
              <w:rPr>
                <w:rFonts w:ascii="Arial Narrow" w:eastAsia="Times New Roman" w:hAnsi="Arial Narrow" w:cs="Calibri"/>
                <w:color w:val="000000"/>
                <w:sz w:val="20"/>
                <w:szCs w:val="20"/>
                <w:vertAlign w:val="superscript"/>
              </w:rPr>
              <w:t>st</w:t>
            </w:r>
            <w:r w:rsidRPr="008522AB">
              <w:rPr>
                <w:rFonts w:ascii="Arial Narrow" w:eastAsia="Times New Roman" w:hAnsi="Arial Narrow" w:cs="Calibri"/>
                <w:color w:val="000000"/>
                <w:sz w:val="20"/>
                <w:szCs w:val="20"/>
              </w:rPr>
              <w:t xml:space="preserve"> in Nov 2020 NSCLC. 2</w:t>
            </w:r>
            <w:r w:rsidRPr="008522AB">
              <w:rPr>
                <w:rFonts w:ascii="Arial Narrow" w:eastAsia="Times New Roman" w:hAnsi="Arial Narrow" w:cs="Calibri"/>
                <w:color w:val="000000"/>
                <w:sz w:val="20"/>
                <w:szCs w:val="20"/>
                <w:vertAlign w:val="superscript"/>
              </w:rPr>
              <w:t>nd</w:t>
            </w:r>
            <w:r w:rsidRPr="008522AB">
              <w:rPr>
                <w:rFonts w:ascii="Arial Narrow" w:eastAsia="Times New Roman" w:hAnsi="Arial Narrow" w:cs="Calibri"/>
                <w:color w:val="000000"/>
                <w:sz w:val="20"/>
                <w:szCs w:val="20"/>
              </w:rPr>
              <w:t xml:space="preserve"> in Mar 2021 Mesothelioma</w:t>
            </w:r>
            <w:r w:rsidR="00F170F7">
              <w:rPr>
                <w:rFonts w:ascii="Arial Narrow" w:eastAsia="Times New Roman" w:hAnsi="Arial Narrow" w:cs="Calibri"/>
                <w:color w:val="000000"/>
                <w:sz w:val="20"/>
                <w:szCs w:val="20"/>
              </w:rPr>
              <w:t xml:space="preserve"> to improve consumer input and engagement.</w:t>
            </w:r>
          </w:p>
        </w:tc>
        <w:tc>
          <w:tcPr>
            <w:tcW w:w="4252" w:type="dxa"/>
            <w:vAlign w:val="center"/>
          </w:tcPr>
          <w:p w14:paraId="0DD62842" w14:textId="5A2F6EF8" w:rsidR="00565F72" w:rsidRPr="00DD1568" w:rsidRDefault="00DD1568" w:rsidP="00950892">
            <w:pPr>
              <w:spacing w:after="120" w:line="240" w:lineRule="auto"/>
              <w:rPr>
                <w:rFonts w:ascii="Arial Narrow" w:eastAsia="Times New Roman" w:hAnsi="Arial Narrow" w:cs="Calibri"/>
                <w:sz w:val="20"/>
                <w:szCs w:val="20"/>
              </w:rPr>
            </w:pPr>
            <w:hyperlink r:id="rId45" w:history="1">
              <w:r w:rsidRPr="00DD1568">
                <w:rPr>
                  <w:rStyle w:val="Hyperlink"/>
                  <w:rFonts w:ascii="Arial Narrow" w:eastAsia="Times New Roman" w:hAnsi="Arial Narrow" w:cs="Calibri"/>
                  <w:color w:val="auto"/>
                  <w:sz w:val="20"/>
                  <w:szCs w:val="20"/>
                  <w:u w:val="none"/>
                </w:rPr>
                <w:t>https://www.health.gov.au/resources/publications/htaccc-communique-19-october-2023?language=en</w:t>
              </w:r>
            </w:hyperlink>
          </w:p>
          <w:p w14:paraId="6EAFAE01" w14:textId="6EF37B82" w:rsidR="008D59F1" w:rsidRPr="00DD1568" w:rsidRDefault="008D59F1" w:rsidP="00950892">
            <w:pPr>
              <w:spacing w:after="120" w:line="240" w:lineRule="auto"/>
              <w:rPr>
                <w:rFonts w:ascii="Arial Narrow" w:eastAsia="Times New Roman" w:hAnsi="Arial Narrow" w:cs="Calibri"/>
                <w:sz w:val="20"/>
                <w:szCs w:val="20"/>
              </w:rPr>
            </w:pPr>
            <w:r w:rsidRPr="00DD1568">
              <w:rPr>
                <w:rFonts w:ascii="Arial Narrow" w:eastAsia="Times New Roman" w:hAnsi="Arial Narrow" w:cs="Calibri"/>
                <w:sz w:val="20"/>
                <w:szCs w:val="20"/>
              </w:rPr>
              <w:t xml:space="preserve">Sally Wortley Presentation Slides on SIP, </w:t>
            </w:r>
            <w:proofErr w:type="spellStart"/>
            <w:r w:rsidRPr="00DD1568">
              <w:rPr>
                <w:rFonts w:ascii="Arial Narrow" w:eastAsia="Times New Roman" w:hAnsi="Arial Narrow" w:cs="Calibri"/>
                <w:sz w:val="20"/>
                <w:szCs w:val="20"/>
              </w:rPr>
              <w:t>HTAi</w:t>
            </w:r>
            <w:proofErr w:type="spellEnd"/>
            <w:r w:rsidRPr="00DD1568">
              <w:rPr>
                <w:rFonts w:ascii="Arial Narrow" w:eastAsia="Times New Roman" w:hAnsi="Arial Narrow" w:cs="Calibri"/>
                <w:sz w:val="20"/>
                <w:szCs w:val="20"/>
              </w:rPr>
              <w:t xml:space="preserve"> Adelaide 26 June 2023.</w:t>
            </w:r>
          </w:p>
        </w:tc>
      </w:tr>
      <w:tr w:rsidR="008D59F1" w:rsidRPr="008522AB" w14:paraId="6C2DFF01" w14:textId="77777777" w:rsidTr="00DD1568">
        <w:trPr>
          <w:cantSplit/>
        </w:trPr>
        <w:tc>
          <w:tcPr>
            <w:tcW w:w="987" w:type="dxa"/>
            <w:noWrap/>
            <w:vAlign w:val="center"/>
            <w:hideMark/>
          </w:tcPr>
          <w:p w14:paraId="4D2A187F" w14:textId="6FA0D0F7" w:rsidR="008D59F1" w:rsidRPr="008522AB" w:rsidRDefault="006B65AD"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 xml:space="preserve">Jan </w:t>
            </w:r>
            <w:r w:rsidR="008D59F1" w:rsidRPr="008522AB">
              <w:rPr>
                <w:rFonts w:ascii="Arial Narrow" w:eastAsia="Times New Roman" w:hAnsi="Arial Narrow" w:cs="Calibri"/>
                <w:color w:val="000000"/>
                <w:sz w:val="20"/>
                <w:szCs w:val="20"/>
              </w:rPr>
              <w:t>2021</w:t>
            </w:r>
          </w:p>
        </w:tc>
        <w:tc>
          <w:tcPr>
            <w:tcW w:w="1276" w:type="dxa"/>
            <w:noWrap/>
            <w:vAlign w:val="center"/>
            <w:hideMark/>
          </w:tcPr>
          <w:p w14:paraId="62FA92B5" w14:textId="6C5A7FC1" w:rsidR="008D59F1" w:rsidRPr="008522AB" w:rsidRDefault="00715235"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FF0000"/>
                <w:sz w:val="20"/>
                <w:szCs w:val="20"/>
              </w:rPr>
              <w:t>R</w:t>
            </w:r>
            <w:r w:rsidR="008D59F1" w:rsidRPr="008522AB">
              <w:rPr>
                <w:rFonts w:ascii="Arial Narrow" w:eastAsia="Times New Roman" w:hAnsi="Arial Narrow" w:cs="Calibri"/>
                <w:color w:val="FF0000"/>
                <w:sz w:val="20"/>
                <w:szCs w:val="20"/>
              </w:rPr>
              <w:t>evision</w:t>
            </w:r>
            <w:r w:rsidR="005866AE">
              <w:rPr>
                <w:rFonts w:ascii="Arial Narrow" w:eastAsia="Times New Roman" w:hAnsi="Arial Narrow" w:cs="Calibri"/>
                <w:color w:val="FF0000"/>
                <w:sz w:val="20"/>
                <w:szCs w:val="20"/>
              </w:rPr>
              <w:sym w:font="Symbol" w:char="F0AD"/>
            </w:r>
          </w:p>
        </w:tc>
        <w:tc>
          <w:tcPr>
            <w:tcW w:w="7655" w:type="dxa"/>
            <w:vAlign w:val="center"/>
            <w:hideMark/>
          </w:tcPr>
          <w:p w14:paraId="41DB0A09" w14:textId="7720F19D"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 xml:space="preserve">Stage 2 PBS Process improvement </w:t>
            </w:r>
            <w:r w:rsidR="00FF4DAB">
              <w:rPr>
                <w:rFonts w:ascii="Arial Narrow" w:eastAsia="Times New Roman" w:hAnsi="Arial Narrow" w:cs="Calibri"/>
                <w:color w:val="000000"/>
                <w:sz w:val="20"/>
                <w:szCs w:val="20"/>
              </w:rPr>
              <w:t xml:space="preserve">(under </w:t>
            </w:r>
            <w:r w:rsidR="00FF4DAB">
              <w:rPr>
                <w:rFonts w:ascii="Arial Narrow" w:eastAsia="Times New Roman" w:hAnsi="Arial Narrow" w:cs="Calibri"/>
                <w:color w:val="000000" w:themeColor="text1"/>
                <w:sz w:val="20"/>
                <w:szCs w:val="20"/>
              </w:rPr>
              <w:t xml:space="preserve">Strategic Agreement 2017-2022 with Medicines Australia) </w:t>
            </w:r>
            <w:r w:rsidRPr="008522AB">
              <w:rPr>
                <w:rFonts w:ascii="Arial Narrow" w:eastAsia="Times New Roman" w:hAnsi="Arial Narrow" w:cs="Calibri"/>
                <w:color w:val="000000"/>
                <w:sz w:val="20"/>
                <w:szCs w:val="20"/>
              </w:rPr>
              <w:t>commenced 1 Jan 2021 main changes were change relevant to A4R were the resubmission pathways.</w:t>
            </w:r>
          </w:p>
          <w:p w14:paraId="0B1CE4C6" w14:textId="4CDA6D8A" w:rsidR="008D59F1" w:rsidRPr="008522AB" w:rsidRDefault="008D59F1" w:rsidP="00950892">
            <w:pPr>
              <w:spacing w:after="120" w:line="240" w:lineRule="auto"/>
              <w:rPr>
                <w:rFonts w:ascii="Arial Narrow" w:eastAsia="Times New Roman" w:hAnsi="Arial Narrow" w:cs="Calibri"/>
                <w:color w:val="000000"/>
                <w:sz w:val="20"/>
                <w:szCs w:val="20"/>
              </w:rPr>
            </w:pPr>
            <w:proofErr w:type="spellStart"/>
            <w:r w:rsidRPr="008522AB">
              <w:rPr>
                <w:rFonts w:ascii="Arial Narrow" w:eastAsia="Times New Roman" w:hAnsi="Arial Narrow" w:cs="Calibri"/>
                <w:color w:val="000000"/>
                <w:sz w:val="20"/>
                <w:szCs w:val="20"/>
              </w:rPr>
              <w:t>i</w:t>
            </w:r>
            <w:proofErr w:type="spellEnd"/>
            <w:r w:rsidRPr="008522AB">
              <w:rPr>
                <w:rFonts w:ascii="Arial Narrow" w:eastAsia="Times New Roman" w:hAnsi="Arial Narrow" w:cs="Calibri"/>
                <w:color w:val="000000"/>
                <w:sz w:val="20"/>
                <w:szCs w:val="20"/>
              </w:rPr>
              <w:t xml:space="preserve">) changes to initial submission categories (including to introduction of a single submission date ii) </w:t>
            </w:r>
            <w:r w:rsidRPr="008522AB">
              <w:rPr>
                <w:rFonts w:ascii="Arial Narrow" w:eastAsia="Times New Roman" w:hAnsi="Arial Narrow" w:cs="Calibri"/>
                <w:b/>
                <w:bCs/>
                <w:color w:val="000000"/>
                <w:sz w:val="20"/>
                <w:szCs w:val="20"/>
              </w:rPr>
              <w:t>intro of resubmission pathways for submissions not recommended by the PBAC</w:t>
            </w:r>
            <w:r w:rsidRPr="008522AB">
              <w:rPr>
                <w:rFonts w:ascii="Arial Narrow" w:eastAsia="Times New Roman" w:hAnsi="Arial Narrow" w:cs="Calibri"/>
                <w:color w:val="000000"/>
                <w:sz w:val="20"/>
                <w:szCs w:val="20"/>
              </w:rPr>
              <w:t xml:space="preserve"> iii) revised cost recovery arrangements to support implementation of stage 2 processes iv) other improvements, including expansion of the department's Health Products Portal functionalit</w:t>
            </w:r>
            <w:r w:rsidR="005866AE">
              <w:rPr>
                <w:rFonts w:ascii="Arial Narrow" w:eastAsia="Times New Roman" w:hAnsi="Arial Narrow" w:cs="Calibri"/>
                <w:color w:val="000000"/>
                <w:sz w:val="20"/>
                <w:szCs w:val="20"/>
              </w:rPr>
              <w:t>y.</w:t>
            </w:r>
          </w:p>
        </w:tc>
        <w:tc>
          <w:tcPr>
            <w:tcW w:w="4252" w:type="dxa"/>
            <w:vAlign w:val="center"/>
            <w:hideMark/>
          </w:tcPr>
          <w:p w14:paraId="507F8E7C" w14:textId="5DD94DFE" w:rsidR="008D59F1" w:rsidRPr="00DD1568" w:rsidRDefault="008625AE" w:rsidP="00950892">
            <w:pPr>
              <w:spacing w:after="120" w:line="240" w:lineRule="auto"/>
              <w:rPr>
                <w:rFonts w:ascii="Arial Narrow" w:eastAsia="Times New Roman" w:hAnsi="Arial Narrow" w:cs="Calibri"/>
                <w:sz w:val="20"/>
                <w:szCs w:val="20"/>
              </w:rPr>
            </w:pPr>
            <w:hyperlink r:id="rId46" w:history="1">
              <w:r w:rsidRPr="00DD1568">
                <w:rPr>
                  <w:rStyle w:val="Hyperlink"/>
                  <w:rFonts w:ascii="Arial Narrow" w:eastAsia="Times New Roman" w:hAnsi="Arial Narrow" w:cs="Calibri"/>
                  <w:color w:val="auto"/>
                  <w:sz w:val="20"/>
                  <w:szCs w:val="20"/>
                  <w:u w:val="none"/>
                </w:rPr>
                <w:t>https://www.pbs.gov.au/info/general/pbs-process-improvements</w:t>
              </w:r>
            </w:hyperlink>
          </w:p>
          <w:p w14:paraId="6E8129D0" w14:textId="36E37EAD" w:rsidR="008625AE" w:rsidRPr="00DD1568" w:rsidRDefault="008625AE" w:rsidP="00950892">
            <w:pPr>
              <w:spacing w:after="120" w:line="240" w:lineRule="auto"/>
              <w:rPr>
                <w:rFonts w:ascii="Arial Narrow" w:eastAsia="Times New Roman" w:hAnsi="Arial Narrow" w:cs="Calibri"/>
                <w:sz w:val="20"/>
                <w:szCs w:val="20"/>
              </w:rPr>
            </w:pPr>
          </w:p>
        </w:tc>
      </w:tr>
      <w:tr w:rsidR="005307CD" w:rsidRPr="008522AB" w14:paraId="50592E2B" w14:textId="77777777" w:rsidTr="00DD1568">
        <w:trPr>
          <w:cantSplit/>
          <w:trHeight w:val="879"/>
        </w:trPr>
        <w:tc>
          <w:tcPr>
            <w:tcW w:w="987" w:type="dxa"/>
            <w:noWrap/>
            <w:vAlign w:val="center"/>
          </w:tcPr>
          <w:p w14:paraId="5595A4B8" w14:textId="1D865FF1" w:rsidR="005307CD" w:rsidRDefault="005307CD"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Feb 2021</w:t>
            </w:r>
          </w:p>
        </w:tc>
        <w:tc>
          <w:tcPr>
            <w:tcW w:w="1276" w:type="dxa"/>
            <w:noWrap/>
            <w:vAlign w:val="center"/>
          </w:tcPr>
          <w:p w14:paraId="68DD1510" w14:textId="0248E8BF" w:rsidR="005307CD" w:rsidRPr="008522AB" w:rsidRDefault="00F558CC" w:rsidP="00950892">
            <w:pPr>
              <w:spacing w:after="120" w:line="240" w:lineRule="auto"/>
              <w:rPr>
                <w:rFonts w:ascii="Arial Narrow" w:eastAsia="Times New Roman" w:hAnsi="Arial Narrow" w:cs="Calibri"/>
                <w:color w:val="ED7D31" w:themeColor="accent2"/>
                <w:sz w:val="20"/>
                <w:szCs w:val="20"/>
              </w:rPr>
            </w:pPr>
            <w:r>
              <w:rPr>
                <w:rFonts w:ascii="Arial Narrow" w:eastAsia="Times New Roman" w:hAnsi="Arial Narrow" w:cs="Calibri"/>
                <w:color w:val="FF0000"/>
                <w:sz w:val="20"/>
                <w:szCs w:val="20"/>
              </w:rPr>
              <w:t>R</w:t>
            </w:r>
            <w:r w:rsidR="008625AE" w:rsidRPr="008522AB">
              <w:rPr>
                <w:rFonts w:ascii="Arial Narrow" w:eastAsia="Times New Roman" w:hAnsi="Arial Narrow" w:cs="Calibri"/>
                <w:color w:val="FF0000"/>
                <w:sz w:val="20"/>
                <w:szCs w:val="20"/>
              </w:rPr>
              <w:t>evision</w:t>
            </w:r>
            <w:r w:rsidR="005866AE">
              <w:rPr>
                <w:rFonts w:ascii="Arial Narrow" w:eastAsia="Times New Roman" w:hAnsi="Arial Narrow" w:cs="Calibri"/>
                <w:color w:val="FF0000"/>
                <w:sz w:val="20"/>
                <w:szCs w:val="20"/>
              </w:rPr>
              <w:t xml:space="preserve"> </w:t>
            </w:r>
            <w:r w:rsidR="005866AE">
              <w:rPr>
                <w:rFonts w:ascii="Arial Narrow" w:eastAsia="Times New Roman" w:hAnsi="Arial Narrow" w:cs="Calibri"/>
                <w:color w:val="FF0000"/>
                <w:sz w:val="20"/>
                <w:szCs w:val="20"/>
              </w:rPr>
              <w:sym w:font="Symbol" w:char="F0AD"/>
            </w:r>
          </w:p>
        </w:tc>
        <w:tc>
          <w:tcPr>
            <w:tcW w:w="7655" w:type="dxa"/>
            <w:vAlign w:val="center"/>
          </w:tcPr>
          <w:p w14:paraId="047DE813" w14:textId="4598657D" w:rsidR="005307CD" w:rsidRPr="008522AB" w:rsidRDefault="008625AE"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Revised process for reviewing PBS-listing recommendations not accepted by applicants from 5 years to 2 years due to the</w:t>
            </w:r>
            <w:r w:rsidRPr="008625AE">
              <w:rPr>
                <w:rFonts w:ascii="Arial Narrow" w:eastAsia="Times New Roman" w:hAnsi="Arial Narrow" w:cs="Calibri"/>
                <w:color w:val="000000"/>
                <w:sz w:val="20"/>
                <w:szCs w:val="20"/>
              </w:rPr>
              <w:t xml:space="preserve"> increasing speed with which new evidence and new technologies are becoming available. </w:t>
            </w:r>
            <w:r w:rsidR="005866AE">
              <w:rPr>
                <w:rFonts w:ascii="Arial Narrow" w:eastAsia="Times New Roman" w:hAnsi="Arial Narrow" w:cs="Calibri"/>
                <w:color w:val="000000"/>
                <w:sz w:val="20"/>
                <w:szCs w:val="20"/>
              </w:rPr>
              <w:t xml:space="preserve"> The PBAC chair noted</w:t>
            </w:r>
            <w:r w:rsidR="005866AE" w:rsidRPr="005866AE">
              <w:rPr>
                <w:rFonts w:ascii="Arial Narrow" w:eastAsia="Times New Roman" w:hAnsi="Arial Narrow" w:cs="Calibri"/>
                <w:color w:val="000000"/>
                <w:sz w:val="20"/>
                <w:szCs w:val="20"/>
              </w:rPr>
              <w:t xml:space="preserve"> that a</w:t>
            </w:r>
            <w:r w:rsidR="005866AE">
              <w:rPr>
                <w:rFonts w:ascii="Arial Narrow" w:eastAsia="Times New Roman" w:hAnsi="Arial Narrow" w:cs="Calibri"/>
                <w:color w:val="000000"/>
                <w:sz w:val="20"/>
                <w:szCs w:val="20"/>
              </w:rPr>
              <w:t>n earlier</w:t>
            </w:r>
            <w:r w:rsidR="005866AE" w:rsidRPr="005866AE">
              <w:rPr>
                <w:rFonts w:ascii="Arial Narrow" w:eastAsia="Times New Roman" w:hAnsi="Arial Narrow" w:cs="Calibri"/>
                <w:color w:val="000000"/>
                <w:sz w:val="20"/>
                <w:szCs w:val="20"/>
              </w:rPr>
              <w:t xml:space="preserve"> PBAC review, with applicant input</w:t>
            </w:r>
            <w:r w:rsidR="005866AE">
              <w:rPr>
                <w:rFonts w:ascii="Arial Narrow" w:eastAsia="Times New Roman" w:hAnsi="Arial Narrow" w:cs="Calibri"/>
                <w:color w:val="000000"/>
                <w:sz w:val="20"/>
                <w:szCs w:val="20"/>
              </w:rPr>
              <w:t xml:space="preserve"> </w:t>
            </w:r>
            <w:r w:rsidR="005866AE" w:rsidRPr="005866AE">
              <w:rPr>
                <w:rFonts w:ascii="Arial Narrow" w:eastAsia="Times New Roman" w:hAnsi="Arial Narrow" w:cs="Calibri"/>
                <w:color w:val="000000"/>
                <w:sz w:val="20"/>
                <w:szCs w:val="20"/>
              </w:rPr>
              <w:t>could assist these recommendations progressing to PBS subsidy</w:t>
            </w:r>
            <w:r w:rsidR="005866AE">
              <w:rPr>
                <w:rFonts w:ascii="Arial Narrow" w:eastAsia="Times New Roman" w:hAnsi="Arial Narrow" w:cs="Calibri"/>
                <w:color w:val="000000"/>
                <w:sz w:val="20"/>
                <w:szCs w:val="20"/>
              </w:rPr>
              <w:t>.</w:t>
            </w:r>
          </w:p>
        </w:tc>
        <w:tc>
          <w:tcPr>
            <w:tcW w:w="4252" w:type="dxa"/>
            <w:vAlign w:val="center"/>
          </w:tcPr>
          <w:p w14:paraId="6D3CCB89" w14:textId="7491E7C1" w:rsidR="008625AE" w:rsidRPr="00DD1568" w:rsidRDefault="008625AE" w:rsidP="00950892">
            <w:pPr>
              <w:spacing w:after="120" w:line="240" w:lineRule="auto"/>
              <w:rPr>
                <w:rFonts w:ascii="Arial Narrow" w:eastAsia="Times New Roman" w:hAnsi="Arial Narrow" w:cs="Calibri"/>
                <w:sz w:val="20"/>
                <w:szCs w:val="20"/>
              </w:rPr>
            </w:pPr>
            <w:hyperlink r:id="rId47" w:history="1">
              <w:r w:rsidRPr="00DD1568">
                <w:rPr>
                  <w:rStyle w:val="Hyperlink"/>
                  <w:rFonts w:ascii="Arial Narrow" w:eastAsia="Times New Roman" w:hAnsi="Arial Narrow" w:cs="Calibri"/>
                  <w:color w:val="auto"/>
                  <w:sz w:val="20"/>
                  <w:szCs w:val="20"/>
                  <w:u w:val="none"/>
                </w:rPr>
                <w:t>https://www.pbs.gov.au/info/news/2021/02/amendments-to-the-process-for-reviewing-and-remaking-positiv</w:t>
              </w:r>
            </w:hyperlink>
          </w:p>
        </w:tc>
      </w:tr>
      <w:tr w:rsidR="008D59F1" w:rsidRPr="008522AB" w14:paraId="0B6B7893" w14:textId="77777777" w:rsidTr="00DD1568">
        <w:trPr>
          <w:cantSplit/>
        </w:trPr>
        <w:tc>
          <w:tcPr>
            <w:tcW w:w="987" w:type="dxa"/>
            <w:noWrap/>
            <w:vAlign w:val="center"/>
            <w:hideMark/>
          </w:tcPr>
          <w:p w14:paraId="3B9CBFAD"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2021</w:t>
            </w:r>
          </w:p>
        </w:tc>
        <w:tc>
          <w:tcPr>
            <w:tcW w:w="1276" w:type="dxa"/>
            <w:noWrap/>
            <w:vAlign w:val="center"/>
            <w:hideMark/>
          </w:tcPr>
          <w:p w14:paraId="228A0040" w14:textId="77777777" w:rsidR="008D59F1" w:rsidRDefault="00F558CC" w:rsidP="00950892">
            <w:pPr>
              <w:spacing w:after="120" w:line="240" w:lineRule="auto"/>
              <w:rPr>
                <w:rFonts w:ascii="Arial Narrow" w:eastAsia="Times New Roman" w:hAnsi="Arial Narrow" w:cs="Calibri"/>
                <w:color w:val="4472C4" w:themeColor="accent1"/>
                <w:sz w:val="20"/>
                <w:szCs w:val="20"/>
              </w:rPr>
            </w:pPr>
            <w:r>
              <w:rPr>
                <w:rFonts w:ascii="Arial Narrow" w:eastAsia="Times New Roman" w:hAnsi="Arial Narrow" w:cs="Calibri"/>
                <w:color w:val="4472C4" w:themeColor="accent1"/>
                <w:sz w:val="20"/>
                <w:szCs w:val="20"/>
              </w:rPr>
              <w:t>R</w:t>
            </w:r>
            <w:r w:rsidR="008D59F1" w:rsidRPr="008522AB">
              <w:rPr>
                <w:rFonts w:ascii="Arial Narrow" w:eastAsia="Times New Roman" w:hAnsi="Arial Narrow" w:cs="Calibri"/>
                <w:color w:val="4472C4" w:themeColor="accent1"/>
                <w:sz w:val="20"/>
                <w:szCs w:val="20"/>
              </w:rPr>
              <w:t>elevance</w:t>
            </w:r>
            <w:r w:rsidR="005866AE">
              <w:rPr>
                <w:rFonts w:ascii="Arial Narrow" w:eastAsia="Times New Roman" w:hAnsi="Arial Narrow" w:cs="Calibri"/>
                <w:color w:val="4472C4" w:themeColor="accent1"/>
                <w:sz w:val="20"/>
                <w:szCs w:val="20"/>
              </w:rPr>
              <w:sym w:font="Symbol" w:char="F0AD"/>
            </w:r>
          </w:p>
          <w:p w14:paraId="0772227F" w14:textId="2338609B" w:rsidR="00F170F7" w:rsidRPr="008522AB" w:rsidRDefault="00F170F7"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70AD47" w:themeColor="accent6"/>
                <w:sz w:val="20"/>
                <w:szCs w:val="20"/>
              </w:rPr>
              <w:t>Publicity</w:t>
            </w:r>
            <w:r>
              <w:rPr>
                <w:rFonts w:ascii="Arial Narrow" w:eastAsia="Times New Roman" w:hAnsi="Arial Narrow" w:cs="Calibri"/>
                <w:color w:val="70AD47" w:themeColor="accent6"/>
                <w:sz w:val="20"/>
                <w:szCs w:val="20"/>
              </w:rPr>
              <w:sym w:font="Symbol" w:char="F0AD"/>
            </w:r>
          </w:p>
        </w:tc>
        <w:tc>
          <w:tcPr>
            <w:tcW w:w="7655" w:type="dxa"/>
            <w:vAlign w:val="center"/>
            <w:hideMark/>
          </w:tcPr>
          <w:p w14:paraId="40A22306" w14:textId="2070517D" w:rsidR="008D59F1" w:rsidRPr="00DD1568" w:rsidRDefault="008D59F1" w:rsidP="00950892">
            <w:pPr>
              <w:spacing w:after="120" w:line="240" w:lineRule="auto"/>
              <w:rPr>
                <w:rFonts w:ascii="Arial Narrow" w:eastAsia="Times New Roman" w:hAnsi="Arial Narrow" w:cs="Calibri"/>
                <w:sz w:val="20"/>
                <w:szCs w:val="20"/>
              </w:rPr>
            </w:pPr>
            <w:r w:rsidRPr="00DD1568">
              <w:rPr>
                <w:rFonts w:ascii="Arial Narrow" w:eastAsia="Times New Roman" w:hAnsi="Arial Narrow" w:cs="Calibri"/>
                <w:sz w:val="20"/>
                <w:szCs w:val="20"/>
              </w:rPr>
              <w:t xml:space="preserve">Publication of PBAC agenda moved even earlier to 14 weeks before the PBAC meeting as part of Stage 2 PBAC process improvements (see above). </w:t>
            </w:r>
            <w:r w:rsidRPr="00DD1568">
              <w:rPr>
                <w:rFonts w:ascii="Arial Narrow" w:eastAsia="Times New Roman" w:hAnsi="Arial Narrow"/>
                <w:sz w:val="20"/>
                <w:szCs w:val="20"/>
              </w:rPr>
              <w:t xml:space="preserve">This gave </w:t>
            </w:r>
            <w:r w:rsidR="00282A78" w:rsidRPr="00DD1568">
              <w:rPr>
                <w:rFonts w:ascii="Arial Narrow" w:eastAsia="Times New Roman" w:hAnsi="Arial Narrow"/>
                <w:sz w:val="20"/>
                <w:szCs w:val="20"/>
              </w:rPr>
              <w:t>consumers and other stakeholders more time </w:t>
            </w:r>
            <w:r w:rsidRPr="00DD1568">
              <w:rPr>
                <w:rFonts w:ascii="Arial Narrow" w:eastAsia="Times New Roman" w:hAnsi="Arial Narrow"/>
                <w:sz w:val="20"/>
                <w:szCs w:val="20"/>
              </w:rPr>
              <w:t>to make their submissions.</w:t>
            </w:r>
          </w:p>
        </w:tc>
        <w:tc>
          <w:tcPr>
            <w:tcW w:w="4252" w:type="dxa"/>
            <w:vAlign w:val="center"/>
            <w:hideMark/>
          </w:tcPr>
          <w:p w14:paraId="2726828F" w14:textId="345F1FF1" w:rsidR="00DD1568" w:rsidRPr="00DD1568" w:rsidRDefault="00DD1568" w:rsidP="00950892">
            <w:pPr>
              <w:spacing w:after="120" w:line="240" w:lineRule="auto"/>
              <w:rPr>
                <w:rFonts w:ascii="Arial Narrow" w:eastAsia="Times New Roman" w:hAnsi="Arial Narrow" w:cs="Calibri"/>
                <w:sz w:val="20"/>
                <w:szCs w:val="20"/>
              </w:rPr>
            </w:pPr>
            <w:hyperlink r:id="rId48" w:history="1">
              <w:r w:rsidRPr="00DD1568">
                <w:rPr>
                  <w:rStyle w:val="Hyperlink"/>
                  <w:rFonts w:ascii="Arial Narrow" w:eastAsia="Times New Roman" w:hAnsi="Arial Narrow" w:cs="Calibri"/>
                  <w:color w:val="auto"/>
                  <w:sz w:val="20"/>
                  <w:szCs w:val="20"/>
                  <w:u w:val="none"/>
                </w:rPr>
                <w:t>https://www.pbs.gov.au/pbs/industry/listing/procedure-guidance/6-consideration-submissions/6-7-consumer-input</w:t>
              </w:r>
            </w:hyperlink>
          </w:p>
        </w:tc>
      </w:tr>
      <w:tr w:rsidR="008D59F1" w:rsidRPr="008522AB" w14:paraId="1B602F65" w14:textId="77777777" w:rsidTr="00DD1568">
        <w:trPr>
          <w:cantSplit/>
        </w:trPr>
        <w:tc>
          <w:tcPr>
            <w:tcW w:w="987" w:type="dxa"/>
            <w:noWrap/>
            <w:vAlign w:val="center"/>
            <w:hideMark/>
          </w:tcPr>
          <w:p w14:paraId="34FD63F6" w14:textId="77777777" w:rsidR="008D59F1" w:rsidRPr="008522AB" w:rsidRDefault="008D59F1" w:rsidP="00950892">
            <w:pPr>
              <w:spacing w:after="120" w:line="240" w:lineRule="auto"/>
              <w:rPr>
                <w:rFonts w:ascii="Arial Narrow" w:eastAsia="Times New Roman" w:hAnsi="Arial Narrow" w:cs="Calibri"/>
                <w:sz w:val="20"/>
                <w:szCs w:val="20"/>
              </w:rPr>
            </w:pPr>
            <w:r w:rsidRPr="008522AB">
              <w:rPr>
                <w:rFonts w:ascii="Arial Narrow" w:eastAsia="Times New Roman" w:hAnsi="Arial Narrow" w:cs="Calibri"/>
                <w:sz w:val="20"/>
                <w:szCs w:val="20"/>
              </w:rPr>
              <w:lastRenderedPageBreak/>
              <w:t>Signed Sep 2021</w:t>
            </w:r>
          </w:p>
        </w:tc>
        <w:tc>
          <w:tcPr>
            <w:tcW w:w="1276" w:type="dxa"/>
            <w:noWrap/>
            <w:vAlign w:val="center"/>
            <w:hideMark/>
          </w:tcPr>
          <w:p w14:paraId="77F0B5EC" w14:textId="473BC130" w:rsidR="008D59F1" w:rsidRPr="008522AB" w:rsidRDefault="008D59F1" w:rsidP="00950892">
            <w:pPr>
              <w:spacing w:after="120" w:line="240" w:lineRule="auto"/>
              <w:rPr>
                <w:rFonts w:ascii="Arial Narrow" w:eastAsia="Times New Roman" w:hAnsi="Arial Narrow" w:cs="Calibri"/>
                <w:color w:val="ED7D31" w:themeColor="accent2"/>
                <w:sz w:val="20"/>
                <w:szCs w:val="20"/>
              </w:rPr>
            </w:pPr>
            <w:r w:rsidRPr="008522AB">
              <w:rPr>
                <w:rFonts w:ascii="Arial Narrow" w:eastAsia="Times New Roman" w:hAnsi="Arial Narrow" w:cs="Calibri"/>
                <w:color w:val="ED7D31" w:themeColor="accent2"/>
                <w:sz w:val="20"/>
                <w:szCs w:val="20"/>
              </w:rPr>
              <w:t xml:space="preserve">Enforcement </w:t>
            </w:r>
            <w:r w:rsidRPr="008522AB">
              <w:rPr>
                <w:rFonts w:ascii="Arial Narrow" w:eastAsia="Times New Roman" w:hAnsi="Arial Narrow" w:cs="Calibri"/>
                <w:sz w:val="20"/>
                <w:szCs w:val="20"/>
              </w:rPr>
              <w:t>of</w:t>
            </w:r>
            <w:r w:rsidRPr="008522AB">
              <w:rPr>
                <w:rFonts w:ascii="Arial Narrow" w:eastAsia="Times New Roman" w:hAnsi="Arial Narrow" w:cs="Calibri"/>
                <w:color w:val="ED7D31" w:themeColor="accent2"/>
                <w:sz w:val="20"/>
                <w:szCs w:val="20"/>
              </w:rPr>
              <w:t xml:space="preserve"> </w:t>
            </w:r>
            <w:r w:rsidRPr="008522AB">
              <w:rPr>
                <w:rFonts w:ascii="Arial Narrow" w:eastAsia="Times New Roman" w:hAnsi="Arial Narrow" w:cs="Calibri"/>
                <w:color w:val="4472C4" w:themeColor="accent1"/>
                <w:sz w:val="20"/>
                <w:szCs w:val="20"/>
              </w:rPr>
              <w:t>relevance</w:t>
            </w:r>
            <w:r w:rsidR="00DA3C06">
              <w:rPr>
                <w:rFonts w:ascii="Arial Narrow" w:eastAsia="Times New Roman" w:hAnsi="Arial Narrow" w:cs="Calibri"/>
                <w:color w:val="4472C4" w:themeColor="accent1"/>
                <w:sz w:val="20"/>
                <w:szCs w:val="20"/>
              </w:rPr>
              <w:sym w:font="Symbol" w:char="F0AD"/>
            </w:r>
            <w:r w:rsidRPr="008522AB">
              <w:rPr>
                <w:rFonts w:ascii="Arial Narrow" w:eastAsia="Times New Roman" w:hAnsi="Arial Narrow" w:cs="Calibri"/>
                <w:sz w:val="20"/>
                <w:szCs w:val="20"/>
              </w:rPr>
              <w:t xml:space="preserve">, </w:t>
            </w:r>
            <w:r w:rsidRPr="008522AB">
              <w:rPr>
                <w:rFonts w:ascii="Arial Narrow" w:eastAsia="Times New Roman" w:hAnsi="Arial Narrow" w:cs="Calibri"/>
                <w:color w:val="70AD47" w:themeColor="accent6"/>
                <w:sz w:val="20"/>
                <w:szCs w:val="20"/>
              </w:rPr>
              <w:t>publicity</w:t>
            </w:r>
            <w:r w:rsidR="00DA3C06">
              <w:rPr>
                <w:rFonts w:ascii="Arial Narrow" w:eastAsia="Times New Roman" w:hAnsi="Arial Narrow" w:cs="Calibri"/>
                <w:color w:val="70AD47" w:themeColor="accent6"/>
                <w:sz w:val="20"/>
                <w:szCs w:val="20"/>
              </w:rPr>
              <w:sym w:font="Symbol" w:char="F0AD"/>
            </w:r>
            <w:r w:rsidRPr="008522AB">
              <w:rPr>
                <w:rFonts w:ascii="Arial Narrow" w:eastAsia="Times New Roman" w:hAnsi="Arial Narrow" w:cs="Calibri"/>
                <w:sz w:val="20"/>
                <w:szCs w:val="20"/>
              </w:rPr>
              <w:t xml:space="preserve">, and </w:t>
            </w:r>
            <w:r w:rsidRPr="008522AB">
              <w:rPr>
                <w:rFonts w:ascii="Arial Narrow" w:eastAsia="Times New Roman" w:hAnsi="Arial Narrow" w:cs="Calibri"/>
                <w:color w:val="FF0000"/>
                <w:sz w:val="20"/>
                <w:szCs w:val="20"/>
              </w:rPr>
              <w:t>revision</w:t>
            </w:r>
            <w:r w:rsidR="00DA3C06">
              <w:rPr>
                <w:rFonts w:ascii="Arial Narrow" w:eastAsia="Times New Roman" w:hAnsi="Arial Narrow" w:cs="Calibri"/>
                <w:color w:val="FF0000"/>
                <w:sz w:val="20"/>
                <w:szCs w:val="20"/>
              </w:rPr>
              <w:sym w:font="Symbol" w:char="F0AD"/>
            </w:r>
          </w:p>
        </w:tc>
        <w:tc>
          <w:tcPr>
            <w:tcW w:w="7655" w:type="dxa"/>
            <w:vAlign w:val="center"/>
            <w:hideMark/>
          </w:tcPr>
          <w:p w14:paraId="68800B9A" w14:textId="2172F511"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Australian government signed a new Strategic Agreement 2022-2027 with Medicines Australia</w:t>
            </w:r>
            <w:r w:rsidR="005866AE">
              <w:rPr>
                <w:rFonts w:ascii="Arial Narrow" w:eastAsia="Times New Roman" w:hAnsi="Arial Narrow" w:cs="Calibri"/>
                <w:color w:val="000000"/>
                <w:sz w:val="20"/>
                <w:szCs w:val="20"/>
              </w:rPr>
              <w:t>.</w:t>
            </w:r>
            <w:r w:rsidRPr="008522AB">
              <w:rPr>
                <w:rFonts w:ascii="Arial Narrow" w:eastAsia="Times New Roman" w:hAnsi="Arial Narrow" w:cs="Calibri"/>
                <w:color w:val="000000"/>
                <w:sz w:val="20"/>
                <w:szCs w:val="20"/>
              </w:rPr>
              <w:t xml:space="preserve">  Goal: timely access to new medicines and vaccines. </w:t>
            </w:r>
            <w:r w:rsidRPr="008522AB">
              <w:rPr>
                <w:rFonts w:ascii="Arial Narrow" w:eastAsia="Times New Roman" w:hAnsi="Arial Narrow" w:cs="Calibri"/>
                <w:sz w:val="20"/>
                <w:szCs w:val="20"/>
              </w:rPr>
              <w:t xml:space="preserve">The main potential consequence for PBAC and potentially other HTA committees is the HTA Review, see </w:t>
            </w:r>
            <w:hyperlink r:id="rId49">
              <w:r w:rsidR="005866AE" w:rsidRPr="005866AE">
                <w:rPr>
                  <w:rStyle w:val="Hyperlink"/>
                  <w:rFonts w:ascii="Arial Narrow" w:eastAsia="Arial Narrow" w:hAnsi="Arial Narrow" w:cs="Arial Narrow"/>
                  <w:color w:val="auto"/>
                  <w:sz w:val="20"/>
                  <w:szCs w:val="20"/>
                </w:rPr>
                <w:t>HTA</w:t>
              </w:r>
              <w:r w:rsidRPr="005866AE">
                <w:rPr>
                  <w:rStyle w:val="Hyperlink"/>
                  <w:rFonts w:ascii="Arial Narrow" w:eastAsia="Arial Narrow" w:hAnsi="Arial Narrow" w:cs="Arial Narrow"/>
                  <w:color w:val="auto"/>
                  <w:sz w:val="20"/>
                  <w:szCs w:val="20"/>
                </w:rPr>
                <w:t xml:space="preserve"> Policy and Methods Review | Australian Government Department of Health and Aged Care</w:t>
              </w:r>
            </w:hyperlink>
            <w:r w:rsidRPr="005866AE">
              <w:rPr>
                <w:rFonts w:ascii="Arial Narrow" w:eastAsia="Times New Roman" w:hAnsi="Arial Narrow" w:cs="Calibri"/>
                <w:sz w:val="20"/>
                <w:szCs w:val="20"/>
              </w:rPr>
              <w:t>.</w:t>
            </w:r>
            <w:r w:rsidR="00364FE1" w:rsidRPr="005866AE">
              <w:rPr>
                <w:rFonts w:ascii="Arial Narrow" w:eastAsia="Times New Roman" w:hAnsi="Arial Narrow" w:cs="Calibri"/>
                <w:sz w:val="20"/>
                <w:szCs w:val="20"/>
              </w:rPr>
              <w:t xml:space="preserve"> </w:t>
            </w:r>
            <w:r w:rsidR="00364FE1">
              <w:rPr>
                <w:rFonts w:ascii="Arial Narrow" w:eastAsia="Times New Roman" w:hAnsi="Arial Narrow" w:cs="Calibri"/>
                <w:color w:val="000000" w:themeColor="text1"/>
                <w:sz w:val="20"/>
                <w:szCs w:val="20"/>
              </w:rPr>
              <w:t>The agreement also included a commitment to co-design with consumers</w:t>
            </w:r>
            <w:r w:rsidR="00282A78" w:rsidRPr="00282A78">
              <w:rPr>
                <w:rFonts w:ascii="Arial Narrow" w:eastAsia="Times New Roman" w:hAnsi="Arial Narrow" w:cs="Calibri"/>
                <w:color w:val="000000" w:themeColor="text1"/>
                <w:sz w:val="20"/>
                <w:szCs w:val="20"/>
              </w:rPr>
              <w:t> and patients and implementing a new process to elevate the patient and consumer voice in the submission and the HTA process that supports</w:t>
            </w:r>
            <w:r w:rsidR="00364FE1">
              <w:rPr>
                <w:rFonts w:ascii="Arial Narrow" w:eastAsia="Times New Roman" w:hAnsi="Arial Narrow" w:cs="Calibri"/>
                <w:color w:val="000000" w:themeColor="text1"/>
                <w:sz w:val="20"/>
                <w:szCs w:val="20"/>
              </w:rPr>
              <w:t xml:space="preserve"> the PBAC consideration of applications to list new medicines on the PBS.</w:t>
            </w:r>
          </w:p>
        </w:tc>
        <w:tc>
          <w:tcPr>
            <w:tcW w:w="4252" w:type="dxa"/>
            <w:vAlign w:val="center"/>
            <w:hideMark/>
          </w:tcPr>
          <w:p w14:paraId="6E1CF9EB" w14:textId="27EE8678" w:rsidR="00DD1568" w:rsidRPr="00DD1568" w:rsidRDefault="00DD1568" w:rsidP="00950892">
            <w:pPr>
              <w:spacing w:after="120" w:line="240" w:lineRule="auto"/>
              <w:rPr>
                <w:rFonts w:ascii="Arial Narrow" w:eastAsia="Times New Roman" w:hAnsi="Arial Narrow" w:cs="Calibri"/>
                <w:sz w:val="20"/>
                <w:szCs w:val="20"/>
              </w:rPr>
            </w:pPr>
            <w:hyperlink r:id="rId50" w:history="1">
              <w:r w:rsidRPr="00DD1568">
                <w:rPr>
                  <w:rStyle w:val="Hyperlink"/>
                  <w:rFonts w:ascii="Arial Narrow" w:eastAsia="Times New Roman" w:hAnsi="Arial Narrow" w:cs="Calibri"/>
                  <w:color w:val="auto"/>
                  <w:sz w:val="20"/>
                  <w:szCs w:val="20"/>
                  <w:u w:val="none"/>
                </w:rPr>
                <w:t>https://www.pbs.gov.au/info/general/medicines-industry-strategic-agreement</w:t>
              </w:r>
            </w:hyperlink>
          </w:p>
          <w:p w14:paraId="134A104E" w14:textId="271A85A1" w:rsidR="00364FE1" w:rsidRPr="00DD1568" w:rsidRDefault="00364FE1" w:rsidP="00950892">
            <w:pPr>
              <w:spacing w:after="120" w:line="240" w:lineRule="auto"/>
              <w:rPr>
                <w:rFonts w:ascii="Arial Narrow" w:eastAsia="Times New Roman" w:hAnsi="Arial Narrow" w:cs="Calibri"/>
                <w:sz w:val="20"/>
                <w:szCs w:val="20"/>
              </w:rPr>
            </w:pPr>
          </w:p>
        </w:tc>
      </w:tr>
      <w:tr w:rsidR="008D59F1" w:rsidRPr="008522AB" w14:paraId="33474117" w14:textId="77777777" w:rsidTr="00DD1568">
        <w:trPr>
          <w:cantSplit/>
        </w:trPr>
        <w:tc>
          <w:tcPr>
            <w:tcW w:w="987" w:type="dxa"/>
            <w:noWrap/>
            <w:vAlign w:val="center"/>
            <w:hideMark/>
          </w:tcPr>
          <w:p w14:paraId="5406EBDD"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early 2021</w:t>
            </w:r>
          </w:p>
        </w:tc>
        <w:tc>
          <w:tcPr>
            <w:tcW w:w="1276" w:type="dxa"/>
            <w:noWrap/>
            <w:vAlign w:val="center"/>
            <w:hideMark/>
          </w:tcPr>
          <w:p w14:paraId="289363A4" w14:textId="558B76BC" w:rsidR="008D59F1" w:rsidRPr="008522AB" w:rsidRDefault="00301324"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70AD47" w:themeColor="accent6"/>
                <w:sz w:val="20"/>
                <w:szCs w:val="20"/>
              </w:rPr>
              <w:t>^</w:t>
            </w:r>
            <w:r w:rsidR="008D59F1" w:rsidRPr="008522AB">
              <w:rPr>
                <w:rFonts w:ascii="Arial Narrow" w:eastAsia="Times New Roman" w:hAnsi="Arial Narrow" w:cs="Calibri"/>
                <w:color w:val="70AD47" w:themeColor="accent6"/>
                <w:sz w:val="20"/>
                <w:szCs w:val="20"/>
              </w:rPr>
              <w:t>Publicity</w:t>
            </w:r>
            <w:r w:rsidR="00282A78">
              <w:rPr>
                <w:rFonts w:ascii="Arial Narrow" w:eastAsia="Times New Roman" w:hAnsi="Arial Narrow" w:cs="Calibri"/>
                <w:color w:val="70AD47" w:themeColor="accent6"/>
                <w:sz w:val="20"/>
                <w:szCs w:val="20"/>
              </w:rPr>
              <w:sym w:font="Symbol" w:char="F0AD"/>
            </w:r>
            <w:r>
              <w:rPr>
                <w:rFonts w:ascii="Arial Narrow" w:eastAsia="Times New Roman" w:hAnsi="Arial Narrow" w:cs="Calibri"/>
                <w:color w:val="70AD47" w:themeColor="accent6"/>
                <w:sz w:val="20"/>
                <w:szCs w:val="20"/>
              </w:rPr>
              <w:t xml:space="preserve"> </w:t>
            </w:r>
          </w:p>
        </w:tc>
        <w:tc>
          <w:tcPr>
            <w:tcW w:w="7655" w:type="dxa"/>
            <w:vAlign w:val="center"/>
            <w:hideMark/>
          </w:tcPr>
          <w:p w14:paraId="396242B3" w14:textId="16A5110A" w:rsidR="008D59F1" w:rsidRPr="008522AB" w:rsidRDefault="000B23AB"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W</w:t>
            </w:r>
            <w:r w:rsidR="008D59F1" w:rsidRPr="008522AB">
              <w:rPr>
                <w:rFonts w:ascii="Arial Narrow" w:eastAsia="Times New Roman" w:hAnsi="Arial Narrow" w:cs="Calibri"/>
                <w:color w:val="000000"/>
                <w:sz w:val="20"/>
                <w:szCs w:val="20"/>
              </w:rPr>
              <w:t>hen lodging an application, the applicant is required to acknowledge and agree (inter alia) that “Health may publish the following information on the internet in relation to the work of the Committees: meeting agendas, meeting outcomes and reasons for meeting outcomes including the evidence or other material on which those outcomes are based”.</w:t>
            </w:r>
          </w:p>
        </w:tc>
        <w:tc>
          <w:tcPr>
            <w:tcW w:w="4252" w:type="dxa"/>
            <w:noWrap/>
            <w:vAlign w:val="center"/>
            <w:hideMark/>
          </w:tcPr>
          <w:p w14:paraId="09A5A8BE" w14:textId="04A98349" w:rsidR="00DD1568" w:rsidRPr="00DD1568" w:rsidRDefault="00DD1568" w:rsidP="00950892">
            <w:pPr>
              <w:spacing w:after="120" w:line="240" w:lineRule="auto"/>
              <w:rPr>
                <w:rFonts w:ascii="Arial Narrow" w:eastAsia="Times New Roman" w:hAnsi="Arial Narrow" w:cs="Calibri"/>
                <w:sz w:val="20"/>
                <w:szCs w:val="20"/>
              </w:rPr>
            </w:pPr>
            <w:hyperlink r:id="rId51" w:history="1">
              <w:r w:rsidRPr="00DD1568">
                <w:rPr>
                  <w:rStyle w:val="Hyperlink"/>
                  <w:rFonts w:ascii="Arial Narrow" w:eastAsia="Times New Roman" w:hAnsi="Arial Narrow" w:cs="Calibri"/>
                  <w:color w:val="auto"/>
                  <w:sz w:val="20"/>
                  <w:szCs w:val="20"/>
                  <w:u w:val="none"/>
                </w:rPr>
                <w:t>https://hpp.health.gov.au/termsandcondition/?id=a20dfef2-0e27-46a6-85e2-51a568ddd3b9</w:t>
              </w:r>
            </w:hyperlink>
          </w:p>
        </w:tc>
      </w:tr>
      <w:tr w:rsidR="008D59F1" w:rsidRPr="008522AB" w14:paraId="52F177C9" w14:textId="77777777" w:rsidTr="00DD1568">
        <w:trPr>
          <w:cantSplit/>
          <w:trHeight w:val="1135"/>
        </w:trPr>
        <w:tc>
          <w:tcPr>
            <w:tcW w:w="987" w:type="dxa"/>
            <w:tcBorders>
              <w:bottom w:val="single" w:sz="4" w:space="0" w:color="auto"/>
            </w:tcBorders>
            <w:noWrap/>
            <w:vAlign w:val="center"/>
          </w:tcPr>
          <w:p w14:paraId="4F98CE72"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May 2022</w:t>
            </w:r>
          </w:p>
        </w:tc>
        <w:tc>
          <w:tcPr>
            <w:tcW w:w="1276" w:type="dxa"/>
            <w:tcBorders>
              <w:bottom w:val="single" w:sz="4" w:space="0" w:color="auto"/>
            </w:tcBorders>
            <w:noWrap/>
            <w:vAlign w:val="center"/>
          </w:tcPr>
          <w:p w14:paraId="3434C302" w14:textId="6256FCC9" w:rsidR="008D59F1" w:rsidRPr="008522AB" w:rsidRDefault="00301324" w:rsidP="00950892">
            <w:pPr>
              <w:spacing w:after="120" w:line="240" w:lineRule="auto"/>
              <w:rPr>
                <w:rFonts w:ascii="Arial Narrow" w:eastAsia="Times New Roman" w:hAnsi="Arial Narrow" w:cs="Calibri"/>
                <w:color w:val="00B050"/>
                <w:sz w:val="20"/>
                <w:szCs w:val="20"/>
              </w:rPr>
            </w:pPr>
            <w:r>
              <w:rPr>
                <w:rFonts w:ascii="Arial Narrow" w:eastAsia="Times New Roman" w:hAnsi="Arial Narrow" w:cs="Calibri"/>
                <w:color w:val="70AD47" w:themeColor="accent6"/>
                <w:sz w:val="20"/>
                <w:szCs w:val="20"/>
              </w:rPr>
              <w:t>^</w:t>
            </w:r>
            <w:r w:rsidR="008D59F1" w:rsidRPr="008522AB">
              <w:rPr>
                <w:rFonts w:ascii="Arial Narrow" w:eastAsia="Times New Roman" w:hAnsi="Arial Narrow" w:cs="Calibri"/>
                <w:color w:val="70AD47" w:themeColor="accent6"/>
                <w:sz w:val="20"/>
                <w:szCs w:val="20"/>
              </w:rPr>
              <w:t>Publicity</w:t>
            </w:r>
            <w:r w:rsidR="00C015D7">
              <w:rPr>
                <w:rFonts w:ascii="Arial Narrow" w:eastAsia="Times New Roman" w:hAnsi="Arial Narrow" w:cs="Calibri"/>
                <w:color w:val="70AD47" w:themeColor="accent6"/>
                <w:sz w:val="20"/>
                <w:szCs w:val="20"/>
              </w:rPr>
              <w:sym w:font="Symbol" w:char="F0AD"/>
            </w:r>
          </w:p>
        </w:tc>
        <w:tc>
          <w:tcPr>
            <w:tcW w:w="7655" w:type="dxa"/>
            <w:tcBorders>
              <w:bottom w:val="single" w:sz="4" w:space="0" w:color="auto"/>
            </w:tcBorders>
            <w:vAlign w:val="center"/>
          </w:tcPr>
          <w:p w14:paraId="6729E42A" w14:textId="6BF8C6F8"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 xml:space="preserve">International Committee of Journal Editors (ICMJE) Recommendations clarification, p9: The ICMJE does not consider results or data contained in assessment reports published by </w:t>
            </w:r>
            <w:r w:rsidR="005866AE">
              <w:rPr>
                <w:rFonts w:ascii="Arial Narrow" w:eastAsia="Times New Roman" w:hAnsi="Arial Narrow" w:cs="Calibri"/>
                <w:color w:val="000000"/>
                <w:sz w:val="20"/>
                <w:szCs w:val="20"/>
              </w:rPr>
              <w:t xml:space="preserve">HTA </w:t>
            </w:r>
            <w:r w:rsidRPr="008522AB">
              <w:rPr>
                <w:rFonts w:ascii="Arial Narrow" w:eastAsia="Times New Roman" w:hAnsi="Arial Narrow" w:cs="Calibri"/>
                <w:color w:val="000000"/>
                <w:sz w:val="20"/>
                <w:szCs w:val="20"/>
              </w:rPr>
              <w:t xml:space="preserve">agencies, medical regulators, medical device regulators, or other regulatory agencies to be duplicate publication. This </w:t>
            </w:r>
            <w:r w:rsidRPr="008522AB">
              <w:rPr>
                <w:rFonts w:ascii="Arial Narrow" w:eastAsia="Times New Roman" w:hAnsi="Arial Narrow"/>
                <w:sz w:val="20"/>
                <w:szCs w:val="20"/>
              </w:rPr>
              <w:t xml:space="preserve">may mean that full clinical data in submissions will soon be available in PSDs. Expect this to show up first as </w:t>
            </w:r>
            <w:r w:rsidRPr="008522AB">
              <w:rPr>
                <w:rFonts w:ascii="Arial Narrow" w:eastAsia="Times New Roman" w:hAnsi="Arial Narrow" w:cs="Calibri"/>
                <w:sz w:val="20"/>
                <w:szCs w:val="20"/>
              </w:rPr>
              <w:t>further simplification in 7.4 of the PBAC Procedure Guidance document,</w:t>
            </w:r>
            <w:r w:rsidRPr="008522AB">
              <w:rPr>
                <w:rFonts w:ascii="Arial Narrow" w:eastAsia="Times New Roman" w:hAnsi="Arial Narrow"/>
                <w:sz w:val="20"/>
                <w:szCs w:val="20"/>
              </w:rPr>
              <w:t xml:space="preserve"> No changes yet at 1 Nov 2023).</w:t>
            </w:r>
          </w:p>
        </w:tc>
        <w:tc>
          <w:tcPr>
            <w:tcW w:w="4252" w:type="dxa"/>
            <w:tcBorders>
              <w:bottom w:val="single" w:sz="4" w:space="0" w:color="auto"/>
            </w:tcBorders>
            <w:noWrap/>
            <w:vAlign w:val="center"/>
          </w:tcPr>
          <w:p w14:paraId="4D230130" w14:textId="6880EBF0" w:rsidR="008D59F1" w:rsidRPr="00DD1568" w:rsidRDefault="00D82E74" w:rsidP="00950892">
            <w:pPr>
              <w:spacing w:after="120" w:line="240" w:lineRule="auto"/>
              <w:rPr>
                <w:rFonts w:ascii="Arial Narrow" w:eastAsia="Times New Roman" w:hAnsi="Arial Narrow" w:cs="Calibri"/>
                <w:sz w:val="20"/>
                <w:szCs w:val="20"/>
              </w:rPr>
            </w:pPr>
            <w:r w:rsidRPr="00D82E74">
              <w:rPr>
                <w:rStyle w:val="Hyperlink"/>
                <w:rFonts w:ascii="Arial Narrow" w:eastAsia="Times New Roman" w:hAnsi="Arial Narrow" w:cs="Calibri"/>
                <w:color w:val="auto"/>
                <w:sz w:val="20"/>
                <w:szCs w:val="20"/>
                <w:u w:val="none"/>
              </w:rPr>
              <w:t>https://www.icmje.org/news-and-editorials/icmje-recommendations_annotated_may22.pdf</w:t>
            </w:r>
          </w:p>
        </w:tc>
      </w:tr>
      <w:tr w:rsidR="008D59F1" w:rsidRPr="008522AB" w14:paraId="615FBC84" w14:textId="77777777" w:rsidTr="00DD1568">
        <w:trPr>
          <w:cantSplit/>
          <w:trHeight w:val="398"/>
        </w:trPr>
        <w:tc>
          <w:tcPr>
            <w:tcW w:w="987" w:type="dxa"/>
            <w:tcBorders>
              <w:right w:val="nil"/>
            </w:tcBorders>
            <w:shd w:val="clear" w:color="auto" w:fill="E7E6E6" w:themeFill="background2"/>
            <w:noWrap/>
            <w:vAlign w:val="center"/>
          </w:tcPr>
          <w:p w14:paraId="148D42B3" w14:textId="77777777" w:rsidR="008D59F1" w:rsidRPr="008522AB" w:rsidRDefault="008D59F1" w:rsidP="00950892">
            <w:pPr>
              <w:spacing w:after="120" w:line="240" w:lineRule="auto"/>
              <w:rPr>
                <w:rFonts w:ascii="Arial Narrow" w:eastAsia="Times New Roman" w:hAnsi="Arial Narrow" w:cs="Calibri"/>
                <w:b/>
                <w:color w:val="000000"/>
                <w:sz w:val="20"/>
                <w:szCs w:val="20"/>
              </w:rPr>
            </w:pPr>
            <w:r w:rsidRPr="008522AB">
              <w:rPr>
                <w:rFonts w:ascii="Arial Narrow" w:eastAsia="Times New Roman" w:hAnsi="Arial Narrow" w:cs="Calibri"/>
                <w:b/>
                <w:color w:val="000000"/>
                <w:sz w:val="20"/>
                <w:szCs w:val="20"/>
              </w:rPr>
              <w:t>MSAC</w:t>
            </w:r>
          </w:p>
        </w:tc>
        <w:tc>
          <w:tcPr>
            <w:tcW w:w="1276" w:type="dxa"/>
            <w:tcBorders>
              <w:left w:val="nil"/>
              <w:right w:val="nil"/>
            </w:tcBorders>
            <w:shd w:val="clear" w:color="auto" w:fill="E7E6E6" w:themeFill="background2"/>
            <w:noWrap/>
            <w:vAlign w:val="center"/>
          </w:tcPr>
          <w:p w14:paraId="0A4476FE" w14:textId="77777777" w:rsidR="008D59F1" w:rsidRPr="008522AB" w:rsidRDefault="008D59F1" w:rsidP="00950892">
            <w:pPr>
              <w:spacing w:after="120" w:line="240" w:lineRule="auto"/>
              <w:rPr>
                <w:rFonts w:ascii="Arial Narrow" w:eastAsia="Times New Roman" w:hAnsi="Arial Narrow" w:cs="Calibri"/>
                <w:b/>
                <w:color w:val="000000"/>
                <w:sz w:val="20"/>
                <w:szCs w:val="20"/>
              </w:rPr>
            </w:pPr>
          </w:p>
        </w:tc>
        <w:tc>
          <w:tcPr>
            <w:tcW w:w="7655" w:type="dxa"/>
            <w:tcBorders>
              <w:left w:val="nil"/>
              <w:right w:val="nil"/>
            </w:tcBorders>
            <w:shd w:val="clear" w:color="auto" w:fill="E7E6E6" w:themeFill="background2"/>
            <w:vAlign w:val="center"/>
          </w:tcPr>
          <w:p w14:paraId="7F9596F5" w14:textId="77777777" w:rsidR="008D59F1" w:rsidRPr="008522AB" w:rsidRDefault="008D59F1" w:rsidP="00950892">
            <w:pPr>
              <w:spacing w:after="120" w:line="240" w:lineRule="auto"/>
              <w:rPr>
                <w:rFonts w:ascii="Arial Narrow" w:eastAsia="Times New Roman" w:hAnsi="Arial Narrow" w:cs="Calibri"/>
                <w:b/>
                <w:color w:val="000000"/>
                <w:sz w:val="20"/>
                <w:szCs w:val="20"/>
              </w:rPr>
            </w:pPr>
          </w:p>
        </w:tc>
        <w:tc>
          <w:tcPr>
            <w:tcW w:w="4252" w:type="dxa"/>
            <w:tcBorders>
              <w:left w:val="nil"/>
              <w:right w:val="single" w:sz="4" w:space="0" w:color="auto"/>
            </w:tcBorders>
            <w:shd w:val="clear" w:color="auto" w:fill="E7E6E6" w:themeFill="background2"/>
            <w:noWrap/>
            <w:vAlign w:val="center"/>
          </w:tcPr>
          <w:p w14:paraId="28CD270C" w14:textId="77777777" w:rsidR="008D59F1" w:rsidRPr="00DD1568" w:rsidRDefault="008D59F1" w:rsidP="00950892">
            <w:pPr>
              <w:spacing w:after="120" w:line="240" w:lineRule="auto"/>
              <w:rPr>
                <w:rFonts w:ascii="Arial Narrow" w:hAnsi="Arial Narrow"/>
                <w:b/>
                <w:sz w:val="20"/>
                <w:szCs w:val="20"/>
              </w:rPr>
            </w:pPr>
          </w:p>
        </w:tc>
      </w:tr>
      <w:tr w:rsidR="008D59F1" w:rsidRPr="008522AB" w14:paraId="761BF30A" w14:textId="77777777" w:rsidTr="00DD1568">
        <w:trPr>
          <w:cantSplit/>
        </w:trPr>
        <w:tc>
          <w:tcPr>
            <w:tcW w:w="987" w:type="dxa"/>
            <w:noWrap/>
            <w:vAlign w:val="center"/>
            <w:hideMark/>
          </w:tcPr>
          <w:p w14:paraId="30D006E5" w14:textId="48047B1A"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2015</w:t>
            </w:r>
            <w:r w:rsidR="0079701C">
              <w:rPr>
                <w:rFonts w:ascii="Arial Narrow" w:eastAsia="Times New Roman" w:hAnsi="Arial Narrow" w:cs="Calibri"/>
                <w:color w:val="000000"/>
                <w:sz w:val="20"/>
                <w:szCs w:val="20"/>
              </w:rPr>
              <w:t>*</w:t>
            </w:r>
          </w:p>
        </w:tc>
        <w:tc>
          <w:tcPr>
            <w:tcW w:w="1276" w:type="dxa"/>
            <w:noWrap/>
            <w:vAlign w:val="center"/>
            <w:hideMark/>
          </w:tcPr>
          <w:p w14:paraId="37A54B18" w14:textId="273D7864" w:rsidR="008D59F1" w:rsidRPr="008522AB" w:rsidRDefault="0043215A" w:rsidP="00950892">
            <w:pPr>
              <w:spacing w:after="120" w:line="240" w:lineRule="auto"/>
              <w:rPr>
                <w:rFonts w:ascii="Arial Narrow" w:eastAsia="Times New Roman" w:hAnsi="Arial Narrow" w:cs="Calibri"/>
                <w:sz w:val="20"/>
                <w:szCs w:val="20"/>
              </w:rPr>
            </w:pPr>
            <w:r w:rsidRPr="008522AB">
              <w:rPr>
                <w:rFonts w:ascii="Arial Narrow" w:eastAsia="Times New Roman" w:hAnsi="Arial Narrow" w:cs="Calibri"/>
                <w:color w:val="ED7D31" w:themeColor="accent2"/>
                <w:sz w:val="20"/>
                <w:szCs w:val="20"/>
              </w:rPr>
              <w:t xml:space="preserve">Enforcement </w:t>
            </w:r>
            <w:r w:rsidRPr="008522AB">
              <w:rPr>
                <w:rFonts w:ascii="Arial Narrow" w:eastAsia="Times New Roman" w:hAnsi="Arial Narrow" w:cs="Calibri"/>
                <w:sz w:val="20"/>
                <w:szCs w:val="20"/>
              </w:rPr>
              <w:t>of</w:t>
            </w:r>
            <w:r w:rsidRPr="008522AB">
              <w:rPr>
                <w:rFonts w:ascii="Arial Narrow" w:eastAsia="Times New Roman" w:hAnsi="Arial Narrow" w:cs="Calibri"/>
                <w:color w:val="ED7D31" w:themeColor="accent2"/>
                <w:sz w:val="20"/>
                <w:szCs w:val="20"/>
              </w:rPr>
              <w:t xml:space="preserve"> </w:t>
            </w:r>
            <w:r w:rsidRPr="008522AB">
              <w:rPr>
                <w:rFonts w:ascii="Arial Narrow" w:eastAsia="Times New Roman" w:hAnsi="Arial Narrow" w:cs="Calibri"/>
                <w:color w:val="4472C4" w:themeColor="accent1"/>
                <w:sz w:val="20"/>
                <w:szCs w:val="20"/>
              </w:rPr>
              <w:t>relevance</w:t>
            </w:r>
            <w:r>
              <w:rPr>
                <w:rFonts w:ascii="Arial Narrow" w:eastAsia="Times New Roman" w:hAnsi="Arial Narrow" w:cs="Calibri"/>
                <w:color w:val="4472C4" w:themeColor="accent1"/>
                <w:sz w:val="20"/>
                <w:szCs w:val="20"/>
              </w:rPr>
              <w:sym w:font="Symbol" w:char="F0AD"/>
            </w:r>
          </w:p>
        </w:tc>
        <w:tc>
          <w:tcPr>
            <w:tcW w:w="7655" w:type="dxa"/>
            <w:noWrap/>
            <w:vAlign w:val="center"/>
            <w:hideMark/>
          </w:tcPr>
          <w:p w14:paraId="5B3EB1A2" w14:textId="15397EC9" w:rsidR="008D59F1" w:rsidRPr="008522AB" w:rsidRDefault="008D59F1" w:rsidP="00950892">
            <w:pPr>
              <w:spacing w:after="120" w:line="240" w:lineRule="auto"/>
              <w:rPr>
                <w:rFonts w:ascii="Arial Narrow" w:eastAsia="Times New Roman" w:hAnsi="Arial Narrow" w:cs="Calibri"/>
                <w:sz w:val="20"/>
                <w:szCs w:val="20"/>
              </w:rPr>
            </w:pPr>
            <w:r w:rsidRPr="008522AB">
              <w:rPr>
                <w:rFonts w:ascii="Arial Narrow" w:eastAsia="Times New Roman" w:hAnsi="Arial Narrow" w:cs="Calibri"/>
                <w:sz w:val="20"/>
                <w:szCs w:val="20"/>
              </w:rPr>
              <w:t xml:space="preserve">Two consumer members </w:t>
            </w:r>
            <w:r w:rsidR="00403303">
              <w:rPr>
                <w:rFonts w:ascii="Arial Narrow" w:eastAsia="Times New Roman" w:hAnsi="Arial Narrow" w:cs="Calibri"/>
                <w:sz w:val="20"/>
                <w:szCs w:val="20"/>
              </w:rPr>
              <w:t>for</w:t>
            </w:r>
            <w:r w:rsidRPr="008522AB">
              <w:rPr>
                <w:rFonts w:ascii="Arial Narrow" w:eastAsia="Times New Roman" w:hAnsi="Arial Narrow" w:cs="Calibri"/>
                <w:sz w:val="20"/>
                <w:szCs w:val="20"/>
              </w:rPr>
              <w:t xml:space="preserve"> MSAC, MSAC ESC and MSAC PASC</w:t>
            </w:r>
            <w:r w:rsidR="00747C8B">
              <w:rPr>
                <w:rFonts w:ascii="Arial Narrow" w:eastAsia="Times New Roman" w:hAnsi="Arial Narrow" w:cs="Calibri"/>
                <w:sz w:val="20"/>
                <w:szCs w:val="20"/>
              </w:rPr>
              <w:t xml:space="preserve"> from 1 member previously.</w:t>
            </w:r>
          </w:p>
        </w:tc>
        <w:tc>
          <w:tcPr>
            <w:tcW w:w="4252" w:type="dxa"/>
            <w:vAlign w:val="center"/>
            <w:hideMark/>
          </w:tcPr>
          <w:p w14:paraId="0F316C7F" w14:textId="14FFB3DF" w:rsidR="009A0529" w:rsidRPr="00DD1568" w:rsidRDefault="009A0529" w:rsidP="00950892">
            <w:pPr>
              <w:spacing w:after="120" w:line="240" w:lineRule="auto"/>
              <w:rPr>
                <w:rFonts w:ascii="Arial Narrow" w:eastAsia="Times New Roman" w:hAnsi="Arial Narrow" w:cs="Calibri"/>
                <w:b/>
                <w:sz w:val="20"/>
                <w:szCs w:val="20"/>
              </w:rPr>
            </w:pPr>
            <w:r w:rsidRPr="00DD1568">
              <w:rPr>
                <w:rStyle w:val="Hyperlink"/>
                <w:rFonts w:ascii="Arial Narrow" w:eastAsia="Arial Narrow" w:hAnsi="Arial Narrow" w:cs="Arial Narrow"/>
                <w:color w:val="auto"/>
                <w:sz w:val="20"/>
                <w:szCs w:val="20"/>
                <w:u w:val="none"/>
              </w:rPr>
              <w:t>http://www.msac.gov.au/internet/msac/publishing.nsf/Content/msac-membership</w:t>
            </w:r>
          </w:p>
        </w:tc>
      </w:tr>
      <w:tr w:rsidR="00125D0B" w:rsidRPr="008522AB" w14:paraId="335286DD" w14:textId="77777777" w:rsidTr="00DD1568">
        <w:trPr>
          <w:cantSplit/>
        </w:trPr>
        <w:tc>
          <w:tcPr>
            <w:tcW w:w="987" w:type="dxa"/>
            <w:noWrap/>
            <w:vAlign w:val="center"/>
            <w:hideMark/>
          </w:tcPr>
          <w:p w14:paraId="45E555DC" w14:textId="77777777" w:rsidR="00125D0B" w:rsidRPr="008522AB" w:rsidRDefault="00125D0B" w:rsidP="00950892">
            <w:pPr>
              <w:spacing w:after="120" w:line="240" w:lineRule="auto"/>
              <w:rPr>
                <w:rFonts w:ascii="Arial Narrow" w:eastAsia="Times New Roman" w:hAnsi="Arial Narrow" w:cs="Calibri"/>
                <w:sz w:val="20"/>
                <w:szCs w:val="20"/>
              </w:rPr>
            </w:pPr>
            <w:r w:rsidRPr="008522AB">
              <w:rPr>
                <w:rFonts w:ascii="Arial Narrow" w:eastAsia="Times New Roman" w:hAnsi="Arial Narrow" w:cs="Calibri"/>
                <w:sz w:val="20"/>
                <w:szCs w:val="20"/>
              </w:rPr>
              <w:t>2016</w:t>
            </w:r>
          </w:p>
        </w:tc>
        <w:tc>
          <w:tcPr>
            <w:tcW w:w="1276" w:type="dxa"/>
            <w:noWrap/>
            <w:vAlign w:val="center"/>
            <w:hideMark/>
          </w:tcPr>
          <w:p w14:paraId="0A1BC02D" w14:textId="06A1D212" w:rsidR="00125D0B" w:rsidRPr="008522AB" w:rsidRDefault="00125D0B" w:rsidP="00950892">
            <w:pPr>
              <w:spacing w:after="120" w:line="240" w:lineRule="auto"/>
              <w:rPr>
                <w:rFonts w:ascii="Arial Narrow" w:eastAsia="Times New Roman" w:hAnsi="Arial Narrow" w:cs="Calibri"/>
                <w:sz w:val="20"/>
                <w:szCs w:val="20"/>
              </w:rPr>
            </w:pPr>
            <w:r w:rsidRPr="008522AB">
              <w:rPr>
                <w:rFonts w:ascii="Arial Narrow" w:eastAsia="Times New Roman" w:hAnsi="Arial Narrow" w:cs="Calibri"/>
                <w:color w:val="ED7D31" w:themeColor="accent2"/>
                <w:sz w:val="20"/>
                <w:szCs w:val="20"/>
              </w:rPr>
              <w:t>Enforcement</w:t>
            </w:r>
            <w:r w:rsidRPr="008522AB">
              <w:rPr>
                <w:rFonts w:ascii="Arial Narrow" w:eastAsia="Times New Roman" w:hAnsi="Arial Narrow" w:cs="Calibri"/>
                <w:sz w:val="20"/>
                <w:szCs w:val="20"/>
              </w:rPr>
              <w:t xml:space="preserve"> of </w:t>
            </w:r>
            <w:r w:rsidRPr="008522AB">
              <w:rPr>
                <w:rFonts w:ascii="Arial Narrow" w:eastAsia="Times New Roman" w:hAnsi="Arial Narrow" w:cs="Calibri"/>
                <w:color w:val="4472C4" w:themeColor="accent1"/>
                <w:sz w:val="20"/>
                <w:szCs w:val="20"/>
              </w:rPr>
              <w:t>relevance</w:t>
            </w:r>
            <w:r w:rsidR="000A14AB">
              <w:rPr>
                <w:rFonts w:ascii="Arial Narrow" w:eastAsia="Times New Roman" w:hAnsi="Arial Narrow" w:cs="Calibri"/>
                <w:color w:val="4472C4" w:themeColor="accent1"/>
                <w:sz w:val="20"/>
                <w:szCs w:val="20"/>
              </w:rPr>
              <w:sym w:font="Symbol" w:char="F0AD"/>
            </w:r>
            <w:r w:rsidRPr="008522AB">
              <w:rPr>
                <w:rFonts w:ascii="Arial Narrow" w:eastAsia="Times New Roman" w:hAnsi="Arial Narrow" w:cs="Calibri"/>
                <w:color w:val="4472C4" w:themeColor="accent1"/>
                <w:sz w:val="20"/>
                <w:szCs w:val="20"/>
              </w:rPr>
              <w:t xml:space="preserve">, </w:t>
            </w:r>
            <w:r w:rsidRPr="008522AB">
              <w:rPr>
                <w:rFonts w:ascii="Arial Narrow" w:eastAsia="Times New Roman" w:hAnsi="Arial Narrow" w:cs="Calibri"/>
                <w:color w:val="70AD47" w:themeColor="accent6"/>
                <w:sz w:val="20"/>
                <w:szCs w:val="20"/>
              </w:rPr>
              <w:t>publicity</w:t>
            </w:r>
            <w:r w:rsidR="000A14AB">
              <w:rPr>
                <w:rFonts w:ascii="Arial Narrow" w:eastAsia="Times New Roman" w:hAnsi="Arial Narrow" w:cs="Calibri"/>
                <w:color w:val="70AD47" w:themeColor="accent6"/>
                <w:sz w:val="20"/>
                <w:szCs w:val="20"/>
              </w:rPr>
              <w:sym w:font="Symbol" w:char="F0AD"/>
            </w:r>
            <w:r w:rsidRPr="008522AB">
              <w:rPr>
                <w:rFonts w:ascii="Arial Narrow" w:eastAsia="Times New Roman" w:hAnsi="Arial Narrow" w:cs="Calibri"/>
                <w:sz w:val="20"/>
                <w:szCs w:val="20"/>
              </w:rPr>
              <w:t xml:space="preserve"> and </w:t>
            </w:r>
            <w:r w:rsidRPr="008522AB">
              <w:rPr>
                <w:rFonts w:ascii="Arial Narrow" w:eastAsia="Times New Roman" w:hAnsi="Arial Narrow" w:cs="Calibri"/>
                <w:color w:val="FF0000"/>
                <w:sz w:val="20"/>
                <w:szCs w:val="20"/>
              </w:rPr>
              <w:t>revision</w:t>
            </w:r>
            <w:r w:rsidR="000A14AB">
              <w:rPr>
                <w:rFonts w:ascii="Arial Narrow" w:eastAsia="Times New Roman" w:hAnsi="Arial Narrow" w:cs="Calibri"/>
                <w:color w:val="FF0000"/>
                <w:sz w:val="20"/>
                <w:szCs w:val="20"/>
              </w:rPr>
              <w:sym w:font="Symbol" w:char="F0AD"/>
            </w:r>
            <w:r w:rsidRPr="008522AB">
              <w:rPr>
                <w:rFonts w:ascii="Arial Narrow" w:eastAsia="Times New Roman" w:hAnsi="Arial Narrow" w:cs="Calibri"/>
                <w:sz w:val="20"/>
                <w:szCs w:val="20"/>
              </w:rPr>
              <w:t>.</w:t>
            </w:r>
          </w:p>
        </w:tc>
        <w:tc>
          <w:tcPr>
            <w:tcW w:w="7655" w:type="dxa"/>
            <w:noWrap/>
            <w:vAlign w:val="center"/>
            <w:hideMark/>
          </w:tcPr>
          <w:p w14:paraId="65A83D5C" w14:textId="35CE6893" w:rsidR="00125D0B" w:rsidRPr="008522AB" w:rsidRDefault="00125D0B" w:rsidP="00950892">
            <w:pPr>
              <w:spacing w:after="120" w:line="240" w:lineRule="auto"/>
              <w:rPr>
                <w:rFonts w:ascii="Arial Narrow" w:hAnsi="Arial Narrow" w:cs="Helvetica"/>
                <w:color w:val="222222"/>
                <w:sz w:val="20"/>
                <w:szCs w:val="20"/>
              </w:rPr>
            </w:pPr>
            <w:r w:rsidRPr="008522AB">
              <w:rPr>
                <w:rFonts w:ascii="Arial Narrow" w:eastAsia="Times New Roman" w:hAnsi="Arial Narrow" w:cs="Calibri"/>
                <w:sz w:val="20"/>
                <w:szCs w:val="20"/>
              </w:rPr>
              <w:t>MSAC Process Reforms to improve transparency, efficiency, rigour and procedural fairness to all stakeholders. MSAC’s processes ha</w:t>
            </w:r>
            <w:r>
              <w:rPr>
                <w:rFonts w:ascii="Arial Narrow" w:eastAsia="Times New Roman" w:hAnsi="Arial Narrow" w:cs="Calibri"/>
                <w:sz w:val="20"/>
                <w:szCs w:val="20"/>
              </w:rPr>
              <w:t>ve</w:t>
            </w:r>
            <w:r w:rsidRPr="008522AB">
              <w:rPr>
                <w:rFonts w:ascii="Arial Narrow" w:eastAsia="Times New Roman" w:hAnsi="Arial Narrow" w:cs="Calibri"/>
                <w:sz w:val="20"/>
                <w:szCs w:val="20"/>
              </w:rPr>
              <w:t xml:space="preserve"> been criticised as cumbersome, bureaucratic and non-transparent. Main </w:t>
            </w:r>
            <w:r w:rsidRPr="008522AB">
              <w:rPr>
                <w:rFonts w:ascii="Arial Narrow" w:hAnsi="Arial Narrow" w:cs="Helvetica"/>
                <w:color w:val="222222"/>
                <w:sz w:val="20"/>
                <w:szCs w:val="20"/>
              </w:rPr>
              <w:t xml:space="preserve">changes to the MSAC process </w:t>
            </w:r>
            <w:r w:rsidRPr="00125D0B">
              <w:rPr>
                <w:rFonts w:ascii="Arial Narrow" w:hAnsi="Arial Narrow" w:cs="Helvetica"/>
                <w:sz w:val="20"/>
                <w:szCs w:val="20"/>
              </w:rPr>
              <w:t>include:</w:t>
            </w:r>
            <w:r w:rsidRPr="00125D0B">
              <w:rPr>
                <w:rFonts w:ascii="Arial Narrow" w:eastAsia="Times New Roman" w:hAnsi="Arial Narrow" w:cs="Calibri"/>
                <w:sz w:val="20"/>
                <w:szCs w:val="20"/>
              </w:rPr>
              <w:t xml:space="preserve"> </w:t>
            </w:r>
            <w:hyperlink r:id="rId52" w:history="1">
              <w:r w:rsidRPr="00125D0B">
                <w:rPr>
                  <w:rStyle w:val="Hyperlink"/>
                  <w:rFonts w:ascii="Arial Narrow" w:hAnsi="Arial Narrow" w:cs="Helvetica"/>
                  <w:color w:val="auto"/>
                  <w:sz w:val="20"/>
                  <w:szCs w:val="20"/>
                </w:rPr>
                <w:t>Use of a Process Framework</w:t>
              </w:r>
            </w:hyperlink>
            <w:r w:rsidRPr="00125D0B">
              <w:rPr>
                <w:rStyle w:val="Hyperlink"/>
                <w:rFonts w:ascii="Arial Narrow" w:hAnsi="Arial Narrow" w:cs="Helvetica"/>
                <w:color w:val="auto"/>
                <w:sz w:val="20"/>
                <w:szCs w:val="20"/>
              </w:rPr>
              <w:t xml:space="preserve">, </w:t>
            </w:r>
            <w:hyperlink r:id="rId53" w:history="1">
              <w:r w:rsidRPr="00125D0B">
                <w:rPr>
                  <w:rStyle w:val="Hyperlink"/>
                  <w:rFonts w:ascii="Arial Narrow" w:hAnsi="Arial Narrow" w:cs="Helvetica"/>
                  <w:color w:val="auto"/>
                  <w:sz w:val="20"/>
                  <w:szCs w:val="20"/>
                </w:rPr>
                <w:t>Enhanced Application form</w:t>
              </w:r>
            </w:hyperlink>
            <w:r w:rsidRPr="00125D0B">
              <w:rPr>
                <w:rStyle w:val="Hyperlink"/>
                <w:rFonts w:ascii="Arial Narrow" w:hAnsi="Arial Narrow" w:cs="Helvetica"/>
                <w:color w:val="auto"/>
                <w:sz w:val="20"/>
                <w:szCs w:val="20"/>
              </w:rPr>
              <w:t xml:space="preserve">, </w:t>
            </w:r>
            <w:hyperlink r:id="rId54" w:history="1">
              <w:r w:rsidRPr="00125D0B">
                <w:rPr>
                  <w:rStyle w:val="Hyperlink"/>
                  <w:rFonts w:ascii="Arial Narrow" w:hAnsi="Arial Narrow" w:cs="Helvetica"/>
                  <w:color w:val="auto"/>
                  <w:sz w:val="20"/>
                  <w:szCs w:val="20"/>
                </w:rPr>
                <w:t>Application Form Guidelines</w:t>
              </w:r>
            </w:hyperlink>
            <w:r w:rsidRPr="00125D0B">
              <w:rPr>
                <w:rStyle w:val="Hyperlink"/>
                <w:rFonts w:ascii="Arial Narrow" w:hAnsi="Arial Narrow" w:cs="Helvetica"/>
                <w:color w:val="auto"/>
                <w:sz w:val="20"/>
                <w:szCs w:val="20"/>
              </w:rPr>
              <w:t xml:space="preserve">, </w:t>
            </w:r>
            <w:r w:rsidRPr="00125D0B">
              <w:rPr>
                <w:rFonts w:ascii="Arial Narrow" w:hAnsi="Arial Narrow" w:cs="Helvetica"/>
                <w:sz w:val="20"/>
                <w:szCs w:val="20"/>
              </w:rPr>
              <w:t xml:space="preserve">Application Progression Record, Targeted public consultation, </w:t>
            </w:r>
            <w:hyperlink r:id="rId55" w:history="1">
              <w:r w:rsidRPr="00125D0B">
                <w:rPr>
                  <w:rStyle w:val="Hyperlink"/>
                  <w:rFonts w:ascii="Arial Narrow" w:hAnsi="Arial Narrow" w:cs="Helvetica"/>
                  <w:color w:val="auto"/>
                  <w:sz w:val="20"/>
                  <w:szCs w:val="20"/>
                </w:rPr>
                <w:t>PICO Confirmation</w:t>
              </w:r>
            </w:hyperlink>
            <w:r w:rsidRPr="00125D0B">
              <w:rPr>
                <w:rFonts w:ascii="Arial Narrow" w:hAnsi="Arial Narrow" w:cs="Helvetica"/>
                <w:sz w:val="20"/>
                <w:szCs w:val="20"/>
              </w:rPr>
              <w:t xml:space="preserve"> (formally known as a Protocol), Expedited applications, </w:t>
            </w:r>
            <w:hyperlink r:id="rId56" w:history="1">
              <w:r w:rsidRPr="00125D0B">
                <w:rPr>
                  <w:rStyle w:val="Hyperlink"/>
                  <w:rFonts w:ascii="Arial Narrow" w:hAnsi="Arial Narrow" w:cs="Helvetica"/>
                  <w:color w:val="auto"/>
                  <w:sz w:val="20"/>
                  <w:szCs w:val="20"/>
                </w:rPr>
                <w:t>Critiques of all Assessment reports</w:t>
              </w:r>
            </w:hyperlink>
            <w:r w:rsidRPr="00125D0B">
              <w:rPr>
                <w:rStyle w:val="Hyperlink"/>
                <w:rFonts w:ascii="Arial Narrow" w:hAnsi="Arial Narrow" w:cs="Helvetica"/>
                <w:color w:val="auto"/>
                <w:sz w:val="20"/>
                <w:szCs w:val="20"/>
              </w:rPr>
              <w:t xml:space="preserve">, </w:t>
            </w:r>
            <w:hyperlink r:id="rId57" w:history="1">
              <w:r w:rsidRPr="00125D0B">
                <w:rPr>
                  <w:rStyle w:val="Hyperlink"/>
                  <w:rFonts w:ascii="Arial Narrow" w:hAnsi="Arial Narrow" w:cs="Helvetica"/>
                  <w:color w:val="auto"/>
                  <w:sz w:val="20"/>
                  <w:szCs w:val="20"/>
                </w:rPr>
                <w:t>Timeframes</w:t>
              </w:r>
            </w:hyperlink>
            <w:r w:rsidRPr="00125D0B">
              <w:rPr>
                <w:rStyle w:val="Hyperlink"/>
                <w:rFonts w:ascii="Arial Narrow" w:hAnsi="Arial Narrow" w:cs="Helvetica"/>
                <w:color w:val="auto"/>
                <w:sz w:val="20"/>
                <w:szCs w:val="20"/>
              </w:rPr>
              <w:t xml:space="preserve">, </w:t>
            </w:r>
            <w:r w:rsidRPr="00125D0B">
              <w:rPr>
                <w:rFonts w:ascii="Arial Narrow" w:hAnsi="Arial Narrow" w:cs="Helvetica"/>
                <w:sz w:val="20"/>
                <w:szCs w:val="20"/>
              </w:rPr>
              <w:t>Optional two</w:t>
            </w:r>
            <w:r>
              <w:rPr>
                <w:rFonts w:ascii="Arial Narrow" w:hAnsi="Arial Narrow" w:cs="Helvetica"/>
                <w:sz w:val="20"/>
                <w:szCs w:val="20"/>
              </w:rPr>
              <w:t>-</w:t>
            </w:r>
            <w:r w:rsidRPr="00125D0B">
              <w:rPr>
                <w:rFonts w:ascii="Arial Narrow" w:hAnsi="Arial Narrow" w:cs="Helvetica"/>
                <w:sz w:val="20"/>
                <w:szCs w:val="20"/>
              </w:rPr>
              <w:t xml:space="preserve">stage approach to submission-based Assessment report and Mandatory meetings between Applicants and assessment </w:t>
            </w:r>
            <w:r w:rsidRPr="008522AB">
              <w:rPr>
                <w:rFonts w:ascii="Arial Narrow" w:hAnsi="Arial Narrow" w:cs="Helvetica"/>
                <w:color w:val="222222"/>
                <w:sz w:val="20"/>
                <w:szCs w:val="20"/>
              </w:rPr>
              <w:t>groups.</w:t>
            </w:r>
          </w:p>
        </w:tc>
        <w:tc>
          <w:tcPr>
            <w:tcW w:w="4252" w:type="dxa"/>
            <w:vAlign w:val="center"/>
            <w:hideMark/>
          </w:tcPr>
          <w:p w14:paraId="2A344BF4" w14:textId="243649A0" w:rsidR="00125D0B" w:rsidRPr="00DD1568" w:rsidRDefault="00125D0B" w:rsidP="00950892">
            <w:pPr>
              <w:spacing w:after="120" w:line="240" w:lineRule="auto"/>
              <w:rPr>
                <w:rFonts w:ascii="Arial Narrow" w:eastAsia="Arial Narrow" w:hAnsi="Arial Narrow" w:cs="Arial Narrow"/>
                <w:sz w:val="20"/>
                <w:szCs w:val="20"/>
              </w:rPr>
            </w:pPr>
            <w:hyperlink r:id="rId58" w:history="1">
              <w:r w:rsidRPr="00DD1568">
                <w:rPr>
                  <w:rStyle w:val="Hyperlink"/>
                  <w:rFonts w:ascii="Arial Narrow" w:eastAsia="Arial Narrow" w:hAnsi="Arial Narrow" w:cs="Arial Narrow"/>
                  <w:color w:val="auto"/>
                  <w:sz w:val="20"/>
                  <w:szCs w:val="20"/>
                  <w:u w:val="none"/>
                </w:rPr>
                <w:t>http://www.msac.gov.au/internet/msac/publishing.nsf/Content/msac-process-framework</w:t>
              </w:r>
            </w:hyperlink>
          </w:p>
        </w:tc>
      </w:tr>
      <w:tr w:rsidR="008D59F1" w:rsidRPr="008522AB" w14:paraId="2BBBDC44" w14:textId="77777777" w:rsidTr="00DD1568">
        <w:trPr>
          <w:cantSplit/>
        </w:trPr>
        <w:tc>
          <w:tcPr>
            <w:tcW w:w="987" w:type="dxa"/>
            <w:noWrap/>
            <w:vAlign w:val="center"/>
            <w:hideMark/>
          </w:tcPr>
          <w:p w14:paraId="2947BB99"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2016</w:t>
            </w:r>
          </w:p>
        </w:tc>
        <w:tc>
          <w:tcPr>
            <w:tcW w:w="1276" w:type="dxa"/>
            <w:noWrap/>
            <w:vAlign w:val="center"/>
            <w:hideMark/>
          </w:tcPr>
          <w:p w14:paraId="3FF4A4E3" w14:textId="6832F9B0" w:rsidR="008D59F1" w:rsidRPr="008522AB" w:rsidRDefault="008D59F1" w:rsidP="00950892">
            <w:pPr>
              <w:spacing w:after="120" w:line="240" w:lineRule="auto"/>
              <w:rPr>
                <w:rFonts w:ascii="Arial Narrow" w:eastAsia="Times New Roman" w:hAnsi="Arial Narrow" w:cs="Calibri"/>
                <w:color w:val="4472C4" w:themeColor="accent1"/>
                <w:sz w:val="20"/>
                <w:szCs w:val="20"/>
              </w:rPr>
            </w:pPr>
            <w:r w:rsidRPr="008522AB">
              <w:rPr>
                <w:rFonts w:ascii="Arial Narrow" w:eastAsia="Times New Roman" w:hAnsi="Arial Narrow" w:cs="Calibri"/>
                <w:color w:val="4472C4" w:themeColor="accent1"/>
                <w:sz w:val="20"/>
                <w:szCs w:val="20"/>
              </w:rPr>
              <w:t>Relevance</w:t>
            </w:r>
            <w:r w:rsidR="00125D0B">
              <w:rPr>
                <w:rFonts w:ascii="Arial Narrow" w:eastAsia="Times New Roman" w:hAnsi="Arial Narrow" w:cs="Calibri"/>
                <w:color w:val="4472C4" w:themeColor="accent1"/>
                <w:sz w:val="20"/>
                <w:szCs w:val="20"/>
              </w:rPr>
              <w:sym w:font="Symbol" w:char="F0AD"/>
            </w:r>
            <w:r w:rsidR="000A14AB">
              <w:rPr>
                <w:rFonts w:ascii="Arial Narrow" w:eastAsia="Times New Roman" w:hAnsi="Arial Narrow" w:cs="Calibri"/>
                <w:color w:val="4472C4" w:themeColor="accent1"/>
                <w:sz w:val="20"/>
                <w:szCs w:val="20"/>
              </w:rPr>
              <w:t xml:space="preserve"> </w:t>
            </w:r>
            <w:r w:rsidR="000A14AB" w:rsidRPr="008522AB">
              <w:rPr>
                <w:rFonts w:ascii="Arial Narrow" w:eastAsia="Times New Roman" w:hAnsi="Arial Narrow" w:cs="Calibri"/>
                <w:color w:val="70AD47" w:themeColor="accent6"/>
                <w:sz w:val="20"/>
                <w:szCs w:val="20"/>
              </w:rPr>
              <w:t>publicity</w:t>
            </w:r>
            <w:r w:rsidR="000A14AB">
              <w:rPr>
                <w:rFonts w:ascii="Arial Narrow" w:eastAsia="Times New Roman" w:hAnsi="Arial Narrow" w:cs="Calibri"/>
                <w:color w:val="70AD47" w:themeColor="accent6"/>
                <w:sz w:val="20"/>
                <w:szCs w:val="20"/>
              </w:rPr>
              <w:sym w:font="Symbol" w:char="F0AD"/>
            </w:r>
            <w:r w:rsidR="000A14AB" w:rsidRPr="008522AB">
              <w:rPr>
                <w:rFonts w:ascii="Arial Narrow" w:eastAsia="Times New Roman" w:hAnsi="Arial Narrow" w:cs="Calibri"/>
                <w:sz w:val="20"/>
                <w:szCs w:val="20"/>
              </w:rPr>
              <w:t xml:space="preserve"> </w:t>
            </w:r>
          </w:p>
        </w:tc>
        <w:tc>
          <w:tcPr>
            <w:tcW w:w="7655" w:type="dxa"/>
            <w:vAlign w:val="center"/>
            <w:hideMark/>
          </w:tcPr>
          <w:p w14:paraId="27667D2C" w14:textId="11AD68A8" w:rsidR="008D59F1" w:rsidRPr="008522AB" w:rsidRDefault="00125D0B"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N</w:t>
            </w:r>
            <w:r w:rsidR="008D59F1" w:rsidRPr="008522AB">
              <w:rPr>
                <w:rFonts w:ascii="Arial Narrow" w:eastAsia="Times New Roman" w:hAnsi="Arial Narrow" w:cs="Calibri"/>
                <w:color w:val="000000"/>
                <w:sz w:val="20"/>
                <w:szCs w:val="20"/>
              </w:rPr>
              <w:t>ew MSAC guidelines published</w:t>
            </w:r>
            <w:r>
              <w:rPr>
                <w:rFonts w:ascii="Arial Narrow" w:eastAsia="Times New Roman" w:hAnsi="Arial Narrow" w:cs="Calibri"/>
                <w:color w:val="000000"/>
                <w:sz w:val="20"/>
                <w:szCs w:val="20"/>
              </w:rPr>
              <w:t>, providing additional advice compared to earlier versions for MSAC applications</w:t>
            </w:r>
            <w:r w:rsidR="00950892">
              <w:rPr>
                <w:rFonts w:ascii="Arial Narrow" w:eastAsia="Times New Roman" w:hAnsi="Arial Narrow" w:cs="Calibri"/>
                <w:color w:val="000000"/>
                <w:sz w:val="20"/>
                <w:szCs w:val="20"/>
              </w:rPr>
              <w:t>.</w:t>
            </w:r>
          </w:p>
        </w:tc>
        <w:tc>
          <w:tcPr>
            <w:tcW w:w="4252" w:type="dxa"/>
            <w:vAlign w:val="center"/>
            <w:hideMark/>
          </w:tcPr>
          <w:p w14:paraId="21DCB942" w14:textId="77777777" w:rsidR="008D59F1" w:rsidRPr="00DD1568" w:rsidRDefault="008D59F1" w:rsidP="00950892">
            <w:pPr>
              <w:spacing w:after="120" w:line="240" w:lineRule="auto"/>
              <w:rPr>
                <w:rFonts w:ascii="Arial Narrow" w:eastAsia="Times New Roman" w:hAnsi="Arial Narrow" w:cs="Calibri"/>
                <w:sz w:val="20"/>
                <w:szCs w:val="20"/>
              </w:rPr>
            </w:pPr>
            <w:r w:rsidRPr="00DD1568">
              <w:rPr>
                <w:rFonts w:ascii="Arial Narrow" w:eastAsia="Times New Roman" w:hAnsi="Arial Narrow" w:cs="Calibri"/>
                <w:sz w:val="20"/>
                <w:szCs w:val="20"/>
              </w:rPr>
              <w:t>http://www.msac.gov.au/internet/msac/publishing.nsf/Content/MSAC-Guidelines</w:t>
            </w:r>
          </w:p>
        </w:tc>
      </w:tr>
      <w:tr w:rsidR="008D59F1" w:rsidRPr="008522AB" w14:paraId="31668858" w14:textId="77777777" w:rsidTr="00DD1568">
        <w:trPr>
          <w:cantSplit/>
        </w:trPr>
        <w:tc>
          <w:tcPr>
            <w:tcW w:w="987" w:type="dxa"/>
            <w:noWrap/>
            <w:vAlign w:val="center"/>
          </w:tcPr>
          <w:p w14:paraId="1C001905" w14:textId="77777777" w:rsidR="008D59F1" w:rsidRPr="008522AB" w:rsidRDefault="008D59F1" w:rsidP="00950892">
            <w:pPr>
              <w:spacing w:after="120" w:line="240" w:lineRule="auto"/>
              <w:rPr>
                <w:rFonts w:ascii="Arial Narrow" w:eastAsia="Times New Roman" w:hAnsi="Arial Narrow" w:cs="Calibri"/>
                <w:sz w:val="20"/>
                <w:szCs w:val="20"/>
              </w:rPr>
            </w:pPr>
            <w:r w:rsidRPr="008522AB">
              <w:rPr>
                <w:rFonts w:ascii="Arial Narrow" w:eastAsia="Times New Roman" w:hAnsi="Arial Narrow" w:cs="Calibri"/>
                <w:sz w:val="20"/>
                <w:szCs w:val="20"/>
              </w:rPr>
              <w:t>2017</w:t>
            </w:r>
          </w:p>
        </w:tc>
        <w:tc>
          <w:tcPr>
            <w:tcW w:w="1276" w:type="dxa"/>
            <w:noWrap/>
            <w:vAlign w:val="center"/>
          </w:tcPr>
          <w:p w14:paraId="4ACC8E10" w14:textId="332C6D45" w:rsidR="008D59F1" w:rsidRPr="008522AB" w:rsidRDefault="000A14AB" w:rsidP="00950892">
            <w:pPr>
              <w:spacing w:after="120" w:line="240" w:lineRule="auto"/>
              <w:rPr>
                <w:rFonts w:ascii="Arial Narrow" w:eastAsia="Times New Roman" w:hAnsi="Arial Narrow" w:cs="Calibri"/>
                <w:sz w:val="20"/>
                <w:szCs w:val="20"/>
              </w:rPr>
            </w:pPr>
            <w:r w:rsidRPr="008522AB">
              <w:rPr>
                <w:rFonts w:ascii="Arial Narrow" w:eastAsia="Times New Roman" w:hAnsi="Arial Narrow" w:cs="Calibri"/>
                <w:color w:val="4472C4" w:themeColor="accent1"/>
                <w:sz w:val="20"/>
                <w:szCs w:val="20"/>
              </w:rPr>
              <w:t>Relevance</w:t>
            </w:r>
            <w:r>
              <w:rPr>
                <w:rFonts w:ascii="Arial Narrow" w:eastAsia="Times New Roman" w:hAnsi="Arial Narrow" w:cs="Calibri"/>
                <w:color w:val="4472C4" w:themeColor="accent1"/>
                <w:sz w:val="20"/>
                <w:szCs w:val="20"/>
              </w:rPr>
              <w:sym w:font="Symbol" w:char="F0AD"/>
            </w:r>
            <w:r>
              <w:rPr>
                <w:rFonts w:ascii="Arial Narrow" w:eastAsia="Times New Roman" w:hAnsi="Arial Narrow" w:cs="Calibri"/>
                <w:color w:val="4472C4" w:themeColor="accent1"/>
                <w:sz w:val="20"/>
                <w:szCs w:val="20"/>
              </w:rPr>
              <w:t xml:space="preserve"> </w:t>
            </w:r>
            <w:r w:rsidR="00784AA7" w:rsidRPr="00784AA7">
              <w:rPr>
                <w:rFonts w:ascii="Arial Narrow" w:eastAsia="Times New Roman" w:hAnsi="Arial Narrow" w:cs="Calibri"/>
                <w:color w:val="70AD47" w:themeColor="accent6"/>
                <w:sz w:val="20"/>
                <w:szCs w:val="20"/>
              </w:rPr>
              <w:t>P</w:t>
            </w:r>
            <w:r w:rsidRPr="008522AB">
              <w:rPr>
                <w:rFonts w:ascii="Arial Narrow" w:eastAsia="Times New Roman" w:hAnsi="Arial Narrow" w:cs="Calibri"/>
                <w:color w:val="70AD47" w:themeColor="accent6"/>
                <w:sz w:val="20"/>
                <w:szCs w:val="20"/>
              </w:rPr>
              <w:t>ublicity</w:t>
            </w:r>
            <w:r>
              <w:rPr>
                <w:rFonts w:ascii="Arial Narrow" w:eastAsia="Times New Roman" w:hAnsi="Arial Narrow" w:cs="Calibri"/>
                <w:color w:val="70AD47" w:themeColor="accent6"/>
                <w:sz w:val="20"/>
                <w:szCs w:val="20"/>
              </w:rPr>
              <w:sym w:font="Symbol" w:char="F0AD"/>
            </w:r>
            <w:r w:rsidRPr="008522AB">
              <w:rPr>
                <w:rFonts w:ascii="Arial Narrow" w:eastAsia="Times New Roman" w:hAnsi="Arial Narrow" w:cs="Calibri"/>
                <w:sz w:val="20"/>
                <w:szCs w:val="20"/>
              </w:rPr>
              <w:t xml:space="preserve"> </w:t>
            </w:r>
          </w:p>
        </w:tc>
        <w:tc>
          <w:tcPr>
            <w:tcW w:w="7655" w:type="dxa"/>
            <w:noWrap/>
            <w:vAlign w:val="center"/>
          </w:tcPr>
          <w:p w14:paraId="2472CCF6" w14:textId="17DD062F" w:rsidR="008D59F1" w:rsidRPr="008522AB" w:rsidRDefault="00F028CB" w:rsidP="00950892">
            <w:pPr>
              <w:spacing w:after="120" w:line="240" w:lineRule="auto"/>
              <w:rPr>
                <w:rFonts w:ascii="Arial Narrow" w:eastAsia="Times New Roman" w:hAnsi="Arial Narrow" w:cs="Calibri"/>
                <w:sz w:val="20"/>
                <w:szCs w:val="20"/>
              </w:rPr>
            </w:pPr>
            <w:r>
              <w:rPr>
                <w:rFonts w:ascii="Arial Narrow" w:eastAsia="Times New Roman" w:hAnsi="Arial Narrow"/>
                <w:sz w:val="20"/>
                <w:szCs w:val="20"/>
              </w:rPr>
              <w:t>M</w:t>
            </w:r>
            <w:r w:rsidR="008D59F1" w:rsidRPr="008522AB">
              <w:rPr>
                <w:rFonts w:ascii="Arial Narrow" w:eastAsia="Times New Roman" w:hAnsi="Arial Narrow"/>
                <w:sz w:val="20"/>
                <w:szCs w:val="20"/>
              </w:rPr>
              <w:t>inor revision of MSAC Investigative Guidelines</w:t>
            </w:r>
            <w:r w:rsidR="00301324">
              <w:rPr>
                <w:rFonts w:ascii="Arial Narrow" w:eastAsia="Times New Roman" w:hAnsi="Arial Narrow"/>
                <w:sz w:val="20"/>
                <w:szCs w:val="20"/>
              </w:rPr>
              <w:t>.</w:t>
            </w:r>
          </w:p>
        </w:tc>
        <w:tc>
          <w:tcPr>
            <w:tcW w:w="4252" w:type="dxa"/>
            <w:vAlign w:val="center"/>
          </w:tcPr>
          <w:p w14:paraId="6E6B9CAD" w14:textId="2331C3DE" w:rsidR="008D59F1" w:rsidRPr="00DD1568" w:rsidRDefault="008D59F1" w:rsidP="00950892">
            <w:pPr>
              <w:spacing w:after="120" w:line="240" w:lineRule="auto"/>
              <w:rPr>
                <w:rFonts w:ascii="Arial Narrow" w:hAnsi="Arial Narrow"/>
                <w:sz w:val="20"/>
                <w:szCs w:val="20"/>
              </w:rPr>
            </w:pPr>
            <w:hyperlink r:id="rId59" w:history="1">
              <w:r w:rsidRPr="00DD1568">
                <w:rPr>
                  <w:rStyle w:val="Hyperlink"/>
                  <w:rFonts w:ascii="Arial Narrow" w:hAnsi="Arial Narrow"/>
                  <w:color w:val="auto"/>
                  <w:sz w:val="20"/>
                  <w:szCs w:val="20"/>
                  <w:u w:val="none"/>
                </w:rPr>
                <w:t>http://www.msac.gov.au/internet/msac/publishing.nsf/Content/MSAC-Guidelines</w:t>
              </w:r>
            </w:hyperlink>
          </w:p>
        </w:tc>
      </w:tr>
      <w:tr w:rsidR="008D59F1" w:rsidRPr="008522AB" w14:paraId="347EE9E8" w14:textId="77777777" w:rsidTr="00DD1568">
        <w:trPr>
          <w:cantSplit/>
        </w:trPr>
        <w:tc>
          <w:tcPr>
            <w:tcW w:w="987" w:type="dxa"/>
            <w:noWrap/>
            <w:vAlign w:val="center"/>
          </w:tcPr>
          <w:p w14:paraId="4589563C"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lastRenderedPageBreak/>
              <w:t>2019</w:t>
            </w:r>
          </w:p>
        </w:tc>
        <w:tc>
          <w:tcPr>
            <w:tcW w:w="1276" w:type="dxa"/>
            <w:noWrap/>
            <w:vAlign w:val="center"/>
          </w:tcPr>
          <w:p w14:paraId="40BE1377" w14:textId="2D59E3CE" w:rsidR="008D59F1" w:rsidRPr="008522AB" w:rsidRDefault="008D59F1" w:rsidP="00950892">
            <w:pPr>
              <w:spacing w:after="120" w:line="240" w:lineRule="auto"/>
              <w:rPr>
                <w:rFonts w:ascii="Arial Narrow" w:eastAsia="Times New Roman" w:hAnsi="Arial Narrow" w:cs="Calibri"/>
                <w:color w:val="ED7D31" w:themeColor="accent2"/>
                <w:sz w:val="20"/>
                <w:szCs w:val="20"/>
              </w:rPr>
            </w:pPr>
            <w:r w:rsidRPr="008522AB">
              <w:rPr>
                <w:rFonts w:ascii="Arial Narrow" w:eastAsia="Times New Roman" w:hAnsi="Arial Narrow" w:cs="Calibri"/>
                <w:color w:val="70AD47" w:themeColor="accent6"/>
                <w:sz w:val="20"/>
                <w:szCs w:val="20"/>
              </w:rPr>
              <w:t>Publicity</w:t>
            </w:r>
            <w:r w:rsidR="007163A6">
              <w:rPr>
                <w:rFonts w:ascii="Arial Narrow" w:eastAsia="Times New Roman" w:hAnsi="Arial Narrow" w:cs="Calibri"/>
                <w:color w:val="70AD47" w:themeColor="accent6"/>
                <w:sz w:val="20"/>
                <w:szCs w:val="20"/>
              </w:rPr>
              <w:sym w:font="Symbol" w:char="F0AD"/>
            </w:r>
          </w:p>
        </w:tc>
        <w:tc>
          <w:tcPr>
            <w:tcW w:w="7655" w:type="dxa"/>
            <w:vAlign w:val="center"/>
          </w:tcPr>
          <w:p w14:paraId="56FD83A3" w14:textId="77777777" w:rsidR="008D59F1" w:rsidRPr="008522AB" w:rsidRDefault="008D59F1" w:rsidP="00950892">
            <w:pPr>
              <w:spacing w:after="120" w:line="240" w:lineRule="auto"/>
              <w:rPr>
                <w:rFonts w:ascii="Arial Narrow" w:eastAsia="Times New Roman" w:hAnsi="Arial Narrow" w:cs="Calibri"/>
                <w:sz w:val="20"/>
                <w:szCs w:val="20"/>
              </w:rPr>
            </w:pPr>
            <w:r w:rsidRPr="008522AB">
              <w:rPr>
                <w:rFonts w:ascii="Arial Narrow" w:eastAsia="Times New Roman" w:hAnsi="Arial Narrow" w:cs="Calibri"/>
                <w:sz w:val="20"/>
                <w:szCs w:val="20"/>
              </w:rPr>
              <w:t>MSAC introduced “Consumer Summary” in its Public Summary Documents from the MSAC August 2019 meeting</w:t>
            </w:r>
          </w:p>
        </w:tc>
        <w:tc>
          <w:tcPr>
            <w:tcW w:w="4252" w:type="dxa"/>
            <w:vAlign w:val="center"/>
          </w:tcPr>
          <w:p w14:paraId="56AFE206" w14:textId="77777777" w:rsidR="008D59F1" w:rsidRPr="00DD1568" w:rsidRDefault="008D59F1" w:rsidP="00950892">
            <w:pPr>
              <w:spacing w:after="120" w:line="240" w:lineRule="auto"/>
              <w:rPr>
                <w:rStyle w:val="Hyperlink"/>
                <w:rFonts w:ascii="Arial Narrow" w:hAnsi="Arial Narrow"/>
                <w:color w:val="auto"/>
                <w:sz w:val="20"/>
                <w:szCs w:val="20"/>
                <w:u w:val="none"/>
              </w:rPr>
            </w:pPr>
            <w:r w:rsidRPr="00DD1568">
              <w:rPr>
                <w:rStyle w:val="Hyperlink"/>
                <w:rFonts w:ascii="Arial Narrow" w:hAnsi="Arial Narrow"/>
                <w:color w:val="auto"/>
                <w:sz w:val="20"/>
                <w:szCs w:val="20"/>
                <w:u w:val="none"/>
              </w:rPr>
              <w:t>http://www.msac.gov.au/internet/msac/publishing.nsf/Content/combined-calendar</w:t>
            </w:r>
          </w:p>
        </w:tc>
      </w:tr>
      <w:tr w:rsidR="008D59F1" w:rsidRPr="008522AB" w14:paraId="0F54BC56" w14:textId="77777777" w:rsidTr="00DD1568">
        <w:trPr>
          <w:cantSplit/>
        </w:trPr>
        <w:tc>
          <w:tcPr>
            <w:tcW w:w="987" w:type="dxa"/>
            <w:noWrap/>
            <w:vAlign w:val="center"/>
            <w:hideMark/>
          </w:tcPr>
          <w:p w14:paraId="03E02813" w14:textId="77777777"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2020</w:t>
            </w:r>
          </w:p>
        </w:tc>
        <w:tc>
          <w:tcPr>
            <w:tcW w:w="1276" w:type="dxa"/>
            <w:noWrap/>
            <w:vAlign w:val="center"/>
            <w:hideMark/>
          </w:tcPr>
          <w:p w14:paraId="496E1C9F" w14:textId="10880508"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ED7D31" w:themeColor="accent2"/>
                <w:sz w:val="20"/>
                <w:szCs w:val="20"/>
              </w:rPr>
              <w:t xml:space="preserve">Enforcement </w:t>
            </w:r>
            <w:r w:rsidRPr="008522AB">
              <w:rPr>
                <w:rFonts w:ascii="Arial Narrow" w:eastAsia="Times New Roman" w:hAnsi="Arial Narrow" w:cs="Calibri"/>
                <w:color w:val="000000"/>
                <w:sz w:val="20"/>
                <w:szCs w:val="20"/>
              </w:rPr>
              <w:t xml:space="preserve">of </w:t>
            </w:r>
            <w:r w:rsidRPr="008522AB">
              <w:rPr>
                <w:rFonts w:ascii="Arial Narrow" w:eastAsia="Times New Roman" w:hAnsi="Arial Narrow" w:cs="Calibri"/>
                <w:color w:val="4472C4" w:themeColor="accent1"/>
                <w:sz w:val="20"/>
                <w:szCs w:val="20"/>
              </w:rPr>
              <w:t>relevance</w:t>
            </w:r>
            <w:r w:rsidR="00C57927">
              <w:rPr>
                <w:rFonts w:ascii="Arial Narrow" w:eastAsia="Times New Roman" w:hAnsi="Arial Narrow" w:cs="Calibri"/>
                <w:color w:val="4472C4" w:themeColor="accent1"/>
                <w:sz w:val="20"/>
                <w:szCs w:val="20"/>
              </w:rPr>
              <w:sym w:font="Symbol" w:char="F0AD"/>
            </w:r>
          </w:p>
        </w:tc>
        <w:tc>
          <w:tcPr>
            <w:tcW w:w="7655" w:type="dxa"/>
            <w:vAlign w:val="center"/>
            <w:hideMark/>
          </w:tcPr>
          <w:p w14:paraId="204CD0B0" w14:textId="77777777" w:rsidR="008D59F1" w:rsidRPr="008522AB" w:rsidRDefault="008D59F1" w:rsidP="00950892">
            <w:pPr>
              <w:spacing w:after="120" w:line="240" w:lineRule="auto"/>
              <w:rPr>
                <w:rFonts w:ascii="Arial Narrow" w:eastAsia="Times New Roman" w:hAnsi="Arial Narrow" w:cs="Calibri"/>
                <w:sz w:val="20"/>
                <w:szCs w:val="20"/>
              </w:rPr>
            </w:pPr>
            <w:r w:rsidRPr="008522AB">
              <w:rPr>
                <w:rFonts w:ascii="Arial Narrow" w:eastAsia="Times New Roman" w:hAnsi="Arial Narrow" w:cs="Calibri"/>
                <w:sz w:val="20"/>
                <w:szCs w:val="20"/>
              </w:rPr>
              <w:t>With its wider Terms of Reference, MSAC can review health technologies for funding by arrangements other than the MBS. They include the National Blood Agreement, in which Schedule 4 provides for MSAC consideration (probably the first of these being subcutaneous immunoglobulin in Nov 2012), Nationally Funded Centres (not since Mar 2010), screening programs (for cervical cancer x2 and lung cancer), prostheses (in coordination with the Prostheses List Advisory Committee). MSAC also considers highly specialised drugs delivered in public hospitals under the National Health Reform Agreement (NHRA) “Other Public Hospital Program” which have included CAR-T therapies. The 2020-2025 NHRA commenced in July 2020.</w:t>
            </w:r>
          </w:p>
        </w:tc>
        <w:tc>
          <w:tcPr>
            <w:tcW w:w="4252" w:type="dxa"/>
            <w:vAlign w:val="center"/>
            <w:hideMark/>
          </w:tcPr>
          <w:p w14:paraId="3DEEAA02" w14:textId="77777777" w:rsidR="008D59F1" w:rsidRPr="00DD1568" w:rsidRDefault="008D59F1" w:rsidP="00950892">
            <w:pPr>
              <w:spacing w:after="120" w:line="240" w:lineRule="auto"/>
              <w:rPr>
                <w:rStyle w:val="Hyperlink"/>
                <w:color w:val="auto"/>
                <w:u w:val="none"/>
              </w:rPr>
            </w:pPr>
            <w:hyperlink r:id="rId60" w:history="1">
              <w:r w:rsidRPr="00DD1568">
                <w:rPr>
                  <w:rStyle w:val="Hyperlink"/>
                  <w:rFonts w:ascii="Arial Narrow" w:eastAsia="Times New Roman" w:hAnsi="Arial Narrow" w:cs="Calibri"/>
                  <w:color w:val="auto"/>
                  <w:sz w:val="20"/>
                  <w:szCs w:val="20"/>
                  <w:u w:val="none"/>
                </w:rPr>
                <w:t>https://www.blood.gov.au/changes-national-product-price-list</w:t>
              </w:r>
            </w:hyperlink>
          </w:p>
          <w:p w14:paraId="3AC9BB7B" w14:textId="49405E4A" w:rsidR="009A0529" w:rsidRPr="00DD1568" w:rsidRDefault="009A0529" w:rsidP="00950892">
            <w:pPr>
              <w:spacing w:after="120" w:line="240" w:lineRule="auto"/>
              <w:rPr>
                <w:rStyle w:val="Hyperlink"/>
                <w:rFonts w:ascii="Arial Narrow" w:eastAsia="Times New Roman" w:hAnsi="Arial Narrow" w:cs="Calibri"/>
                <w:color w:val="auto"/>
                <w:sz w:val="20"/>
                <w:szCs w:val="20"/>
                <w:u w:val="none"/>
              </w:rPr>
            </w:pPr>
            <w:hyperlink r:id="rId61" w:history="1">
              <w:r w:rsidRPr="00DD1568">
                <w:rPr>
                  <w:rStyle w:val="Hyperlink"/>
                  <w:rFonts w:ascii="Arial Narrow" w:eastAsia="Times New Roman" w:hAnsi="Arial Narrow" w:cs="Calibri"/>
                  <w:color w:val="auto"/>
                  <w:sz w:val="20"/>
                  <w:szCs w:val="20"/>
                  <w:u w:val="none"/>
                </w:rPr>
                <w:t>http://www.msac.gov.au/internet/msac/publishing.nsf/Content/msac-terms-of-reference</w:t>
              </w:r>
            </w:hyperlink>
          </w:p>
          <w:p w14:paraId="4A1B2B30" w14:textId="048DDA96" w:rsidR="008D59F1" w:rsidRPr="00DD1568" w:rsidRDefault="008D59F1" w:rsidP="00950892">
            <w:pPr>
              <w:spacing w:after="120" w:line="240" w:lineRule="auto"/>
              <w:rPr>
                <w:rStyle w:val="Hyperlink"/>
                <w:rFonts w:ascii="Arial Narrow" w:eastAsia="Times New Roman" w:hAnsi="Arial Narrow" w:cs="Calibri"/>
                <w:color w:val="auto"/>
                <w:sz w:val="20"/>
                <w:szCs w:val="20"/>
                <w:u w:val="none"/>
              </w:rPr>
            </w:pPr>
            <w:hyperlink r:id="rId62" w:history="1">
              <w:r w:rsidRPr="00DD1568">
                <w:rPr>
                  <w:rStyle w:val="Hyperlink"/>
                  <w:rFonts w:ascii="Arial Narrow" w:eastAsia="Times New Roman" w:hAnsi="Arial Narrow" w:cs="Calibri"/>
                  <w:color w:val="auto"/>
                  <w:sz w:val="20"/>
                  <w:szCs w:val="20"/>
                  <w:u w:val="none"/>
                </w:rPr>
                <w:t>https://www.health.gov.au/our-work/2020-25-national-health-reform-agreement-nhra</w:t>
              </w:r>
            </w:hyperlink>
          </w:p>
        </w:tc>
      </w:tr>
      <w:tr w:rsidR="008D59F1" w:rsidRPr="008522AB" w14:paraId="16E47928" w14:textId="77777777" w:rsidTr="00DD1568">
        <w:trPr>
          <w:cantSplit/>
        </w:trPr>
        <w:tc>
          <w:tcPr>
            <w:tcW w:w="987" w:type="dxa"/>
            <w:noWrap/>
            <w:vAlign w:val="center"/>
            <w:hideMark/>
          </w:tcPr>
          <w:p w14:paraId="5EDD3E67" w14:textId="4E662B74"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2021</w:t>
            </w:r>
          </w:p>
        </w:tc>
        <w:tc>
          <w:tcPr>
            <w:tcW w:w="1276" w:type="dxa"/>
            <w:noWrap/>
            <w:vAlign w:val="center"/>
            <w:hideMark/>
          </w:tcPr>
          <w:p w14:paraId="68AFD8B2" w14:textId="0819C555" w:rsidR="008D59F1" w:rsidRPr="008522AB" w:rsidRDefault="008D59F1"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4472C4" w:themeColor="accent1"/>
                <w:sz w:val="20"/>
                <w:szCs w:val="20"/>
              </w:rPr>
              <w:t>Relevance</w:t>
            </w:r>
            <w:r w:rsidR="000A14AB">
              <w:rPr>
                <w:rFonts w:ascii="Arial Narrow" w:eastAsia="Times New Roman" w:hAnsi="Arial Narrow" w:cs="Calibri"/>
                <w:color w:val="4472C4" w:themeColor="accent1"/>
                <w:sz w:val="20"/>
                <w:szCs w:val="20"/>
              </w:rPr>
              <w:sym w:font="Symbol" w:char="F0AD"/>
            </w:r>
            <w:r w:rsidR="00C57927">
              <w:rPr>
                <w:rFonts w:ascii="Arial Narrow" w:eastAsia="Times New Roman" w:hAnsi="Arial Narrow" w:cs="Calibri"/>
                <w:color w:val="4472C4" w:themeColor="accent1"/>
                <w:sz w:val="20"/>
                <w:szCs w:val="20"/>
              </w:rPr>
              <w:t xml:space="preserve"> </w:t>
            </w:r>
            <w:r w:rsidR="001C30B5">
              <w:rPr>
                <w:rFonts w:ascii="Arial Narrow" w:eastAsia="Times New Roman" w:hAnsi="Arial Narrow" w:cs="Calibri"/>
                <w:color w:val="70AD47" w:themeColor="accent6"/>
                <w:sz w:val="20"/>
                <w:szCs w:val="20"/>
              </w:rPr>
              <w:t>P</w:t>
            </w:r>
            <w:r w:rsidR="00C57927" w:rsidRPr="00C57927">
              <w:rPr>
                <w:rFonts w:ascii="Arial Narrow" w:eastAsia="Times New Roman" w:hAnsi="Arial Narrow" w:cs="Calibri"/>
                <w:color w:val="70AD47" w:themeColor="accent6"/>
                <w:sz w:val="20"/>
                <w:szCs w:val="20"/>
              </w:rPr>
              <w:t>ublicity</w:t>
            </w:r>
            <w:r w:rsidR="00C57927">
              <w:rPr>
                <w:rFonts w:ascii="Arial Narrow" w:eastAsia="Times New Roman" w:hAnsi="Arial Narrow" w:cs="Calibri"/>
                <w:color w:val="70AD47" w:themeColor="accent6"/>
                <w:sz w:val="20"/>
                <w:szCs w:val="20"/>
              </w:rPr>
              <w:t xml:space="preserve"> </w:t>
            </w:r>
            <w:r w:rsidR="00C57927">
              <w:rPr>
                <w:rFonts w:ascii="Arial Narrow" w:eastAsia="Times New Roman" w:hAnsi="Arial Narrow" w:cs="Calibri"/>
                <w:color w:val="70AD47" w:themeColor="accent6"/>
                <w:sz w:val="20"/>
                <w:szCs w:val="20"/>
              </w:rPr>
              <w:sym w:font="Symbol" w:char="F0AD"/>
            </w:r>
          </w:p>
        </w:tc>
        <w:tc>
          <w:tcPr>
            <w:tcW w:w="7655" w:type="dxa"/>
            <w:vAlign w:val="center"/>
            <w:hideMark/>
          </w:tcPr>
          <w:p w14:paraId="0D8A5A66" w14:textId="77777777" w:rsidR="001C30B5" w:rsidRDefault="001C30B5" w:rsidP="00950892">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N</w:t>
            </w:r>
            <w:r w:rsidR="008D59F1" w:rsidRPr="008522AB">
              <w:rPr>
                <w:rFonts w:ascii="Arial Narrow" w:eastAsia="Times New Roman" w:hAnsi="Arial Narrow" w:cs="Calibri"/>
                <w:color w:val="000000"/>
                <w:sz w:val="20"/>
                <w:szCs w:val="20"/>
              </w:rPr>
              <w:t>ew MSAC guidelines published, the review was conducted in 2020.</w:t>
            </w:r>
          </w:p>
          <w:p w14:paraId="3D19185B" w14:textId="65807EB9" w:rsidR="008D59F1" w:rsidRPr="008522AB" w:rsidRDefault="001C30B5" w:rsidP="00950892">
            <w:pPr>
              <w:spacing w:after="120" w:line="240" w:lineRule="auto"/>
              <w:rPr>
                <w:rFonts w:ascii="Arial Narrow" w:eastAsia="Times New Roman" w:hAnsi="Arial Narrow" w:cs="Calibri"/>
                <w:color w:val="000000"/>
                <w:sz w:val="20"/>
                <w:szCs w:val="20"/>
              </w:rPr>
            </w:pPr>
            <w:r w:rsidRPr="008522AB">
              <w:rPr>
                <w:rFonts w:ascii="Arial Narrow" w:eastAsia="Times New Roman" w:hAnsi="Arial Narrow" w:cs="Calibri"/>
                <w:color w:val="000000"/>
                <w:sz w:val="20"/>
                <w:szCs w:val="20"/>
              </w:rPr>
              <w:t>Introduction of the value of knowing TG28 for investigative technologies in the new guidelines. This is o</w:t>
            </w:r>
            <w:r w:rsidRPr="008522AB">
              <w:rPr>
                <w:rFonts w:ascii="Arial Narrow" w:eastAsia="Times New Roman" w:hAnsi="Arial Narrow" w:cs="Calibri"/>
                <w:sz w:val="20"/>
                <w:szCs w:val="20"/>
              </w:rPr>
              <w:t>ne of many developments in these Guidelines, formally reflecting some MSAC decisions made between 2017 and 2021.</w:t>
            </w:r>
          </w:p>
        </w:tc>
        <w:tc>
          <w:tcPr>
            <w:tcW w:w="4252" w:type="dxa"/>
            <w:vAlign w:val="center"/>
            <w:hideMark/>
          </w:tcPr>
          <w:p w14:paraId="06C81FEC" w14:textId="77777777" w:rsidR="008D59F1" w:rsidRPr="00DD1568" w:rsidRDefault="008D59F1" w:rsidP="00950892">
            <w:pPr>
              <w:spacing w:after="120" w:line="240" w:lineRule="auto"/>
              <w:rPr>
                <w:rFonts w:ascii="Arial Narrow" w:eastAsia="Times New Roman" w:hAnsi="Arial Narrow" w:cs="Calibri"/>
                <w:sz w:val="20"/>
                <w:szCs w:val="20"/>
              </w:rPr>
            </w:pPr>
            <w:hyperlink r:id="rId63" w:history="1">
              <w:r w:rsidRPr="00DD1568">
                <w:rPr>
                  <w:rStyle w:val="Hyperlink"/>
                  <w:rFonts w:ascii="Arial Narrow" w:eastAsia="Times New Roman" w:hAnsi="Arial Narrow" w:cs="Calibri"/>
                  <w:color w:val="auto"/>
                  <w:sz w:val="20"/>
                  <w:szCs w:val="20"/>
                  <w:u w:val="none"/>
                </w:rPr>
                <w:t>http://www.msac.gov.au/internet/msac/publishing.nsf/Content/MSAC-Guidelines</w:t>
              </w:r>
            </w:hyperlink>
          </w:p>
          <w:p w14:paraId="60DE5801" w14:textId="77777777" w:rsidR="008D59F1" w:rsidRPr="00DD1568" w:rsidRDefault="008D59F1" w:rsidP="00950892">
            <w:pPr>
              <w:spacing w:after="120" w:line="240" w:lineRule="auto"/>
              <w:rPr>
                <w:rStyle w:val="Hyperlink"/>
                <w:rFonts w:ascii="Arial Narrow" w:eastAsia="Times New Roman" w:hAnsi="Arial Narrow" w:cs="Calibri"/>
                <w:color w:val="auto"/>
                <w:sz w:val="20"/>
                <w:szCs w:val="20"/>
                <w:u w:val="none"/>
              </w:rPr>
            </w:pPr>
            <w:hyperlink r:id="rId64" w:history="1">
              <w:r w:rsidRPr="00DD1568">
                <w:rPr>
                  <w:rStyle w:val="Hyperlink"/>
                  <w:rFonts w:ascii="Arial Narrow" w:eastAsia="Times New Roman" w:hAnsi="Arial Narrow" w:cs="Calibri"/>
                  <w:color w:val="auto"/>
                  <w:sz w:val="20"/>
                  <w:szCs w:val="20"/>
                  <w:u w:val="none"/>
                </w:rPr>
                <w:t>https://consultations.health.gov.au/technology-assessment-access-division/msac-guidelines-review-consultation/</w:t>
              </w:r>
            </w:hyperlink>
          </w:p>
          <w:p w14:paraId="27843B52" w14:textId="4CE30D55" w:rsidR="001C30B5" w:rsidRPr="00DD1568" w:rsidRDefault="001C30B5" w:rsidP="00950892">
            <w:pPr>
              <w:spacing w:after="120" w:line="240" w:lineRule="auto"/>
              <w:rPr>
                <w:rFonts w:ascii="Arial Narrow" w:eastAsia="Times New Roman" w:hAnsi="Arial Narrow" w:cs="Calibri"/>
                <w:sz w:val="20"/>
                <w:szCs w:val="20"/>
              </w:rPr>
            </w:pPr>
            <w:hyperlink r:id="rId65" w:history="1">
              <w:r w:rsidRPr="00DD1568">
                <w:rPr>
                  <w:rStyle w:val="Hyperlink"/>
                  <w:rFonts w:ascii="Arial Narrow" w:eastAsia="Times New Roman" w:hAnsi="Arial Narrow" w:cs="Calibri"/>
                  <w:color w:val="auto"/>
                  <w:sz w:val="20"/>
                  <w:szCs w:val="20"/>
                  <w:u w:val="none"/>
                </w:rPr>
                <w:t>http://www.msac.gov.au/internet/msac/publishing.nsf/Content/4599F67A7A885C2DCA2586E000799979/$File/MSACGUIDE-Summary%20for%20stakeholders-08-FINAL(18May21).pdf</w:t>
              </w:r>
            </w:hyperlink>
            <w:r w:rsidRPr="00DD1568">
              <w:rPr>
                <w:rFonts w:ascii="Arial Narrow" w:eastAsia="Times New Roman" w:hAnsi="Arial Narrow" w:cs="Calibri"/>
                <w:sz w:val="20"/>
                <w:szCs w:val="20"/>
              </w:rPr>
              <w:t xml:space="preserve"> </w:t>
            </w:r>
          </w:p>
        </w:tc>
      </w:tr>
      <w:tr w:rsidR="008D59F1" w:rsidRPr="008522AB" w14:paraId="4DF80BC8" w14:textId="77777777" w:rsidTr="00DD1568">
        <w:trPr>
          <w:cantSplit/>
        </w:trPr>
        <w:tc>
          <w:tcPr>
            <w:tcW w:w="987" w:type="dxa"/>
            <w:noWrap/>
            <w:vAlign w:val="center"/>
            <w:hideMark/>
          </w:tcPr>
          <w:p w14:paraId="215DF574" w14:textId="77777777" w:rsidR="008D59F1" w:rsidRPr="008522AB" w:rsidRDefault="008D59F1" w:rsidP="00950892">
            <w:pPr>
              <w:spacing w:after="120" w:line="240" w:lineRule="auto"/>
              <w:rPr>
                <w:rFonts w:ascii="Arial Narrow" w:eastAsia="Times New Roman" w:hAnsi="Arial Narrow" w:cs="Calibri"/>
                <w:sz w:val="20"/>
                <w:szCs w:val="20"/>
              </w:rPr>
            </w:pPr>
            <w:r w:rsidRPr="008522AB">
              <w:rPr>
                <w:rFonts w:ascii="Arial Narrow" w:eastAsia="Times New Roman" w:hAnsi="Arial Narrow" w:cs="Calibri"/>
                <w:sz w:val="20"/>
                <w:szCs w:val="20"/>
              </w:rPr>
              <w:t>2021</w:t>
            </w:r>
          </w:p>
        </w:tc>
        <w:tc>
          <w:tcPr>
            <w:tcW w:w="1276" w:type="dxa"/>
            <w:noWrap/>
            <w:vAlign w:val="center"/>
            <w:hideMark/>
          </w:tcPr>
          <w:p w14:paraId="2C9E39C2" w14:textId="3318F0B6" w:rsidR="008D59F1" w:rsidRPr="008522AB" w:rsidRDefault="008D59F1" w:rsidP="00950892">
            <w:pPr>
              <w:spacing w:after="120" w:line="240" w:lineRule="auto"/>
              <w:rPr>
                <w:rFonts w:ascii="Arial Narrow" w:eastAsia="Times New Roman" w:hAnsi="Arial Narrow" w:cs="Calibri"/>
                <w:color w:val="4472C4" w:themeColor="accent1"/>
                <w:sz w:val="20"/>
                <w:szCs w:val="20"/>
              </w:rPr>
            </w:pPr>
            <w:r w:rsidRPr="008522AB">
              <w:rPr>
                <w:rFonts w:ascii="Arial Narrow" w:eastAsia="Times New Roman" w:hAnsi="Arial Narrow" w:cs="Calibri"/>
                <w:color w:val="4472C4" w:themeColor="accent1"/>
                <w:sz w:val="20"/>
                <w:szCs w:val="20"/>
              </w:rPr>
              <w:t>Relevance</w:t>
            </w:r>
            <w:r w:rsidR="000A14AB">
              <w:rPr>
                <w:rFonts w:ascii="Arial Narrow" w:eastAsia="Times New Roman" w:hAnsi="Arial Narrow" w:cs="Calibri"/>
                <w:color w:val="4472C4" w:themeColor="accent1"/>
                <w:sz w:val="20"/>
                <w:szCs w:val="20"/>
              </w:rPr>
              <w:sym w:font="Symbol" w:char="F0AD"/>
            </w:r>
          </w:p>
        </w:tc>
        <w:tc>
          <w:tcPr>
            <w:tcW w:w="7655" w:type="dxa"/>
            <w:noWrap/>
            <w:vAlign w:val="center"/>
            <w:hideMark/>
          </w:tcPr>
          <w:p w14:paraId="4D1AA06A" w14:textId="77777777" w:rsidR="008D59F1" w:rsidRPr="008522AB" w:rsidRDefault="008D59F1" w:rsidP="00950892">
            <w:pPr>
              <w:spacing w:after="120" w:line="240" w:lineRule="auto"/>
              <w:rPr>
                <w:rFonts w:ascii="Arial Narrow" w:eastAsia="Times New Roman" w:hAnsi="Arial Narrow" w:cs="Calibri"/>
                <w:sz w:val="20"/>
                <w:szCs w:val="20"/>
              </w:rPr>
            </w:pPr>
            <w:r w:rsidRPr="008522AB">
              <w:rPr>
                <w:rFonts w:ascii="Arial Narrow" w:eastAsia="Times New Roman" w:hAnsi="Arial Narrow" w:cs="Calibri"/>
                <w:sz w:val="20"/>
                <w:szCs w:val="20"/>
              </w:rPr>
              <w:t>Clinical Utility Card (merged into the 2021 MSAC Guidelines), and three documents related to various codependent applications.</w:t>
            </w:r>
          </w:p>
        </w:tc>
        <w:tc>
          <w:tcPr>
            <w:tcW w:w="4252" w:type="dxa"/>
            <w:vAlign w:val="center"/>
            <w:hideMark/>
          </w:tcPr>
          <w:p w14:paraId="1188F3A7" w14:textId="6E004F0D" w:rsidR="008D59F1" w:rsidRPr="00DD1568" w:rsidRDefault="009A0529" w:rsidP="00950892">
            <w:pPr>
              <w:spacing w:after="120" w:line="240" w:lineRule="auto"/>
              <w:rPr>
                <w:rFonts w:ascii="Arial Narrow" w:eastAsia="Arial Narrow" w:hAnsi="Arial Narrow" w:cs="Arial Narrow"/>
                <w:sz w:val="20"/>
                <w:szCs w:val="20"/>
              </w:rPr>
            </w:pPr>
            <w:r w:rsidRPr="00DD1568">
              <w:rPr>
                <w:rStyle w:val="Hyperlink"/>
                <w:rFonts w:ascii="Arial Narrow" w:eastAsia="Times New Roman" w:hAnsi="Arial Narrow" w:cs="Calibri"/>
                <w:color w:val="auto"/>
                <w:sz w:val="20"/>
                <w:szCs w:val="20"/>
                <w:u w:val="none"/>
              </w:rPr>
              <w:t>http://www.msac.gov.au/internet/msac/publishing.nsf/Content/Additional-Resources</w:t>
            </w:r>
          </w:p>
        </w:tc>
      </w:tr>
      <w:tr w:rsidR="00403303" w:rsidRPr="008522AB" w14:paraId="1C0A9411" w14:textId="77777777" w:rsidTr="0043215A">
        <w:trPr>
          <w:cantSplit/>
        </w:trPr>
        <w:tc>
          <w:tcPr>
            <w:tcW w:w="987" w:type="dxa"/>
            <w:noWrap/>
            <w:vAlign w:val="center"/>
            <w:hideMark/>
          </w:tcPr>
          <w:p w14:paraId="1AFACCE4" w14:textId="77777777" w:rsidR="00403303" w:rsidRPr="008522AB" w:rsidRDefault="00403303" w:rsidP="0043215A">
            <w:pPr>
              <w:spacing w:after="120" w:line="240" w:lineRule="auto"/>
              <w:rPr>
                <w:rFonts w:ascii="Arial Narrow" w:eastAsia="Times New Roman" w:hAnsi="Arial Narrow" w:cs="Calibri"/>
                <w:sz w:val="20"/>
                <w:szCs w:val="20"/>
              </w:rPr>
            </w:pPr>
            <w:r w:rsidRPr="008522AB">
              <w:rPr>
                <w:rFonts w:ascii="Arial Narrow" w:eastAsia="Times New Roman" w:hAnsi="Arial Narrow" w:cs="Calibri"/>
                <w:sz w:val="20"/>
                <w:szCs w:val="20"/>
              </w:rPr>
              <w:t>May 2021</w:t>
            </w:r>
          </w:p>
        </w:tc>
        <w:tc>
          <w:tcPr>
            <w:tcW w:w="1276" w:type="dxa"/>
            <w:noWrap/>
            <w:vAlign w:val="center"/>
            <w:hideMark/>
          </w:tcPr>
          <w:p w14:paraId="2292FC1B" w14:textId="77777777" w:rsidR="00403303" w:rsidRPr="008522AB" w:rsidRDefault="00403303" w:rsidP="0043215A">
            <w:pPr>
              <w:spacing w:after="120" w:line="240" w:lineRule="auto"/>
              <w:rPr>
                <w:rFonts w:ascii="Arial Narrow" w:eastAsia="Times New Roman" w:hAnsi="Arial Narrow" w:cs="Calibri"/>
                <w:sz w:val="20"/>
                <w:szCs w:val="20"/>
              </w:rPr>
            </w:pPr>
            <w:r>
              <w:rPr>
                <w:rFonts w:ascii="Arial Narrow" w:eastAsia="Times New Roman" w:hAnsi="Arial Narrow" w:cs="Calibri"/>
                <w:color w:val="4472C4" w:themeColor="accent1"/>
                <w:sz w:val="20"/>
                <w:szCs w:val="20"/>
              </w:rPr>
              <w:t>R</w:t>
            </w:r>
            <w:r w:rsidRPr="008522AB">
              <w:rPr>
                <w:rFonts w:ascii="Arial Narrow" w:eastAsia="Times New Roman" w:hAnsi="Arial Narrow" w:cs="Calibri"/>
                <w:color w:val="4472C4" w:themeColor="accent1"/>
                <w:sz w:val="20"/>
                <w:szCs w:val="20"/>
              </w:rPr>
              <w:t>elevance</w:t>
            </w:r>
            <w:r>
              <w:rPr>
                <w:rFonts w:ascii="Arial Narrow" w:eastAsia="Times New Roman" w:hAnsi="Arial Narrow" w:cs="Calibri"/>
                <w:color w:val="4472C4" w:themeColor="accent1"/>
                <w:sz w:val="20"/>
                <w:szCs w:val="20"/>
              </w:rPr>
              <w:sym w:font="Symbol" w:char="F0AD"/>
            </w:r>
          </w:p>
        </w:tc>
        <w:tc>
          <w:tcPr>
            <w:tcW w:w="7655" w:type="dxa"/>
            <w:noWrap/>
            <w:vAlign w:val="center"/>
            <w:hideMark/>
          </w:tcPr>
          <w:p w14:paraId="7BDE50E7" w14:textId="77777777" w:rsidR="00403303" w:rsidRPr="008522AB" w:rsidRDefault="00403303" w:rsidP="0043215A">
            <w:pPr>
              <w:spacing w:after="120" w:line="240" w:lineRule="auto"/>
              <w:rPr>
                <w:rFonts w:ascii="Arial Narrow" w:eastAsia="Times New Roman" w:hAnsi="Arial Narrow" w:cs="Calibri"/>
                <w:sz w:val="20"/>
                <w:szCs w:val="20"/>
              </w:rPr>
            </w:pPr>
            <w:r w:rsidRPr="008522AB">
              <w:rPr>
                <w:rFonts w:ascii="Arial Narrow" w:eastAsia="Times New Roman" w:hAnsi="Arial Narrow" w:cs="Calibri"/>
                <w:sz w:val="20"/>
                <w:szCs w:val="20"/>
              </w:rPr>
              <w:t>MSAC consultation process and timings improved</w:t>
            </w:r>
            <w:r>
              <w:rPr>
                <w:rFonts w:ascii="Arial Narrow" w:eastAsia="Times New Roman" w:hAnsi="Arial Narrow" w:cs="Calibri"/>
                <w:sz w:val="20"/>
                <w:szCs w:val="20"/>
              </w:rPr>
              <w:t>.</w:t>
            </w:r>
          </w:p>
        </w:tc>
        <w:tc>
          <w:tcPr>
            <w:tcW w:w="4252" w:type="dxa"/>
            <w:vAlign w:val="center"/>
            <w:hideMark/>
          </w:tcPr>
          <w:p w14:paraId="1AD2977F" w14:textId="77777777" w:rsidR="00403303" w:rsidRPr="00DD1568" w:rsidRDefault="00403303" w:rsidP="0043215A">
            <w:pPr>
              <w:spacing w:after="120" w:line="240" w:lineRule="auto"/>
              <w:rPr>
                <w:rFonts w:ascii="Arial Narrow" w:eastAsia="Arial Narrow" w:hAnsi="Arial Narrow" w:cs="Arial Narrow"/>
                <w:sz w:val="20"/>
                <w:szCs w:val="20"/>
              </w:rPr>
            </w:pPr>
            <w:r w:rsidRPr="00DD1568">
              <w:rPr>
                <w:rStyle w:val="Hyperlink"/>
                <w:rFonts w:ascii="Arial Narrow" w:eastAsia="Times New Roman" w:hAnsi="Arial Narrow" w:cs="Calibri"/>
                <w:color w:val="auto"/>
                <w:sz w:val="20"/>
                <w:szCs w:val="20"/>
                <w:u w:val="none"/>
              </w:rPr>
              <w:t>http://www.msac.gov.au/internet/msac/publishing.nsf/Content/MSAC-Consultation-Process</w:t>
            </w:r>
          </w:p>
        </w:tc>
      </w:tr>
      <w:tr w:rsidR="00403303" w:rsidRPr="008522AB" w14:paraId="149472FF" w14:textId="77777777" w:rsidTr="0043215A">
        <w:trPr>
          <w:cantSplit/>
          <w:trHeight w:val="1148"/>
        </w:trPr>
        <w:tc>
          <w:tcPr>
            <w:tcW w:w="987" w:type="dxa"/>
            <w:noWrap/>
            <w:vAlign w:val="center"/>
          </w:tcPr>
          <w:p w14:paraId="24BA19F4" w14:textId="62E19971" w:rsidR="00403303" w:rsidRPr="008522AB" w:rsidRDefault="00403303" w:rsidP="0043215A">
            <w:pPr>
              <w:spacing w:after="12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2021</w:t>
            </w:r>
          </w:p>
        </w:tc>
        <w:tc>
          <w:tcPr>
            <w:tcW w:w="1276" w:type="dxa"/>
            <w:noWrap/>
            <w:vAlign w:val="center"/>
          </w:tcPr>
          <w:p w14:paraId="12827465" w14:textId="77777777" w:rsidR="00403303" w:rsidRPr="008522AB" w:rsidRDefault="00403303" w:rsidP="0043215A">
            <w:pPr>
              <w:spacing w:after="120" w:line="240" w:lineRule="auto"/>
              <w:rPr>
                <w:rFonts w:ascii="Arial Narrow" w:eastAsia="Times New Roman" w:hAnsi="Arial Narrow" w:cs="Calibri"/>
                <w:color w:val="4472C4" w:themeColor="accent1"/>
                <w:sz w:val="20"/>
                <w:szCs w:val="20"/>
              </w:rPr>
            </w:pPr>
            <w:r w:rsidRPr="008522AB">
              <w:rPr>
                <w:rFonts w:ascii="Arial Narrow" w:eastAsia="Times New Roman" w:hAnsi="Arial Narrow" w:cs="Calibri"/>
                <w:color w:val="ED7D31" w:themeColor="accent2"/>
                <w:sz w:val="20"/>
                <w:szCs w:val="20"/>
              </w:rPr>
              <w:t>Enforcement</w:t>
            </w:r>
            <w:r w:rsidRPr="008522AB">
              <w:rPr>
                <w:rFonts w:ascii="Arial Narrow" w:eastAsia="Times New Roman" w:hAnsi="Arial Narrow" w:cs="Calibri"/>
                <w:sz w:val="20"/>
                <w:szCs w:val="20"/>
              </w:rPr>
              <w:t xml:space="preserve"> of </w:t>
            </w:r>
            <w:r w:rsidRPr="008522AB">
              <w:rPr>
                <w:rFonts w:ascii="Arial Narrow" w:eastAsia="Times New Roman" w:hAnsi="Arial Narrow" w:cs="Calibri"/>
                <w:color w:val="4472C4" w:themeColor="accent1"/>
                <w:sz w:val="20"/>
                <w:szCs w:val="20"/>
              </w:rPr>
              <w:t>relevance</w:t>
            </w:r>
            <w:r>
              <w:rPr>
                <w:rFonts w:ascii="Arial Narrow" w:eastAsia="Times New Roman" w:hAnsi="Arial Narrow" w:cs="Calibri"/>
                <w:color w:val="4472C4" w:themeColor="accent1"/>
                <w:sz w:val="20"/>
                <w:szCs w:val="20"/>
              </w:rPr>
              <w:sym w:font="Symbol" w:char="F0AD"/>
            </w:r>
          </w:p>
        </w:tc>
        <w:tc>
          <w:tcPr>
            <w:tcW w:w="7655" w:type="dxa"/>
            <w:noWrap/>
            <w:vAlign w:val="center"/>
          </w:tcPr>
          <w:p w14:paraId="31B7F67F" w14:textId="77777777" w:rsidR="00403303" w:rsidRPr="00054C8E" w:rsidRDefault="00403303" w:rsidP="0043215A">
            <w:pPr>
              <w:spacing w:after="120" w:line="240" w:lineRule="auto"/>
              <w:rPr>
                <w:rFonts w:ascii="Arial Narrow" w:eastAsia="Times New Roman" w:hAnsi="Arial Narrow" w:cs="Calibri"/>
                <w:sz w:val="20"/>
                <w:szCs w:val="20"/>
              </w:rPr>
            </w:pPr>
            <w:r w:rsidRPr="00054C8E">
              <w:rPr>
                <w:rFonts w:ascii="Arial Narrow" w:eastAsia="Times New Roman" w:hAnsi="Arial Narrow" w:cs="Calibri"/>
                <w:sz w:val="20"/>
                <w:szCs w:val="20"/>
              </w:rPr>
              <w:t xml:space="preserve">Industry rep also called for in </w:t>
            </w:r>
            <w:hyperlink r:id="rId66" w:history="1">
              <w:r w:rsidRPr="00054C8E">
                <w:rPr>
                  <w:rStyle w:val="Hyperlink"/>
                  <w:rFonts w:ascii="Arial Narrow" w:eastAsia="Times New Roman" w:hAnsi="Arial Narrow" w:cs="Calibri"/>
                  <w:color w:val="auto"/>
                  <w:sz w:val="20"/>
                  <w:szCs w:val="20"/>
                </w:rPr>
                <w:t>Clause 6.7 of the 2022-2027 Strategic Agreement with Medicines Australia</w:t>
              </w:r>
            </w:hyperlink>
            <w:r w:rsidRPr="00054C8E">
              <w:rPr>
                <w:rFonts w:ascii="Arial Narrow" w:eastAsia="Times New Roman" w:hAnsi="Arial Narrow" w:cs="Calibri"/>
                <w:sz w:val="20"/>
                <w:szCs w:val="20"/>
              </w:rPr>
              <w:t>. Not yet reflected in an appointment by the Minister.</w:t>
            </w:r>
          </w:p>
        </w:tc>
        <w:tc>
          <w:tcPr>
            <w:tcW w:w="4252" w:type="dxa"/>
            <w:vAlign w:val="center"/>
          </w:tcPr>
          <w:p w14:paraId="79783BA0" w14:textId="77777777" w:rsidR="00403303" w:rsidRPr="00054C8E" w:rsidRDefault="00403303" w:rsidP="0043215A">
            <w:pPr>
              <w:spacing w:after="120" w:line="240" w:lineRule="auto"/>
              <w:rPr>
                <w:rStyle w:val="Hyperlink"/>
                <w:rFonts w:ascii="Arial Narrow" w:eastAsia="Arial Narrow" w:hAnsi="Arial Narrow" w:cs="Arial Narrow"/>
                <w:color w:val="auto"/>
                <w:sz w:val="20"/>
                <w:szCs w:val="20"/>
                <w:u w:val="none"/>
              </w:rPr>
            </w:pPr>
            <w:hyperlink r:id="rId67" w:history="1">
              <w:r w:rsidRPr="00054C8E">
                <w:rPr>
                  <w:rStyle w:val="Hyperlink"/>
                  <w:rFonts w:ascii="Arial Narrow" w:eastAsia="Arial Narrow" w:hAnsi="Arial Narrow" w:cs="Arial Narrow"/>
                  <w:color w:val="auto"/>
                  <w:sz w:val="20"/>
                  <w:szCs w:val="20"/>
                  <w:u w:val="none"/>
                </w:rPr>
                <w:t>http://www.msac.gov.au/internet/msac/publishing.nsf/Content/msac-membershiphttps://www.medicinesaustralia.com.au/wp-content/uploads/sites/65/2023/10/ma-strategic-agreement-22-27.pdf</w:t>
              </w:r>
            </w:hyperlink>
          </w:p>
        </w:tc>
      </w:tr>
    </w:tbl>
    <w:p w14:paraId="1F5757B7" w14:textId="6EF35D59" w:rsidR="00DD1568" w:rsidRDefault="00DD1568" w:rsidP="00DD1568">
      <w:pPr>
        <w:spacing w:after="0" w:line="240" w:lineRule="auto"/>
        <w:rPr>
          <w:rFonts w:ascii="Arial Narrow" w:hAnsi="Arial Narrow"/>
          <w:sz w:val="20"/>
        </w:rPr>
      </w:pPr>
      <w:r w:rsidRPr="005B15C5">
        <w:rPr>
          <w:rFonts w:ascii="Arial Narrow" w:hAnsi="Arial Narrow"/>
          <w:sz w:val="20"/>
        </w:rPr>
        <w:t>^identified with assistance of a senior Australian Health Department officer</w:t>
      </w:r>
    </w:p>
    <w:p w14:paraId="0951156C" w14:textId="0134E5BA" w:rsidR="0079701C" w:rsidRPr="005B15C5" w:rsidRDefault="0079701C" w:rsidP="00DD1568">
      <w:pPr>
        <w:spacing w:after="0" w:line="240" w:lineRule="auto"/>
        <w:rPr>
          <w:rFonts w:ascii="Arial Narrow" w:hAnsi="Arial Narrow"/>
          <w:sz w:val="20"/>
        </w:rPr>
      </w:pPr>
      <w:r>
        <w:rPr>
          <w:rFonts w:ascii="Arial Narrow" w:hAnsi="Arial Narrow"/>
          <w:sz w:val="20"/>
        </w:rPr>
        <w:t>* approximate date</w:t>
      </w:r>
    </w:p>
    <w:p w14:paraId="07E29000" w14:textId="2682123A" w:rsidR="00301324" w:rsidRPr="005B15C5" w:rsidRDefault="00301324" w:rsidP="005B15C5">
      <w:pPr>
        <w:spacing w:after="0" w:line="240" w:lineRule="auto"/>
        <w:rPr>
          <w:rFonts w:ascii="Arial Narrow" w:hAnsi="Arial Narrow"/>
          <w:sz w:val="20"/>
        </w:rPr>
      </w:pPr>
    </w:p>
    <w:p w14:paraId="3542F55C" w14:textId="3C6672B8" w:rsidR="00B90239" w:rsidRDefault="00B90239" w:rsidP="008D59F1">
      <w:pPr>
        <w:pStyle w:val="Title1"/>
        <w:spacing w:before="0" w:line="240" w:lineRule="auto"/>
        <w:outlineLvl w:val="2"/>
        <w:rPr>
          <w:rFonts w:ascii="Arial Narrow" w:hAnsi="Arial Narrow" w:cstheme="minorHAnsi"/>
          <w:sz w:val="20"/>
          <w:szCs w:val="20"/>
          <w:lang w:val="en-AU" w:eastAsia="en-US"/>
        </w:rPr>
      </w:pPr>
      <w:r>
        <w:rPr>
          <w:rFonts w:ascii="Arial Narrow" w:hAnsi="Arial Narrow" w:cstheme="minorHAnsi"/>
          <w:sz w:val="20"/>
          <w:szCs w:val="20"/>
          <w:lang w:val="en-AU" w:eastAsia="en-US"/>
        </w:rPr>
        <w:lastRenderedPageBreak/>
        <w:t>Table 3: Counts o</w:t>
      </w:r>
      <w:r w:rsidR="00454EC8">
        <w:rPr>
          <w:rFonts w:ascii="Arial Narrow" w:hAnsi="Arial Narrow" w:cstheme="minorHAnsi"/>
          <w:sz w:val="20"/>
          <w:szCs w:val="20"/>
          <w:lang w:val="en-AU" w:eastAsia="en-US"/>
        </w:rPr>
        <w:t xml:space="preserve">f A4R domains impacted from the </w:t>
      </w:r>
      <w:r w:rsidR="00E271A6">
        <w:rPr>
          <w:rFonts w:ascii="Arial Narrow" w:hAnsi="Arial Narrow" w:cstheme="minorHAnsi"/>
          <w:sz w:val="20"/>
          <w:szCs w:val="20"/>
          <w:lang w:val="en-AU" w:eastAsia="en-US"/>
        </w:rPr>
        <w:t>identified</w:t>
      </w:r>
      <w:r w:rsidR="00454EC8">
        <w:rPr>
          <w:rFonts w:ascii="Arial Narrow" w:hAnsi="Arial Narrow" w:cstheme="minorHAnsi"/>
          <w:sz w:val="20"/>
          <w:szCs w:val="20"/>
          <w:lang w:val="en-AU" w:eastAsia="en-US"/>
        </w:rPr>
        <w:t xml:space="preserve"> policy changes pertaining to A4R </w:t>
      </w:r>
      <w:r w:rsidR="00EF5B3B">
        <w:rPr>
          <w:rFonts w:ascii="Arial Narrow" w:hAnsi="Arial Narrow" w:cstheme="minorHAnsi"/>
          <w:sz w:val="20"/>
          <w:szCs w:val="20"/>
          <w:lang w:val="en-AU" w:eastAsia="en-US"/>
        </w:rPr>
        <w:t xml:space="preserve">(note a single policy change may impact multiple A4R domains) </w:t>
      </w:r>
    </w:p>
    <w:tbl>
      <w:tblPr>
        <w:tblStyle w:val="TableGrid"/>
        <w:tblW w:w="0" w:type="auto"/>
        <w:tblLook w:val="04A0" w:firstRow="1" w:lastRow="0" w:firstColumn="1" w:lastColumn="0" w:noHBand="0" w:noVBand="1"/>
      </w:tblPr>
      <w:tblGrid>
        <w:gridCol w:w="7083"/>
        <w:gridCol w:w="2268"/>
        <w:gridCol w:w="1446"/>
        <w:gridCol w:w="2381"/>
      </w:tblGrid>
      <w:tr w:rsidR="00B90239" w14:paraId="67FEAAB6" w14:textId="2F162616" w:rsidTr="00EF5B3B">
        <w:tc>
          <w:tcPr>
            <w:tcW w:w="7083" w:type="dxa"/>
          </w:tcPr>
          <w:p w14:paraId="64CB8BFB" w14:textId="230A7DD4" w:rsidR="00B90239" w:rsidRDefault="00B90239" w:rsidP="00B90239">
            <w:pPr>
              <w:pStyle w:val="Title1"/>
              <w:spacing w:before="0" w:line="240" w:lineRule="auto"/>
              <w:outlineLvl w:val="2"/>
              <w:rPr>
                <w:rFonts w:ascii="Arial Narrow" w:hAnsi="Arial Narrow" w:cstheme="minorHAnsi"/>
                <w:sz w:val="20"/>
                <w:szCs w:val="20"/>
                <w:lang w:val="en-AU" w:eastAsia="en-US"/>
              </w:rPr>
            </w:pPr>
            <w:r>
              <w:rPr>
                <w:rFonts w:ascii="Arial Narrow" w:hAnsi="Arial Narrow" w:cstheme="minorHAnsi"/>
                <w:sz w:val="20"/>
                <w:szCs w:val="20"/>
                <w:lang w:val="en-AU" w:eastAsia="en-US"/>
              </w:rPr>
              <w:t>A4R domain</w:t>
            </w:r>
            <w:r w:rsidR="00454EC8">
              <w:rPr>
                <w:rFonts w:ascii="Arial Narrow" w:hAnsi="Arial Narrow" w:cstheme="minorHAnsi"/>
                <w:sz w:val="20"/>
                <w:szCs w:val="20"/>
                <w:lang w:val="en-AU" w:eastAsia="en-US"/>
              </w:rPr>
              <w:t>s impacted</w:t>
            </w:r>
          </w:p>
        </w:tc>
        <w:tc>
          <w:tcPr>
            <w:tcW w:w="2268" w:type="dxa"/>
            <w:vAlign w:val="center"/>
          </w:tcPr>
          <w:p w14:paraId="1DDCF7E8" w14:textId="77777777" w:rsidR="00B90239" w:rsidRDefault="00B90239" w:rsidP="00B90239">
            <w:pPr>
              <w:pStyle w:val="Title1"/>
              <w:spacing w:before="0" w:line="240" w:lineRule="auto"/>
              <w:jc w:val="center"/>
              <w:outlineLvl w:val="2"/>
              <w:rPr>
                <w:rFonts w:ascii="Arial Narrow" w:hAnsi="Arial Narrow" w:cstheme="minorHAnsi"/>
                <w:sz w:val="20"/>
                <w:szCs w:val="20"/>
                <w:lang w:val="en-AU" w:eastAsia="en-US"/>
              </w:rPr>
            </w:pPr>
            <w:r>
              <w:rPr>
                <w:rFonts w:ascii="Arial Narrow" w:hAnsi="Arial Narrow" w:cstheme="minorHAnsi"/>
                <w:sz w:val="20"/>
                <w:szCs w:val="20"/>
                <w:lang w:val="en-AU" w:eastAsia="en-US"/>
              </w:rPr>
              <w:t>PBAC</w:t>
            </w:r>
          </w:p>
        </w:tc>
        <w:tc>
          <w:tcPr>
            <w:tcW w:w="1446" w:type="dxa"/>
            <w:vAlign w:val="center"/>
          </w:tcPr>
          <w:p w14:paraId="411F474A" w14:textId="77777777" w:rsidR="00B90239" w:rsidRDefault="00B90239" w:rsidP="00B90239">
            <w:pPr>
              <w:pStyle w:val="Title1"/>
              <w:spacing w:before="0" w:line="240" w:lineRule="auto"/>
              <w:jc w:val="center"/>
              <w:outlineLvl w:val="2"/>
              <w:rPr>
                <w:rFonts w:ascii="Arial Narrow" w:hAnsi="Arial Narrow" w:cstheme="minorHAnsi"/>
                <w:sz w:val="20"/>
                <w:szCs w:val="20"/>
                <w:lang w:val="en-AU" w:eastAsia="en-US"/>
              </w:rPr>
            </w:pPr>
            <w:r>
              <w:rPr>
                <w:rFonts w:ascii="Arial Narrow" w:hAnsi="Arial Narrow" w:cstheme="minorHAnsi"/>
                <w:sz w:val="20"/>
                <w:szCs w:val="20"/>
                <w:lang w:val="en-AU" w:eastAsia="en-US"/>
              </w:rPr>
              <w:t>MSAC</w:t>
            </w:r>
          </w:p>
        </w:tc>
        <w:tc>
          <w:tcPr>
            <w:tcW w:w="2381" w:type="dxa"/>
            <w:vAlign w:val="center"/>
          </w:tcPr>
          <w:p w14:paraId="7FBFF780" w14:textId="5A948B7D" w:rsidR="00B90239" w:rsidRDefault="00EF5B3B" w:rsidP="00B90239">
            <w:pPr>
              <w:pStyle w:val="Title1"/>
              <w:spacing w:before="0" w:line="240" w:lineRule="auto"/>
              <w:jc w:val="center"/>
              <w:outlineLvl w:val="2"/>
              <w:rPr>
                <w:rFonts w:ascii="Arial Narrow" w:hAnsi="Arial Narrow" w:cstheme="minorHAnsi"/>
                <w:sz w:val="20"/>
                <w:szCs w:val="20"/>
                <w:lang w:val="en-AU" w:eastAsia="en-US"/>
              </w:rPr>
            </w:pPr>
            <w:r>
              <w:rPr>
                <w:rFonts w:ascii="Arial Narrow" w:hAnsi="Arial Narrow" w:cstheme="minorHAnsi"/>
                <w:sz w:val="20"/>
                <w:szCs w:val="20"/>
                <w:lang w:val="en-AU" w:eastAsia="en-US"/>
              </w:rPr>
              <w:t>Total</w:t>
            </w:r>
          </w:p>
        </w:tc>
      </w:tr>
      <w:tr w:rsidR="00B90239" w:rsidRPr="006449F6" w14:paraId="141F2763" w14:textId="0286DDB8" w:rsidTr="00EF5B3B">
        <w:tc>
          <w:tcPr>
            <w:tcW w:w="7083" w:type="dxa"/>
          </w:tcPr>
          <w:p w14:paraId="2FE7F73D" w14:textId="4D0F901F" w:rsidR="00B90239" w:rsidRPr="00076B72" w:rsidRDefault="00B90239" w:rsidP="00B90239">
            <w:pPr>
              <w:pStyle w:val="Title1"/>
              <w:spacing w:before="0" w:line="240" w:lineRule="auto"/>
              <w:outlineLvl w:val="2"/>
              <w:rPr>
                <w:rFonts w:ascii="Arial Narrow" w:hAnsi="Arial Narrow" w:cstheme="minorHAnsi"/>
                <w:b w:val="0"/>
                <w:sz w:val="20"/>
                <w:szCs w:val="20"/>
                <w:lang w:val="en-AU" w:eastAsia="en-US"/>
              </w:rPr>
            </w:pPr>
            <w:r w:rsidRPr="00076B72">
              <w:rPr>
                <w:rFonts w:ascii="Arial Narrow" w:hAnsi="Arial Narrow" w:cstheme="minorHAnsi"/>
                <w:b w:val="0"/>
                <w:sz w:val="20"/>
                <w:szCs w:val="20"/>
                <w:lang w:val="en-AU" w:eastAsia="en-US"/>
              </w:rPr>
              <w:t xml:space="preserve">Total </w:t>
            </w:r>
            <w:r w:rsidR="00EF5B3B">
              <w:rPr>
                <w:rFonts w:ascii="Arial Narrow" w:hAnsi="Arial Narrow" w:cstheme="minorHAnsi"/>
                <w:b w:val="0"/>
                <w:sz w:val="20"/>
                <w:szCs w:val="20"/>
                <w:lang w:val="en-AU" w:eastAsia="en-US"/>
              </w:rPr>
              <w:t xml:space="preserve">counts of A4R </w:t>
            </w:r>
            <w:r w:rsidR="00454EC8">
              <w:rPr>
                <w:rFonts w:ascii="Arial Narrow" w:hAnsi="Arial Narrow" w:cstheme="minorHAnsi"/>
                <w:b w:val="0"/>
                <w:sz w:val="20"/>
                <w:szCs w:val="20"/>
                <w:lang w:val="en-AU" w:eastAsia="en-US"/>
              </w:rPr>
              <w:t>domains impacted by the policy changes</w:t>
            </w:r>
            <w:r w:rsidR="00EF5B3B">
              <w:rPr>
                <w:rFonts w:ascii="Arial Narrow" w:hAnsi="Arial Narrow" w:cstheme="minorHAnsi"/>
                <w:b w:val="0"/>
                <w:sz w:val="20"/>
                <w:szCs w:val="20"/>
                <w:lang w:val="en-AU" w:eastAsia="en-US"/>
              </w:rPr>
              <w:t xml:space="preserve"> </w:t>
            </w:r>
            <w:r w:rsidRPr="00076B72">
              <w:rPr>
                <w:rFonts w:ascii="Arial Narrow" w:hAnsi="Arial Narrow" w:cstheme="minorHAnsi"/>
                <w:b w:val="0"/>
                <w:sz w:val="20"/>
                <w:szCs w:val="20"/>
                <w:lang w:val="en-AU" w:eastAsia="en-US"/>
              </w:rPr>
              <w:t xml:space="preserve">(including the number of </w:t>
            </w:r>
            <w:r w:rsidR="00454EC8">
              <w:rPr>
                <w:rFonts w:ascii="Arial Narrow" w:hAnsi="Arial Narrow" w:cstheme="minorHAnsi"/>
                <w:b w:val="0"/>
                <w:sz w:val="20"/>
                <w:szCs w:val="20"/>
                <w:lang w:val="en-AU" w:eastAsia="en-US"/>
              </w:rPr>
              <w:t xml:space="preserve">other </w:t>
            </w:r>
            <w:r w:rsidRPr="00076B72">
              <w:rPr>
                <w:rFonts w:ascii="Arial Narrow" w:hAnsi="Arial Narrow" w:cstheme="minorHAnsi"/>
                <w:b w:val="0"/>
                <w:sz w:val="20"/>
                <w:szCs w:val="20"/>
                <w:lang w:val="en-AU" w:eastAsia="en-US"/>
              </w:rPr>
              <w:t xml:space="preserve">A4R domains affected by changes in </w:t>
            </w:r>
            <w:r w:rsidRPr="00076B72">
              <w:rPr>
                <w:rFonts w:ascii="Arial Narrow" w:hAnsi="Arial Narrow" w:cstheme="minorHAnsi"/>
                <w:b w:val="0"/>
                <w:i/>
                <w:sz w:val="20"/>
                <w:szCs w:val="20"/>
                <w:lang w:val="en-AU" w:eastAsia="en-US"/>
              </w:rPr>
              <w:t>Enforcement</w:t>
            </w:r>
            <w:r w:rsidRPr="00076B72">
              <w:rPr>
                <w:rFonts w:ascii="Arial Narrow" w:hAnsi="Arial Narrow" w:cstheme="minorHAnsi"/>
                <w:b w:val="0"/>
                <w:sz w:val="20"/>
                <w:szCs w:val="20"/>
                <w:lang w:val="en-AU" w:eastAsia="en-US"/>
              </w:rPr>
              <w:t>)</w:t>
            </w:r>
          </w:p>
        </w:tc>
        <w:tc>
          <w:tcPr>
            <w:tcW w:w="2268" w:type="dxa"/>
            <w:vAlign w:val="center"/>
          </w:tcPr>
          <w:p w14:paraId="599F502F" w14:textId="1C623E5F" w:rsidR="00B90239" w:rsidRPr="006449F6" w:rsidRDefault="00EF5B3B"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52</w:t>
            </w:r>
          </w:p>
        </w:tc>
        <w:tc>
          <w:tcPr>
            <w:tcW w:w="1446" w:type="dxa"/>
            <w:vAlign w:val="center"/>
          </w:tcPr>
          <w:p w14:paraId="4FD4070C" w14:textId="08AE61F2" w:rsidR="00B90239" w:rsidRPr="006449F6" w:rsidRDefault="00EF5B3B"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19</w:t>
            </w:r>
          </w:p>
        </w:tc>
        <w:tc>
          <w:tcPr>
            <w:tcW w:w="2381" w:type="dxa"/>
            <w:vAlign w:val="center"/>
          </w:tcPr>
          <w:p w14:paraId="0AF484D5" w14:textId="720C5CB5" w:rsidR="00B90239" w:rsidRPr="006449F6" w:rsidRDefault="00EF5B3B"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71</w:t>
            </w:r>
          </w:p>
        </w:tc>
      </w:tr>
      <w:tr w:rsidR="00B90239" w14:paraId="3DB69859" w14:textId="6198A091" w:rsidTr="00EF5B3B">
        <w:tc>
          <w:tcPr>
            <w:tcW w:w="7083" w:type="dxa"/>
          </w:tcPr>
          <w:p w14:paraId="0A36B425" w14:textId="2E5B0695" w:rsidR="00B90239" w:rsidRPr="00076B72" w:rsidRDefault="00B90239" w:rsidP="00EF5B3B">
            <w:pPr>
              <w:pStyle w:val="Title1"/>
              <w:spacing w:before="0" w:line="240" w:lineRule="auto"/>
              <w:ind w:left="164"/>
              <w:outlineLvl w:val="2"/>
              <w:rPr>
                <w:rFonts w:ascii="Arial Narrow" w:hAnsi="Arial Narrow" w:cstheme="minorHAnsi"/>
                <w:b w:val="0"/>
                <w:i/>
                <w:sz w:val="20"/>
                <w:szCs w:val="20"/>
                <w:lang w:val="en-AU" w:eastAsia="en-US"/>
              </w:rPr>
            </w:pPr>
            <w:r w:rsidRPr="00076B72">
              <w:rPr>
                <w:rFonts w:ascii="Arial Narrow" w:hAnsi="Arial Narrow" w:cstheme="minorHAnsi"/>
                <w:b w:val="0"/>
                <w:i/>
                <w:sz w:val="20"/>
                <w:szCs w:val="20"/>
                <w:lang w:val="en-AU" w:eastAsia="en-US"/>
              </w:rPr>
              <w:t>Relevance</w:t>
            </w:r>
          </w:p>
        </w:tc>
        <w:tc>
          <w:tcPr>
            <w:tcW w:w="2268" w:type="dxa"/>
            <w:vAlign w:val="center"/>
          </w:tcPr>
          <w:p w14:paraId="5A34FF08" w14:textId="22C67489" w:rsidR="00B90239" w:rsidRPr="00797273" w:rsidRDefault="00B90239"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18</w:t>
            </w:r>
          </w:p>
        </w:tc>
        <w:tc>
          <w:tcPr>
            <w:tcW w:w="1446" w:type="dxa"/>
            <w:vAlign w:val="center"/>
          </w:tcPr>
          <w:p w14:paraId="3E28C912" w14:textId="2721D66D" w:rsidR="00B90239" w:rsidRPr="00797273" w:rsidRDefault="00B90239"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9</w:t>
            </w:r>
          </w:p>
        </w:tc>
        <w:tc>
          <w:tcPr>
            <w:tcW w:w="2381" w:type="dxa"/>
            <w:vAlign w:val="center"/>
          </w:tcPr>
          <w:p w14:paraId="3754CC8F" w14:textId="2D47BB50" w:rsidR="00B90239" w:rsidRDefault="00EF5B3B"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27</w:t>
            </w:r>
          </w:p>
        </w:tc>
      </w:tr>
      <w:tr w:rsidR="00B90239" w14:paraId="503AF5F9" w14:textId="4B385819" w:rsidTr="00EF5B3B">
        <w:tc>
          <w:tcPr>
            <w:tcW w:w="7083" w:type="dxa"/>
          </w:tcPr>
          <w:p w14:paraId="20FF5BE3" w14:textId="77777777" w:rsidR="00B90239" w:rsidRPr="00076B72" w:rsidRDefault="00B90239" w:rsidP="00EF5B3B">
            <w:pPr>
              <w:pStyle w:val="Title1"/>
              <w:spacing w:before="0" w:line="240" w:lineRule="auto"/>
              <w:ind w:left="164"/>
              <w:outlineLvl w:val="2"/>
              <w:rPr>
                <w:rFonts w:ascii="Arial Narrow" w:hAnsi="Arial Narrow" w:cstheme="minorHAnsi"/>
                <w:b w:val="0"/>
                <w:i/>
                <w:sz w:val="20"/>
                <w:szCs w:val="20"/>
                <w:lang w:val="en-AU" w:eastAsia="en-US"/>
              </w:rPr>
            </w:pPr>
            <w:r w:rsidRPr="00076B72">
              <w:rPr>
                <w:rFonts w:ascii="Arial Narrow" w:hAnsi="Arial Narrow" w:cstheme="minorHAnsi"/>
                <w:b w:val="0"/>
                <w:i/>
                <w:sz w:val="20"/>
                <w:szCs w:val="20"/>
                <w:lang w:val="en-AU" w:eastAsia="en-US"/>
              </w:rPr>
              <w:t xml:space="preserve">Publicity </w:t>
            </w:r>
          </w:p>
        </w:tc>
        <w:tc>
          <w:tcPr>
            <w:tcW w:w="2268" w:type="dxa"/>
            <w:vAlign w:val="center"/>
          </w:tcPr>
          <w:p w14:paraId="3DFDFD5A" w14:textId="46FD3068" w:rsidR="00B90239" w:rsidRPr="00B37320" w:rsidRDefault="00B90239"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18</w:t>
            </w:r>
          </w:p>
        </w:tc>
        <w:tc>
          <w:tcPr>
            <w:tcW w:w="1446" w:type="dxa"/>
            <w:vAlign w:val="center"/>
          </w:tcPr>
          <w:p w14:paraId="53ED4348" w14:textId="582BDF6D" w:rsidR="00B90239" w:rsidRPr="00797273" w:rsidRDefault="00B90239"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5</w:t>
            </w:r>
          </w:p>
        </w:tc>
        <w:tc>
          <w:tcPr>
            <w:tcW w:w="2381" w:type="dxa"/>
            <w:vAlign w:val="center"/>
          </w:tcPr>
          <w:p w14:paraId="4B98A23B" w14:textId="28C1D2F5" w:rsidR="00B90239" w:rsidRPr="00B37320" w:rsidRDefault="00EF5B3B"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23</w:t>
            </w:r>
          </w:p>
        </w:tc>
      </w:tr>
      <w:tr w:rsidR="00B90239" w14:paraId="5B8FE0A2" w14:textId="39948188" w:rsidTr="00EF5B3B">
        <w:tc>
          <w:tcPr>
            <w:tcW w:w="7083" w:type="dxa"/>
          </w:tcPr>
          <w:p w14:paraId="00FB42FA" w14:textId="77777777" w:rsidR="00B90239" w:rsidRPr="00076B72" w:rsidRDefault="00B90239" w:rsidP="00EF5B3B">
            <w:pPr>
              <w:pStyle w:val="Title1"/>
              <w:spacing w:before="0" w:line="240" w:lineRule="auto"/>
              <w:ind w:left="164"/>
              <w:outlineLvl w:val="2"/>
              <w:rPr>
                <w:rFonts w:ascii="Arial Narrow" w:hAnsi="Arial Narrow" w:cstheme="minorHAnsi"/>
                <w:b w:val="0"/>
                <w:i/>
                <w:sz w:val="20"/>
                <w:szCs w:val="20"/>
                <w:lang w:val="en-AU" w:eastAsia="en-US"/>
              </w:rPr>
            </w:pPr>
            <w:r w:rsidRPr="00076B72">
              <w:rPr>
                <w:rFonts w:ascii="Arial Narrow" w:hAnsi="Arial Narrow" w:cstheme="minorHAnsi"/>
                <w:b w:val="0"/>
                <w:i/>
                <w:sz w:val="20"/>
                <w:szCs w:val="20"/>
                <w:lang w:val="en-AU" w:eastAsia="en-US"/>
              </w:rPr>
              <w:t>Revision</w:t>
            </w:r>
          </w:p>
        </w:tc>
        <w:tc>
          <w:tcPr>
            <w:tcW w:w="2268" w:type="dxa"/>
            <w:vAlign w:val="center"/>
          </w:tcPr>
          <w:p w14:paraId="729F5CFE" w14:textId="7A36D966" w:rsidR="00B90239" w:rsidRPr="00797273" w:rsidRDefault="00B90239"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8</w:t>
            </w:r>
          </w:p>
        </w:tc>
        <w:tc>
          <w:tcPr>
            <w:tcW w:w="1446" w:type="dxa"/>
            <w:vAlign w:val="center"/>
          </w:tcPr>
          <w:p w14:paraId="66BF7F9F" w14:textId="26272B8C" w:rsidR="00B90239" w:rsidRPr="00797273" w:rsidRDefault="00B90239"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1</w:t>
            </w:r>
          </w:p>
        </w:tc>
        <w:tc>
          <w:tcPr>
            <w:tcW w:w="2381" w:type="dxa"/>
            <w:vAlign w:val="center"/>
          </w:tcPr>
          <w:p w14:paraId="113A1EEB" w14:textId="2EC6BDC6" w:rsidR="00B90239" w:rsidRDefault="00EF5B3B"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9</w:t>
            </w:r>
          </w:p>
        </w:tc>
      </w:tr>
      <w:tr w:rsidR="00B90239" w14:paraId="26D9198E" w14:textId="7DC0CF0C" w:rsidTr="00EF5B3B">
        <w:tc>
          <w:tcPr>
            <w:tcW w:w="7083" w:type="dxa"/>
          </w:tcPr>
          <w:p w14:paraId="39A999F1" w14:textId="77777777" w:rsidR="00B90239" w:rsidRPr="00076B72" w:rsidRDefault="00B90239" w:rsidP="00EF5B3B">
            <w:pPr>
              <w:pStyle w:val="Title1"/>
              <w:spacing w:before="0" w:line="240" w:lineRule="auto"/>
              <w:ind w:left="164"/>
              <w:outlineLvl w:val="2"/>
              <w:rPr>
                <w:rFonts w:ascii="Arial Narrow" w:hAnsi="Arial Narrow" w:cstheme="minorHAnsi"/>
                <w:b w:val="0"/>
                <w:sz w:val="20"/>
                <w:szCs w:val="20"/>
                <w:lang w:val="en-AU" w:eastAsia="en-US"/>
              </w:rPr>
            </w:pPr>
            <w:r w:rsidRPr="00076B72">
              <w:rPr>
                <w:rFonts w:ascii="Arial Narrow" w:hAnsi="Arial Narrow" w:cstheme="minorHAnsi"/>
                <w:b w:val="0"/>
                <w:i/>
                <w:sz w:val="20"/>
                <w:szCs w:val="20"/>
                <w:lang w:val="en-AU" w:eastAsia="en-US"/>
              </w:rPr>
              <w:t>Enforcement</w:t>
            </w:r>
            <w:r w:rsidRPr="00076B72">
              <w:rPr>
                <w:rFonts w:ascii="Arial Narrow" w:hAnsi="Arial Narrow" w:cstheme="minorHAnsi"/>
                <w:b w:val="0"/>
                <w:sz w:val="20"/>
                <w:szCs w:val="20"/>
                <w:lang w:val="en-AU" w:eastAsia="en-US"/>
              </w:rPr>
              <w:t>^</w:t>
            </w:r>
          </w:p>
        </w:tc>
        <w:tc>
          <w:tcPr>
            <w:tcW w:w="2268" w:type="dxa"/>
            <w:vAlign w:val="center"/>
          </w:tcPr>
          <w:p w14:paraId="63ADAA00" w14:textId="253F132B" w:rsidR="00B90239" w:rsidRPr="00797273" w:rsidRDefault="00B90239"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8</w:t>
            </w:r>
          </w:p>
        </w:tc>
        <w:tc>
          <w:tcPr>
            <w:tcW w:w="1446" w:type="dxa"/>
            <w:vAlign w:val="center"/>
          </w:tcPr>
          <w:p w14:paraId="185F9B64" w14:textId="47BE5042" w:rsidR="00B90239" w:rsidRPr="00797273" w:rsidRDefault="00B90239"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4</w:t>
            </w:r>
          </w:p>
        </w:tc>
        <w:tc>
          <w:tcPr>
            <w:tcW w:w="2381" w:type="dxa"/>
            <w:vAlign w:val="center"/>
          </w:tcPr>
          <w:p w14:paraId="68D3E99B" w14:textId="3BF75AE4" w:rsidR="00B90239" w:rsidRDefault="00EF5B3B" w:rsidP="00B90239">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12</w:t>
            </w:r>
          </w:p>
        </w:tc>
      </w:tr>
    </w:tbl>
    <w:p w14:paraId="3A2A22D3" w14:textId="77777777" w:rsidR="00B90239" w:rsidRPr="00EF5B3B" w:rsidRDefault="00B90239" w:rsidP="00B90239">
      <w:pPr>
        <w:pStyle w:val="Title1"/>
        <w:spacing w:before="0" w:line="240" w:lineRule="auto"/>
        <w:rPr>
          <w:rFonts w:ascii="Arial Narrow" w:hAnsi="Arial Narrow" w:cstheme="minorHAnsi"/>
          <w:b w:val="0"/>
          <w:bCs/>
          <w:szCs w:val="20"/>
          <w:lang w:val="en-AU" w:eastAsia="en-US"/>
        </w:rPr>
      </w:pPr>
      <w:r w:rsidRPr="00EF5B3B">
        <w:rPr>
          <w:rFonts w:ascii="Arial Narrow" w:hAnsi="Arial Narrow" w:cstheme="minorHAnsi"/>
          <w:b w:val="0"/>
          <w:bCs/>
          <w:szCs w:val="20"/>
          <w:lang w:val="en-AU" w:eastAsia="en-US"/>
        </w:rPr>
        <w:t xml:space="preserve">^ changes impacting </w:t>
      </w:r>
      <w:r w:rsidRPr="00EF5B3B">
        <w:rPr>
          <w:rFonts w:ascii="Arial Narrow" w:hAnsi="Arial Narrow" w:cstheme="minorHAnsi"/>
          <w:b w:val="0"/>
          <w:bCs/>
          <w:i/>
          <w:szCs w:val="20"/>
          <w:lang w:val="en-AU" w:eastAsia="en-US"/>
        </w:rPr>
        <w:t>Enforcement</w:t>
      </w:r>
      <w:r w:rsidRPr="00EF5B3B">
        <w:rPr>
          <w:rFonts w:ascii="Arial Narrow" w:hAnsi="Arial Narrow" w:cstheme="minorHAnsi"/>
          <w:b w:val="0"/>
          <w:bCs/>
          <w:szCs w:val="20"/>
          <w:lang w:val="en-AU" w:eastAsia="en-US"/>
        </w:rPr>
        <w:t xml:space="preserve"> often impact multiple A4R domains.</w:t>
      </w:r>
    </w:p>
    <w:p w14:paraId="3EDBEFCC" w14:textId="77777777" w:rsidR="00B90239" w:rsidRPr="001405DB" w:rsidRDefault="00B90239" w:rsidP="001405DB"/>
    <w:p w14:paraId="77F1F6D3" w14:textId="002E2AEB" w:rsidR="00B90239" w:rsidRPr="00B90239" w:rsidRDefault="00B90239" w:rsidP="008D59F1">
      <w:pPr>
        <w:pStyle w:val="Title1"/>
        <w:spacing w:before="0" w:line="240" w:lineRule="auto"/>
        <w:outlineLvl w:val="2"/>
        <w:rPr>
          <w:rFonts w:ascii="Arial Narrow" w:hAnsi="Arial Narrow" w:cstheme="minorHAnsi"/>
          <w:sz w:val="20"/>
          <w:szCs w:val="20"/>
          <w:lang w:val="en-AU" w:eastAsia="en-US"/>
        </w:rPr>
      </w:pPr>
      <w:r w:rsidRPr="00B90239">
        <w:rPr>
          <w:rFonts w:ascii="Arial Narrow" w:hAnsi="Arial Narrow" w:cstheme="minorHAnsi"/>
          <w:sz w:val="20"/>
          <w:szCs w:val="20"/>
          <w:lang w:val="en-AU" w:eastAsia="en-US"/>
        </w:rPr>
        <w:t xml:space="preserve">Table 4: Other A4R domains impacted by </w:t>
      </w:r>
      <w:r w:rsidR="00454EC8">
        <w:rPr>
          <w:rFonts w:ascii="Arial Narrow" w:hAnsi="Arial Narrow" w:cstheme="minorHAnsi"/>
          <w:sz w:val="20"/>
          <w:szCs w:val="20"/>
          <w:lang w:val="en-AU" w:eastAsia="en-US"/>
        </w:rPr>
        <w:t xml:space="preserve">policy </w:t>
      </w:r>
      <w:r w:rsidRPr="00B90239">
        <w:rPr>
          <w:rFonts w:ascii="Arial Narrow" w:hAnsi="Arial Narrow" w:cstheme="minorHAnsi"/>
          <w:sz w:val="20"/>
          <w:szCs w:val="20"/>
          <w:lang w:val="en-AU" w:eastAsia="en-US"/>
        </w:rPr>
        <w:t xml:space="preserve">changes </w:t>
      </w:r>
      <w:r w:rsidR="00454EC8">
        <w:rPr>
          <w:rFonts w:ascii="Arial Narrow" w:hAnsi="Arial Narrow" w:cstheme="minorHAnsi"/>
          <w:sz w:val="20"/>
          <w:szCs w:val="20"/>
          <w:lang w:val="en-AU" w:eastAsia="en-US"/>
        </w:rPr>
        <w:t>pertaining to</w:t>
      </w:r>
      <w:r w:rsidRPr="00B90239">
        <w:rPr>
          <w:rFonts w:ascii="Arial Narrow" w:hAnsi="Arial Narrow" w:cstheme="minorHAnsi"/>
          <w:sz w:val="20"/>
          <w:szCs w:val="20"/>
          <w:lang w:val="en-AU" w:eastAsia="en-US"/>
        </w:rPr>
        <w:t xml:space="preserve"> </w:t>
      </w:r>
      <w:r w:rsidRPr="00B90239">
        <w:rPr>
          <w:rFonts w:ascii="Arial Narrow" w:hAnsi="Arial Narrow" w:cstheme="minorHAnsi"/>
          <w:i/>
          <w:sz w:val="20"/>
          <w:szCs w:val="20"/>
          <w:lang w:val="en-AU" w:eastAsia="en-US"/>
        </w:rPr>
        <w:t xml:space="preserve">Enforcement </w:t>
      </w:r>
    </w:p>
    <w:tbl>
      <w:tblPr>
        <w:tblStyle w:val="TableGrid"/>
        <w:tblW w:w="0" w:type="auto"/>
        <w:tblLook w:val="04A0" w:firstRow="1" w:lastRow="0" w:firstColumn="1" w:lastColumn="0" w:noHBand="0" w:noVBand="1"/>
      </w:tblPr>
      <w:tblGrid>
        <w:gridCol w:w="7083"/>
        <w:gridCol w:w="2268"/>
        <w:gridCol w:w="1417"/>
        <w:gridCol w:w="2410"/>
      </w:tblGrid>
      <w:tr w:rsidR="00EF5B3B" w:rsidRPr="00B90239" w14:paraId="136BEF17" w14:textId="77777777" w:rsidTr="00EF5B3B">
        <w:tc>
          <w:tcPr>
            <w:tcW w:w="7083" w:type="dxa"/>
            <w:tcBorders>
              <w:bottom w:val="single" w:sz="4" w:space="0" w:color="auto"/>
            </w:tcBorders>
          </w:tcPr>
          <w:p w14:paraId="098C8F51" w14:textId="77777777" w:rsidR="00EF5B3B" w:rsidRPr="00B90239" w:rsidRDefault="00EF5B3B" w:rsidP="00EF5B3B">
            <w:pPr>
              <w:pStyle w:val="Title1"/>
              <w:spacing w:before="0" w:line="240" w:lineRule="auto"/>
              <w:outlineLvl w:val="2"/>
              <w:rPr>
                <w:rFonts w:ascii="Arial Narrow" w:hAnsi="Arial Narrow" w:cstheme="minorHAnsi"/>
                <w:b w:val="0"/>
                <w:sz w:val="20"/>
                <w:szCs w:val="20"/>
                <w:lang w:val="en-AU" w:eastAsia="en-US"/>
              </w:rPr>
            </w:pPr>
          </w:p>
        </w:tc>
        <w:tc>
          <w:tcPr>
            <w:tcW w:w="2268" w:type="dxa"/>
            <w:tcBorders>
              <w:bottom w:val="single" w:sz="4" w:space="0" w:color="auto"/>
            </w:tcBorders>
            <w:vAlign w:val="center"/>
          </w:tcPr>
          <w:p w14:paraId="7062C987" w14:textId="1AC60957"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sz w:val="20"/>
                <w:szCs w:val="20"/>
                <w:lang w:val="en-AU" w:eastAsia="en-US"/>
              </w:rPr>
              <w:t>PBAC</w:t>
            </w:r>
          </w:p>
        </w:tc>
        <w:tc>
          <w:tcPr>
            <w:tcW w:w="1417" w:type="dxa"/>
            <w:tcBorders>
              <w:bottom w:val="single" w:sz="4" w:space="0" w:color="auto"/>
            </w:tcBorders>
            <w:vAlign w:val="center"/>
          </w:tcPr>
          <w:p w14:paraId="18DA2C3C" w14:textId="3A60FC8A" w:rsidR="00EF5B3B"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sz w:val="20"/>
                <w:szCs w:val="20"/>
                <w:lang w:val="en-AU" w:eastAsia="en-US"/>
              </w:rPr>
              <w:t>MSAC</w:t>
            </w:r>
          </w:p>
        </w:tc>
        <w:tc>
          <w:tcPr>
            <w:tcW w:w="2410" w:type="dxa"/>
            <w:tcBorders>
              <w:bottom w:val="single" w:sz="4" w:space="0" w:color="auto"/>
            </w:tcBorders>
            <w:vAlign w:val="center"/>
          </w:tcPr>
          <w:p w14:paraId="04DFA93B" w14:textId="61868969" w:rsidR="00EF5B3B"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sz w:val="20"/>
                <w:szCs w:val="20"/>
                <w:lang w:val="en-AU" w:eastAsia="en-US"/>
              </w:rPr>
              <w:t>Total</w:t>
            </w:r>
          </w:p>
        </w:tc>
      </w:tr>
      <w:tr w:rsidR="00EF5B3B" w:rsidRPr="00B90239" w14:paraId="781FBE72" w14:textId="77777777" w:rsidTr="00EF5B3B">
        <w:tc>
          <w:tcPr>
            <w:tcW w:w="7083" w:type="dxa"/>
            <w:tcBorders>
              <w:bottom w:val="single" w:sz="4" w:space="0" w:color="auto"/>
            </w:tcBorders>
          </w:tcPr>
          <w:p w14:paraId="76095625" w14:textId="6956409E" w:rsidR="00EF5B3B" w:rsidRPr="00B90239" w:rsidRDefault="00EF5B3B" w:rsidP="00EF5B3B">
            <w:pPr>
              <w:pStyle w:val="Title1"/>
              <w:spacing w:before="0" w:line="240" w:lineRule="auto"/>
              <w:outlineLvl w:val="2"/>
              <w:rPr>
                <w:rFonts w:ascii="Arial Narrow" w:hAnsi="Arial Narrow" w:cstheme="minorHAnsi"/>
                <w:b w:val="0"/>
                <w:sz w:val="20"/>
                <w:szCs w:val="20"/>
                <w:lang w:val="en-AU" w:eastAsia="en-US"/>
              </w:rPr>
            </w:pPr>
            <w:r w:rsidRPr="00B90239">
              <w:rPr>
                <w:rFonts w:ascii="Arial Narrow" w:hAnsi="Arial Narrow" w:cstheme="minorHAnsi"/>
                <w:b w:val="0"/>
                <w:sz w:val="20"/>
                <w:szCs w:val="20"/>
                <w:lang w:val="en-AU" w:eastAsia="en-US"/>
              </w:rPr>
              <w:t xml:space="preserve">Total </w:t>
            </w:r>
            <w:r>
              <w:rPr>
                <w:rFonts w:ascii="Arial Narrow" w:hAnsi="Arial Narrow" w:cstheme="minorHAnsi"/>
                <w:b w:val="0"/>
                <w:sz w:val="20"/>
                <w:szCs w:val="20"/>
                <w:lang w:val="en-AU" w:eastAsia="en-US"/>
              </w:rPr>
              <w:t xml:space="preserve">number of </w:t>
            </w:r>
            <w:r w:rsidRPr="00B90239">
              <w:rPr>
                <w:rFonts w:ascii="Arial Narrow" w:hAnsi="Arial Narrow" w:cstheme="minorHAnsi"/>
                <w:b w:val="0"/>
                <w:sz w:val="20"/>
                <w:szCs w:val="20"/>
                <w:lang w:val="en-AU" w:eastAsia="en-US"/>
              </w:rPr>
              <w:t>changes impacting</w:t>
            </w:r>
            <w:r w:rsidRPr="00B90239">
              <w:rPr>
                <w:rFonts w:ascii="Arial Narrow" w:hAnsi="Arial Narrow" w:cstheme="minorHAnsi"/>
                <w:b w:val="0"/>
                <w:i/>
                <w:sz w:val="20"/>
                <w:szCs w:val="20"/>
                <w:lang w:val="en-AU" w:eastAsia="en-US"/>
              </w:rPr>
              <w:t xml:space="preserve"> Enforcement</w:t>
            </w:r>
          </w:p>
        </w:tc>
        <w:tc>
          <w:tcPr>
            <w:tcW w:w="2268" w:type="dxa"/>
            <w:tcBorders>
              <w:bottom w:val="single" w:sz="4" w:space="0" w:color="auto"/>
            </w:tcBorders>
            <w:vAlign w:val="center"/>
          </w:tcPr>
          <w:p w14:paraId="5F3AB244" w14:textId="053F052B"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sidRPr="00B90239">
              <w:rPr>
                <w:rFonts w:ascii="Arial Narrow" w:hAnsi="Arial Narrow" w:cstheme="minorHAnsi"/>
                <w:b w:val="0"/>
                <w:sz w:val="20"/>
                <w:szCs w:val="20"/>
                <w:lang w:val="en-AU" w:eastAsia="en-US"/>
              </w:rPr>
              <w:t>8</w:t>
            </w:r>
          </w:p>
        </w:tc>
        <w:tc>
          <w:tcPr>
            <w:tcW w:w="1417" w:type="dxa"/>
            <w:tcBorders>
              <w:bottom w:val="single" w:sz="4" w:space="0" w:color="auto"/>
            </w:tcBorders>
            <w:vAlign w:val="center"/>
          </w:tcPr>
          <w:p w14:paraId="69D5B909" w14:textId="7D168EA7"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4</w:t>
            </w:r>
          </w:p>
        </w:tc>
        <w:tc>
          <w:tcPr>
            <w:tcW w:w="2410" w:type="dxa"/>
            <w:tcBorders>
              <w:bottom w:val="single" w:sz="4" w:space="0" w:color="auto"/>
            </w:tcBorders>
            <w:vAlign w:val="center"/>
          </w:tcPr>
          <w:p w14:paraId="47288269" w14:textId="6FD7FFDC"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12</w:t>
            </w:r>
          </w:p>
        </w:tc>
      </w:tr>
      <w:tr w:rsidR="00EF5B3B" w:rsidRPr="00B90239" w14:paraId="235E3A18" w14:textId="00A57FD3" w:rsidTr="00EF5B3B">
        <w:tc>
          <w:tcPr>
            <w:tcW w:w="7083" w:type="dxa"/>
            <w:tcBorders>
              <w:right w:val="nil"/>
            </w:tcBorders>
          </w:tcPr>
          <w:p w14:paraId="1C618E5D" w14:textId="2B8CA4AA" w:rsidR="00EF5B3B" w:rsidRPr="00B90239" w:rsidRDefault="00EF5B3B" w:rsidP="00EF5B3B">
            <w:pPr>
              <w:pStyle w:val="Title1"/>
              <w:spacing w:before="0" w:line="240" w:lineRule="auto"/>
              <w:outlineLvl w:val="2"/>
              <w:rPr>
                <w:rFonts w:ascii="Arial Narrow" w:hAnsi="Arial Narrow" w:cstheme="minorHAnsi"/>
                <w:b w:val="0"/>
                <w:sz w:val="20"/>
                <w:szCs w:val="20"/>
                <w:lang w:val="en-AU" w:eastAsia="en-US"/>
              </w:rPr>
            </w:pPr>
            <w:r w:rsidRPr="00B90239">
              <w:rPr>
                <w:rFonts w:ascii="Arial Narrow" w:hAnsi="Arial Narrow" w:cstheme="minorHAnsi"/>
                <w:b w:val="0"/>
                <w:sz w:val="20"/>
                <w:szCs w:val="20"/>
                <w:lang w:val="en-AU" w:eastAsia="en-US"/>
              </w:rPr>
              <w:t xml:space="preserve">A4R domains impacted by changes in </w:t>
            </w:r>
            <w:r w:rsidRPr="00B90239">
              <w:rPr>
                <w:rFonts w:ascii="Arial Narrow" w:hAnsi="Arial Narrow" w:cstheme="minorHAnsi"/>
                <w:b w:val="0"/>
                <w:i/>
                <w:sz w:val="20"/>
                <w:szCs w:val="20"/>
                <w:lang w:val="en-AU" w:eastAsia="en-US"/>
              </w:rPr>
              <w:t>Enforcement</w:t>
            </w:r>
            <w:r w:rsidRPr="00B90239">
              <w:rPr>
                <w:rFonts w:ascii="Arial Narrow" w:hAnsi="Arial Narrow" w:cstheme="minorHAnsi"/>
                <w:b w:val="0"/>
                <w:sz w:val="20"/>
                <w:szCs w:val="20"/>
                <w:lang w:val="en-AU" w:eastAsia="en-US"/>
              </w:rPr>
              <w:t xml:space="preserve"> </w:t>
            </w:r>
          </w:p>
        </w:tc>
        <w:tc>
          <w:tcPr>
            <w:tcW w:w="2268" w:type="dxa"/>
            <w:tcBorders>
              <w:left w:val="nil"/>
              <w:right w:val="nil"/>
            </w:tcBorders>
            <w:vAlign w:val="center"/>
          </w:tcPr>
          <w:p w14:paraId="2C63E2F9" w14:textId="6412B8E7"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p>
        </w:tc>
        <w:tc>
          <w:tcPr>
            <w:tcW w:w="1417" w:type="dxa"/>
            <w:tcBorders>
              <w:left w:val="nil"/>
              <w:right w:val="nil"/>
            </w:tcBorders>
            <w:vAlign w:val="center"/>
          </w:tcPr>
          <w:p w14:paraId="0F073A8F" w14:textId="719B0B70"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p>
        </w:tc>
        <w:tc>
          <w:tcPr>
            <w:tcW w:w="2410" w:type="dxa"/>
            <w:tcBorders>
              <w:left w:val="nil"/>
            </w:tcBorders>
            <w:vAlign w:val="center"/>
          </w:tcPr>
          <w:p w14:paraId="68256A1D" w14:textId="7A2ED47F"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p>
        </w:tc>
      </w:tr>
      <w:tr w:rsidR="00EF5B3B" w:rsidRPr="00B90239" w14:paraId="7288933D" w14:textId="7E64B7AB" w:rsidTr="00EF5B3B">
        <w:tc>
          <w:tcPr>
            <w:tcW w:w="7083" w:type="dxa"/>
          </w:tcPr>
          <w:p w14:paraId="70E782C2" w14:textId="6A3318C7" w:rsidR="00EF5B3B" w:rsidRPr="00B90239" w:rsidRDefault="00EF5B3B" w:rsidP="00EF5B3B">
            <w:pPr>
              <w:pStyle w:val="Title1"/>
              <w:spacing w:before="0" w:line="240" w:lineRule="auto"/>
              <w:ind w:left="169"/>
              <w:outlineLvl w:val="2"/>
              <w:rPr>
                <w:rFonts w:ascii="Arial Narrow" w:hAnsi="Arial Narrow" w:cstheme="minorHAnsi"/>
                <w:b w:val="0"/>
                <w:i/>
                <w:sz w:val="20"/>
                <w:szCs w:val="20"/>
                <w:lang w:val="en-AU" w:eastAsia="en-US"/>
              </w:rPr>
            </w:pPr>
            <w:r w:rsidRPr="00B90239">
              <w:rPr>
                <w:rFonts w:ascii="Arial Narrow" w:hAnsi="Arial Narrow" w:cstheme="minorHAnsi"/>
                <w:b w:val="0"/>
                <w:i/>
                <w:sz w:val="20"/>
                <w:szCs w:val="20"/>
                <w:lang w:val="en-AU" w:eastAsia="en-US"/>
              </w:rPr>
              <w:t>-Relevance</w:t>
            </w:r>
          </w:p>
        </w:tc>
        <w:tc>
          <w:tcPr>
            <w:tcW w:w="2268" w:type="dxa"/>
            <w:vAlign w:val="center"/>
          </w:tcPr>
          <w:p w14:paraId="439046ED" w14:textId="77777777"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sidRPr="00B90239">
              <w:rPr>
                <w:rFonts w:ascii="Arial Narrow" w:hAnsi="Arial Narrow" w:cstheme="minorHAnsi"/>
                <w:b w:val="0"/>
                <w:sz w:val="20"/>
                <w:szCs w:val="20"/>
                <w:lang w:val="en-AU" w:eastAsia="en-US"/>
              </w:rPr>
              <w:t>8</w:t>
            </w:r>
          </w:p>
        </w:tc>
        <w:tc>
          <w:tcPr>
            <w:tcW w:w="1417" w:type="dxa"/>
            <w:vAlign w:val="center"/>
          </w:tcPr>
          <w:p w14:paraId="10FDC559" w14:textId="6CCFA45C"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Pr>
                <w:rFonts w:ascii="Arial Narrow" w:hAnsi="Arial Narrow" w:cstheme="minorHAnsi"/>
                <w:b w:val="0"/>
                <w:sz w:val="20"/>
                <w:szCs w:val="20"/>
                <w:lang w:val="en-AU" w:eastAsia="en-US"/>
              </w:rPr>
              <w:t>4</w:t>
            </w:r>
          </w:p>
        </w:tc>
        <w:tc>
          <w:tcPr>
            <w:tcW w:w="2410" w:type="dxa"/>
            <w:vAlign w:val="center"/>
          </w:tcPr>
          <w:p w14:paraId="78E71E51" w14:textId="7B54DFD4"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sidRPr="00B90239">
              <w:rPr>
                <w:rFonts w:ascii="Arial Narrow" w:hAnsi="Arial Narrow" w:cstheme="minorHAnsi"/>
                <w:b w:val="0"/>
                <w:sz w:val="20"/>
                <w:szCs w:val="20"/>
                <w:lang w:val="en-AU" w:eastAsia="en-US"/>
              </w:rPr>
              <w:t>9</w:t>
            </w:r>
          </w:p>
        </w:tc>
      </w:tr>
      <w:tr w:rsidR="00EF5B3B" w:rsidRPr="00B90239" w14:paraId="606F9F2F" w14:textId="55830BBA" w:rsidTr="00EF5B3B">
        <w:tc>
          <w:tcPr>
            <w:tcW w:w="7083" w:type="dxa"/>
          </w:tcPr>
          <w:p w14:paraId="7C8575EE" w14:textId="454A89E5" w:rsidR="00EF5B3B" w:rsidRPr="00B90239" w:rsidRDefault="00EF5B3B" w:rsidP="00EF5B3B">
            <w:pPr>
              <w:pStyle w:val="Title1"/>
              <w:spacing w:before="0" w:line="240" w:lineRule="auto"/>
              <w:ind w:left="169"/>
              <w:outlineLvl w:val="2"/>
              <w:rPr>
                <w:rFonts w:ascii="Arial Narrow" w:hAnsi="Arial Narrow" w:cstheme="minorHAnsi"/>
                <w:b w:val="0"/>
                <w:i/>
                <w:sz w:val="20"/>
                <w:szCs w:val="20"/>
                <w:lang w:val="en-AU" w:eastAsia="en-US"/>
              </w:rPr>
            </w:pPr>
            <w:r w:rsidRPr="00B90239">
              <w:rPr>
                <w:rFonts w:ascii="Arial Narrow" w:hAnsi="Arial Narrow" w:cstheme="minorHAnsi"/>
                <w:b w:val="0"/>
                <w:i/>
                <w:sz w:val="20"/>
                <w:szCs w:val="20"/>
                <w:lang w:val="en-AU" w:eastAsia="en-US"/>
              </w:rPr>
              <w:t>-Publicity</w:t>
            </w:r>
          </w:p>
        </w:tc>
        <w:tc>
          <w:tcPr>
            <w:tcW w:w="2268" w:type="dxa"/>
            <w:vAlign w:val="center"/>
          </w:tcPr>
          <w:p w14:paraId="4B4E351C" w14:textId="77777777"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sidRPr="00B90239">
              <w:rPr>
                <w:rFonts w:ascii="Arial Narrow" w:hAnsi="Arial Narrow" w:cstheme="minorHAnsi"/>
                <w:b w:val="0"/>
                <w:sz w:val="20"/>
                <w:szCs w:val="20"/>
                <w:lang w:val="en-AU" w:eastAsia="en-US"/>
              </w:rPr>
              <w:t>4</w:t>
            </w:r>
          </w:p>
        </w:tc>
        <w:tc>
          <w:tcPr>
            <w:tcW w:w="1417" w:type="dxa"/>
            <w:vAlign w:val="center"/>
          </w:tcPr>
          <w:p w14:paraId="12584C31" w14:textId="77777777"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sidRPr="00B90239">
              <w:rPr>
                <w:rFonts w:ascii="Arial Narrow" w:hAnsi="Arial Narrow" w:cstheme="minorHAnsi"/>
                <w:b w:val="0"/>
                <w:sz w:val="20"/>
                <w:szCs w:val="20"/>
                <w:lang w:val="en-AU" w:eastAsia="en-US"/>
              </w:rPr>
              <w:t>1</w:t>
            </w:r>
          </w:p>
        </w:tc>
        <w:tc>
          <w:tcPr>
            <w:tcW w:w="2410" w:type="dxa"/>
            <w:vAlign w:val="center"/>
          </w:tcPr>
          <w:p w14:paraId="1F65B39E" w14:textId="021BC7C6"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sidRPr="00B90239">
              <w:rPr>
                <w:rFonts w:ascii="Arial Narrow" w:hAnsi="Arial Narrow" w:cstheme="minorHAnsi"/>
                <w:b w:val="0"/>
                <w:sz w:val="20"/>
                <w:szCs w:val="20"/>
                <w:lang w:val="en-AU" w:eastAsia="en-US"/>
              </w:rPr>
              <w:t>5</w:t>
            </w:r>
          </w:p>
        </w:tc>
      </w:tr>
      <w:tr w:rsidR="00EF5B3B" w:rsidRPr="00B90239" w14:paraId="51AFBBD7" w14:textId="1BA86E19" w:rsidTr="00EF5B3B">
        <w:tc>
          <w:tcPr>
            <w:tcW w:w="7083" w:type="dxa"/>
          </w:tcPr>
          <w:p w14:paraId="353AAE6F" w14:textId="5798FCD8" w:rsidR="00EF5B3B" w:rsidRPr="00B90239" w:rsidRDefault="00EF5B3B" w:rsidP="00EF5B3B">
            <w:pPr>
              <w:pStyle w:val="Title1"/>
              <w:spacing w:before="0" w:line="240" w:lineRule="auto"/>
              <w:ind w:left="169"/>
              <w:outlineLvl w:val="2"/>
              <w:rPr>
                <w:rFonts w:ascii="Arial Narrow" w:hAnsi="Arial Narrow" w:cstheme="minorHAnsi"/>
                <w:b w:val="0"/>
                <w:i/>
                <w:sz w:val="20"/>
                <w:szCs w:val="20"/>
                <w:lang w:val="en-AU" w:eastAsia="en-US"/>
              </w:rPr>
            </w:pPr>
            <w:r w:rsidRPr="00B90239">
              <w:rPr>
                <w:rFonts w:ascii="Arial Narrow" w:hAnsi="Arial Narrow" w:cstheme="minorHAnsi"/>
                <w:b w:val="0"/>
                <w:i/>
                <w:sz w:val="20"/>
                <w:szCs w:val="20"/>
                <w:lang w:val="en-AU" w:eastAsia="en-US"/>
              </w:rPr>
              <w:t>-Revision</w:t>
            </w:r>
          </w:p>
        </w:tc>
        <w:tc>
          <w:tcPr>
            <w:tcW w:w="2268" w:type="dxa"/>
            <w:vAlign w:val="center"/>
          </w:tcPr>
          <w:p w14:paraId="425E2217" w14:textId="77777777"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sidRPr="00B90239">
              <w:rPr>
                <w:rFonts w:ascii="Arial Narrow" w:hAnsi="Arial Narrow" w:cstheme="minorHAnsi"/>
                <w:b w:val="0"/>
                <w:sz w:val="20"/>
                <w:szCs w:val="20"/>
                <w:lang w:val="en-AU" w:eastAsia="en-US"/>
              </w:rPr>
              <w:t>4</w:t>
            </w:r>
          </w:p>
        </w:tc>
        <w:tc>
          <w:tcPr>
            <w:tcW w:w="1417" w:type="dxa"/>
            <w:vAlign w:val="center"/>
          </w:tcPr>
          <w:p w14:paraId="304E94D0" w14:textId="77777777"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sidRPr="00B90239">
              <w:rPr>
                <w:rFonts w:ascii="Arial Narrow" w:hAnsi="Arial Narrow" w:cstheme="minorHAnsi"/>
                <w:b w:val="0"/>
                <w:sz w:val="20"/>
                <w:szCs w:val="20"/>
                <w:lang w:val="en-AU" w:eastAsia="en-US"/>
              </w:rPr>
              <w:t>1</w:t>
            </w:r>
          </w:p>
        </w:tc>
        <w:tc>
          <w:tcPr>
            <w:tcW w:w="2410" w:type="dxa"/>
            <w:vAlign w:val="center"/>
          </w:tcPr>
          <w:p w14:paraId="27946351" w14:textId="7ECB9EDD" w:rsidR="00EF5B3B" w:rsidRPr="00B90239" w:rsidRDefault="00EF5B3B" w:rsidP="00EF5B3B">
            <w:pPr>
              <w:pStyle w:val="Title1"/>
              <w:spacing w:before="0" w:line="240" w:lineRule="auto"/>
              <w:jc w:val="center"/>
              <w:outlineLvl w:val="2"/>
              <w:rPr>
                <w:rFonts w:ascii="Arial Narrow" w:hAnsi="Arial Narrow" w:cstheme="minorHAnsi"/>
                <w:b w:val="0"/>
                <w:sz w:val="20"/>
                <w:szCs w:val="20"/>
                <w:lang w:val="en-AU" w:eastAsia="en-US"/>
              </w:rPr>
            </w:pPr>
            <w:r w:rsidRPr="00B90239">
              <w:rPr>
                <w:rFonts w:ascii="Arial Narrow" w:hAnsi="Arial Narrow" w:cstheme="minorHAnsi"/>
                <w:b w:val="0"/>
                <w:sz w:val="20"/>
                <w:szCs w:val="20"/>
                <w:lang w:val="en-AU" w:eastAsia="en-US"/>
              </w:rPr>
              <w:t>5</w:t>
            </w:r>
          </w:p>
        </w:tc>
      </w:tr>
    </w:tbl>
    <w:p w14:paraId="3B4A93F7" w14:textId="77777777" w:rsidR="00B90239" w:rsidRPr="001405DB" w:rsidRDefault="00B90239" w:rsidP="001405DB"/>
    <w:p w14:paraId="2815D48A" w14:textId="371B3B34" w:rsidR="00B90239" w:rsidRPr="00AA2929" w:rsidRDefault="00B90239" w:rsidP="008D59F1">
      <w:pPr>
        <w:pStyle w:val="Title1"/>
        <w:spacing w:before="0" w:line="240" w:lineRule="auto"/>
        <w:outlineLvl w:val="2"/>
        <w:rPr>
          <w:rFonts w:ascii="Arial Narrow" w:hAnsi="Arial Narrow" w:cstheme="minorHAnsi"/>
          <w:sz w:val="20"/>
          <w:szCs w:val="20"/>
          <w:lang w:val="en-AU" w:eastAsia="en-US"/>
        </w:rPr>
        <w:sectPr w:rsidR="00B90239" w:rsidRPr="00AA2929" w:rsidSect="006517CF">
          <w:headerReference w:type="default" r:id="rId68"/>
          <w:footerReference w:type="default" r:id="rId69"/>
          <w:pgSz w:w="16838" w:h="11906" w:orient="landscape"/>
          <w:pgMar w:top="1440" w:right="1440" w:bottom="1440" w:left="1440" w:header="708" w:footer="708" w:gutter="0"/>
          <w:cols w:space="708"/>
          <w:docGrid w:linePitch="360"/>
        </w:sectPr>
      </w:pPr>
    </w:p>
    <w:p w14:paraId="68877112" w14:textId="7B3D9720" w:rsidR="008D59F1" w:rsidRPr="00F87CDC" w:rsidRDefault="008D59F1" w:rsidP="008D59F1">
      <w:pPr>
        <w:pStyle w:val="Heading1"/>
        <w:keepNext/>
        <w:keepLines/>
        <w:widowControl w:val="0"/>
        <w:pBdr>
          <w:bottom w:val="none" w:sz="0" w:space="0" w:color="auto"/>
        </w:pBdr>
        <w:spacing w:before="480" w:line="360" w:lineRule="auto"/>
        <w:jc w:val="both"/>
        <w:rPr>
          <w:rFonts w:asciiTheme="minorHAnsi" w:eastAsiaTheme="majorEastAsia" w:hAnsiTheme="minorHAnsi" w:cstheme="minorHAnsi"/>
          <w:b/>
          <w:bCs/>
          <w:snapToGrid w:val="0"/>
          <w:lang w:eastAsia="en-US"/>
        </w:rPr>
      </w:pPr>
      <w:r>
        <w:rPr>
          <w:rFonts w:asciiTheme="minorHAnsi" w:eastAsiaTheme="majorEastAsia" w:hAnsiTheme="minorHAnsi" w:cstheme="minorHAnsi"/>
          <w:b/>
          <w:bCs/>
          <w:caps w:val="0"/>
          <w:snapToGrid w:val="0"/>
          <w:color w:val="auto"/>
          <w:spacing w:val="0"/>
          <w:lang w:eastAsia="en-US"/>
        </w:rPr>
        <w:lastRenderedPageBreak/>
        <w:t>Appendix 4: Detailed</w:t>
      </w:r>
      <w:r w:rsidR="006D70CF">
        <w:rPr>
          <w:rFonts w:asciiTheme="minorHAnsi" w:eastAsiaTheme="majorEastAsia" w:hAnsiTheme="minorHAnsi" w:cstheme="minorHAnsi"/>
          <w:b/>
          <w:bCs/>
          <w:caps w:val="0"/>
          <w:snapToGrid w:val="0"/>
          <w:color w:val="auto"/>
          <w:spacing w:val="0"/>
          <w:lang w:eastAsia="en-US"/>
        </w:rPr>
        <w:t xml:space="preserve"> </w:t>
      </w:r>
      <w:r w:rsidR="000B02EB">
        <w:rPr>
          <w:rFonts w:asciiTheme="minorHAnsi" w:eastAsiaTheme="majorEastAsia" w:hAnsiTheme="minorHAnsi" w:cstheme="minorHAnsi"/>
          <w:b/>
          <w:bCs/>
          <w:caps w:val="0"/>
          <w:snapToGrid w:val="0"/>
          <w:color w:val="auto"/>
          <w:spacing w:val="0"/>
          <w:lang w:eastAsia="en-US"/>
        </w:rPr>
        <w:t>Accounts</w:t>
      </w:r>
      <w:r>
        <w:rPr>
          <w:rFonts w:asciiTheme="minorHAnsi" w:eastAsiaTheme="majorEastAsia" w:hAnsiTheme="minorHAnsi" w:cstheme="minorHAnsi"/>
          <w:b/>
          <w:bCs/>
          <w:caps w:val="0"/>
          <w:snapToGrid w:val="0"/>
          <w:color w:val="auto"/>
          <w:spacing w:val="0"/>
          <w:lang w:eastAsia="en-US"/>
        </w:rPr>
        <w:t xml:space="preserve"> from Qualitative Interviews</w:t>
      </w:r>
    </w:p>
    <w:p w14:paraId="2F09AF8F" w14:textId="77777777" w:rsidR="008D59F1" w:rsidRDefault="008D59F1"/>
    <w:p w14:paraId="63902BFD" w14:textId="77777777" w:rsidR="006517CF" w:rsidRPr="00837E4E" w:rsidRDefault="006517CF" w:rsidP="006517CF">
      <w:pPr>
        <w:pStyle w:val="StyleHeading3Heading3tenderAsianHeadingsAsianDengXia"/>
        <w:rPr>
          <w:sz w:val="28"/>
        </w:rPr>
      </w:pPr>
      <w:r w:rsidRPr="00683C5A">
        <w:rPr>
          <w:caps w:val="0"/>
          <w:sz w:val="28"/>
        </w:rPr>
        <w:t>3.2.1 Relevance</w:t>
      </w:r>
    </w:p>
    <w:p w14:paraId="7146B22B" w14:textId="77777777" w:rsidR="006D70CF" w:rsidRDefault="006D70CF" w:rsidP="006517CF">
      <w:pPr>
        <w:spacing w:line="360" w:lineRule="auto"/>
        <w:jc w:val="both"/>
        <w:rPr>
          <w:rFonts w:cstheme="minorHAnsi"/>
        </w:rPr>
      </w:pPr>
    </w:p>
    <w:p w14:paraId="2CF466F2" w14:textId="1949A0F9" w:rsidR="006517CF" w:rsidRDefault="006517CF" w:rsidP="006517CF">
      <w:pPr>
        <w:spacing w:line="360" w:lineRule="auto"/>
        <w:jc w:val="both"/>
        <w:rPr>
          <w:rFonts w:cstheme="minorHAnsi"/>
        </w:rPr>
      </w:pPr>
      <w:r w:rsidRPr="00622BBC">
        <w:rPr>
          <w:rFonts w:cstheme="minorHAnsi"/>
        </w:rPr>
        <w:t xml:space="preserve">Broadly, </w:t>
      </w:r>
      <w:r>
        <w:rPr>
          <w:rFonts w:cstheme="minorHAnsi"/>
        </w:rPr>
        <w:t xml:space="preserve">interview </w:t>
      </w:r>
      <w:r w:rsidRPr="00622BBC">
        <w:rPr>
          <w:rFonts w:cstheme="minorHAnsi"/>
        </w:rPr>
        <w:t xml:space="preserve">participants at both time points </w:t>
      </w:r>
      <w:r w:rsidR="00291D28">
        <w:rPr>
          <w:rFonts w:cstheme="minorHAnsi"/>
        </w:rPr>
        <w:t xml:space="preserve">emphasised the importance of </w:t>
      </w:r>
      <w:r w:rsidR="00385484" w:rsidRPr="00385484">
        <w:rPr>
          <w:rFonts w:cstheme="minorHAnsi"/>
          <w:i/>
        </w:rPr>
        <w:t>R</w:t>
      </w:r>
      <w:r w:rsidRPr="00385484">
        <w:rPr>
          <w:rFonts w:cstheme="minorHAnsi"/>
          <w:i/>
        </w:rPr>
        <w:t>elevance</w:t>
      </w:r>
      <w:r>
        <w:rPr>
          <w:rFonts w:cstheme="minorHAnsi"/>
        </w:rPr>
        <w:t xml:space="preserve">, </w:t>
      </w:r>
      <w:r w:rsidR="006D70CF">
        <w:rPr>
          <w:rFonts w:cstheme="minorHAnsi"/>
        </w:rPr>
        <w:t xml:space="preserve">with increasing alignment evident </w:t>
      </w:r>
      <w:r w:rsidRPr="00622BBC">
        <w:rPr>
          <w:rFonts w:cstheme="minorHAnsi"/>
        </w:rPr>
        <w:t>over time</w:t>
      </w:r>
      <w:r>
        <w:rPr>
          <w:rFonts w:cstheme="minorHAnsi"/>
        </w:rPr>
        <w:t xml:space="preserve">. </w:t>
      </w:r>
    </w:p>
    <w:p w14:paraId="1B44FF81" w14:textId="77777777" w:rsidR="006517CF" w:rsidRPr="00622BBC" w:rsidRDefault="006517CF" w:rsidP="006517CF">
      <w:pPr>
        <w:pStyle w:val="Level2Heading"/>
        <w:numPr>
          <w:ilvl w:val="0"/>
          <w:numId w:val="12"/>
        </w:numPr>
        <w:spacing w:line="360" w:lineRule="auto"/>
        <w:outlineLvl w:val="3"/>
        <w:rPr>
          <w:rFonts w:asciiTheme="minorHAnsi" w:hAnsiTheme="minorHAnsi" w:cstheme="minorHAnsi"/>
        </w:rPr>
      </w:pPr>
      <w:bookmarkStart w:id="4" w:name="_Hlk150284603"/>
      <w:r w:rsidRPr="00622BBC">
        <w:rPr>
          <w:rFonts w:asciiTheme="minorHAnsi" w:hAnsiTheme="minorHAnsi" w:cstheme="minorHAnsi"/>
        </w:rPr>
        <w:t xml:space="preserve">Reflecting societal values- </w:t>
      </w:r>
      <w:r>
        <w:rPr>
          <w:rFonts w:asciiTheme="minorHAnsi" w:hAnsiTheme="minorHAnsi" w:cstheme="minorHAnsi"/>
        </w:rPr>
        <w:t>both</w:t>
      </w:r>
      <w:r w:rsidRPr="00622BBC">
        <w:rPr>
          <w:rFonts w:asciiTheme="minorHAnsi" w:hAnsiTheme="minorHAnsi" w:cstheme="minorHAnsi"/>
        </w:rPr>
        <w:t xml:space="preserve"> reason</w:t>
      </w:r>
      <w:r>
        <w:rPr>
          <w:rFonts w:asciiTheme="minorHAnsi" w:hAnsiTheme="minorHAnsi" w:cstheme="minorHAnsi"/>
        </w:rPr>
        <w:t>s</w:t>
      </w:r>
      <w:r w:rsidRPr="00622BBC">
        <w:rPr>
          <w:rFonts w:asciiTheme="minorHAnsi" w:hAnsiTheme="minorHAnsi" w:cstheme="minorHAnsi"/>
        </w:rPr>
        <w:t xml:space="preserve"> and context </w:t>
      </w:r>
      <w:r>
        <w:rPr>
          <w:rFonts w:asciiTheme="minorHAnsi" w:hAnsiTheme="minorHAnsi" w:cstheme="minorHAnsi"/>
        </w:rPr>
        <w:t>are important</w:t>
      </w:r>
    </w:p>
    <w:bookmarkEnd w:id="4"/>
    <w:p w14:paraId="410AB4B5" w14:textId="77777777" w:rsidR="006517CF" w:rsidRPr="00C962F6" w:rsidRDefault="006517CF" w:rsidP="006517CF">
      <w:pPr>
        <w:rPr>
          <w:rFonts w:ascii="Times New Roman" w:hAnsi="Times New Roman"/>
        </w:rPr>
      </w:pPr>
    </w:p>
    <w:p w14:paraId="52C34A1C" w14:textId="691D22A7" w:rsidR="006517CF" w:rsidRPr="00622BBC" w:rsidRDefault="006517CF" w:rsidP="006517CF">
      <w:pPr>
        <w:spacing w:line="360" w:lineRule="auto"/>
        <w:jc w:val="both"/>
        <w:rPr>
          <w:rFonts w:cstheme="minorHAnsi"/>
        </w:rPr>
      </w:pPr>
      <w:r>
        <w:rPr>
          <w:rFonts w:cstheme="minorHAnsi"/>
        </w:rPr>
        <w:t>P</w:t>
      </w:r>
      <w:r w:rsidRPr="00622BBC">
        <w:rPr>
          <w:rFonts w:cstheme="minorHAnsi"/>
        </w:rPr>
        <w:t xml:space="preserve">articipants at both time points </w:t>
      </w:r>
      <w:r>
        <w:rPr>
          <w:rFonts w:cstheme="minorHAnsi"/>
        </w:rPr>
        <w:t>acknowledged</w:t>
      </w:r>
      <w:r w:rsidRPr="00622BBC">
        <w:rPr>
          <w:rFonts w:cstheme="minorHAnsi"/>
        </w:rPr>
        <w:t xml:space="preserve"> that decisions </w:t>
      </w:r>
      <w:r>
        <w:rPr>
          <w:rFonts w:cstheme="minorHAnsi"/>
        </w:rPr>
        <w:t xml:space="preserve">depend on a combination of the perceived reasons </w:t>
      </w:r>
      <w:r w:rsidRPr="00622BBC">
        <w:rPr>
          <w:rFonts w:cstheme="minorHAnsi"/>
        </w:rPr>
        <w:t xml:space="preserve">and </w:t>
      </w:r>
      <w:r>
        <w:rPr>
          <w:rFonts w:cstheme="minorHAnsi"/>
        </w:rPr>
        <w:t xml:space="preserve">an interpretation of the context. </w:t>
      </w:r>
      <w:r w:rsidRPr="00622BBC">
        <w:rPr>
          <w:rFonts w:cstheme="minorHAnsi"/>
        </w:rPr>
        <w:t>The reasons reported by participants included protecting the public from potential harm of an unsafe or ineffective health technology, increasing or maintaining health equity and using resources efficiently</w:t>
      </w:r>
      <w:r w:rsidRPr="00622BBC" w:rsidDel="002B0B71">
        <w:rPr>
          <w:rFonts w:cstheme="minorHAnsi"/>
        </w:rPr>
        <w:t xml:space="preserve"> </w:t>
      </w:r>
      <w:r w:rsidRPr="00622BBC">
        <w:rPr>
          <w:rFonts w:cstheme="minorHAnsi"/>
        </w:rPr>
        <w:t xml:space="preserve">to deliver health gains. The contextual factors reported by participants included confidence in the evidence, innovativeness of the technology and disease factors such as severity and unmet need. </w:t>
      </w:r>
      <w:r>
        <w:rPr>
          <w:rFonts w:cstheme="minorHAnsi"/>
        </w:rPr>
        <w:t>Decision-maker</w:t>
      </w:r>
      <w:r w:rsidRPr="00622BBC">
        <w:rPr>
          <w:rFonts w:cstheme="minorHAnsi"/>
        </w:rPr>
        <w:t xml:space="preserve">s reported </w:t>
      </w:r>
      <w:r>
        <w:rPr>
          <w:rFonts w:cstheme="minorHAnsi"/>
        </w:rPr>
        <w:t xml:space="preserve">that </w:t>
      </w:r>
      <w:r w:rsidRPr="00622BBC">
        <w:rPr>
          <w:rFonts w:cstheme="minorHAnsi"/>
        </w:rPr>
        <w:t xml:space="preserve">no explicit </w:t>
      </w:r>
      <w:r>
        <w:rPr>
          <w:rFonts w:cstheme="minorHAnsi"/>
        </w:rPr>
        <w:t>incremental cost effectiveness ratio (</w:t>
      </w:r>
      <w:r w:rsidRPr="00622BBC">
        <w:rPr>
          <w:rFonts w:cstheme="minorHAnsi"/>
        </w:rPr>
        <w:t>ICER</w:t>
      </w:r>
      <w:r>
        <w:rPr>
          <w:rFonts w:cstheme="minorHAnsi"/>
        </w:rPr>
        <w:t>)</w:t>
      </w:r>
      <w:r w:rsidRPr="00622BBC">
        <w:rPr>
          <w:rFonts w:cstheme="minorHAnsi"/>
        </w:rPr>
        <w:t xml:space="preserve"> threshold is used in Australia and that any weighting tends to be done implicitly rather than explicitly</w:t>
      </w:r>
      <w:r>
        <w:rPr>
          <w:rFonts w:cstheme="minorHAnsi"/>
        </w:rPr>
        <w:t>.</w:t>
      </w:r>
      <w:r w:rsidRPr="00622BBC">
        <w:rPr>
          <w:rFonts w:cstheme="minorHAnsi"/>
        </w:rPr>
        <w:t xml:space="preserve"> </w:t>
      </w:r>
    </w:p>
    <w:p w14:paraId="7FDCF63B" w14:textId="77777777" w:rsidR="00385484" w:rsidRDefault="00385484" w:rsidP="006517CF">
      <w:pPr>
        <w:spacing w:line="360" w:lineRule="auto"/>
        <w:jc w:val="both"/>
        <w:rPr>
          <w:rFonts w:cstheme="minorHAnsi"/>
        </w:rPr>
      </w:pPr>
    </w:p>
    <w:p w14:paraId="5A36B5A5" w14:textId="1DC73F88" w:rsidR="006517CF" w:rsidRPr="00622BBC" w:rsidRDefault="006517CF" w:rsidP="006517CF">
      <w:pPr>
        <w:spacing w:line="360" w:lineRule="auto"/>
        <w:jc w:val="both"/>
        <w:rPr>
          <w:rFonts w:cstheme="minorHAnsi"/>
        </w:rPr>
      </w:pPr>
      <w:r w:rsidRPr="00622BBC">
        <w:rPr>
          <w:rFonts w:cstheme="minorHAnsi"/>
        </w:rPr>
        <w:t xml:space="preserve">Participants emphasised the importance of reasons in all </w:t>
      </w:r>
      <w:r>
        <w:rPr>
          <w:rFonts w:cstheme="minorHAnsi"/>
        </w:rPr>
        <w:t>decision-making</w:t>
      </w:r>
      <w:r w:rsidRPr="00622BBC">
        <w:rPr>
          <w:rFonts w:cstheme="minorHAnsi"/>
        </w:rPr>
        <w:t xml:space="preserve"> </w:t>
      </w:r>
      <w:r>
        <w:rPr>
          <w:rFonts w:cstheme="minorHAnsi"/>
        </w:rPr>
        <w:t xml:space="preserve">but </w:t>
      </w:r>
      <w:r w:rsidRPr="00622BBC">
        <w:rPr>
          <w:rFonts w:cstheme="minorHAnsi"/>
        </w:rPr>
        <w:t xml:space="preserve">particularly </w:t>
      </w:r>
      <w:r>
        <w:rPr>
          <w:rFonts w:cstheme="minorHAnsi"/>
        </w:rPr>
        <w:t xml:space="preserve">regarding efficacy and safety, both key quantifiable factors that influence decisions. </w:t>
      </w:r>
    </w:p>
    <w:p w14:paraId="7FE35AD9" w14:textId="77777777" w:rsidR="006517CF" w:rsidRPr="00C811C6" w:rsidRDefault="006517CF" w:rsidP="006517CF">
      <w:pPr>
        <w:spacing w:line="360" w:lineRule="auto"/>
        <w:ind w:left="284"/>
        <w:jc w:val="both"/>
        <w:rPr>
          <w:rFonts w:cstheme="minorHAnsi"/>
          <w:i/>
          <w:sz w:val="18"/>
        </w:rPr>
      </w:pPr>
      <w:r w:rsidRPr="00C811C6">
        <w:rPr>
          <w:rFonts w:cstheme="minorHAnsi"/>
          <w:i/>
          <w:sz w:val="18"/>
        </w:rPr>
        <w:t>“So the decisions are very much evidence-driven, and if we haven't got any evidence for … effectiveness, and/or safety…then we really … push back…, because we don't want to have low-quality services that are being funded because … the funding that's going into that isn't available for something else that might more benefit society.” [20</w:t>
      </w:r>
      <w:r>
        <w:rPr>
          <w:rFonts w:cstheme="minorHAnsi"/>
          <w:i/>
          <w:sz w:val="18"/>
        </w:rPr>
        <w:t>21/</w:t>
      </w:r>
      <w:r w:rsidRPr="00C811C6">
        <w:rPr>
          <w:rFonts w:cstheme="minorHAnsi"/>
          <w:i/>
          <w:sz w:val="18"/>
        </w:rPr>
        <w:t>22 DM8]</w:t>
      </w:r>
    </w:p>
    <w:p w14:paraId="502123DA" w14:textId="77777777" w:rsidR="006517CF" w:rsidRDefault="006517CF" w:rsidP="006517CF">
      <w:pPr>
        <w:spacing w:line="360" w:lineRule="auto"/>
        <w:jc w:val="both"/>
        <w:rPr>
          <w:rFonts w:cstheme="minorHAnsi"/>
        </w:rPr>
      </w:pPr>
    </w:p>
    <w:p w14:paraId="22694720" w14:textId="4C478A65" w:rsidR="006517CF" w:rsidRDefault="006517CF" w:rsidP="006517CF">
      <w:pPr>
        <w:spacing w:line="360" w:lineRule="auto"/>
        <w:jc w:val="both"/>
        <w:rPr>
          <w:rFonts w:cstheme="minorHAnsi"/>
        </w:rPr>
      </w:pPr>
      <w:r w:rsidRPr="00622BBC">
        <w:rPr>
          <w:rFonts w:cstheme="minorHAnsi"/>
        </w:rPr>
        <w:t xml:space="preserve">An important contextual factor related to the </w:t>
      </w:r>
      <w:r>
        <w:rPr>
          <w:rFonts w:cstheme="minorHAnsi"/>
        </w:rPr>
        <w:t>stated reasons</w:t>
      </w:r>
      <w:r w:rsidRPr="00622BBC">
        <w:rPr>
          <w:rFonts w:cstheme="minorHAnsi"/>
        </w:rPr>
        <w:t xml:space="preserve"> but considered qualitatively at both time points by participants was the level of confidence in the </w:t>
      </w:r>
      <w:r>
        <w:rPr>
          <w:rFonts w:cstheme="minorHAnsi"/>
        </w:rPr>
        <w:t>evidence</w:t>
      </w:r>
      <w:r w:rsidRPr="00622BBC">
        <w:rPr>
          <w:rFonts w:cstheme="minorHAnsi"/>
        </w:rPr>
        <w:t xml:space="preserve"> supporting the technology. This was particularly important for clinical data on safety and comparative effectiveness</w:t>
      </w:r>
      <w:r>
        <w:rPr>
          <w:rFonts w:cstheme="minorHAnsi"/>
        </w:rPr>
        <w:t xml:space="preserve"> due to potential for direct patient harm</w:t>
      </w:r>
      <w:r w:rsidRPr="00622BBC">
        <w:rPr>
          <w:rFonts w:cstheme="minorHAnsi"/>
        </w:rPr>
        <w:t xml:space="preserve">. In comparison, uncertainty in the economics data (feeding into the ICER and the financial estimates) while </w:t>
      </w:r>
      <w:r>
        <w:rPr>
          <w:rFonts w:cstheme="minorHAnsi"/>
        </w:rPr>
        <w:t xml:space="preserve">also </w:t>
      </w:r>
      <w:r w:rsidRPr="00622BBC">
        <w:rPr>
          <w:rFonts w:cstheme="minorHAnsi"/>
        </w:rPr>
        <w:t>important</w:t>
      </w:r>
      <w:r>
        <w:rPr>
          <w:rFonts w:cstheme="minorHAnsi"/>
        </w:rPr>
        <w:t>, participants reported potential ways to account for the economic uncertainty</w:t>
      </w:r>
      <w:r w:rsidRPr="00622BBC">
        <w:rPr>
          <w:rFonts w:cstheme="minorHAnsi"/>
        </w:rPr>
        <w:t>. One participant</w:t>
      </w:r>
      <w:r>
        <w:rPr>
          <w:rFonts w:cstheme="minorHAnsi"/>
        </w:rPr>
        <w:t xml:space="preserve"> (2014)</w:t>
      </w:r>
      <w:r w:rsidRPr="00622BBC">
        <w:rPr>
          <w:rFonts w:cstheme="minorHAnsi"/>
        </w:rPr>
        <w:t xml:space="preserve"> gave an </w:t>
      </w:r>
      <w:r>
        <w:rPr>
          <w:rFonts w:cstheme="minorHAnsi"/>
        </w:rPr>
        <w:t>account of the effective and cognitive burden on Committee members when confronted by uncertainty in the clinical evidence:</w:t>
      </w:r>
      <w:r w:rsidRPr="00622BBC">
        <w:rPr>
          <w:rFonts w:cstheme="minorHAnsi"/>
        </w:rPr>
        <w:t xml:space="preserve"> </w:t>
      </w:r>
    </w:p>
    <w:p w14:paraId="3BDA63CD" w14:textId="16FCE24B" w:rsidR="006517CF" w:rsidRDefault="006517CF" w:rsidP="006517CF">
      <w:pPr>
        <w:spacing w:line="360" w:lineRule="auto"/>
        <w:ind w:left="284"/>
        <w:jc w:val="both"/>
        <w:rPr>
          <w:rFonts w:cstheme="minorHAnsi"/>
          <w:i/>
          <w:sz w:val="18"/>
        </w:rPr>
      </w:pPr>
      <w:r w:rsidRPr="00883567">
        <w:rPr>
          <w:rFonts w:cstheme="minorHAnsi"/>
          <w:i/>
          <w:sz w:val="18"/>
        </w:rPr>
        <w:lastRenderedPageBreak/>
        <w:t>“Doing no harm is part of</w:t>
      </w:r>
      <w:r>
        <w:rPr>
          <w:rFonts w:cstheme="minorHAnsi"/>
          <w:i/>
          <w:sz w:val="18"/>
        </w:rPr>
        <w:t xml:space="preserve"> h</w:t>
      </w:r>
      <w:r w:rsidRPr="00883567">
        <w:rPr>
          <w:rFonts w:cstheme="minorHAnsi"/>
          <w:i/>
          <w:sz w:val="18"/>
        </w:rPr>
        <w:t>ealth professional training</w:t>
      </w:r>
      <w:r>
        <w:rPr>
          <w:rFonts w:cstheme="minorHAnsi"/>
          <w:i/>
          <w:sz w:val="18"/>
        </w:rPr>
        <w:t>,</w:t>
      </w:r>
      <w:r w:rsidRPr="00883567">
        <w:rPr>
          <w:rFonts w:cstheme="minorHAnsi"/>
          <w:i/>
          <w:sz w:val="18"/>
        </w:rPr>
        <w:t xml:space="preserve"> the fact that you’re really worrying whether maybe this is not doing anything, in which case all you’re doing here is harming someone, that’s where the uncertainty keeps you awake at night.” [2014 DM9]</w:t>
      </w:r>
    </w:p>
    <w:p w14:paraId="44338CC2" w14:textId="77777777" w:rsidR="006517CF" w:rsidRPr="00883567" w:rsidRDefault="006517CF" w:rsidP="006517CF">
      <w:pPr>
        <w:spacing w:line="360" w:lineRule="auto"/>
        <w:ind w:left="284"/>
        <w:jc w:val="both"/>
        <w:rPr>
          <w:rFonts w:cstheme="minorHAnsi"/>
          <w:i/>
          <w:sz w:val="18"/>
        </w:rPr>
      </w:pPr>
      <w:r w:rsidRPr="00883567">
        <w:rPr>
          <w:rFonts w:cstheme="minorHAnsi"/>
          <w:i/>
          <w:sz w:val="18"/>
        </w:rPr>
        <w:t xml:space="preserve"> </w:t>
      </w:r>
      <w:r w:rsidRPr="0014027F">
        <w:rPr>
          <w:rFonts w:cstheme="minorHAnsi"/>
          <w:i/>
          <w:sz w:val="18"/>
        </w:rPr>
        <w:t xml:space="preserve"> </w:t>
      </w:r>
      <w:r>
        <w:rPr>
          <w:rFonts w:cstheme="minorHAnsi"/>
          <w:i/>
          <w:sz w:val="18"/>
        </w:rPr>
        <w:t>“I</w:t>
      </w:r>
      <w:r w:rsidRPr="0014027F">
        <w:rPr>
          <w:rFonts w:cstheme="minorHAnsi"/>
          <w:i/>
          <w:sz w:val="18"/>
        </w:rPr>
        <w:t>t’s very hard to delist</w:t>
      </w:r>
      <w:r>
        <w:rPr>
          <w:rFonts w:cstheme="minorHAnsi"/>
          <w:i/>
          <w:sz w:val="18"/>
        </w:rPr>
        <w:t xml:space="preserve">, </w:t>
      </w:r>
      <w:r w:rsidRPr="0014027F">
        <w:rPr>
          <w:rFonts w:cstheme="minorHAnsi"/>
          <w:i/>
          <w:sz w:val="18"/>
        </w:rPr>
        <w:t>that’s the big challenge with listing</w:t>
      </w:r>
      <w:r>
        <w:rPr>
          <w:rFonts w:cstheme="minorHAnsi"/>
          <w:i/>
          <w:sz w:val="18"/>
        </w:rPr>
        <w:t>…</w:t>
      </w:r>
      <w:r w:rsidRPr="0014027F">
        <w:rPr>
          <w:rFonts w:cstheme="minorHAnsi"/>
          <w:i/>
          <w:sz w:val="18"/>
        </w:rPr>
        <w:t xml:space="preserve">unless you’ve got a severe safety signal that the drug has to be pulled which is never really black and white, </w:t>
      </w:r>
      <w:r>
        <w:rPr>
          <w:rFonts w:cstheme="minorHAnsi"/>
          <w:i/>
          <w:sz w:val="18"/>
        </w:rPr>
        <w:t>…</w:t>
      </w:r>
      <w:r w:rsidRPr="0014027F">
        <w:rPr>
          <w:rFonts w:cstheme="minorHAnsi"/>
          <w:i/>
          <w:sz w:val="18"/>
        </w:rPr>
        <w:t xml:space="preserve">the slowness with which information permeates the medical community particularly with prescribing means that you can’t have any certainty </w:t>
      </w:r>
      <w:r>
        <w:rPr>
          <w:rFonts w:cstheme="minorHAnsi"/>
          <w:i/>
          <w:sz w:val="18"/>
        </w:rPr>
        <w:t>…[that]</w:t>
      </w:r>
      <w:r w:rsidRPr="0014027F">
        <w:rPr>
          <w:rFonts w:cstheme="minorHAnsi"/>
          <w:i/>
          <w:sz w:val="18"/>
        </w:rPr>
        <w:t xml:space="preserve"> prescribing will be on the evidence rather than maybe on what’s marketed.  Whereas you can deal with the economic uncertainty by just going back to the company, particularly if you’ve noted it ahead of time </w:t>
      </w:r>
      <w:r>
        <w:rPr>
          <w:rFonts w:cstheme="minorHAnsi"/>
          <w:i/>
          <w:sz w:val="18"/>
        </w:rPr>
        <w:t>…</w:t>
      </w:r>
      <w:r w:rsidRPr="0014027F">
        <w:rPr>
          <w:rFonts w:cstheme="minorHAnsi"/>
          <w:i/>
          <w:sz w:val="18"/>
        </w:rPr>
        <w:t xml:space="preserve"> “We’re going to review your pricing”.  At least you’ve got something you can do, there’s no lever if you’ve made a mistake around </w:t>
      </w:r>
      <w:r>
        <w:rPr>
          <w:rFonts w:cstheme="minorHAnsi"/>
          <w:i/>
          <w:sz w:val="18"/>
        </w:rPr>
        <w:t>[clinical uncertainty] …</w:t>
      </w:r>
      <w:r w:rsidRPr="0014027F">
        <w:rPr>
          <w:rFonts w:cstheme="minorHAnsi"/>
          <w:i/>
          <w:sz w:val="18"/>
        </w:rPr>
        <w:t xml:space="preserve"> and I think that’s why both committees are cautious with introducing new things for that very reason. [2014 DM9]</w:t>
      </w:r>
      <w:r w:rsidRPr="00883567">
        <w:rPr>
          <w:rFonts w:cstheme="minorHAnsi"/>
          <w:i/>
          <w:sz w:val="18"/>
        </w:rPr>
        <w:t xml:space="preserve"> </w:t>
      </w:r>
    </w:p>
    <w:p w14:paraId="08ABCDCA" w14:textId="77777777" w:rsidR="006517CF" w:rsidRPr="00C811C6" w:rsidRDefault="006517CF" w:rsidP="006517CF">
      <w:pPr>
        <w:spacing w:line="360" w:lineRule="auto"/>
        <w:ind w:left="284"/>
        <w:jc w:val="both"/>
        <w:rPr>
          <w:rFonts w:cstheme="minorHAnsi"/>
          <w:i/>
          <w:sz w:val="18"/>
        </w:rPr>
      </w:pPr>
      <w:r w:rsidRPr="00C811C6">
        <w:rPr>
          <w:rFonts w:cstheme="minorHAnsi"/>
          <w:i/>
          <w:sz w:val="18"/>
        </w:rPr>
        <w:t xml:space="preserve">“I still think you can’t get an economic evaluation on a foundation that has no clinical basis. This is from the get go, that every economic evaluation in my mind is a bolt on, it’s an add on, it’s an extension to the clinical. And if you’ve got a weak clinical basis, then nothing you really do in the economics is going to solve it, but you can better characterise the extent of uncertainty.” [2014 DM1] </w:t>
      </w:r>
    </w:p>
    <w:p w14:paraId="420273A8" w14:textId="77777777" w:rsidR="006517CF" w:rsidRPr="00622BBC" w:rsidRDefault="006517CF" w:rsidP="006517CF">
      <w:pPr>
        <w:spacing w:line="360" w:lineRule="auto"/>
        <w:jc w:val="both"/>
        <w:rPr>
          <w:rFonts w:cstheme="minorHAnsi"/>
        </w:rPr>
      </w:pPr>
    </w:p>
    <w:p w14:paraId="731BD37D" w14:textId="5C23AFFB" w:rsidR="006517CF" w:rsidRPr="00622BBC" w:rsidRDefault="006517CF" w:rsidP="006517CF">
      <w:pPr>
        <w:spacing w:line="360" w:lineRule="auto"/>
        <w:jc w:val="both"/>
        <w:rPr>
          <w:rFonts w:cstheme="minorHAnsi"/>
        </w:rPr>
      </w:pPr>
      <w:r w:rsidRPr="00622BBC">
        <w:rPr>
          <w:rFonts w:cstheme="minorHAnsi"/>
        </w:rPr>
        <w:t>The level of</w:t>
      </w:r>
      <w:r>
        <w:rPr>
          <w:rFonts w:cstheme="minorHAnsi"/>
        </w:rPr>
        <w:t xml:space="preserve"> uncertainty regarding the</w:t>
      </w:r>
      <w:r w:rsidRPr="00622BBC">
        <w:rPr>
          <w:rFonts w:cstheme="minorHAnsi"/>
        </w:rPr>
        <w:t xml:space="preserve"> clinical </w:t>
      </w:r>
      <w:r>
        <w:rPr>
          <w:rFonts w:cstheme="minorHAnsi"/>
        </w:rPr>
        <w:t xml:space="preserve">evidence presented in submissions </w:t>
      </w:r>
      <w:r w:rsidRPr="00622BBC">
        <w:rPr>
          <w:rFonts w:cstheme="minorHAnsi"/>
        </w:rPr>
        <w:t xml:space="preserve">however did not appear to have improved for </w:t>
      </w:r>
      <w:r>
        <w:rPr>
          <w:rFonts w:cstheme="minorHAnsi"/>
        </w:rPr>
        <w:t>decision-maker</w:t>
      </w:r>
      <w:r w:rsidRPr="00622BBC">
        <w:rPr>
          <w:rFonts w:cstheme="minorHAnsi"/>
        </w:rPr>
        <w:t xml:space="preserve">s over time. In </w:t>
      </w:r>
      <w:r>
        <w:rPr>
          <w:rFonts w:cstheme="minorHAnsi"/>
        </w:rPr>
        <w:t>20</w:t>
      </w:r>
      <w:r w:rsidR="00291D28">
        <w:rPr>
          <w:rFonts w:cstheme="minorHAnsi"/>
        </w:rPr>
        <w:t>21/</w:t>
      </w:r>
      <w:r w:rsidRPr="00622BBC">
        <w:rPr>
          <w:rFonts w:cstheme="minorHAnsi"/>
        </w:rPr>
        <w:t>22, participants also reported issues with clinical uncertainty particularly for treatments of rare diseases, where lower quality clinical evidence is common due to difficulties with generating robust evidence for small patient populations. Over time, participants appeared however more resolved that uncertainty is likely to persist thus the emphasis should be on its management. One participant stated:</w:t>
      </w:r>
    </w:p>
    <w:p w14:paraId="0D8D4BFD" w14:textId="497F81E5" w:rsidR="006517CF" w:rsidRPr="00C811C6" w:rsidRDefault="006517CF" w:rsidP="006517CF">
      <w:pPr>
        <w:spacing w:line="360" w:lineRule="auto"/>
        <w:ind w:left="284"/>
        <w:jc w:val="both"/>
        <w:rPr>
          <w:rFonts w:cstheme="minorHAnsi"/>
          <w:i/>
          <w:sz w:val="18"/>
        </w:rPr>
      </w:pPr>
      <w:r w:rsidRPr="00C811C6">
        <w:rPr>
          <w:rFonts w:cstheme="minorHAnsi"/>
          <w:i/>
          <w:sz w:val="18"/>
        </w:rPr>
        <w:t>“it's about how you manage that uncertainty … other than something that you can fix up through more sophisticated HTA methods.  You’re not going to be able to make that uncertainty disappear ….” [20</w:t>
      </w:r>
      <w:r w:rsidR="00291D28">
        <w:rPr>
          <w:rFonts w:cstheme="minorHAnsi"/>
          <w:i/>
          <w:sz w:val="18"/>
        </w:rPr>
        <w:t>21/</w:t>
      </w:r>
      <w:r w:rsidRPr="00C811C6">
        <w:rPr>
          <w:rFonts w:cstheme="minorHAnsi"/>
          <w:i/>
          <w:sz w:val="18"/>
        </w:rPr>
        <w:t xml:space="preserve">22 DM 6]  </w:t>
      </w:r>
    </w:p>
    <w:p w14:paraId="00A8D9D8" w14:textId="77777777" w:rsidR="006517CF" w:rsidRPr="00622BBC" w:rsidRDefault="006517CF" w:rsidP="006517CF">
      <w:pPr>
        <w:spacing w:line="360" w:lineRule="auto"/>
        <w:jc w:val="both"/>
        <w:rPr>
          <w:rFonts w:cstheme="minorHAnsi"/>
        </w:rPr>
      </w:pPr>
    </w:p>
    <w:p w14:paraId="68B9D808" w14:textId="77777777" w:rsidR="006517CF" w:rsidRPr="00622BBC" w:rsidRDefault="006517CF" w:rsidP="006517CF">
      <w:pPr>
        <w:spacing w:line="360" w:lineRule="auto"/>
        <w:jc w:val="both"/>
        <w:rPr>
          <w:rFonts w:cstheme="minorHAnsi"/>
        </w:rPr>
      </w:pPr>
      <w:r w:rsidRPr="00622BBC">
        <w:rPr>
          <w:rFonts w:cstheme="minorHAnsi"/>
        </w:rPr>
        <w:t xml:space="preserve">At both time points, participants also consistently reported the importance of equity in decisions made including qualitative considerations of unmet clinical need, illness severity, equity of access and other aspects of disadvantage of the intended population.  </w:t>
      </w:r>
    </w:p>
    <w:p w14:paraId="3CA19D53" w14:textId="77777777" w:rsidR="006517CF" w:rsidRPr="00622BBC" w:rsidRDefault="006517CF" w:rsidP="006517CF">
      <w:pPr>
        <w:spacing w:line="360" w:lineRule="auto"/>
        <w:jc w:val="both"/>
        <w:rPr>
          <w:rFonts w:cstheme="minorHAnsi"/>
        </w:rPr>
      </w:pPr>
    </w:p>
    <w:p w14:paraId="1F1D461B" w14:textId="77777777" w:rsidR="006517CF" w:rsidRPr="00622BBC" w:rsidRDefault="006517CF" w:rsidP="006517CF">
      <w:pPr>
        <w:spacing w:line="360" w:lineRule="auto"/>
        <w:jc w:val="both"/>
        <w:rPr>
          <w:rFonts w:cstheme="minorHAnsi"/>
        </w:rPr>
      </w:pPr>
      <w:r w:rsidRPr="00622BBC">
        <w:rPr>
          <w:rFonts w:cstheme="minorHAnsi"/>
        </w:rPr>
        <w:t>Attributes of the technology such as the degree of innovation are also influential contextual factors reported by participants</w:t>
      </w:r>
      <w:r>
        <w:rPr>
          <w:rFonts w:cstheme="minorHAnsi"/>
        </w:rPr>
        <w:t xml:space="preserve"> at both time points</w:t>
      </w:r>
      <w:r w:rsidRPr="00622BBC">
        <w:rPr>
          <w:rFonts w:cstheme="minorHAnsi"/>
        </w:rPr>
        <w:t xml:space="preserve">. Some participants </w:t>
      </w:r>
      <w:r>
        <w:rPr>
          <w:rFonts w:cstheme="minorHAnsi"/>
        </w:rPr>
        <w:t xml:space="preserve">noted potential </w:t>
      </w:r>
      <w:r w:rsidRPr="00622BBC">
        <w:rPr>
          <w:rFonts w:cstheme="minorHAnsi"/>
        </w:rPr>
        <w:t>influen</w:t>
      </w:r>
      <w:r>
        <w:rPr>
          <w:rFonts w:cstheme="minorHAnsi"/>
        </w:rPr>
        <w:t>ce of</w:t>
      </w:r>
      <w:r w:rsidRPr="00622BBC">
        <w:rPr>
          <w:rFonts w:cstheme="minorHAnsi"/>
        </w:rPr>
        <w:t xml:space="preserve"> generated interest towards a new technology. The same participants also reported counterbalancing in situations of low community interest or advocacy since sometimes they are also indicators of disadvantage. </w:t>
      </w:r>
    </w:p>
    <w:p w14:paraId="41174231" w14:textId="77777777" w:rsidR="006517CF" w:rsidRPr="00C811C6" w:rsidRDefault="006517CF" w:rsidP="006517CF">
      <w:pPr>
        <w:spacing w:line="360" w:lineRule="auto"/>
        <w:ind w:left="284"/>
        <w:jc w:val="both"/>
        <w:rPr>
          <w:rFonts w:cstheme="minorHAnsi"/>
          <w:i/>
          <w:sz w:val="18"/>
        </w:rPr>
      </w:pPr>
      <w:r w:rsidRPr="00C811C6">
        <w:rPr>
          <w:rFonts w:cstheme="minorHAnsi"/>
          <w:i/>
          <w:sz w:val="18"/>
        </w:rPr>
        <w:t>“So, if you’ve got a sexy drug or a sexy smart technology…people care about them…</w:t>
      </w:r>
      <w:r w:rsidRPr="00143345">
        <w:rPr>
          <w:rFonts w:cstheme="minorHAnsi"/>
          <w:i/>
          <w:sz w:val="18"/>
        </w:rPr>
        <w:t xml:space="preserve"> </w:t>
      </w:r>
      <w:r w:rsidRPr="00C811C6">
        <w:rPr>
          <w:rFonts w:cstheme="minorHAnsi"/>
          <w:i/>
          <w:sz w:val="18"/>
        </w:rPr>
        <w:t>if it’s a very sexy disease… there’s typically been a well-orchestrated advocacy campaign and hearings with emotional overtones</w:t>
      </w:r>
      <w:r>
        <w:rPr>
          <w:rFonts w:cstheme="minorHAnsi"/>
          <w:i/>
          <w:sz w:val="18"/>
        </w:rPr>
        <w:t>…</w:t>
      </w:r>
      <w:r w:rsidRPr="00C811C6" w:rsidDel="00006F59">
        <w:rPr>
          <w:rFonts w:cstheme="minorHAnsi"/>
          <w:i/>
          <w:sz w:val="18"/>
        </w:rPr>
        <w:t xml:space="preserve"> </w:t>
      </w:r>
      <w:r w:rsidRPr="00C811C6">
        <w:rPr>
          <w:rFonts w:cstheme="minorHAnsi"/>
          <w:i/>
          <w:sz w:val="18"/>
        </w:rPr>
        <w:t xml:space="preserve"> it’s not just the patient </w:t>
      </w:r>
      <w:r w:rsidRPr="00C811C6">
        <w:rPr>
          <w:rFonts w:cstheme="minorHAnsi"/>
          <w:i/>
          <w:sz w:val="18"/>
        </w:rPr>
        <w:lastRenderedPageBreak/>
        <w:t>population, it’s also the perceived market power of the thing that’s being invented, how clever it is, how smart it looks.” [2014 DM9]</w:t>
      </w:r>
    </w:p>
    <w:p w14:paraId="3453171C" w14:textId="77777777" w:rsidR="006517CF" w:rsidRPr="00C811C6" w:rsidRDefault="006517CF" w:rsidP="006517CF">
      <w:pPr>
        <w:spacing w:line="360" w:lineRule="auto"/>
        <w:ind w:left="284"/>
        <w:jc w:val="both"/>
        <w:rPr>
          <w:rFonts w:cstheme="minorHAnsi"/>
          <w:i/>
          <w:sz w:val="18"/>
        </w:rPr>
      </w:pPr>
      <w:r w:rsidRPr="00C811C6">
        <w:rPr>
          <w:rFonts w:cstheme="minorHAnsi"/>
          <w:i/>
          <w:sz w:val="18"/>
        </w:rPr>
        <w:t>“if there’s a social disadvantage associated with that group of people who are the beneficiaries, then I think people tend to assign a weight to that.  Maybe that’s counterbalancing in a sense the fact that in my experience we often don't see a lot of advocacy for that group of people either.” [2014 DM9]</w:t>
      </w:r>
    </w:p>
    <w:p w14:paraId="72AA67AF" w14:textId="77777777" w:rsidR="006517CF" w:rsidRPr="00622BBC" w:rsidRDefault="006517CF" w:rsidP="006517CF">
      <w:pPr>
        <w:spacing w:line="360" w:lineRule="auto"/>
        <w:jc w:val="both"/>
        <w:rPr>
          <w:rFonts w:cstheme="minorHAnsi"/>
        </w:rPr>
      </w:pPr>
    </w:p>
    <w:p w14:paraId="0E588E9A" w14:textId="7C7D272E" w:rsidR="006517CF" w:rsidRPr="00622BBC" w:rsidRDefault="006517CF" w:rsidP="006517CF">
      <w:pPr>
        <w:pStyle w:val="Level2Heading"/>
        <w:numPr>
          <w:ilvl w:val="0"/>
          <w:numId w:val="12"/>
        </w:numPr>
        <w:spacing w:line="360" w:lineRule="auto"/>
        <w:outlineLvl w:val="3"/>
        <w:rPr>
          <w:rFonts w:asciiTheme="minorHAnsi" w:hAnsiTheme="minorHAnsi" w:cstheme="minorHAnsi"/>
        </w:rPr>
      </w:pPr>
      <w:bookmarkStart w:id="5" w:name="_Hlk150284614"/>
      <w:r>
        <w:rPr>
          <w:rFonts w:asciiTheme="minorHAnsi" w:hAnsiTheme="minorHAnsi" w:cstheme="minorHAnsi"/>
        </w:rPr>
        <w:t xml:space="preserve">Consumer representation increases </w:t>
      </w:r>
      <w:r w:rsidR="00914BA4" w:rsidRPr="00914BA4">
        <w:rPr>
          <w:rFonts w:asciiTheme="minorHAnsi" w:hAnsiTheme="minorHAnsi" w:cstheme="minorHAnsi"/>
          <w:i/>
          <w:iCs/>
        </w:rPr>
        <w:t>R</w:t>
      </w:r>
      <w:r w:rsidRPr="00914BA4">
        <w:rPr>
          <w:rFonts w:asciiTheme="minorHAnsi" w:hAnsiTheme="minorHAnsi" w:cstheme="minorHAnsi"/>
          <w:i/>
          <w:iCs/>
        </w:rPr>
        <w:t>elevance</w:t>
      </w:r>
      <w:r>
        <w:rPr>
          <w:rFonts w:asciiTheme="minorHAnsi" w:hAnsiTheme="minorHAnsi" w:cstheme="minorHAnsi"/>
        </w:rPr>
        <w:t xml:space="preserve"> </w:t>
      </w:r>
    </w:p>
    <w:bookmarkEnd w:id="5"/>
    <w:p w14:paraId="76635E51" w14:textId="77777777" w:rsidR="006517CF" w:rsidRPr="00622BBC" w:rsidRDefault="006517CF" w:rsidP="006517CF">
      <w:pPr>
        <w:spacing w:line="360" w:lineRule="auto"/>
        <w:jc w:val="both"/>
        <w:rPr>
          <w:rFonts w:cstheme="minorHAnsi"/>
        </w:rPr>
      </w:pPr>
    </w:p>
    <w:p w14:paraId="5D26485A" w14:textId="4D1F62C5" w:rsidR="006517CF" w:rsidRDefault="006517CF" w:rsidP="006517CF">
      <w:pPr>
        <w:spacing w:line="360" w:lineRule="auto"/>
        <w:jc w:val="both"/>
        <w:rPr>
          <w:rFonts w:cstheme="minorHAnsi"/>
        </w:rPr>
      </w:pPr>
      <w:r w:rsidRPr="00622BBC">
        <w:rPr>
          <w:rFonts w:cstheme="minorHAnsi"/>
        </w:rPr>
        <w:t xml:space="preserve">In both time periods, the </w:t>
      </w:r>
      <w:r>
        <w:rPr>
          <w:rFonts w:cstheme="minorHAnsi"/>
        </w:rPr>
        <w:t>decision-maker</w:t>
      </w:r>
      <w:r w:rsidRPr="00622BBC">
        <w:rPr>
          <w:rFonts w:cstheme="minorHAnsi"/>
        </w:rPr>
        <w:t xml:space="preserve">s expressed the need to reflect values of the community when making limit setting decisions including receiving direct input from consumers and broader society.   </w:t>
      </w:r>
      <w:r>
        <w:rPr>
          <w:rFonts w:cstheme="minorHAnsi"/>
        </w:rPr>
        <w:t>At both time points, p</w:t>
      </w:r>
      <w:r w:rsidRPr="00622BBC">
        <w:rPr>
          <w:rFonts w:cstheme="minorHAnsi"/>
        </w:rPr>
        <w:t xml:space="preserve">articipants noted that consumer input in </w:t>
      </w:r>
      <w:r>
        <w:rPr>
          <w:rFonts w:cstheme="minorHAnsi"/>
        </w:rPr>
        <w:t>decision-making</w:t>
      </w:r>
      <w:r w:rsidRPr="00622BBC">
        <w:rPr>
          <w:rFonts w:cstheme="minorHAnsi"/>
        </w:rPr>
        <w:t xml:space="preserve"> is primarily via consumer representatives on HTA committees. In 2014, participants indicated limited capacity to seek feedback for every application. In 20</w:t>
      </w:r>
      <w:r w:rsidR="00291D28">
        <w:rPr>
          <w:rFonts w:cstheme="minorHAnsi"/>
        </w:rPr>
        <w:t>21</w:t>
      </w:r>
      <w:r w:rsidR="0020063F">
        <w:rPr>
          <w:rFonts w:cstheme="minorHAnsi"/>
        </w:rPr>
        <w:t>/</w:t>
      </w:r>
      <w:r w:rsidRPr="00622BBC">
        <w:rPr>
          <w:rFonts w:cstheme="minorHAnsi"/>
        </w:rPr>
        <w:t>22, participants reported much improved processes for consumer input</w:t>
      </w:r>
      <w:r>
        <w:rPr>
          <w:rFonts w:cstheme="minorHAnsi"/>
        </w:rPr>
        <w:t xml:space="preserve">, including </w:t>
      </w:r>
      <w:r w:rsidRPr="00622BBC">
        <w:rPr>
          <w:rFonts w:cstheme="minorHAnsi"/>
        </w:rPr>
        <w:t>earlier announcement of</w:t>
      </w:r>
      <w:r>
        <w:rPr>
          <w:rFonts w:cstheme="minorHAnsi"/>
        </w:rPr>
        <w:t xml:space="preserve"> the</w:t>
      </w:r>
      <w:r w:rsidRPr="00622BBC">
        <w:rPr>
          <w:rFonts w:cstheme="minorHAnsi"/>
        </w:rPr>
        <w:t xml:space="preserve"> PBAC agenda</w:t>
      </w:r>
      <w:r>
        <w:rPr>
          <w:rFonts w:cstheme="minorHAnsi"/>
        </w:rPr>
        <w:t xml:space="preserve"> </w:t>
      </w:r>
      <w:r w:rsidRPr="00622BBC">
        <w:rPr>
          <w:rFonts w:cstheme="minorHAnsi"/>
        </w:rPr>
        <w:t xml:space="preserve">to give consumers and consumer organisations more time to submit their perspectives, new opportunities including a new process in 2015 </w:t>
      </w:r>
      <w:r>
        <w:rPr>
          <w:rFonts w:cstheme="minorHAnsi"/>
        </w:rPr>
        <w:t>for</w:t>
      </w:r>
      <w:r w:rsidRPr="00622BBC">
        <w:rPr>
          <w:rFonts w:cstheme="minorHAnsi"/>
        </w:rPr>
        <w:t xml:space="preserve"> consumer and patient hearings on selected applications, as well as additional resources provided by paid staff at the </w:t>
      </w:r>
      <w:r>
        <w:rPr>
          <w:rFonts w:cstheme="minorHAnsi"/>
        </w:rPr>
        <w:t xml:space="preserve">Health </w:t>
      </w:r>
      <w:r w:rsidRPr="00622BBC">
        <w:rPr>
          <w:rFonts w:cstheme="minorHAnsi"/>
        </w:rPr>
        <w:t>Department</w:t>
      </w:r>
      <w:r>
        <w:rPr>
          <w:rFonts w:cstheme="minorHAnsi"/>
        </w:rPr>
        <w:t>. We note from our document review that a</w:t>
      </w:r>
      <w:r w:rsidRPr="00622BBC">
        <w:rPr>
          <w:rFonts w:cstheme="minorHAnsi"/>
        </w:rPr>
        <w:t xml:space="preserve"> new advisory HTA Consumer Consultative Committee (CCC) was also established in 2017 to provide advice on how best to engage consumers in Australian national HTA processes</w:t>
      </w:r>
      <w:r>
        <w:rPr>
          <w:rFonts w:cstheme="minorHAnsi"/>
        </w:rPr>
        <w:t xml:space="preserve">. The </w:t>
      </w:r>
      <w:r w:rsidRPr="00622BBC">
        <w:rPr>
          <w:rFonts w:cstheme="minorHAnsi"/>
        </w:rPr>
        <w:t xml:space="preserve">Consumer Evidence and Engagement Unit </w:t>
      </w:r>
      <w:r>
        <w:rPr>
          <w:rFonts w:cstheme="minorHAnsi"/>
        </w:rPr>
        <w:t>(</w:t>
      </w:r>
      <w:r w:rsidRPr="00622BBC">
        <w:rPr>
          <w:rFonts w:cstheme="minorHAnsi"/>
        </w:rPr>
        <w:t>CEEU</w:t>
      </w:r>
      <w:r>
        <w:rPr>
          <w:rFonts w:cstheme="minorHAnsi"/>
        </w:rPr>
        <w:t>) was also established 2019 in the Health Department</w:t>
      </w:r>
      <w:r w:rsidRPr="00622BBC">
        <w:rPr>
          <w:rFonts w:cstheme="minorHAnsi"/>
        </w:rPr>
        <w:t xml:space="preserve"> </w:t>
      </w:r>
      <w:r>
        <w:rPr>
          <w:rFonts w:cstheme="minorHAnsi"/>
        </w:rPr>
        <w:t xml:space="preserve">to help </w:t>
      </w:r>
      <w:r w:rsidRPr="006D44A6">
        <w:rPr>
          <w:rFonts w:cstheme="minorHAnsi"/>
        </w:rPr>
        <w:t xml:space="preserve">consumers and patients to be part of </w:t>
      </w:r>
      <w:r>
        <w:rPr>
          <w:rFonts w:cstheme="minorHAnsi"/>
        </w:rPr>
        <w:t xml:space="preserve">the </w:t>
      </w:r>
      <w:r w:rsidRPr="006D44A6">
        <w:rPr>
          <w:rFonts w:cstheme="minorHAnsi"/>
        </w:rPr>
        <w:t xml:space="preserve">HTA processes. It also supports the </w:t>
      </w:r>
      <w:r>
        <w:rPr>
          <w:rFonts w:cstheme="minorHAnsi"/>
        </w:rPr>
        <w:t xml:space="preserve">CCC and collates the </w:t>
      </w:r>
      <w:r w:rsidRPr="00622BBC">
        <w:rPr>
          <w:rFonts w:cstheme="minorHAnsi"/>
        </w:rPr>
        <w:t>consumer inputs to be fed into HTA committees by consumer rep</w:t>
      </w:r>
      <w:r>
        <w:rPr>
          <w:rFonts w:cstheme="minorHAnsi"/>
        </w:rPr>
        <w:t>resentative</w:t>
      </w:r>
      <w:r w:rsidRPr="00622BBC">
        <w:rPr>
          <w:rFonts w:cstheme="minorHAnsi"/>
        </w:rPr>
        <w:t xml:space="preserve">s. </w:t>
      </w:r>
      <w:r>
        <w:rPr>
          <w:rFonts w:cstheme="minorHAnsi"/>
        </w:rPr>
        <w:t>Participants in 20</w:t>
      </w:r>
      <w:r w:rsidR="0020063F">
        <w:rPr>
          <w:rFonts w:cstheme="minorHAnsi"/>
        </w:rPr>
        <w:t>21/</w:t>
      </w:r>
      <w:r>
        <w:rPr>
          <w:rFonts w:cstheme="minorHAnsi"/>
        </w:rPr>
        <w:t>22 also reported improved c</w:t>
      </w:r>
      <w:r w:rsidRPr="00622BBC">
        <w:rPr>
          <w:rFonts w:cstheme="minorHAnsi"/>
        </w:rPr>
        <w:t xml:space="preserve">onsumer representation at the committee level, with the appointment of a consumer leader as the inaugural PBAC deputy chair and the appointment of a second consumer member on the PBAC. </w:t>
      </w:r>
    </w:p>
    <w:p w14:paraId="20B29983" w14:textId="77777777" w:rsidR="006517CF" w:rsidRPr="00622BBC" w:rsidRDefault="006517CF" w:rsidP="006517CF">
      <w:pPr>
        <w:spacing w:line="360" w:lineRule="auto"/>
        <w:jc w:val="both"/>
        <w:rPr>
          <w:rFonts w:cstheme="minorHAnsi"/>
        </w:rPr>
      </w:pPr>
    </w:p>
    <w:p w14:paraId="7EB7F0E1" w14:textId="4227665F" w:rsidR="006517CF" w:rsidRPr="00622BBC" w:rsidRDefault="006517CF" w:rsidP="006517CF">
      <w:pPr>
        <w:spacing w:line="360" w:lineRule="auto"/>
        <w:jc w:val="both"/>
        <w:rPr>
          <w:rFonts w:cstheme="minorHAnsi"/>
        </w:rPr>
      </w:pPr>
      <w:r w:rsidRPr="00721298">
        <w:rPr>
          <w:rFonts w:cstheme="minorHAnsi"/>
        </w:rPr>
        <w:t>Evidence from 20</w:t>
      </w:r>
      <w:r w:rsidR="0020063F">
        <w:rPr>
          <w:rFonts w:cstheme="minorHAnsi"/>
        </w:rPr>
        <w:t>21/</w:t>
      </w:r>
      <w:r w:rsidRPr="00721298">
        <w:rPr>
          <w:rFonts w:cstheme="minorHAnsi"/>
        </w:rPr>
        <w:t xml:space="preserve">22 interviews suggested that consumer representatives are able to make a meaningful contribution in meetings. </w:t>
      </w:r>
      <w:r>
        <w:rPr>
          <w:rFonts w:cstheme="minorHAnsi"/>
        </w:rPr>
        <w:t xml:space="preserve">Participants </w:t>
      </w:r>
      <w:r w:rsidRPr="00622BBC">
        <w:rPr>
          <w:rFonts w:cstheme="minorHAnsi"/>
        </w:rPr>
        <w:t xml:space="preserve">highlighted the important role of the chair in setting that collaborative culture and reflected on the well-balanced views of the committees.  </w:t>
      </w:r>
    </w:p>
    <w:p w14:paraId="71A0F414" w14:textId="77777777" w:rsidR="006517CF" w:rsidRPr="00622BBC" w:rsidRDefault="006517CF" w:rsidP="006517CF">
      <w:pPr>
        <w:spacing w:line="360" w:lineRule="auto"/>
        <w:jc w:val="both"/>
        <w:rPr>
          <w:rFonts w:cstheme="minorHAnsi"/>
        </w:rPr>
      </w:pPr>
    </w:p>
    <w:p w14:paraId="46C08559" w14:textId="79A46ECA" w:rsidR="006517CF" w:rsidRPr="00622BBC" w:rsidRDefault="006517CF" w:rsidP="006517CF">
      <w:pPr>
        <w:spacing w:line="360" w:lineRule="auto"/>
        <w:jc w:val="both"/>
        <w:rPr>
          <w:rFonts w:cstheme="minorHAnsi"/>
        </w:rPr>
      </w:pPr>
      <w:r>
        <w:rPr>
          <w:rFonts w:cstheme="minorHAnsi"/>
        </w:rPr>
        <w:t>In 20</w:t>
      </w:r>
      <w:r w:rsidR="0020063F">
        <w:rPr>
          <w:rFonts w:cstheme="minorHAnsi"/>
        </w:rPr>
        <w:t>21/</w:t>
      </w:r>
      <w:r>
        <w:rPr>
          <w:rFonts w:cstheme="minorHAnsi"/>
        </w:rPr>
        <w:t>22, p</w:t>
      </w:r>
      <w:r w:rsidRPr="00622BBC">
        <w:rPr>
          <w:rFonts w:cstheme="minorHAnsi"/>
        </w:rPr>
        <w:t xml:space="preserve">articipants also reported benefits of increased consumer engagement both to patients and committee. They discussed that the lived experiences of patients help committees to better </w:t>
      </w:r>
      <w:r w:rsidRPr="00622BBC">
        <w:rPr>
          <w:rFonts w:cstheme="minorHAnsi"/>
        </w:rPr>
        <w:lastRenderedPageBreak/>
        <w:t xml:space="preserve">understand the disease context not well captured in the clinical data, particularly around the </w:t>
      </w:r>
      <w:r>
        <w:rPr>
          <w:rFonts w:cstheme="minorHAnsi"/>
        </w:rPr>
        <w:t xml:space="preserve">real </w:t>
      </w:r>
      <w:r w:rsidRPr="00622BBC">
        <w:rPr>
          <w:rFonts w:cstheme="minorHAnsi"/>
        </w:rPr>
        <w:t>quality-of-life impacts of the interventions. Patient accounts of their lived experiences also appeared to affect committee decisions, with participants suggesting that these were influential in nudging decisions closer towards funding</w:t>
      </w:r>
      <w:r>
        <w:rPr>
          <w:rFonts w:cstheme="minorHAnsi"/>
        </w:rPr>
        <w:t>.  Participants also reported that at times consumer insight have also stopped the committee from funding treatments not considered to be of value by patients.</w:t>
      </w:r>
    </w:p>
    <w:p w14:paraId="0499A0AE" w14:textId="544015B4" w:rsidR="005B1A92" w:rsidRPr="005B1A92" w:rsidRDefault="005B1A92" w:rsidP="005B1A92">
      <w:pPr>
        <w:spacing w:line="360" w:lineRule="auto"/>
        <w:ind w:left="284"/>
        <w:jc w:val="both"/>
        <w:rPr>
          <w:rFonts w:cstheme="minorHAnsi"/>
          <w:i/>
          <w:sz w:val="18"/>
        </w:rPr>
      </w:pPr>
      <w:r w:rsidRPr="005B1A92">
        <w:rPr>
          <w:rFonts w:cstheme="minorHAnsi"/>
          <w:i/>
          <w:sz w:val="18"/>
        </w:rPr>
        <w:t>"</w:t>
      </w:r>
      <w:r>
        <w:rPr>
          <w:rFonts w:cstheme="minorHAnsi"/>
          <w:i/>
          <w:sz w:val="18"/>
        </w:rPr>
        <w:t>I</w:t>
      </w:r>
      <w:r w:rsidRPr="005B1A92">
        <w:rPr>
          <w:rFonts w:cstheme="minorHAnsi"/>
          <w:i/>
          <w:sz w:val="18"/>
        </w:rPr>
        <w:t>t can go both ways, sometimes we have something that looks a brilliant idea, looks like it’s effective, looks like it’s cost-effective, and all the consumers are saying I wouldn’t touch that with a bargepole.  You know, I don’t want this, this is not the sort of thing we want, etc. " [20</w:t>
      </w:r>
      <w:r>
        <w:rPr>
          <w:rFonts w:cstheme="minorHAnsi"/>
          <w:i/>
          <w:sz w:val="18"/>
        </w:rPr>
        <w:t>21/</w:t>
      </w:r>
      <w:r w:rsidRPr="005B1A92">
        <w:rPr>
          <w:rFonts w:cstheme="minorHAnsi"/>
          <w:i/>
          <w:sz w:val="18"/>
        </w:rPr>
        <w:t>22 DM8]</w:t>
      </w:r>
    </w:p>
    <w:p w14:paraId="62C87854" w14:textId="77777777" w:rsidR="006517CF" w:rsidRPr="00622BBC" w:rsidRDefault="006517CF" w:rsidP="006517CF">
      <w:pPr>
        <w:spacing w:line="360" w:lineRule="auto"/>
        <w:jc w:val="both"/>
        <w:rPr>
          <w:rFonts w:cstheme="minorHAnsi"/>
        </w:rPr>
      </w:pPr>
    </w:p>
    <w:p w14:paraId="3FBD15EB" w14:textId="11B8584B" w:rsidR="006517CF" w:rsidRDefault="006517CF" w:rsidP="006517CF">
      <w:pPr>
        <w:spacing w:line="360" w:lineRule="auto"/>
        <w:jc w:val="both"/>
        <w:rPr>
          <w:rFonts w:cstheme="minorHAnsi"/>
        </w:rPr>
      </w:pPr>
      <w:r>
        <w:rPr>
          <w:rFonts w:cstheme="minorHAnsi"/>
        </w:rPr>
        <w:t>In 20</w:t>
      </w:r>
      <w:r w:rsidR="0020063F">
        <w:rPr>
          <w:rFonts w:cstheme="minorHAnsi"/>
        </w:rPr>
        <w:t>21/</w:t>
      </w:r>
      <w:r>
        <w:rPr>
          <w:rFonts w:cstheme="minorHAnsi"/>
        </w:rPr>
        <w:t>22, p</w:t>
      </w:r>
      <w:r w:rsidRPr="00622BBC">
        <w:rPr>
          <w:rFonts w:cstheme="minorHAnsi"/>
        </w:rPr>
        <w:t xml:space="preserve">articipants however reported that more work </w:t>
      </w:r>
      <w:r>
        <w:rPr>
          <w:rFonts w:cstheme="minorHAnsi"/>
        </w:rPr>
        <w:t>could</w:t>
      </w:r>
      <w:r w:rsidRPr="00622BBC">
        <w:rPr>
          <w:rFonts w:cstheme="minorHAnsi"/>
        </w:rPr>
        <w:t xml:space="preserve"> be done to improve input received from consumers by committees, including the use of more structured, rigorous approaches to collect patient perspectives. One participant in 20</w:t>
      </w:r>
      <w:r>
        <w:rPr>
          <w:rFonts w:cstheme="minorHAnsi"/>
        </w:rPr>
        <w:t>21/</w:t>
      </w:r>
      <w:r w:rsidRPr="00622BBC">
        <w:rPr>
          <w:rFonts w:cstheme="minorHAnsi"/>
        </w:rPr>
        <w:t>22 noted that</w:t>
      </w:r>
      <w:r>
        <w:rPr>
          <w:rFonts w:cstheme="minorHAnsi"/>
        </w:rPr>
        <w:t xml:space="preserve"> some</w:t>
      </w:r>
      <w:r w:rsidRPr="00622BBC">
        <w:rPr>
          <w:rFonts w:cstheme="minorHAnsi"/>
        </w:rPr>
        <w:t xml:space="preserve"> information received from consumers </w:t>
      </w:r>
      <w:r>
        <w:rPr>
          <w:rFonts w:cstheme="minorHAnsi"/>
        </w:rPr>
        <w:t>can be</w:t>
      </w:r>
      <w:r w:rsidRPr="00622BBC">
        <w:rPr>
          <w:rFonts w:cstheme="minorHAnsi"/>
        </w:rPr>
        <w:t xml:space="preserve"> compiled </w:t>
      </w:r>
      <w:r>
        <w:rPr>
          <w:rFonts w:cstheme="minorHAnsi"/>
        </w:rPr>
        <w:t xml:space="preserve">or generated </w:t>
      </w:r>
      <w:r w:rsidRPr="00622BBC">
        <w:rPr>
          <w:rFonts w:cstheme="minorHAnsi"/>
        </w:rPr>
        <w:t>by lobby groups</w:t>
      </w:r>
      <w:r>
        <w:rPr>
          <w:rFonts w:cstheme="minorHAnsi"/>
        </w:rPr>
        <w:t xml:space="preserve">, as they are often framed </w:t>
      </w:r>
      <w:r w:rsidRPr="00622BBC">
        <w:rPr>
          <w:rFonts w:cstheme="minorHAnsi"/>
        </w:rPr>
        <w:t>to encourages more polarising views towards an application</w:t>
      </w:r>
      <w:r>
        <w:rPr>
          <w:rFonts w:cstheme="minorHAnsi"/>
        </w:rPr>
        <w:t>,</w:t>
      </w:r>
      <w:r w:rsidRPr="00622BBC">
        <w:rPr>
          <w:rFonts w:cstheme="minorHAnsi"/>
        </w:rPr>
        <w:t xml:space="preserve"> the data collected were often perceived as lacking rigour and balance</w:t>
      </w:r>
      <w:r>
        <w:rPr>
          <w:rFonts w:cstheme="minorHAnsi"/>
        </w:rPr>
        <w:t xml:space="preserve"> and thus less helpful for decision making</w:t>
      </w:r>
      <w:r w:rsidRPr="00622BBC">
        <w:rPr>
          <w:rFonts w:cstheme="minorHAnsi"/>
        </w:rPr>
        <w:t xml:space="preserve">. Another participant </w:t>
      </w:r>
      <w:r>
        <w:rPr>
          <w:rFonts w:cstheme="minorHAnsi"/>
        </w:rPr>
        <w:t xml:space="preserve">in 2021/22 </w:t>
      </w:r>
      <w:r w:rsidRPr="00622BBC">
        <w:rPr>
          <w:rFonts w:cstheme="minorHAnsi"/>
        </w:rPr>
        <w:t xml:space="preserve">noted that companies have always had the option to present additional information, including patient perspectives in submissions, but such information </w:t>
      </w:r>
      <w:r>
        <w:rPr>
          <w:rFonts w:cstheme="minorHAnsi"/>
        </w:rPr>
        <w:t>is</w:t>
      </w:r>
      <w:r w:rsidRPr="00622BBC">
        <w:rPr>
          <w:rFonts w:cstheme="minorHAnsi"/>
        </w:rPr>
        <w:t xml:space="preserve"> often not of high quality and thus </w:t>
      </w:r>
      <w:r>
        <w:rPr>
          <w:rFonts w:cstheme="minorHAnsi"/>
        </w:rPr>
        <w:t>has</w:t>
      </w:r>
      <w:r w:rsidRPr="00622BBC">
        <w:rPr>
          <w:rFonts w:cstheme="minorHAnsi"/>
        </w:rPr>
        <w:t xml:space="preserve"> had limited influence on decisions. </w:t>
      </w:r>
    </w:p>
    <w:p w14:paraId="53FEA552" w14:textId="12F398EB" w:rsidR="006517CF" w:rsidRDefault="006517CF" w:rsidP="006517CF">
      <w:pPr>
        <w:spacing w:line="360" w:lineRule="auto"/>
        <w:ind w:left="284"/>
        <w:jc w:val="both"/>
        <w:rPr>
          <w:rFonts w:cstheme="minorHAnsi"/>
          <w:i/>
          <w:sz w:val="18"/>
        </w:rPr>
      </w:pPr>
      <w:r w:rsidRPr="00C811C6">
        <w:rPr>
          <w:rFonts w:cstheme="minorHAnsi"/>
          <w:i/>
          <w:sz w:val="18"/>
        </w:rPr>
        <w:t xml:space="preserve">“The problem is that </w:t>
      </w:r>
      <w:r w:rsidR="005B1A92">
        <w:rPr>
          <w:rFonts w:cstheme="minorHAnsi"/>
          <w:i/>
          <w:sz w:val="18"/>
        </w:rPr>
        <w:t xml:space="preserve">[patient </w:t>
      </w:r>
      <w:proofErr w:type="gramStart"/>
      <w:r w:rsidR="005B1A92">
        <w:rPr>
          <w:rFonts w:cstheme="minorHAnsi"/>
          <w:i/>
          <w:sz w:val="18"/>
        </w:rPr>
        <w:t>perspectives]</w:t>
      </w:r>
      <w:r>
        <w:rPr>
          <w:rFonts w:cstheme="minorHAnsi"/>
          <w:i/>
          <w:sz w:val="18"/>
        </w:rPr>
        <w:t>…</w:t>
      </w:r>
      <w:proofErr w:type="gramEnd"/>
      <w:r w:rsidRPr="00C811C6">
        <w:rPr>
          <w:rFonts w:cstheme="minorHAnsi"/>
          <w:i/>
          <w:sz w:val="18"/>
        </w:rPr>
        <w:t>is not often done well by pharma companies, and when it’s done, it’s often … starting from the biased premise that their medicine works, and improves people’s quality of life…  So …it’s not about asking people, like, before and after they took the medicine, how they were feeling, it’s how much better did you feel after you were taking X, Y, Z</w:t>
      </w:r>
      <w:proofErr w:type="gramStart"/>
      <w:r w:rsidRPr="00C811C6">
        <w:rPr>
          <w:rFonts w:cstheme="minorHAnsi"/>
          <w:i/>
          <w:sz w:val="18"/>
        </w:rPr>
        <w:t>?  ”</w:t>
      </w:r>
      <w:proofErr w:type="gramEnd"/>
      <w:r w:rsidRPr="00C811C6">
        <w:rPr>
          <w:rFonts w:cstheme="minorHAnsi"/>
          <w:i/>
          <w:sz w:val="18"/>
        </w:rPr>
        <w:t xml:space="preserve"> [20</w:t>
      </w:r>
      <w:r>
        <w:rPr>
          <w:rFonts w:cstheme="minorHAnsi"/>
          <w:i/>
          <w:sz w:val="18"/>
        </w:rPr>
        <w:t>21/2</w:t>
      </w:r>
      <w:r w:rsidRPr="00C811C6">
        <w:rPr>
          <w:rFonts w:cstheme="minorHAnsi"/>
          <w:i/>
          <w:sz w:val="18"/>
        </w:rPr>
        <w:t>2 DM12]</w:t>
      </w:r>
    </w:p>
    <w:p w14:paraId="3F5B3214" w14:textId="77777777" w:rsidR="006517CF" w:rsidRPr="00C811C6" w:rsidRDefault="006517CF" w:rsidP="006517CF">
      <w:pPr>
        <w:spacing w:line="360" w:lineRule="auto"/>
        <w:ind w:left="284"/>
        <w:jc w:val="both"/>
        <w:rPr>
          <w:rFonts w:cstheme="minorHAnsi"/>
          <w:i/>
          <w:sz w:val="18"/>
        </w:rPr>
      </w:pPr>
      <w:r>
        <w:rPr>
          <w:rFonts w:cstheme="minorHAnsi"/>
          <w:i/>
          <w:sz w:val="18"/>
        </w:rPr>
        <w:t>“</w:t>
      </w:r>
      <w:r w:rsidRPr="00C811C6">
        <w:rPr>
          <w:rFonts w:cstheme="minorHAnsi"/>
          <w:i/>
          <w:sz w:val="18"/>
        </w:rPr>
        <w:t xml:space="preserve">Because what we do tend to find is we get lobby groups come </w:t>
      </w:r>
      <w:r>
        <w:rPr>
          <w:rFonts w:cstheme="minorHAnsi"/>
          <w:i/>
          <w:sz w:val="18"/>
        </w:rPr>
        <w:t>…</w:t>
      </w:r>
      <w:r w:rsidRPr="00C811C6">
        <w:rPr>
          <w:rFonts w:cstheme="minorHAnsi"/>
          <w:i/>
          <w:sz w:val="18"/>
        </w:rPr>
        <w:t xml:space="preserve">it’s very polarised viewpoints that come in, and we do have consumers sitting on the panel, and they sort of try to make sense of this, and they’ll </w:t>
      </w:r>
      <w:r>
        <w:rPr>
          <w:rFonts w:cstheme="minorHAnsi"/>
          <w:i/>
          <w:sz w:val="18"/>
        </w:rPr>
        <w:t>…</w:t>
      </w:r>
      <w:r w:rsidRPr="00C811C6">
        <w:rPr>
          <w:rFonts w:cstheme="minorHAnsi"/>
          <w:i/>
          <w:sz w:val="18"/>
        </w:rPr>
        <w:t xml:space="preserve">go out to their own ... reach out to their own groups and </w:t>
      </w:r>
      <w:r>
        <w:rPr>
          <w:rFonts w:cstheme="minorHAnsi"/>
          <w:i/>
          <w:sz w:val="18"/>
        </w:rPr>
        <w:t>…</w:t>
      </w:r>
      <w:r w:rsidRPr="00C811C6">
        <w:rPr>
          <w:rFonts w:cstheme="minorHAnsi"/>
          <w:i/>
          <w:sz w:val="18"/>
        </w:rPr>
        <w:t>ask questions.” [20</w:t>
      </w:r>
      <w:r>
        <w:rPr>
          <w:rFonts w:cstheme="minorHAnsi"/>
          <w:i/>
          <w:sz w:val="18"/>
        </w:rPr>
        <w:t>21/</w:t>
      </w:r>
      <w:r w:rsidRPr="00C811C6">
        <w:rPr>
          <w:rFonts w:cstheme="minorHAnsi"/>
          <w:i/>
          <w:sz w:val="18"/>
        </w:rPr>
        <w:t>22, DM8]</w:t>
      </w:r>
    </w:p>
    <w:p w14:paraId="7938339E" w14:textId="77777777" w:rsidR="00075F4D" w:rsidRPr="00622BBC" w:rsidRDefault="00075F4D" w:rsidP="00075F4D">
      <w:pPr>
        <w:spacing w:line="360" w:lineRule="auto"/>
        <w:jc w:val="both"/>
        <w:rPr>
          <w:rFonts w:cstheme="minorHAnsi"/>
        </w:rPr>
      </w:pPr>
      <w:bookmarkStart w:id="6" w:name="_Hlk173160985"/>
      <w:r>
        <w:rPr>
          <w:rFonts w:cstheme="minorHAnsi"/>
        </w:rPr>
        <w:t>In both time periods, p</w:t>
      </w:r>
      <w:r w:rsidRPr="00622BBC">
        <w:rPr>
          <w:rFonts w:cstheme="minorHAnsi"/>
        </w:rPr>
        <w:t xml:space="preserve">articipants also noted that more work is required to collect data on societal perspectives beyond the affected patient groups of the decisions so relevant ethical, social and legal implications can be considered by </w:t>
      </w:r>
      <w:r>
        <w:rPr>
          <w:rFonts w:cstheme="minorHAnsi"/>
        </w:rPr>
        <w:t>decision-maker</w:t>
      </w:r>
      <w:r w:rsidRPr="00622BBC">
        <w:rPr>
          <w:rFonts w:cstheme="minorHAnsi"/>
        </w:rPr>
        <w:t xml:space="preserve">s. Participants in 2022 went beyond </w:t>
      </w:r>
      <w:r>
        <w:rPr>
          <w:rFonts w:cstheme="minorHAnsi"/>
        </w:rPr>
        <w:t xml:space="preserve">this </w:t>
      </w:r>
      <w:r w:rsidRPr="00622BBC">
        <w:rPr>
          <w:rFonts w:cstheme="minorHAnsi"/>
        </w:rPr>
        <w:t>to say that this information is</w:t>
      </w:r>
      <w:r>
        <w:rPr>
          <w:rFonts w:cstheme="minorHAnsi"/>
        </w:rPr>
        <w:t xml:space="preserve"> not </w:t>
      </w:r>
      <w:r w:rsidRPr="00622BBC">
        <w:rPr>
          <w:rFonts w:cstheme="minorHAnsi"/>
        </w:rPr>
        <w:t xml:space="preserve">just for situations involving the allocation of large amounts of money or where there may be polarising views but should be standardised and provided to </w:t>
      </w:r>
      <w:r>
        <w:rPr>
          <w:rFonts w:cstheme="minorHAnsi"/>
        </w:rPr>
        <w:t>decision-maker</w:t>
      </w:r>
      <w:r w:rsidRPr="00622BBC">
        <w:rPr>
          <w:rFonts w:cstheme="minorHAnsi"/>
        </w:rPr>
        <w:t>s for every funding application.</w:t>
      </w:r>
    </w:p>
    <w:bookmarkEnd w:id="6"/>
    <w:p w14:paraId="7C212816" w14:textId="77777777" w:rsidR="00075F4D" w:rsidRPr="00C811C6" w:rsidRDefault="00075F4D" w:rsidP="00075F4D">
      <w:pPr>
        <w:spacing w:line="360" w:lineRule="auto"/>
        <w:ind w:left="284"/>
        <w:jc w:val="both"/>
        <w:rPr>
          <w:rFonts w:cstheme="minorHAnsi"/>
          <w:i/>
          <w:sz w:val="18"/>
        </w:rPr>
      </w:pPr>
      <w:r w:rsidRPr="00C811C6">
        <w:rPr>
          <w:rFonts w:cstheme="minorHAnsi"/>
          <w:i/>
          <w:sz w:val="18"/>
        </w:rPr>
        <w:t xml:space="preserve">“I think we really need to put as much effort into getting evidence from consumers and the society </w:t>
      </w:r>
      <w:r>
        <w:rPr>
          <w:rFonts w:cstheme="minorHAnsi"/>
          <w:i/>
          <w:sz w:val="18"/>
        </w:rPr>
        <w:t>….</w:t>
      </w:r>
      <w:r w:rsidRPr="00C811C6">
        <w:rPr>
          <w:rFonts w:cstheme="minorHAnsi"/>
          <w:i/>
          <w:sz w:val="18"/>
        </w:rPr>
        <w:t xml:space="preserve"> so broader, and it’s not just about the consumer condition, but the societal perspective on the value of this, as we do into collecting evidence about the effectiveness of something.  </w:t>
      </w:r>
      <w:proofErr w:type="gramStart"/>
      <w:r w:rsidRPr="00C811C6">
        <w:rPr>
          <w:rFonts w:cstheme="minorHAnsi"/>
          <w:i/>
          <w:sz w:val="18"/>
        </w:rPr>
        <w:t>So</w:t>
      </w:r>
      <w:proofErr w:type="gramEnd"/>
      <w:r w:rsidRPr="00C811C6">
        <w:rPr>
          <w:rFonts w:cstheme="minorHAnsi"/>
          <w:i/>
          <w:sz w:val="18"/>
        </w:rPr>
        <w:t xml:space="preserve"> we need to have it done in a rigorous way, we need to have it done in a </w:t>
      </w:r>
      <w:r w:rsidRPr="00C811C6">
        <w:rPr>
          <w:rFonts w:cstheme="minorHAnsi"/>
          <w:i/>
          <w:sz w:val="18"/>
        </w:rPr>
        <w:lastRenderedPageBreak/>
        <w:t xml:space="preserve">standardised way so that all applications </w:t>
      </w:r>
      <w:proofErr w:type="gramStart"/>
      <w:r w:rsidRPr="00C811C6">
        <w:rPr>
          <w:rFonts w:cstheme="minorHAnsi"/>
          <w:i/>
          <w:sz w:val="18"/>
        </w:rPr>
        <w:t>actually have</w:t>
      </w:r>
      <w:proofErr w:type="gramEnd"/>
      <w:r w:rsidRPr="00C811C6">
        <w:rPr>
          <w:rFonts w:cstheme="minorHAnsi"/>
          <w:i/>
          <w:sz w:val="18"/>
        </w:rPr>
        <w:t xml:space="preserve"> this evidence coming through so that we can determine whether really the community does want... this </w:t>
      </w:r>
      <w:proofErr w:type="gramStart"/>
      <w:r w:rsidRPr="00C811C6">
        <w:rPr>
          <w:rFonts w:cstheme="minorHAnsi"/>
          <w:i/>
          <w:sz w:val="18"/>
        </w:rPr>
        <w:t>particular intervention</w:t>
      </w:r>
      <w:proofErr w:type="gramEnd"/>
      <w:r w:rsidRPr="00C811C6">
        <w:rPr>
          <w:rFonts w:cstheme="minorHAnsi"/>
          <w:i/>
          <w:sz w:val="18"/>
        </w:rPr>
        <w:t xml:space="preserve"> or way of interacting with the provider. [20</w:t>
      </w:r>
      <w:r>
        <w:rPr>
          <w:rFonts w:cstheme="minorHAnsi"/>
          <w:i/>
          <w:sz w:val="18"/>
        </w:rPr>
        <w:t>21/</w:t>
      </w:r>
      <w:r w:rsidRPr="00C811C6">
        <w:rPr>
          <w:rFonts w:cstheme="minorHAnsi"/>
          <w:i/>
          <w:sz w:val="18"/>
        </w:rPr>
        <w:t xml:space="preserve">22, DM8] </w:t>
      </w:r>
    </w:p>
    <w:p w14:paraId="1F0BBF38" w14:textId="77777777" w:rsidR="00075F4D" w:rsidRPr="00C811C6" w:rsidRDefault="00075F4D" w:rsidP="00075F4D">
      <w:pPr>
        <w:spacing w:line="360" w:lineRule="auto"/>
        <w:ind w:left="284"/>
        <w:jc w:val="both"/>
        <w:rPr>
          <w:rFonts w:cstheme="minorHAnsi"/>
          <w:i/>
          <w:sz w:val="18"/>
        </w:rPr>
      </w:pPr>
    </w:p>
    <w:p w14:paraId="20B37820" w14:textId="101178CA" w:rsidR="00075F4D" w:rsidRDefault="00075F4D" w:rsidP="00075F4D">
      <w:pPr>
        <w:spacing w:line="360" w:lineRule="auto"/>
        <w:ind w:left="284"/>
        <w:jc w:val="both"/>
        <w:rPr>
          <w:rFonts w:cstheme="minorHAnsi"/>
          <w:i/>
          <w:sz w:val="18"/>
        </w:rPr>
      </w:pPr>
      <w:r w:rsidRPr="00C811C6">
        <w:rPr>
          <w:rFonts w:cstheme="minorHAnsi"/>
          <w:i/>
          <w:sz w:val="18"/>
        </w:rPr>
        <w:t>“</w:t>
      </w:r>
      <w:r>
        <w:rPr>
          <w:rFonts w:cstheme="minorHAnsi"/>
          <w:i/>
          <w:sz w:val="18"/>
        </w:rPr>
        <w:t>W</w:t>
      </w:r>
      <w:r w:rsidRPr="00C811C6">
        <w:rPr>
          <w:rFonts w:cstheme="minorHAnsi"/>
          <w:i/>
          <w:sz w:val="18"/>
        </w:rPr>
        <w:t xml:space="preserve">e need </w:t>
      </w:r>
      <w:r>
        <w:rPr>
          <w:rFonts w:cstheme="minorHAnsi"/>
          <w:i/>
          <w:sz w:val="18"/>
        </w:rPr>
        <w:t>to</w:t>
      </w:r>
      <w:r w:rsidRPr="00C811C6">
        <w:rPr>
          <w:rFonts w:cstheme="minorHAnsi"/>
          <w:i/>
          <w:sz w:val="18"/>
        </w:rPr>
        <w:t xml:space="preserve"> put… effort into actually collecting information about what society really wants, because if we’re trying to </w:t>
      </w:r>
      <w:r>
        <w:rPr>
          <w:rFonts w:cstheme="minorHAnsi"/>
          <w:i/>
          <w:sz w:val="18"/>
        </w:rPr>
        <w:t>…</w:t>
      </w:r>
      <w:r w:rsidRPr="00C811C6">
        <w:rPr>
          <w:rFonts w:cstheme="minorHAnsi"/>
          <w:i/>
          <w:sz w:val="18"/>
        </w:rPr>
        <w:t xml:space="preserve"> work that out, we need to have the evidence for it.”  [20</w:t>
      </w:r>
      <w:r>
        <w:rPr>
          <w:rFonts w:cstheme="minorHAnsi"/>
          <w:i/>
          <w:sz w:val="18"/>
        </w:rPr>
        <w:t>21/</w:t>
      </w:r>
      <w:r w:rsidRPr="00C811C6">
        <w:rPr>
          <w:rFonts w:cstheme="minorHAnsi"/>
          <w:i/>
          <w:sz w:val="18"/>
        </w:rPr>
        <w:t>22 DM 8]</w:t>
      </w:r>
    </w:p>
    <w:p w14:paraId="685BBD66" w14:textId="77777777" w:rsidR="00075F4D" w:rsidRDefault="00075F4D" w:rsidP="00075F4D">
      <w:pPr>
        <w:spacing w:line="360" w:lineRule="auto"/>
        <w:ind w:left="284"/>
        <w:jc w:val="both"/>
        <w:rPr>
          <w:rFonts w:cstheme="minorHAnsi"/>
          <w:i/>
          <w:sz w:val="18"/>
        </w:rPr>
      </w:pPr>
    </w:p>
    <w:p w14:paraId="3F3421B1" w14:textId="2343783D" w:rsidR="00075F4D" w:rsidRPr="0034350C" w:rsidRDefault="00075F4D" w:rsidP="00075F4D">
      <w:pPr>
        <w:spacing w:line="360" w:lineRule="auto"/>
        <w:ind w:left="284"/>
        <w:jc w:val="both"/>
        <w:rPr>
          <w:rFonts w:cstheme="minorHAnsi"/>
          <w:i/>
          <w:sz w:val="18"/>
        </w:rPr>
      </w:pPr>
      <w:r>
        <w:rPr>
          <w:rFonts w:cstheme="minorHAnsi"/>
          <w:i/>
          <w:sz w:val="18"/>
        </w:rPr>
        <w:t>“</w:t>
      </w:r>
      <w:r w:rsidRPr="0034350C">
        <w:rPr>
          <w:rFonts w:cstheme="minorHAnsi"/>
          <w:i/>
          <w:sz w:val="18"/>
        </w:rPr>
        <w:t xml:space="preserve">I think it’s very important </w:t>
      </w:r>
      <w:r>
        <w:rPr>
          <w:rFonts w:cstheme="minorHAnsi"/>
          <w:i/>
          <w:sz w:val="18"/>
        </w:rPr>
        <w:t>…</w:t>
      </w:r>
      <w:r w:rsidRPr="0034350C">
        <w:rPr>
          <w:rFonts w:cstheme="minorHAnsi"/>
          <w:i/>
          <w:sz w:val="18"/>
        </w:rPr>
        <w:t xml:space="preserve">particularly at the higher-level </w:t>
      </w:r>
      <w:r>
        <w:rPr>
          <w:rFonts w:cstheme="minorHAnsi"/>
          <w:i/>
          <w:sz w:val="18"/>
        </w:rPr>
        <w:t>decision-making</w:t>
      </w:r>
      <w:r w:rsidRPr="0034350C">
        <w:rPr>
          <w:rFonts w:cstheme="minorHAnsi"/>
          <w:i/>
          <w:sz w:val="18"/>
        </w:rPr>
        <w:t xml:space="preserve"> where lots of money is involved and ethical issues have been discussed</w:t>
      </w:r>
      <w:r>
        <w:rPr>
          <w:rFonts w:cstheme="minorHAnsi"/>
          <w:i/>
          <w:sz w:val="18"/>
        </w:rPr>
        <w:t>…</w:t>
      </w:r>
      <w:r w:rsidRPr="0034350C">
        <w:rPr>
          <w:rFonts w:cstheme="minorHAnsi"/>
          <w:i/>
          <w:sz w:val="18"/>
        </w:rPr>
        <w:t xml:space="preserve"> a consumer perspective</w:t>
      </w:r>
      <w:r>
        <w:rPr>
          <w:rFonts w:cstheme="minorHAnsi"/>
          <w:i/>
          <w:sz w:val="18"/>
        </w:rPr>
        <w:t>…</w:t>
      </w:r>
      <w:r w:rsidRPr="0034350C">
        <w:rPr>
          <w:rFonts w:cstheme="minorHAnsi"/>
          <w:i/>
          <w:sz w:val="18"/>
        </w:rPr>
        <w:t xml:space="preserve">.  The most ideal way to do it is </w:t>
      </w:r>
      <w:r>
        <w:rPr>
          <w:rFonts w:cstheme="minorHAnsi"/>
          <w:i/>
          <w:sz w:val="18"/>
        </w:rPr>
        <w:t>…</w:t>
      </w:r>
      <w:r w:rsidRPr="0034350C">
        <w:rPr>
          <w:rFonts w:cstheme="minorHAnsi"/>
          <w:i/>
          <w:sz w:val="18"/>
        </w:rPr>
        <w:t xml:space="preserve"> to consult with consumers.  I was trying to do that with MSAC, …you couldn’t do it for every application, but you can do it for some</w:t>
      </w:r>
      <w:r>
        <w:rPr>
          <w:rFonts w:cstheme="minorHAnsi"/>
          <w:i/>
          <w:sz w:val="18"/>
        </w:rPr>
        <w:t>,</w:t>
      </w:r>
      <w:r w:rsidRPr="0034350C">
        <w:rPr>
          <w:rFonts w:cstheme="minorHAnsi"/>
          <w:i/>
          <w:sz w:val="18"/>
        </w:rPr>
        <w:t xml:space="preserve"> where there’s</w:t>
      </w:r>
      <w:r>
        <w:rPr>
          <w:rFonts w:cstheme="minorHAnsi"/>
          <w:i/>
          <w:sz w:val="18"/>
        </w:rPr>
        <w:t>…</w:t>
      </w:r>
      <w:r w:rsidRPr="0034350C">
        <w:rPr>
          <w:rFonts w:cstheme="minorHAnsi"/>
          <w:i/>
          <w:sz w:val="18"/>
        </w:rPr>
        <w:t xml:space="preserve"> lots of money involved and there might be very few, a tiny number of consumers where it might be to do with having a particular genetic makeup.  … You talk to them about what a particular test might</w:t>
      </w:r>
      <w:r>
        <w:rPr>
          <w:rFonts w:cstheme="minorHAnsi"/>
          <w:i/>
          <w:sz w:val="18"/>
        </w:rPr>
        <w:t>…</w:t>
      </w:r>
      <w:r w:rsidRPr="0034350C">
        <w:rPr>
          <w:rFonts w:cstheme="minorHAnsi"/>
          <w:i/>
          <w:sz w:val="18"/>
        </w:rPr>
        <w:t xml:space="preserve"> benefit them and their family.  I think that’s important.  But actually, those sorts of interventions aren’t very expensive, so they’re very cost effective.  </w:t>
      </w:r>
      <w:r>
        <w:rPr>
          <w:rFonts w:cstheme="minorHAnsi"/>
          <w:i/>
          <w:sz w:val="18"/>
        </w:rPr>
        <w:t>…A</w:t>
      </w:r>
      <w:r w:rsidRPr="0034350C">
        <w:rPr>
          <w:rFonts w:cstheme="minorHAnsi"/>
          <w:i/>
          <w:sz w:val="18"/>
        </w:rPr>
        <w:t xml:space="preserve">lso in the big health areas, like cancer, </w:t>
      </w:r>
      <w:r>
        <w:rPr>
          <w:rFonts w:cstheme="minorHAnsi"/>
          <w:i/>
          <w:sz w:val="18"/>
        </w:rPr>
        <w:t>…</w:t>
      </w:r>
      <w:r w:rsidRPr="0034350C">
        <w:rPr>
          <w:rFonts w:cstheme="minorHAnsi"/>
          <w:i/>
          <w:sz w:val="18"/>
        </w:rPr>
        <w:t xml:space="preserve">screening, </w:t>
      </w:r>
      <w:r>
        <w:rPr>
          <w:rFonts w:cstheme="minorHAnsi"/>
          <w:i/>
          <w:sz w:val="18"/>
        </w:rPr>
        <w:t>…</w:t>
      </w:r>
      <w:r w:rsidRPr="0034350C">
        <w:rPr>
          <w:rFonts w:cstheme="minorHAnsi"/>
          <w:i/>
          <w:sz w:val="18"/>
        </w:rPr>
        <w:t>diabetes, mental health, getting the consumer perspective just … broadens the discussion in a way that the very technical nature of those committees otherwise doesn’t get.  I think that’s where the consumer reps can play a really vital role to bring that human story into these discussions.</w:t>
      </w:r>
      <w:r>
        <w:rPr>
          <w:rFonts w:cstheme="minorHAnsi"/>
          <w:i/>
          <w:sz w:val="18"/>
        </w:rPr>
        <w:t>”</w:t>
      </w:r>
      <w:r w:rsidRPr="0034350C">
        <w:rPr>
          <w:rFonts w:cstheme="minorHAnsi"/>
          <w:i/>
          <w:sz w:val="18"/>
        </w:rPr>
        <w:t xml:space="preserve"> [2014 DM 4]</w:t>
      </w:r>
    </w:p>
    <w:p w14:paraId="289D03DB" w14:textId="77777777" w:rsidR="006517CF" w:rsidRPr="00C811C6" w:rsidRDefault="006517CF" w:rsidP="00075F4D">
      <w:pPr>
        <w:spacing w:line="360" w:lineRule="auto"/>
        <w:jc w:val="both"/>
        <w:rPr>
          <w:rFonts w:cstheme="minorHAnsi"/>
          <w:i/>
          <w:sz w:val="18"/>
        </w:rPr>
      </w:pPr>
    </w:p>
    <w:p w14:paraId="2AA9B330" w14:textId="77777777" w:rsidR="006517CF" w:rsidRPr="00683C5A" w:rsidRDefault="006517CF" w:rsidP="006517CF">
      <w:pPr>
        <w:pStyle w:val="StyleHeading3Heading3tenderAsianHeadingsAsianDengXia"/>
        <w:rPr>
          <w:caps w:val="0"/>
          <w:sz w:val="28"/>
        </w:rPr>
      </w:pPr>
      <w:bookmarkStart w:id="7" w:name="_Hlk173150747"/>
      <w:r w:rsidRPr="00683C5A">
        <w:rPr>
          <w:caps w:val="0"/>
          <w:sz w:val="28"/>
        </w:rPr>
        <w:t>3.2.2 Publicity</w:t>
      </w:r>
    </w:p>
    <w:p w14:paraId="4B4C0EFB" w14:textId="77777777" w:rsidR="006517CF" w:rsidRPr="00B917B3" w:rsidRDefault="006517CF" w:rsidP="006517CF">
      <w:bookmarkStart w:id="8" w:name="_Hlk150284683"/>
      <w:bookmarkEnd w:id="7"/>
    </w:p>
    <w:p w14:paraId="3FE78528" w14:textId="77777777" w:rsidR="006517CF" w:rsidRPr="002A7030" w:rsidRDefault="006517CF" w:rsidP="006517CF">
      <w:pPr>
        <w:pStyle w:val="Level2Heading"/>
        <w:numPr>
          <w:ilvl w:val="0"/>
          <w:numId w:val="12"/>
        </w:numPr>
        <w:spacing w:line="360" w:lineRule="auto"/>
        <w:outlineLvl w:val="3"/>
        <w:rPr>
          <w:rFonts w:asciiTheme="minorHAnsi" w:hAnsiTheme="minorHAnsi" w:cstheme="minorHAnsi"/>
        </w:rPr>
      </w:pPr>
      <w:r>
        <w:rPr>
          <w:rFonts w:asciiTheme="minorHAnsi" w:hAnsiTheme="minorHAnsi" w:cstheme="minorHAnsi"/>
        </w:rPr>
        <w:t>Publicity regarding reasons for decisions creates tension and trade offs</w:t>
      </w:r>
      <w:bookmarkEnd w:id="8"/>
    </w:p>
    <w:p w14:paraId="2FEC1E6F" w14:textId="49A0D43A" w:rsidR="006517CF" w:rsidRPr="00C811C6" w:rsidRDefault="006517CF" w:rsidP="006517CF">
      <w:pPr>
        <w:spacing w:line="360" w:lineRule="auto"/>
        <w:jc w:val="both"/>
        <w:rPr>
          <w:rFonts w:cstheme="minorHAnsi"/>
        </w:rPr>
      </w:pPr>
      <w:bookmarkStart w:id="9" w:name="_Hlk173153209"/>
      <w:r w:rsidRPr="00C811C6">
        <w:rPr>
          <w:rFonts w:cstheme="minorHAnsi"/>
        </w:rPr>
        <w:t xml:space="preserve">Broadly, participants believed </w:t>
      </w:r>
      <w:r w:rsidR="00914BA4" w:rsidRPr="00914BA4">
        <w:rPr>
          <w:rFonts w:cstheme="minorHAnsi"/>
          <w:i/>
          <w:iCs/>
        </w:rPr>
        <w:t>P</w:t>
      </w:r>
      <w:r w:rsidRPr="00914BA4">
        <w:rPr>
          <w:rFonts w:cstheme="minorHAnsi"/>
          <w:i/>
          <w:iCs/>
        </w:rPr>
        <w:t>ublicity</w:t>
      </w:r>
      <w:r w:rsidRPr="00C811C6">
        <w:rPr>
          <w:rFonts w:cstheme="minorHAnsi"/>
        </w:rPr>
        <w:t xml:space="preserve"> had improved between 2014 and 20</w:t>
      </w:r>
      <w:r w:rsidR="0020063F">
        <w:rPr>
          <w:rFonts w:cstheme="minorHAnsi"/>
        </w:rPr>
        <w:t>21/</w:t>
      </w:r>
      <w:r w:rsidRPr="00C811C6">
        <w:rPr>
          <w:rFonts w:cstheme="minorHAnsi"/>
        </w:rPr>
        <w:t xml:space="preserve">22 for PBAC and MSAC, but there remained challenges to achieving transparency in accordance with A4R. Participants reported two main ways committee decision rationale is publicised: </w:t>
      </w:r>
      <w:proofErr w:type="spellStart"/>
      <w:r w:rsidRPr="00C811C6">
        <w:rPr>
          <w:rFonts w:cstheme="minorHAnsi"/>
        </w:rPr>
        <w:t>i</w:t>
      </w:r>
      <w:proofErr w:type="spellEnd"/>
      <w:r w:rsidRPr="00C811C6">
        <w:rPr>
          <w:rFonts w:cstheme="minorHAnsi"/>
        </w:rPr>
        <w:t>) via the publication of committee decision minutes known as Public Summary Documents (PSDs), and ii) via the detailed committee guidelines for MSAC and PBAC which are frequently updated</w:t>
      </w:r>
      <w:r>
        <w:rPr>
          <w:rFonts w:cstheme="minorHAnsi"/>
        </w:rPr>
        <w:t xml:space="preserve"> </w:t>
      </w:r>
      <w:r w:rsidRPr="00C811C6">
        <w:rPr>
          <w:rFonts w:cstheme="minorHAnsi"/>
        </w:rPr>
        <w:t xml:space="preserve">to reflect contemporaneous issues, methods and relevant factors for </w:t>
      </w:r>
      <w:r>
        <w:rPr>
          <w:rFonts w:cstheme="minorHAnsi"/>
        </w:rPr>
        <w:t>decision-making</w:t>
      </w:r>
      <w:r w:rsidRPr="00C811C6">
        <w:rPr>
          <w:rFonts w:cstheme="minorHAnsi"/>
        </w:rPr>
        <w:t xml:space="preserve">. </w:t>
      </w:r>
    </w:p>
    <w:bookmarkEnd w:id="9"/>
    <w:p w14:paraId="10584612" w14:textId="77777777" w:rsidR="006517CF" w:rsidRPr="00C811C6" w:rsidRDefault="006517CF" w:rsidP="006517CF">
      <w:pPr>
        <w:spacing w:line="360" w:lineRule="auto"/>
        <w:jc w:val="both"/>
        <w:rPr>
          <w:rFonts w:cstheme="minorHAnsi"/>
        </w:rPr>
      </w:pPr>
    </w:p>
    <w:p w14:paraId="2584C76E" w14:textId="77777777" w:rsidR="006517CF" w:rsidRPr="00C811C6" w:rsidRDefault="006517CF" w:rsidP="006517CF">
      <w:pPr>
        <w:spacing w:line="360" w:lineRule="auto"/>
        <w:jc w:val="both"/>
        <w:rPr>
          <w:rFonts w:cstheme="minorHAnsi"/>
        </w:rPr>
      </w:pPr>
      <w:bookmarkStart w:id="10" w:name="_Hlk173153388"/>
      <w:r w:rsidRPr="00C811C6">
        <w:rPr>
          <w:rFonts w:cstheme="minorHAnsi"/>
        </w:rPr>
        <w:t xml:space="preserve">In 2014, participants discussed the anticipated release of full PBAC committee minutes (released in July 2014) as PSDs with high hopes that it </w:t>
      </w:r>
      <w:r>
        <w:rPr>
          <w:rFonts w:cstheme="minorHAnsi"/>
        </w:rPr>
        <w:t>would</w:t>
      </w:r>
      <w:r w:rsidRPr="00C811C6">
        <w:rPr>
          <w:rFonts w:cstheme="minorHAnsi"/>
        </w:rPr>
        <w:t xml:space="preserve"> achiev</w:t>
      </w:r>
      <w:r>
        <w:rPr>
          <w:rFonts w:cstheme="minorHAnsi"/>
        </w:rPr>
        <w:t xml:space="preserve">e </w:t>
      </w:r>
      <w:r w:rsidRPr="00C811C6">
        <w:rPr>
          <w:rFonts w:cstheme="minorHAnsi"/>
        </w:rPr>
        <w:t xml:space="preserve">greater transparency according to A4R. The </w:t>
      </w:r>
      <w:r>
        <w:rPr>
          <w:rFonts w:cstheme="minorHAnsi"/>
        </w:rPr>
        <w:t>decision-maker</w:t>
      </w:r>
      <w:r w:rsidRPr="00C811C6">
        <w:rPr>
          <w:rFonts w:cstheme="minorHAnsi"/>
        </w:rPr>
        <w:t xml:space="preserve">s discussed that up to that point only a summarised version of the committee minutes </w:t>
      </w:r>
      <w:r>
        <w:rPr>
          <w:rFonts w:cstheme="minorHAnsi"/>
        </w:rPr>
        <w:t>had been</w:t>
      </w:r>
      <w:r w:rsidRPr="00C811C6">
        <w:rPr>
          <w:rFonts w:cstheme="minorHAnsi"/>
        </w:rPr>
        <w:t xml:space="preserve"> publicised and reasons and contextual factors considered in the decisions were </w:t>
      </w:r>
      <w:r>
        <w:rPr>
          <w:rFonts w:cstheme="minorHAnsi"/>
        </w:rPr>
        <w:t xml:space="preserve">previously </w:t>
      </w:r>
      <w:r w:rsidRPr="00C811C6">
        <w:rPr>
          <w:rFonts w:cstheme="minorHAnsi"/>
        </w:rPr>
        <w:t xml:space="preserve">not fully captured. </w:t>
      </w:r>
    </w:p>
    <w:bookmarkEnd w:id="10"/>
    <w:p w14:paraId="406C7A62" w14:textId="77777777" w:rsidR="006517CF" w:rsidRDefault="006517CF" w:rsidP="006517CF">
      <w:pPr>
        <w:spacing w:line="360" w:lineRule="auto"/>
        <w:ind w:left="284"/>
        <w:jc w:val="both"/>
        <w:rPr>
          <w:rFonts w:cstheme="minorHAnsi"/>
          <w:i/>
          <w:sz w:val="18"/>
        </w:rPr>
      </w:pPr>
      <w:r>
        <w:rPr>
          <w:rFonts w:cstheme="minorHAnsi"/>
          <w:i/>
          <w:sz w:val="18"/>
        </w:rPr>
        <w:t>“</w:t>
      </w:r>
      <w:r w:rsidRPr="00C811C6">
        <w:rPr>
          <w:rFonts w:cstheme="minorHAnsi"/>
          <w:i/>
          <w:sz w:val="18"/>
        </w:rPr>
        <w:t xml:space="preserve">Norman Daniels, argues </w:t>
      </w:r>
      <w:r>
        <w:rPr>
          <w:rFonts w:cstheme="minorHAnsi"/>
          <w:i/>
          <w:sz w:val="18"/>
        </w:rPr>
        <w:t>….</w:t>
      </w:r>
      <w:r w:rsidRPr="00C811C6">
        <w:rPr>
          <w:rFonts w:cstheme="minorHAnsi"/>
          <w:i/>
          <w:sz w:val="18"/>
        </w:rPr>
        <w:t xml:space="preserve"> transparency as the first condition and that you don’t necessarily have to agree on the exact weight or whatever it might be, you have to be transparent about it.  And that’s …[why] we’re pushing pretty hard to try and make the Australian system much, much, much more transparent than it’s traditionally been.</w:t>
      </w:r>
      <w:r>
        <w:rPr>
          <w:rFonts w:cstheme="minorHAnsi"/>
          <w:i/>
          <w:sz w:val="18"/>
        </w:rPr>
        <w:t>”</w:t>
      </w:r>
      <w:r w:rsidRPr="00C811C6">
        <w:rPr>
          <w:rFonts w:cstheme="minorHAnsi"/>
          <w:i/>
          <w:sz w:val="18"/>
        </w:rPr>
        <w:t xml:space="preserve"> [2014 DM10]</w:t>
      </w:r>
    </w:p>
    <w:p w14:paraId="3C088BD8" w14:textId="0841524B" w:rsidR="006517CF" w:rsidRPr="00C811C6" w:rsidRDefault="006517CF" w:rsidP="006517CF">
      <w:pPr>
        <w:spacing w:line="360" w:lineRule="auto"/>
        <w:ind w:left="284"/>
        <w:jc w:val="both"/>
        <w:rPr>
          <w:rFonts w:cstheme="minorHAnsi"/>
          <w:i/>
          <w:sz w:val="18"/>
        </w:rPr>
      </w:pPr>
      <w:r w:rsidRPr="00C811C6">
        <w:rPr>
          <w:rFonts w:cstheme="minorHAnsi"/>
          <w:i/>
          <w:sz w:val="18"/>
        </w:rPr>
        <w:lastRenderedPageBreak/>
        <w:t>“</w:t>
      </w:r>
      <w:r>
        <w:rPr>
          <w:rFonts w:cstheme="minorHAnsi"/>
          <w:i/>
          <w:sz w:val="18"/>
        </w:rPr>
        <w:t>O</w:t>
      </w:r>
      <w:r w:rsidRPr="00C811C6">
        <w:rPr>
          <w:rFonts w:cstheme="minorHAnsi"/>
          <w:i/>
          <w:sz w:val="18"/>
        </w:rPr>
        <w:t xml:space="preserve">ne of the problems in the current system is </w:t>
      </w:r>
      <w:r>
        <w:rPr>
          <w:rFonts w:cstheme="minorHAnsi"/>
          <w:i/>
          <w:sz w:val="18"/>
        </w:rPr>
        <w:t>…</w:t>
      </w:r>
      <w:r w:rsidRPr="00C811C6">
        <w:rPr>
          <w:rFonts w:cstheme="minorHAnsi"/>
          <w:i/>
          <w:sz w:val="18"/>
        </w:rPr>
        <w:t xml:space="preserve"> the public summary documents are done till they’re </w:t>
      </w:r>
      <w:proofErr w:type="gramStart"/>
      <w:r w:rsidRPr="00C811C6">
        <w:rPr>
          <w:rFonts w:cstheme="minorHAnsi"/>
          <w:i/>
          <w:sz w:val="18"/>
        </w:rPr>
        <w:t>absolutely explicit</w:t>
      </w:r>
      <w:proofErr w:type="gramEnd"/>
      <w:r w:rsidRPr="00C811C6">
        <w:rPr>
          <w:rFonts w:cstheme="minorHAnsi"/>
          <w:i/>
          <w:sz w:val="18"/>
        </w:rPr>
        <w:t xml:space="preserve"> as to what things were </w:t>
      </w:r>
      <w:proofErr w:type="gramStart"/>
      <w:r w:rsidRPr="00C811C6">
        <w:rPr>
          <w:rFonts w:cstheme="minorHAnsi"/>
          <w:i/>
          <w:sz w:val="18"/>
        </w:rPr>
        <w:t>taken into account</w:t>
      </w:r>
      <w:proofErr w:type="gramEnd"/>
      <w:r w:rsidRPr="00C811C6">
        <w:rPr>
          <w:rFonts w:cstheme="minorHAnsi"/>
          <w:i/>
          <w:sz w:val="18"/>
        </w:rPr>
        <w:t xml:space="preserve"> in the decision</w:t>
      </w:r>
      <w:r>
        <w:rPr>
          <w:rFonts w:cstheme="minorHAnsi"/>
          <w:i/>
          <w:sz w:val="18"/>
        </w:rPr>
        <w:t xml:space="preserve"> </w:t>
      </w:r>
      <w:r w:rsidRPr="00C811C6">
        <w:rPr>
          <w:rFonts w:cstheme="minorHAnsi"/>
          <w:i/>
          <w:sz w:val="18"/>
        </w:rPr>
        <w:t xml:space="preserve">making. I think that’s one of the issues, </w:t>
      </w:r>
      <w:r>
        <w:rPr>
          <w:rFonts w:cstheme="minorHAnsi"/>
          <w:i/>
          <w:sz w:val="18"/>
        </w:rPr>
        <w:t>…</w:t>
      </w:r>
      <w:r w:rsidRPr="00C811C6">
        <w:rPr>
          <w:rFonts w:cstheme="minorHAnsi"/>
          <w:i/>
          <w:sz w:val="18"/>
        </w:rPr>
        <w:t xml:space="preserve">we’re trying to solve that by trying to get the full minutes into the public domain.” “it’s happening around the </w:t>
      </w:r>
      <w:proofErr w:type="gramStart"/>
      <w:r w:rsidRPr="00C811C6">
        <w:rPr>
          <w:rFonts w:cstheme="minorHAnsi"/>
          <w:i/>
          <w:sz w:val="18"/>
        </w:rPr>
        <w:t>world,  …</w:t>
      </w:r>
      <w:proofErr w:type="gramEnd"/>
      <w:r w:rsidRPr="00C811C6">
        <w:rPr>
          <w:rFonts w:cstheme="minorHAnsi"/>
          <w:i/>
          <w:sz w:val="18"/>
        </w:rPr>
        <w:t>there’ll be some redaction but, in the end, you can’t stop common sense.</w:t>
      </w:r>
      <w:r>
        <w:rPr>
          <w:rFonts w:cstheme="minorHAnsi"/>
          <w:i/>
          <w:sz w:val="18"/>
        </w:rPr>
        <w:t>”</w:t>
      </w:r>
      <w:r w:rsidRPr="00C811C6">
        <w:rPr>
          <w:rFonts w:cstheme="minorHAnsi"/>
          <w:i/>
          <w:sz w:val="18"/>
        </w:rPr>
        <w:t xml:space="preserve">  “But you didn’t take into account,” “Oh yes, I’m sorry we did, but it wasn’t explicit.” [2014 DM7]</w:t>
      </w:r>
    </w:p>
    <w:p w14:paraId="55D132E4" w14:textId="5B0760CD" w:rsidR="006517CF" w:rsidRPr="00C811C6" w:rsidRDefault="006517CF" w:rsidP="006517CF">
      <w:pPr>
        <w:spacing w:line="360" w:lineRule="auto"/>
        <w:jc w:val="both"/>
        <w:rPr>
          <w:rFonts w:cstheme="minorHAnsi"/>
        </w:rPr>
      </w:pPr>
      <w:bookmarkStart w:id="11" w:name="_Hlk173153405"/>
      <w:r w:rsidRPr="00C811C6">
        <w:rPr>
          <w:rFonts w:cstheme="minorHAnsi"/>
        </w:rPr>
        <w:t>In 20</w:t>
      </w:r>
      <w:r w:rsidR="0020063F">
        <w:rPr>
          <w:rFonts w:cstheme="minorHAnsi"/>
        </w:rPr>
        <w:t>21/</w:t>
      </w:r>
      <w:r w:rsidRPr="00C811C6">
        <w:rPr>
          <w:rFonts w:cstheme="minorHAnsi"/>
        </w:rPr>
        <w:t xml:space="preserve">22 participants acknowledged the positive changes </w:t>
      </w:r>
      <w:r>
        <w:rPr>
          <w:rFonts w:cstheme="minorHAnsi"/>
        </w:rPr>
        <w:t xml:space="preserve">that had </w:t>
      </w:r>
      <w:r w:rsidRPr="00C811C6">
        <w:rPr>
          <w:rFonts w:cstheme="minorHAnsi"/>
        </w:rPr>
        <w:t xml:space="preserve">taken place with respect to </w:t>
      </w:r>
      <w:r w:rsidR="00914BA4" w:rsidRPr="00914BA4">
        <w:rPr>
          <w:rFonts w:cstheme="minorHAnsi"/>
          <w:i/>
          <w:iCs/>
        </w:rPr>
        <w:t>P</w:t>
      </w:r>
      <w:r w:rsidRPr="00914BA4">
        <w:rPr>
          <w:rFonts w:cstheme="minorHAnsi"/>
          <w:i/>
          <w:iCs/>
        </w:rPr>
        <w:t>ublicity</w:t>
      </w:r>
      <w:r w:rsidRPr="00C811C6">
        <w:rPr>
          <w:rFonts w:cstheme="minorHAnsi"/>
        </w:rPr>
        <w:t xml:space="preserve"> but continued to reflect challenges in achieving </w:t>
      </w:r>
      <w:r w:rsidR="0020063F">
        <w:rPr>
          <w:rFonts w:cstheme="minorHAnsi"/>
        </w:rPr>
        <w:t xml:space="preserve">full </w:t>
      </w:r>
      <w:r w:rsidRPr="00C811C6">
        <w:rPr>
          <w:rFonts w:cstheme="minorHAnsi"/>
        </w:rPr>
        <w:t xml:space="preserve">transparency as described by A4R. </w:t>
      </w:r>
      <w:bookmarkEnd w:id="11"/>
      <w:r w:rsidR="005B1A92">
        <w:rPr>
          <w:rFonts w:cstheme="minorHAnsi"/>
        </w:rPr>
        <w:t xml:space="preserve"> </w:t>
      </w:r>
      <w:r w:rsidR="005B1A92">
        <w:t>Decision-makers reported struggles primarily stemming from system constraints, such as sponsor confidentiality concerns, and the complex nature of decision-making within the committees</w:t>
      </w:r>
      <w:r w:rsidRPr="00C811C6">
        <w:rPr>
          <w:rFonts w:cstheme="minorHAnsi"/>
        </w:rPr>
        <w:t xml:space="preserve">.  </w:t>
      </w:r>
    </w:p>
    <w:p w14:paraId="164AEFD0" w14:textId="41874538" w:rsidR="006517CF" w:rsidRDefault="005B1A92" w:rsidP="005B1A92">
      <w:pPr>
        <w:spacing w:line="360" w:lineRule="auto"/>
        <w:jc w:val="both"/>
        <w:rPr>
          <w:rFonts w:cstheme="minorHAnsi"/>
        </w:rPr>
      </w:pPr>
      <w:bookmarkStart w:id="12" w:name="_Hlk173153412"/>
      <w:r>
        <w:rPr>
          <w:rFonts w:cstheme="minorHAnsi"/>
        </w:rPr>
        <w:t>R</w:t>
      </w:r>
      <w:r w:rsidRPr="005B1A92">
        <w:rPr>
          <w:rFonts w:cstheme="minorHAnsi"/>
        </w:rPr>
        <w:t xml:space="preserve">equests from sponsors to </w:t>
      </w:r>
      <w:r>
        <w:rPr>
          <w:rFonts w:cstheme="minorHAnsi"/>
        </w:rPr>
        <w:t xml:space="preserve">keep key data and information confidential to </w:t>
      </w:r>
      <w:r w:rsidRPr="005B1A92">
        <w:rPr>
          <w:rFonts w:cstheme="minorHAnsi"/>
        </w:rPr>
        <w:t>protect their commercial interests</w:t>
      </w:r>
      <w:r>
        <w:rPr>
          <w:rFonts w:cstheme="minorHAnsi"/>
        </w:rPr>
        <w:t xml:space="preserve"> is </w:t>
      </w:r>
      <w:r w:rsidRPr="005B1A92">
        <w:rPr>
          <w:rFonts w:cstheme="minorHAnsi"/>
        </w:rPr>
        <w:t xml:space="preserve">a primary constraint. </w:t>
      </w:r>
      <w:r w:rsidR="006517CF" w:rsidRPr="00C811C6">
        <w:rPr>
          <w:rFonts w:cstheme="minorHAnsi"/>
        </w:rPr>
        <w:t xml:space="preserve">Participants explained that as the PSDs are </w:t>
      </w:r>
      <w:r w:rsidR="006517CF">
        <w:rPr>
          <w:rFonts w:cstheme="minorHAnsi"/>
        </w:rPr>
        <w:t xml:space="preserve">owned by the Health Department </w:t>
      </w:r>
      <w:r w:rsidR="006517CF" w:rsidRPr="00C811C6">
        <w:rPr>
          <w:rFonts w:cstheme="minorHAnsi"/>
        </w:rPr>
        <w:t>and sponsors</w:t>
      </w:r>
      <w:r w:rsidR="006517CF">
        <w:rPr>
          <w:rFonts w:cstheme="minorHAnsi"/>
        </w:rPr>
        <w:t xml:space="preserve"> also sign off on them</w:t>
      </w:r>
      <w:r w:rsidR="006517CF" w:rsidRPr="00C811C6">
        <w:rPr>
          <w:rFonts w:cstheme="minorHAnsi"/>
        </w:rPr>
        <w:t>,</w:t>
      </w:r>
      <w:r w:rsidR="006517CF">
        <w:rPr>
          <w:rFonts w:cstheme="minorHAnsi"/>
        </w:rPr>
        <w:t xml:space="preserve"> and that</w:t>
      </w:r>
      <w:r w:rsidR="006517CF" w:rsidRPr="00C811C6">
        <w:rPr>
          <w:rFonts w:cstheme="minorHAnsi"/>
        </w:rPr>
        <w:t xml:space="preserve"> key information (including </w:t>
      </w:r>
      <w:r w:rsidR="006517CF">
        <w:rPr>
          <w:rFonts w:cstheme="minorHAnsi"/>
        </w:rPr>
        <w:t xml:space="preserve">sponsor </w:t>
      </w:r>
      <w:r w:rsidR="006517CF" w:rsidRPr="00C811C6">
        <w:rPr>
          <w:rFonts w:cstheme="minorHAnsi"/>
        </w:rPr>
        <w:t xml:space="preserve">unpublished trial results, drug pricing, precise ICER and financial impact) are redacted, at the request of the sponsor </w:t>
      </w:r>
      <w:r w:rsidR="008E7756">
        <w:rPr>
          <w:rFonts w:cstheme="minorHAnsi"/>
        </w:rPr>
        <w:t>to keep this information confidential</w:t>
      </w:r>
      <w:r w:rsidR="006517CF" w:rsidRPr="00C811C6">
        <w:rPr>
          <w:rFonts w:cstheme="minorHAnsi"/>
        </w:rPr>
        <w:t>.  This limits the ability of the committee to fully disclose key decision rationale</w:t>
      </w:r>
      <w:r w:rsidR="006517CF">
        <w:rPr>
          <w:rFonts w:cstheme="minorHAnsi"/>
        </w:rPr>
        <w:t>s</w:t>
      </w:r>
      <w:r w:rsidR="006517CF" w:rsidRPr="00C811C6">
        <w:rPr>
          <w:rFonts w:cstheme="minorHAnsi"/>
        </w:rPr>
        <w:t xml:space="preserve">.  </w:t>
      </w:r>
    </w:p>
    <w:bookmarkEnd w:id="12"/>
    <w:p w14:paraId="53DECAEA" w14:textId="77777777" w:rsidR="006517CF" w:rsidRPr="00C811C6" w:rsidRDefault="006517CF" w:rsidP="006517CF">
      <w:pPr>
        <w:spacing w:line="360" w:lineRule="auto"/>
        <w:ind w:left="284"/>
        <w:jc w:val="both"/>
        <w:rPr>
          <w:rFonts w:cstheme="minorHAnsi"/>
          <w:i/>
          <w:sz w:val="18"/>
        </w:rPr>
      </w:pPr>
      <w:r w:rsidRPr="00C811C6">
        <w:rPr>
          <w:rFonts w:cstheme="minorHAnsi"/>
          <w:i/>
          <w:sz w:val="18"/>
        </w:rPr>
        <w:t>“</w:t>
      </w:r>
      <w:r>
        <w:rPr>
          <w:rFonts w:cstheme="minorHAnsi"/>
          <w:i/>
          <w:sz w:val="18"/>
        </w:rPr>
        <w:t>T</w:t>
      </w:r>
      <w:r w:rsidRPr="00C811C6">
        <w:rPr>
          <w:rFonts w:cstheme="minorHAnsi"/>
          <w:i/>
          <w:sz w:val="18"/>
        </w:rPr>
        <w:t>he minutes aren't necessarily just owned by the committee, they're owned by the</w:t>
      </w:r>
      <w:r>
        <w:rPr>
          <w:rFonts w:cstheme="minorHAnsi"/>
          <w:i/>
          <w:sz w:val="18"/>
        </w:rPr>
        <w:t xml:space="preserve"> [Health]</w:t>
      </w:r>
      <w:r w:rsidRPr="00C811C6">
        <w:rPr>
          <w:rFonts w:cstheme="minorHAnsi"/>
          <w:i/>
          <w:sz w:val="18"/>
        </w:rPr>
        <w:t xml:space="preserve"> department and the sponsors also have a sign-off right on them.  So</w:t>
      </w:r>
      <w:r>
        <w:rPr>
          <w:rFonts w:cstheme="minorHAnsi"/>
          <w:i/>
          <w:sz w:val="18"/>
        </w:rPr>
        <w:t>,</w:t>
      </w:r>
      <w:r w:rsidRPr="00C811C6">
        <w:rPr>
          <w:rFonts w:cstheme="minorHAnsi"/>
          <w:i/>
          <w:sz w:val="18"/>
        </w:rPr>
        <w:t xml:space="preserve"> when they're finally released, all those parties have agreed they can go out in that form, and the commercial in-confidence information’s redacted.”  [20</w:t>
      </w:r>
      <w:r>
        <w:rPr>
          <w:rFonts w:cstheme="minorHAnsi"/>
          <w:i/>
          <w:sz w:val="18"/>
        </w:rPr>
        <w:t>21/</w:t>
      </w:r>
      <w:r w:rsidRPr="00C811C6">
        <w:rPr>
          <w:rFonts w:cstheme="minorHAnsi"/>
          <w:i/>
          <w:sz w:val="18"/>
        </w:rPr>
        <w:t>22 DM1]</w:t>
      </w:r>
    </w:p>
    <w:p w14:paraId="23E70C6D" w14:textId="77777777" w:rsidR="006517CF" w:rsidRDefault="006517CF" w:rsidP="006517CF">
      <w:pPr>
        <w:spacing w:line="360" w:lineRule="auto"/>
        <w:jc w:val="both"/>
        <w:rPr>
          <w:rFonts w:cstheme="minorHAnsi"/>
        </w:rPr>
      </w:pPr>
      <w:bookmarkStart w:id="13" w:name="_Hlk173153442"/>
      <w:r w:rsidRPr="00C811C6">
        <w:rPr>
          <w:rFonts w:cstheme="minorHAnsi"/>
        </w:rPr>
        <w:t xml:space="preserve">In terms of the nature of </w:t>
      </w:r>
      <w:r>
        <w:rPr>
          <w:rFonts w:cstheme="minorHAnsi"/>
        </w:rPr>
        <w:t>decision-making</w:t>
      </w:r>
      <w:r w:rsidRPr="00C811C6">
        <w:rPr>
          <w:rFonts w:cstheme="minorHAnsi"/>
        </w:rPr>
        <w:t xml:space="preserve">, participants </w:t>
      </w:r>
      <w:r>
        <w:rPr>
          <w:rFonts w:cstheme="minorHAnsi"/>
        </w:rPr>
        <w:t xml:space="preserve">at both time points </w:t>
      </w:r>
      <w:r w:rsidRPr="00C811C6">
        <w:rPr>
          <w:rFonts w:cstheme="minorHAnsi"/>
        </w:rPr>
        <w:t xml:space="preserve">discussed that as committee decisions are based on implicit and explicit factors, implicit factors in particular are deliberated on qualitatively, these can be difficult to explain in PSDs.  In the process of deliberative </w:t>
      </w:r>
      <w:r>
        <w:rPr>
          <w:rFonts w:cstheme="minorHAnsi"/>
        </w:rPr>
        <w:t>decision-making</w:t>
      </w:r>
      <w:r w:rsidRPr="00C811C6">
        <w:rPr>
          <w:rFonts w:cstheme="minorHAnsi"/>
        </w:rPr>
        <w:t>, it can also be difficult to pinpoint an exact moment that a decision was changed.</w:t>
      </w:r>
    </w:p>
    <w:bookmarkEnd w:id="13"/>
    <w:p w14:paraId="71D4891C" w14:textId="01BCD682" w:rsidR="006517CF" w:rsidRPr="00C811C6" w:rsidRDefault="006517CF" w:rsidP="006517CF">
      <w:pPr>
        <w:spacing w:line="360" w:lineRule="auto"/>
        <w:ind w:left="284"/>
        <w:jc w:val="both"/>
        <w:rPr>
          <w:rFonts w:cstheme="minorHAnsi"/>
          <w:i/>
          <w:sz w:val="18"/>
        </w:rPr>
      </w:pPr>
      <w:r w:rsidRPr="00C811C6">
        <w:rPr>
          <w:rFonts w:cstheme="minorHAnsi"/>
          <w:i/>
          <w:sz w:val="18"/>
        </w:rPr>
        <w:t>“</w:t>
      </w:r>
      <w:r>
        <w:rPr>
          <w:rFonts w:cstheme="minorHAnsi"/>
          <w:i/>
          <w:sz w:val="18"/>
        </w:rPr>
        <w:t>O</w:t>
      </w:r>
      <w:r w:rsidRPr="00C811C6">
        <w:rPr>
          <w:rFonts w:cstheme="minorHAnsi"/>
          <w:i/>
          <w:sz w:val="18"/>
        </w:rPr>
        <w:t xml:space="preserve">ne of the things that PBAC and other HTA agencies around the world have been criticised for is its lack of transparency about how decisions are ultimately made, but I think it's actually quite tricky.  </w:t>
      </w:r>
      <w:r>
        <w:rPr>
          <w:rFonts w:cstheme="minorHAnsi"/>
          <w:i/>
          <w:sz w:val="18"/>
        </w:rPr>
        <w:t>…</w:t>
      </w:r>
      <w:r w:rsidRPr="00C811C6">
        <w:rPr>
          <w:rFonts w:cstheme="minorHAnsi"/>
          <w:i/>
          <w:sz w:val="18"/>
        </w:rPr>
        <w:t xml:space="preserve"> I've thought about it myself [as] someone who's been around for a long time </w:t>
      </w:r>
      <w:r w:rsidR="002A27D4">
        <w:rPr>
          <w:rFonts w:cstheme="minorHAnsi"/>
          <w:i/>
          <w:sz w:val="18"/>
        </w:rPr>
        <w:t>…</w:t>
      </w:r>
      <w:r w:rsidRPr="00C811C6">
        <w:rPr>
          <w:rFonts w:cstheme="minorHAnsi"/>
          <w:i/>
          <w:sz w:val="18"/>
        </w:rPr>
        <w:t xml:space="preserve"> I think it's probably quite </w:t>
      </w:r>
      <w:r>
        <w:rPr>
          <w:rFonts w:cstheme="minorHAnsi"/>
          <w:i/>
          <w:sz w:val="18"/>
        </w:rPr>
        <w:t>…</w:t>
      </w:r>
      <w:r w:rsidRPr="00C811C6">
        <w:rPr>
          <w:rFonts w:cstheme="minorHAnsi"/>
          <w:i/>
          <w:sz w:val="18"/>
        </w:rPr>
        <w:t xml:space="preserve"> hard to put your finger on any one moment where a group of people suddenly went yes or no.  </w:t>
      </w:r>
      <w:r>
        <w:rPr>
          <w:rFonts w:cstheme="minorHAnsi"/>
          <w:i/>
          <w:sz w:val="18"/>
        </w:rPr>
        <w:t>…</w:t>
      </w:r>
      <w:r w:rsidRPr="00C811C6">
        <w:rPr>
          <w:rFonts w:cstheme="minorHAnsi"/>
          <w:i/>
          <w:sz w:val="18"/>
        </w:rPr>
        <w:t xml:space="preserve"> I've seen discussants come in and do expert presentations, and you feel like 90% of the room is on one sort of decision.  And then</w:t>
      </w:r>
      <w:r>
        <w:rPr>
          <w:rFonts w:cstheme="minorHAnsi"/>
          <w:i/>
          <w:sz w:val="18"/>
        </w:rPr>
        <w:t>…</w:t>
      </w:r>
      <w:r w:rsidRPr="00C811C6">
        <w:rPr>
          <w:rFonts w:cstheme="minorHAnsi"/>
          <w:i/>
          <w:sz w:val="18"/>
        </w:rPr>
        <w:t xml:space="preserve"> an articulate and sort of passionate person can turn that room around.  Now, that's not something you're going to sort of easily explain out there in the real world, are you, but I mean, it could be quite</w:t>
      </w:r>
      <w:r>
        <w:rPr>
          <w:rFonts w:cstheme="minorHAnsi"/>
          <w:i/>
          <w:sz w:val="18"/>
        </w:rPr>
        <w:t>.</w:t>
      </w:r>
      <w:r w:rsidRPr="00C811C6">
        <w:rPr>
          <w:rFonts w:cstheme="minorHAnsi"/>
          <w:i/>
          <w:sz w:val="18"/>
        </w:rPr>
        <w:t>.. significant</w:t>
      </w:r>
      <w:r>
        <w:rPr>
          <w:rFonts w:cstheme="minorHAnsi"/>
          <w:i/>
          <w:sz w:val="18"/>
        </w:rPr>
        <w:t>…</w:t>
      </w:r>
      <w:r w:rsidRPr="00C811C6">
        <w:rPr>
          <w:rFonts w:cstheme="minorHAnsi"/>
          <w:i/>
          <w:sz w:val="18"/>
        </w:rPr>
        <w:t xml:space="preserve">critical and </w:t>
      </w:r>
      <w:r>
        <w:rPr>
          <w:rFonts w:cstheme="minorHAnsi"/>
          <w:i/>
          <w:sz w:val="18"/>
        </w:rPr>
        <w:t>…</w:t>
      </w:r>
      <w:r w:rsidRPr="00C811C6">
        <w:rPr>
          <w:rFonts w:cstheme="minorHAnsi"/>
          <w:i/>
          <w:sz w:val="18"/>
        </w:rPr>
        <w:t>appropriate.  But it's hard to explain how that just happens” [20</w:t>
      </w:r>
      <w:r>
        <w:rPr>
          <w:rFonts w:cstheme="minorHAnsi"/>
          <w:i/>
          <w:sz w:val="18"/>
        </w:rPr>
        <w:t>21/</w:t>
      </w:r>
      <w:r w:rsidRPr="00C811C6">
        <w:rPr>
          <w:rFonts w:cstheme="minorHAnsi"/>
          <w:i/>
          <w:sz w:val="18"/>
        </w:rPr>
        <w:t xml:space="preserve">22 DM1]. </w:t>
      </w:r>
    </w:p>
    <w:p w14:paraId="019CFD5F" w14:textId="77777777" w:rsidR="006517CF" w:rsidRPr="00C811C6" w:rsidRDefault="006517CF" w:rsidP="006517CF">
      <w:pPr>
        <w:spacing w:line="360" w:lineRule="auto"/>
        <w:jc w:val="both"/>
        <w:rPr>
          <w:rFonts w:cstheme="minorHAnsi"/>
        </w:rPr>
      </w:pPr>
    </w:p>
    <w:p w14:paraId="7EB0E546" w14:textId="7948AAF3" w:rsidR="006517CF" w:rsidRPr="00C811C6" w:rsidRDefault="006517CF" w:rsidP="006517CF">
      <w:pPr>
        <w:spacing w:line="360" w:lineRule="auto"/>
        <w:ind w:left="284"/>
        <w:jc w:val="both"/>
        <w:rPr>
          <w:rFonts w:cstheme="minorHAnsi"/>
          <w:i/>
          <w:sz w:val="18"/>
        </w:rPr>
      </w:pPr>
      <w:r w:rsidRPr="00C811C6">
        <w:rPr>
          <w:rFonts w:cstheme="minorHAnsi"/>
          <w:i/>
          <w:sz w:val="18"/>
        </w:rPr>
        <w:t xml:space="preserve">“there's sort of two aspects to transparency …the ability of the committee to actually tell the general public what evidence was evaluated.  </w:t>
      </w:r>
      <w:proofErr w:type="gramStart"/>
      <w:r w:rsidRPr="00C811C6">
        <w:rPr>
          <w:rFonts w:cstheme="minorHAnsi"/>
          <w:i/>
          <w:sz w:val="18"/>
        </w:rPr>
        <w:t>So</w:t>
      </w:r>
      <w:proofErr w:type="gramEnd"/>
      <w:r w:rsidRPr="00C811C6">
        <w:rPr>
          <w:rFonts w:cstheme="minorHAnsi"/>
          <w:i/>
          <w:sz w:val="18"/>
        </w:rPr>
        <w:t xml:space="preserve"> the clinical studies, the cost-effectiveness ratio, and be explicit about that kind of information that was presented to us by the sponsors.  And we can't do that because we're hamstrung by commercial in-confidence requirements from the companies.  And the other aspect of transparenc</w:t>
      </w:r>
      <w:r>
        <w:rPr>
          <w:rFonts w:cstheme="minorHAnsi"/>
          <w:i/>
          <w:sz w:val="18"/>
        </w:rPr>
        <w:t>y</w:t>
      </w:r>
      <w:r w:rsidRPr="00C811C6">
        <w:rPr>
          <w:rFonts w:cstheme="minorHAnsi"/>
          <w:i/>
          <w:sz w:val="18"/>
        </w:rPr>
        <w:t xml:space="preserve"> that I think we can do better is around</w:t>
      </w:r>
      <w:r>
        <w:rPr>
          <w:rFonts w:cstheme="minorHAnsi"/>
          <w:i/>
          <w:sz w:val="18"/>
        </w:rPr>
        <w:t xml:space="preserve"> …</w:t>
      </w:r>
      <w:r w:rsidRPr="00C811C6">
        <w:rPr>
          <w:rFonts w:cstheme="minorHAnsi"/>
          <w:i/>
          <w:sz w:val="18"/>
        </w:rPr>
        <w:t xml:space="preserve"> better articulating some of those contextual factors that we do </w:t>
      </w:r>
      <w:proofErr w:type="gramStart"/>
      <w:r w:rsidRPr="00C811C6">
        <w:rPr>
          <w:rFonts w:cstheme="minorHAnsi"/>
          <w:i/>
          <w:sz w:val="18"/>
        </w:rPr>
        <w:t>take into account</w:t>
      </w:r>
      <w:proofErr w:type="gramEnd"/>
      <w:r w:rsidRPr="00C811C6">
        <w:rPr>
          <w:rFonts w:cstheme="minorHAnsi"/>
          <w:i/>
          <w:sz w:val="18"/>
        </w:rPr>
        <w:t xml:space="preserve">...where it's clear that consumers’ experience </w:t>
      </w:r>
      <w:r w:rsidRPr="00C811C6">
        <w:rPr>
          <w:rFonts w:cstheme="minorHAnsi"/>
          <w:i/>
          <w:sz w:val="18"/>
        </w:rPr>
        <w:lastRenderedPageBreak/>
        <w:t xml:space="preserve">has genuinely been </w:t>
      </w:r>
      <w:proofErr w:type="gramStart"/>
      <w:r w:rsidRPr="00C811C6">
        <w:rPr>
          <w:rFonts w:cstheme="minorHAnsi"/>
          <w:i/>
          <w:sz w:val="18"/>
        </w:rPr>
        <w:t>taken into account</w:t>
      </w:r>
      <w:proofErr w:type="gramEnd"/>
      <w:r w:rsidRPr="00C811C6">
        <w:rPr>
          <w:rFonts w:cstheme="minorHAnsi"/>
          <w:i/>
          <w:sz w:val="18"/>
        </w:rPr>
        <w:t xml:space="preserve"> in the decision.  And there certainly are circumstances where looking at the evidence that's presented in a submission, you might be very much leaning towards a reject.  And then talking to consumers about their experience and what this change on a scale means in terms of their daily life and what they're able to do and achieve can flip a decision, or at least make it come closer than where it was.</w:t>
      </w:r>
      <w:r>
        <w:rPr>
          <w:rFonts w:cstheme="minorHAnsi"/>
          <w:i/>
          <w:sz w:val="18"/>
        </w:rPr>
        <w:t>”</w:t>
      </w:r>
      <w:r w:rsidRPr="00C811C6">
        <w:rPr>
          <w:rFonts w:cstheme="minorHAnsi"/>
          <w:i/>
          <w:sz w:val="18"/>
        </w:rPr>
        <w:t xml:space="preserve">  [20</w:t>
      </w:r>
      <w:r>
        <w:rPr>
          <w:rFonts w:cstheme="minorHAnsi"/>
          <w:i/>
          <w:sz w:val="18"/>
        </w:rPr>
        <w:t>21/</w:t>
      </w:r>
      <w:r w:rsidRPr="00C811C6">
        <w:rPr>
          <w:rFonts w:cstheme="minorHAnsi"/>
          <w:i/>
          <w:sz w:val="18"/>
        </w:rPr>
        <w:t>22 DM12]</w:t>
      </w:r>
    </w:p>
    <w:p w14:paraId="63589E5F" w14:textId="77777777" w:rsidR="006517CF" w:rsidRPr="00C811C6" w:rsidRDefault="006517CF" w:rsidP="006517CF">
      <w:pPr>
        <w:spacing w:line="360" w:lineRule="auto"/>
        <w:jc w:val="both"/>
        <w:rPr>
          <w:rFonts w:cstheme="minorHAnsi"/>
        </w:rPr>
      </w:pPr>
    </w:p>
    <w:p w14:paraId="59C09620" w14:textId="49802F64" w:rsidR="006517CF" w:rsidRDefault="006517CF" w:rsidP="006517CF">
      <w:pPr>
        <w:spacing w:line="360" w:lineRule="auto"/>
        <w:jc w:val="both"/>
        <w:rPr>
          <w:rFonts w:cstheme="minorHAnsi"/>
        </w:rPr>
      </w:pPr>
      <w:bookmarkStart w:id="14" w:name="_Hlk173156001"/>
      <w:r w:rsidRPr="00C811C6">
        <w:rPr>
          <w:rFonts w:cstheme="minorHAnsi"/>
        </w:rPr>
        <w:t>Lastly,</w:t>
      </w:r>
      <w:r>
        <w:rPr>
          <w:rFonts w:cstheme="minorHAnsi"/>
        </w:rPr>
        <w:t xml:space="preserve"> in 20</w:t>
      </w:r>
      <w:r w:rsidR="002546DB">
        <w:rPr>
          <w:rFonts w:cstheme="minorHAnsi"/>
        </w:rPr>
        <w:t>21/</w:t>
      </w:r>
      <w:r>
        <w:rPr>
          <w:rFonts w:cstheme="minorHAnsi"/>
        </w:rPr>
        <w:t>22</w:t>
      </w:r>
      <w:r w:rsidRPr="00C811C6">
        <w:rPr>
          <w:rFonts w:cstheme="minorHAnsi"/>
        </w:rPr>
        <w:t xml:space="preserve"> participants also reported tension between</w:t>
      </w:r>
      <w:r w:rsidR="00A431E2">
        <w:rPr>
          <w:rFonts w:cstheme="minorHAnsi"/>
        </w:rPr>
        <w:t xml:space="preserve"> achieving</w:t>
      </w:r>
      <w:r w:rsidRPr="00C811C6">
        <w:rPr>
          <w:rFonts w:cstheme="minorHAnsi"/>
        </w:rPr>
        <w:t xml:space="preserve"> full transparency and </w:t>
      </w:r>
      <w:r w:rsidR="002A27D4">
        <w:rPr>
          <w:rFonts w:cstheme="minorHAnsi"/>
        </w:rPr>
        <w:t xml:space="preserve">the risk of </w:t>
      </w:r>
      <w:r w:rsidRPr="00C811C6">
        <w:rPr>
          <w:rFonts w:cstheme="minorHAnsi"/>
        </w:rPr>
        <w:t xml:space="preserve">releasing too much </w:t>
      </w:r>
      <w:r w:rsidR="002A27D4">
        <w:rPr>
          <w:rFonts w:cstheme="minorHAnsi"/>
        </w:rPr>
        <w:t xml:space="preserve">information, which could set an </w:t>
      </w:r>
      <w:r w:rsidRPr="00C811C6">
        <w:rPr>
          <w:rFonts w:cstheme="minorHAnsi"/>
        </w:rPr>
        <w:t xml:space="preserve">unintended precedence. Such information could then be </w:t>
      </w:r>
      <w:r>
        <w:rPr>
          <w:rFonts w:cstheme="minorHAnsi"/>
        </w:rPr>
        <w:t>in future submissions</w:t>
      </w:r>
      <w:r w:rsidRPr="00C811C6">
        <w:rPr>
          <w:rFonts w:cstheme="minorHAnsi"/>
        </w:rPr>
        <w:t xml:space="preserve"> to influence decisions in a direction that may not </w:t>
      </w:r>
      <w:r w:rsidR="00A431E2">
        <w:rPr>
          <w:rFonts w:cstheme="minorHAnsi"/>
        </w:rPr>
        <w:t>align with</w:t>
      </w:r>
      <w:r w:rsidRPr="00C811C6">
        <w:rPr>
          <w:rFonts w:cstheme="minorHAnsi"/>
        </w:rPr>
        <w:t xml:space="preserve"> public</w:t>
      </w:r>
      <w:r w:rsidR="00A431E2">
        <w:rPr>
          <w:rFonts w:cstheme="minorHAnsi"/>
        </w:rPr>
        <w:t>’s best interest</w:t>
      </w:r>
      <w:r w:rsidRPr="00C811C6">
        <w:rPr>
          <w:rFonts w:cstheme="minorHAnsi"/>
        </w:rPr>
        <w:t xml:space="preserve">. </w:t>
      </w:r>
    </w:p>
    <w:bookmarkEnd w:id="14"/>
    <w:p w14:paraId="4C4C2DE1" w14:textId="4CFEB5A0" w:rsidR="006517CF" w:rsidRPr="00C811C6" w:rsidRDefault="006517CF" w:rsidP="006517CF">
      <w:pPr>
        <w:spacing w:line="360" w:lineRule="auto"/>
        <w:ind w:left="284"/>
        <w:jc w:val="both"/>
        <w:rPr>
          <w:rFonts w:cstheme="minorHAnsi"/>
          <w:i/>
          <w:sz w:val="18"/>
        </w:rPr>
      </w:pPr>
      <w:r w:rsidRPr="00C811C6">
        <w:rPr>
          <w:rFonts w:cstheme="minorHAnsi"/>
          <w:i/>
          <w:sz w:val="18"/>
        </w:rPr>
        <w:t>“</w:t>
      </w:r>
      <w:r>
        <w:rPr>
          <w:rFonts w:cstheme="minorHAnsi"/>
          <w:i/>
          <w:sz w:val="18"/>
        </w:rPr>
        <w:t>W</w:t>
      </w:r>
      <w:r w:rsidRPr="00C811C6">
        <w:rPr>
          <w:rFonts w:cstheme="minorHAnsi"/>
          <w:i/>
          <w:sz w:val="18"/>
        </w:rPr>
        <w:t>e've got to be very careful not to set a precedent in this area, because the public summary documents go out, and the sort of basic decision is made and the rationale for that decision is there.  And what often happens is that people that are wanting to then put up other applications will point to that, especially of the grey area.  If we say, we're going to fund this even though it doesn't look particularly cost-effective because it has these particular benefits</w:t>
      </w:r>
      <w:r>
        <w:rPr>
          <w:rFonts w:cstheme="minorHAnsi"/>
          <w:i/>
          <w:sz w:val="18"/>
        </w:rPr>
        <w:t xml:space="preserve"> …</w:t>
      </w:r>
      <w:r w:rsidRPr="00C811C6">
        <w:rPr>
          <w:rFonts w:cstheme="minorHAnsi"/>
          <w:i/>
          <w:sz w:val="18"/>
        </w:rPr>
        <w:t xml:space="preserve">  then we've got to be really careful that we don't send a message that actually, we're happy to fund things that </w:t>
      </w:r>
      <w:r>
        <w:rPr>
          <w:rFonts w:cstheme="minorHAnsi"/>
          <w:i/>
          <w:sz w:val="18"/>
        </w:rPr>
        <w:t>…</w:t>
      </w:r>
      <w:r w:rsidRPr="00C811C6">
        <w:rPr>
          <w:rFonts w:cstheme="minorHAnsi"/>
          <w:i/>
          <w:sz w:val="18"/>
        </w:rPr>
        <w:t xml:space="preserve"> aren't particularly cost-effective.  Because that might be a reason sometimes that we don't fund something, because </w:t>
      </w:r>
      <w:r>
        <w:rPr>
          <w:rFonts w:cstheme="minorHAnsi"/>
          <w:i/>
          <w:sz w:val="18"/>
        </w:rPr>
        <w:t>…</w:t>
      </w:r>
      <w:r w:rsidRPr="00C811C6">
        <w:rPr>
          <w:rFonts w:cstheme="minorHAnsi"/>
          <w:i/>
          <w:sz w:val="18"/>
        </w:rPr>
        <w:t>it's not cost-effective</w:t>
      </w:r>
      <w:r>
        <w:rPr>
          <w:rFonts w:cstheme="minorHAnsi"/>
          <w:i/>
          <w:sz w:val="18"/>
        </w:rPr>
        <w:t>”.</w:t>
      </w:r>
      <w:r w:rsidRPr="00C811C6">
        <w:rPr>
          <w:rFonts w:cstheme="minorHAnsi"/>
          <w:i/>
          <w:sz w:val="18"/>
        </w:rPr>
        <w:t xml:space="preserve">  [20</w:t>
      </w:r>
      <w:r>
        <w:rPr>
          <w:rFonts w:cstheme="minorHAnsi"/>
          <w:i/>
          <w:sz w:val="18"/>
        </w:rPr>
        <w:t>21/</w:t>
      </w:r>
      <w:r w:rsidRPr="00C811C6">
        <w:rPr>
          <w:rFonts w:cstheme="minorHAnsi"/>
          <w:i/>
          <w:sz w:val="18"/>
        </w:rPr>
        <w:t xml:space="preserve">22 DM8] </w:t>
      </w:r>
    </w:p>
    <w:p w14:paraId="57B93F2C" w14:textId="7C5FF770" w:rsidR="00075F4D" w:rsidRPr="00E6775C" w:rsidRDefault="006517CF" w:rsidP="00075F4D">
      <w:pPr>
        <w:spacing w:line="360" w:lineRule="auto"/>
        <w:jc w:val="both"/>
        <w:rPr>
          <w:rFonts w:cstheme="minorHAnsi"/>
        </w:rPr>
      </w:pPr>
      <w:bookmarkStart w:id="15" w:name="_Hlk173156110"/>
      <w:r w:rsidRPr="00C811C6">
        <w:rPr>
          <w:rFonts w:cstheme="minorHAnsi"/>
        </w:rPr>
        <w:t>Participants also discussed changes they believe</w:t>
      </w:r>
      <w:r>
        <w:rPr>
          <w:rFonts w:cstheme="minorHAnsi"/>
        </w:rPr>
        <w:t>d</w:t>
      </w:r>
      <w:r w:rsidRPr="00C811C6">
        <w:rPr>
          <w:rFonts w:cstheme="minorHAnsi"/>
        </w:rPr>
        <w:t xml:space="preserve"> would further improve </w:t>
      </w:r>
      <w:r w:rsidR="00914BA4" w:rsidRPr="00914BA4">
        <w:rPr>
          <w:rFonts w:cstheme="minorHAnsi"/>
          <w:i/>
          <w:iCs/>
        </w:rPr>
        <w:t>P</w:t>
      </w:r>
      <w:r w:rsidRPr="00914BA4">
        <w:rPr>
          <w:rFonts w:cstheme="minorHAnsi"/>
          <w:i/>
          <w:iCs/>
        </w:rPr>
        <w:t>ublicity</w:t>
      </w:r>
      <w:r w:rsidRPr="00C811C6">
        <w:rPr>
          <w:rFonts w:cstheme="minorHAnsi"/>
        </w:rPr>
        <w:t xml:space="preserve">. One participant noted PSDs are quite technical documents so can be very difficult for consumers or </w:t>
      </w:r>
      <w:r>
        <w:rPr>
          <w:rFonts w:cstheme="minorHAnsi"/>
        </w:rPr>
        <w:t>the</w:t>
      </w:r>
      <w:r w:rsidRPr="00C811C6">
        <w:rPr>
          <w:rFonts w:cstheme="minorHAnsi"/>
        </w:rPr>
        <w:t xml:space="preserve"> public to understand. A positive change identified by participants at MSAC was </w:t>
      </w:r>
      <w:r w:rsidR="0020063F">
        <w:rPr>
          <w:rFonts w:cstheme="minorHAnsi"/>
        </w:rPr>
        <w:t xml:space="preserve">introduction of consumer </w:t>
      </w:r>
      <w:r w:rsidRPr="00C811C6">
        <w:rPr>
          <w:rFonts w:cstheme="minorHAnsi"/>
        </w:rPr>
        <w:t>summar</w:t>
      </w:r>
      <w:r w:rsidR="0020063F">
        <w:rPr>
          <w:rFonts w:cstheme="minorHAnsi"/>
        </w:rPr>
        <w:t xml:space="preserve">ies </w:t>
      </w:r>
      <w:r w:rsidRPr="00C811C6">
        <w:rPr>
          <w:rFonts w:cstheme="minorHAnsi"/>
        </w:rPr>
        <w:t xml:space="preserve">for all decisions </w:t>
      </w:r>
      <w:r w:rsidR="0020063F">
        <w:rPr>
          <w:rFonts w:cstheme="minorHAnsi"/>
        </w:rPr>
        <w:t>which aimed to provide clear and accessible</w:t>
      </w:r>
      <w:r w:rsidR="0020063F" w:rsidRPr="00E6775C">
        <w:rPr>
          <w:rFonts w:cstheme="minorHAnsi"/>
        </w:rPr>
        <w:t xml:space="preserve"> </w:t>
      </w:r>
      <w:r w:rsidR="0020063F">
        <w:rPr>
          <w:rFonts w:cstheme="minorHAnsi"/>
        </w:rPr>
        <w:t>explanations of</w:t>
      </w:r>
      <w:r w:rsidR="0020063F" w:rsidRPr="00E6775C">
        <w:rPr>
          <w:rFonts w:cstheme="minorHAnsi"/>
        </w:rPr>
        <w:t xml:space="preserve"> decision problem</w:t>
      </w:r>
      <w:r w:rsidR="0020063F">
        <w:rPr>
          <w:rFonts w:cstheme="minorHAnsi"/>
        </w:rPr>
        <w:t>s</w:t>
      </w:r>
      <w:r w:rsidR="0020063F" w:rsidRPr="00E6775C">
        <w:rPr>
          <w:rFonts w:cstheme="minorHAnsi"/>
        </w:rPr>
        <w:t xml:space="preserve"> and </w:t>
      </w:r>
      <w:r w:rsidR="0020063F">
        <w:rPr>
          <w:rFonts w:cstheme="minorHAnsi"/>
        </w:rPr>
        <w:t>rationales</w:t>
      </w:r>
      <w:r w:rsidR="00075F4D">
        <w:rPr>
          <w:rFonts w:cstheme="minorHAnsi"/>
        </w:rPr>
        <w:t xml:space="preserve"> (t</w:t>
      </w:r>
      <w:r w:rsidR="0020063F">
        <w:rPr>
          <w:rFonts w:cstheme="minorHAnsi"/>
        </w:rPr>
        <w:t xml:space="preserve">his was </w:t>
      </w:r>
      <w:r>
        <w:rPr>
          <w:rFonts w:cstheme="minorHAnsi"/>
        </w:rPr>
        <w:t>introduced</w:t>
      </w:r>
      <w:r w:rsidR="00075F4D">
        <w:rPr>
          <w:rFonts w:cstheme="minorHAnsi"/>
        </w:rPr>
        <w:t xml:space="preserve"> </w:t>
      </w:r>
      <w:r>
        <w:rPr>
          <w:rFonts w:cstheme="minorHAnsi"/>
        </w:rPr>
        <w:t>in 2019, s</w:t>
      </w:r>
      <w:r w:rsidRPr="00C811C6">
        <w:rPr>
          <w:rFonts w:cstheme="minorHAnsi"/>
        </w:rPr>
        <w:t>uch summaries are not yet available for PBAC PSDs).  Participants also discussed that the public</w:t>
      </w:r>
      <w:r>
        <w:rPr>
          <w:rFonts w:cstheme="minorHAnsi"/>
        </w:rPr>
        <w:t>,</w:t>
      </w:r>
      <w:r w:rsidRPr="00C811C6">
        <w:rPr>
          <w:rFonts w:cstheme="minorHAnsi"/>
        </w:rPr>
        <w:t xml:space="preserve"> including the media</w:t>
      </w:r>
      <w:r>
        <w:rPr>
          <w:rFonts w:cstheme="minorHAnsi"/>
        </w:rPr>
        <w:t>,</w:t>
      </w:r>
      <w:r w:rsidRPr="00C811C6">
        <w:rPr>
          <w:rFonts w:cstheme="minorHAnsi"/>
        </w:rPr>
        <w:t xml:space="preserve"> are often unaware of the PSDs and suggested measures to improve awareness, such as linking the consumer summar</w:t>
      </w:r>
      <w:r w:rsidR="00075F4D">
        <w:rPr>
          <w:rFonts w:cstheme="minorHAnsi"/>
        </w:rPr>
        <w:t>ies</w:t>
      </w:r>
      <w:r w:rsidRPr="00C811C6">
        <w:rPr>
          <w:rFonts w:cstheme="minorHAnsi"/>
        </w:rPr>
        <w:t xml:space="preserve"> on </w:t>
      </w:r>
      <w:r>
        <w:rPr>
          <w:rFonts w:cstheme="minorHAnsi"/>
        </w:rPr>
        <w:t xml:space="preserve">Health </w:t>
      </w:r>
      <w:r w:rsidRPr="00C811C6">
        <w:rPr>
          <w:rFonts w:cstheme="minorHAnsi"/>
        </w:rPr>
        <w:t>Department websites</w:t>
      </w:r>
      <w:r>
        <w:rPr>
          <w:rFonts w:cstheme="minorHAnsi"/>
        </w:rPr>
        <w:t xml:space="preserve"> in</w:t>
      </w:r>
      <w:r w:rsidRPr="00C811C6">
        <w:rPr>
          <w:rFonts w:cstheme="minorHAnsi"/>
        </w:rPr>
        <w:t xml:space="preserve"> a dedicated consumer area</w:t>
      </w:r>
      <w:r w:rsidR="00075F4D">
        <w:rPr>
          <w:rFonts w:cstheme="minorHAnsi"/>
        </w:rPr>
        <w:t xml:space="preserve"> (rather than an area for industry)</w:t>
      </w:r>
      <w:r w:rsidRPr="00C811C6">
        <w:rPr>
          <w:rFonts w:cstheme="minorHAnsi"/>
        </w:rPr>
        <w:t xml:space="preserve">. </w:t>
      </w:r>
      <w:r>
        <w:rPr>
          <w:rFonts w:cstheme="minorHAnsi"/>
        </w:rPr>
        <w:t xml:space="preserve">While the 2021 update of the MSAC guidelines has sections on ethical, social and legal implications, </w:t>
      </w:r>
      <w:r w:rsidR="00075F4D">
        <w:rPr>
          <w:rFonts w:cstheme="minorHAnsi"/>
        </w:rPr>
        <w:t xml:space="preserve">one </w:t>
      </w:r>
      <w:r w:rsidR="00075F4D" w:rsidRPr="00E6775C">
        <w:rPr>
          <w:rFonts w:cstheme="minorHAnsi"/>
        </w:rPr>
        <w:t xml:space="preserve">participant </w:t>
      </w:r>
      <w:r w:rsidR="00075F4D">
        <w:rPr>
          <w:rFonts w:cstheme="minorHAnsi"/>
        </w:rPr>
        <w:t xml:space="preserve">believed further development was </w:t>
      </w:r>
      <w:r w:rsidR="00075F4D" w:rsidRPr="00E6775C">
        <w:rPr>
          <w:rFonts w:cstheme="minorHAnsi"/>
        </w:rPr>
        <w:t>need</w:t>
      </w:r>
      <w:r w:rsidR="00075F4D">
        <w:rPr>
          <w:rFonts w:cstheme="minorHAnsi"/>
        </w:rPr>
        <w:t>ed</w:t>
      </w:r>
      <w:r w:rsidR="00075F4D" w:rsidRPr="00E6775C">
        <w:rPr>
          <w:rFonts w:cstheme="minorHAnsi"/>
        </w:rPr>
        <w:t xml:space="preserve"> </w:t>
      </w:r>
      <w:r w:rsidR="00075F4D">
        <w:rPr>
          <w:rFonts w:cstheme="minorHAnsi"/>
        </w:rPr>
        <w:t xml:space="preserve">to publicise how </w:t>
      </w:r>
      <w:r w:rsidR="00075F4D" w:rsidRPr="00E6775C">
        <w:rPr>
          <w:rFonts w:cstheme="minorHAnsi"/>
        </w:rPr>
        <w:t>consumer experience</w:t>
      </w:r>
      <w:r w:rsidR="00075F4D">
        <w:rPr>
          <w:rFonts w:cstheme="minorHAnsi"/>
        </w:rPr>
        <w:t>s</w:t>
      </w:r>
      <w:r w:rsidR="00075F4D" w:rsidRPr="00E6775C">
        <w:rPr>
          <w:rFonts w:cstheme="minorHAnsi"/>
        </w:rPr>
        <w:t xml:space="preserve"> </w:t>
      </w:r>
      <w:r w:rsidR="00075F4D">
        <w:rPr>
          <w:rFonts w:cstheme="minorHAnsi"/>
        </w:rPr>
        <w:t xml:space="preserve">are being </w:t>
      </w:r>
      <w:r w:rsidR="00075F4D" w:rsidRPr="00E6775C">
        <w:rPr>
          <w:rFonts w:cstheme="minorHAnsi"/>
        </w:rPr>
        <w:t>meaningfully</w:t>
      </w:r>
      <w:r w:rsidR="00075F4D">
        <w:rPr>
          <w:rFonts w:cstheme="minorHAnsi"/>
        </w:rPr>
        <w:t xml:space="preserve"> incorporated</w:t>
      </w:r>
      <w:r w:rsidR="00075F4D" w:rsidRPr="00E6775C">
        <w:rPr>
          <w:rFonts w:cstheme="minorHAnsi"/>
        </w:rPr>
        <w:t xml:space="preserve"> </w:t>
      </w:r>
      <w:r w:rsidR="00075F4D">
        <w:rPr>
          <w:rFonts w:cstheme="minorHAnsi"/>
        </w:rPr>
        <w:t>into the decision-making</w:t>
      </w:r>
      <w:r w:rsidR="00075F4D" w:rsidRPr="00E6775C">
        <w:rPr>
          <w:rFonts w:cstheme="minorHAnsi"/>
        </w:rPr>
        <w:t>.</w:t>
      </w:r>
    </w:p>
    <w:p w14:paraId="112A846A" w14:textId="77777777" w:rsidR="006517CF" w:rsidRPr="00C811C6" w:rsidRDefault="006517CF" w:rsidP="006517CF">
      <w:pPr>
        <w:spacing w:line="360" w:lineRule="auto"/>
        <w:ind w:left="284"/>
        <w:jc w:val="both"/>
        <w:rPr>
          <w:rFonts w:cstheme="minorHAnsi"/>
          <w:i/>
          <w:sz w:val="18"/>
        </w:rPr>
      </w:pPr>
      <w:r w:rsidRPr="00C811C6">
        <w:rPr>
          <w:rFonts w:cstheme="minorHAnsi"/>
          <w:i/>
          <w:sz w:val="18"/>
        </w:rPr>
        <w:t>“we just updated the MSAC guidelines and the MSAC guidelines are really still just focused on the technical aspects of</w:t>
      </w:r>
      <w:r>
        <w:rPr>
          <w:rFonts w:cstheme="minorHAnsi"/>
          <w:i/>
          <w:sz w:val="18"/>
        </w:rPr>
        <w:t>…</w:t>
      </w:r>
      <w:r w:rsidRPr="00C811C6">
        <w:rPr>
          <w:rFonts w:cstheme="minorHAnsi"/>
          <w:i/>
          <w:sz w:val="18"/>
        </w:rPr>
        <w:t>critiquing evidence and building a model and all of that, and have not really added much in terms of ethical, social, legal implications</w:t>
      </w:r>
      <w:r>
        <w:rPr>
          <w:rFonts w:cstheme="minorHAnsi"/>
          <w:i/>
          <w:sz w:val="18"/>
        </w:rPr>
        <w:t>…</w:t>
      </w:r>
      <w:r w:rsidRPr="00C811C6">
        <w:rPr>
          <w:rFonts w:cstheme="minorHAnsi"/>
          <w:i/>
          <w:sz w:val="18"/>
        </w:rPr>
        <w:t xml:space="preserve"> there's a whole separate piece that still needs to happen around the patient voice and the consumer voice and how that's integrated in a more meaningful and systematic way through the process.”  [20</w:t>
      </w:r>
      <w:r>
        <w:rPr>
          <w:rFonts w:cstheme="minorHAnsi"/>
          <w:i/>
          <w:sz w:val="18"/>
        </w:rPr>
        <w:t>21/</w:t>
      </w:r>
      <w:r w:rsidRPr="00C811C6">
        <w:rPr>
          <w:rFonts w:cstheme="minorHAnsi"/>
          <w:i/>
          <w:sz w:val="18"/>
        </w:rPr>
        <w:t>22 DM5]</w:t>
      </w:r>
    </w:p>
    <w:p w14:paraId="61E9230F" w14:textId="29E61944" w:rsidR="002546DB" w:rsidRDefault="002546DB" w:rsidP="002546DB">
      <w:pPr>
        <w:spacing w:line="360" w:lineRule="auto"/>
        <w:jc w:val="both"/>
        <w:rPr>
          <w:rFonts w:cstheme="minorHAnsi"/>
        </w:rPr>
      </w:pPr>
      <w:r w:rsidRPr="00C767A7">
        <w:rPr>
          <w:rFonts w:cstheme="minorHAnsi"/>
        </w:rPr>
        <w:t>Participants also noted the “</w:t>
      </w:r>
      <w:r w:rsidRPr="00EB4FE6">
        <w:rPr>
          <w:rFonts w:cstheme="minorHAnsi"/>
          <w:i/>
        </w:rPr>
        <w:t>very tight linkage in Australian between decision-making and payment</w:t>
      </w:r>
      <w:r w:rsidRPr="00C767A7">
        <w:rPr>
          <w:rFonts w:cstheme="minorHAnsi"/>
        </w:rPr>
        <w:t xml:space="preserve">” </w:t>
      </w:r>
      <w:r w:rsidRPr="00EB4FE6">
        <w:rPr>
          <w:rFonts w:cstheme="minorHAnsi"/>
          <w:i/>
        </w:rPr>
        <w:t>[20</w:t>
      </w:r>
      <w:r w:rsidR="00385484">
        <w:rPr>
          <w:rFonts w:cstheme="minorHAnsi"/>
          <w:i/>
        </w:rPr>
        <w:t>21/</w:t>
      </w:r>
      <w:r w:rsidRPr="00EB4FE6">
        <w:rPr>
          <w:rFonts w:cstheme="minorHAnsi"/>
          <w:i/>
        </w:rPr>
        <w:t>22 DM5].</w:t>
      </w:r>
      <w:r w:rsidRPr="00C767A7">
        <w:rPr>
          <w:rFonts w:cstheme="minorHAnsi"/>
        </w:rPr>
        <w:t xml:space="preserve"> </w:t>
      </w:r>
      <w:r>
        <w:rPr>
          <w:rFonts w:cstheme="minorHAnsi"/>
        </w:rPr>
        <w:t>Participants noted that t</w:t>
      </w:r>
      <w:r w:rsidRPr="00C767A7">
        <w:rPr>
          <w:rFonts w:cstheme="minorHAnsi"/>
        </w:rPr>
        <w:t xml:space="preserve">he PBAC do </w:t>
      </w:r>
      <w:r>
        <w:rPr>
          <w:rFonts w:cstheme="minorHAnsi"/>
        </w:rPr>
        <w:t>recommend price reductions from</w:t>
      </w:r>
      <w:r w:rsidRPr="00C767A7">
        <w:rPr>
          <w:rFonts w:cstheme="minorHAnsi"/>
        </w:rPr>
        <w:t xml:space="preserve"> companies</w:t>
      </w:r>
      <w:r>
        <w:rPr>
          <w:rFonts w:cstheme="minorHAnsi"/>
        </w:rPr>
        <w:t xml:space="preserve"> as a means to achieve or improve cost effectiveness</w:t>
      </w:r>
      <w:r w:rsidRPr="00C767A7">
        <w:rPr>
          <w:rFonts w:cstheme="minorHAnsi"/>
        </w:rPr>
        <w:t xml:space="preserve">. This adds another layer of complexity to </w:t>
      </w:r>
      <w:r w:rsidR="00914BA4" w:rsidRPr="00914BA4">
        <w:rPr>
          <w:rFonts w:cstheme="minorHAnsi"/>
          <w:i/>
          <w:iCs/>
        </w:rPr>
        <w:t>P</w:t>
      </w:r>
      <w:r w:rsidRPr="00914BA4">
        <w:rPr>
          <w:rFonts w:cstheme="minorHAnsi"/>
          <w:i/>
          <w:iCs/>
        </w:rPr>
        <w:t>ublicity</w:t>
      </w:r>
      <w:r>
        <w:rPr>
          <w:rFonts w:cstheme="minorHAnsi"/>
        </w:rPr>
        <w:t xml:space="preserve"> according to A4R</w:t>
      </w:r>
      <w:r w:rsidRPr="00C767A7">
        <w:rPr>
          <w:rFonts w:cstheme="minorHAnsi"/>
        </w:rPr>
        <w:t xml:space="preserve">.  One participant noted: </w:t>
      </w:r>
    </w:p>
    <w:p w14:paraId="47F2F275" w14:textId="77777777" w:rsidR="002546DB" w:rsidRDefault="002546DB" w:rsidP="002546DB">
      <w:pPr>
        <w:spacing w:line="360" w:lineRule="auto"/>
        <w:ind w:left="284"/>
        <w:jc w:val="both"/>
        <w:rPr>
          <w:rFonts w:cstheme="minorHAnsi"/>
          <w:i/>
          <w:sz w:val="18"/>
        </w:rPr>
      </w:pPr>
      <w:r w:rsidRPr="00F9228C">
        <w:rPr>
          <w:rFonts w:cstheme="minorHAnsi"/>
          <w:i/>
          <w:sz w:val="18"/>
        </w:rPr>
        <w:lastRenderedPageBreak/>
        <w:t>“I'm happy that they [the PBAC] negotiates … and if their ability to negotiate in the best interests of the Australian people is impacted if they have to put everything online, then I think that they shouldn't have to put everything online [20</w:t>
      </w:r>
      <w:r>
        <w:rPr>
          <w:rFonts w:cstheme="minorHAnsi"/>
          <w:i/>
          <w:sz w:val="18"/>
        </w:rPr>
        <w:t>21/</w:t>
      </w:r>
      <w:r w:rsidRPr="00F9228C">
        <w:rPr>
          <w:rFonts w:cstheme="minorHAnsi"/>
          <w:i/>
          <w:sz w:val="18"/>
        </w:rPr>
        <w:t xml:space="preserve">22 DM10]. </w:t>
      </w:r>
    </w:p>
    <w:p w14:paraId="4E4C3D95" w14:textId="77777777" w:rsidR="002546DB" w:rsidRDefault="002546DB" w:rsidP="002546DB">
      <w:pPr>
        <w:spacing w:line="360" w:lineRule="auto"/>
        <w:jc w:val="both"/>
        <w:rPr>
          <w:rFonts w:cstheme="minorHAnsi"/>
        </w:rPr>
      </w:pPr>
      <w:r w:rsidRPr="00C767A7">
        <w:rPr>
          <w:rFonts w:cstheme="minorHAnsi"/>
        </w:rPr>
        <w:t xml:space="preserve">Participants interviewed also discussed experiences of gaming by the industry </w:t>
      </w:r>
      <w:r>
        <w:rPr>
          <w:rFonts w:cstheme="minorHAnsi"/>
        </w:rPr>
        <w:t xml:space="preserve">and </w:t>
      </w:r>
      <w:r w:rsidRPr="00BF2AFF">
        <w:rPr>
          <w:rFonts w:cstheme="minorHAnsi"/>
        </w:rPr>
        <w:t xml:space="preserve">thus not wanting to disclose full information for fear it may convey an unintended signal to industry that committees are prepared to fund treatments that are not cost effective. </w:t>
      </w:r>
    </w:p>
    <w:p w14:paraId="7591F981" w14:textId="77777777" w:rsidR="002546DB" w:rsidRDefault="002546DB" w:rsidP="002546DB">
      <w:pPr>
        <w:spacing w:line="360" w:lineRule="auto"/>
        <w:ind w:left="284"/>
        <w:jc w:val="both"/>
        <w:rPr>
          <w:rFonts w:cstheme="minorHAnsi"/>
          <w:i/>
          <w:sz w:val="18"/>
        </w:rPr>
      </w:pPr>
      <w:r w:rsidRPr="00F9228C">
        <w:rPr>
          <w:rFonts w:cstheme="minorHAnsi"/>
          <w:i/>
          <w:sz w:val="18"/>
        </w:rPr>
        <w:t xml:space="preserve">“The industry has actually managed to capture – or actually probably initiated the whole orphan drugs thing so that they can slice things into smaller and smaller populations and get more and more money for a more or less effective product.’ [2014 DM10]. </w:t>
      </w:r>
    </w:p>
    <w:p w14:paraId="7C1DC15F" w14:textId="77777777" w:rsidR="002546DB" w:rsidRPr="00F9228C" w:rsidRDefault="002546DB" w:rsidP="002546DB">
      <w:pPr>
        <w:spacing w:line="360" w:lineRule="auto"/>
        <w:ind w:left="284"/>
        <w:jc w:val="both"/>
        <w:rPr>
          <w:rFonts w:cstheme="minorHAnsi"/>
          <w:i/>
          <w:sz w:val="18"/>
        </w:rPr>
      </w:pPr>
      <w:r w:rsidRPr="00F9228C">
        <w:rPr>
          <w:rFonts w:cstheme="minorHAnsi"/>
          <w:i/>
          <w:sz w:val="18"/>
        </w:rPr>
        <w:t>“People realised there was money in [rare diseases], so there is a much bigger interest in pharma developing drugs for rare disease. … yes, it’s much more complex to do the trials, but reimbursement, or regulatory authorities and reimbursement authorities have been prepared to accept lower quality evidence for benefit for those rare diseases on the basis that they're rare, and particularly where they’re fatal, … where they are otherwise incurable … [20</w:t>
      </w:r>
      <w:r>
        <w:rPr>
          <w:rFonts w:cstheme="minorHAnsi"/>
          <w:i/>
          <w:sz w:val="18"/>
        </w:rPr>
        <w:t>21/</w:t>
      </w:r>
      <w:r w:rsidRPr="00F9228C">
        <w:rPr>
          <w:rFonts w:cstheme="minorHAnsi"/>
          <w:i/>
          <w:sz w:val="18"/>
        </w:rPr>
        <w:t xml:space="preserve">22 DM6]. </w:t>
      </w:r>
    </w:p>
    <w:p w14:paraId="2726935A" w14:textId="77777777" w:rsidR="006517CF" w:rsidRDefault="006517CF" w:rsidP="006517CF">
      <w:pPr>
        <w:jc w:val="both"/>
        <w:rPr>
          <w:rFonts w:ascii="Times New Roman" w:hAnsi="Times New Roman"/>
        </w:rPr>
      </w:pPr>
    </w:p>
    <w:p w14:paraId="0DEFAA0E" w14:textId="4A829006" w:rsidR="006517CF" w:rsidRPr="00FB282D" w:rsidRDefault="006517CF" w:rsidP="006517CF">
      <w:pPr>
        <w:pStyle w:val="Level2Heading"/>
        <w:numPr>
          <w:ilvl w:val="0"/>
          <w:numId w:val="12"/>
        </w:numPr>
        <w:spacing w:line="360" w:lineRule="auto"/>
        <w:jc w:val="both"/>
        <w:outlineLvl w:val="3"/>
      </w:pPr>
      <w:bookmarkStart w:id="16" w:name="_Hlk164212475"/>
      <w:bookmarkEnd w:id="15"/>
      <w:r w:rsidRPr="00FB282D">
        <w:rPr>
          <w:rFonts w:asciiTheme="minorHAnsi" w:hAnsiTheme="minorHAnsi" w:cstheme="minorHAnsi"/>
        </w:rPr>
        <w:t>Consumer representation i</w:t>
      </w:r>
      <w:r w:rsidRPr="00432FCC">
        <w:rPr>
          <w:rFonts w:asciiTheme="minorHAnsi" w:hAnsiTheme="minorHAnsi" w:cstheme="minorHAnsi"/>
        </w:rPr>
        <w:t xml:space="preserve">mproves </w:t>
      </w:r>
      <w:r w:rsidR="00914BA4" w:rsidRPr="00914BA4">
        <w:rPr>
          <w:rFonts w:asciiTheme="minorHAnsi" w:hAnsiTheme="minorHAnsi" w:cstheme="minorHAnsi"/>
          <w:i/>
          <w:iCs/>
        </w:rPr>
        <w:t>P</w:t>
      </w:r>
      <w:r w:rsidRPr="00914BA4">
        <w:rPr>
          <w:rFonts w:asciiTheme="minorHAnsi" w:hAnsiTheme="minorHAnsi" w:cstheme="minorHAnsi"/>
          <w:i/>
          <w:iCs/>
        </w:rPr>
        <w:t>ublicity</w:t>
      </w:r>
      <w:r>
        <w:rPr>
          <w:rFonts w:asciiTheme="minorHAnsi" w:hAnsiTheme="minorHAnsi" w:cstheme="minorHAnsi"/>
        </w:rPr>
        <w:t xml:space="preserve"> and can reduce political pressure on committees</w:t>
      </w:r>
    </w:p>
    <w:bookmarkEnd w:id="16"/>
    <w:p w14:paraId="3E5BA411" w14:textId="77777777" w:rsidR="006517CF" w:rsidRDefault="006517CF" w:rsidP="006517CF">
      <w:pPr>
        <w:jc w:val="both"/>
        <w:rPr>
          <w:rFonts w:ascii="Times New Roman" w:hAnsi="Times New Roman"/>
        </w:rPr>
      </w:pPr>
    </w:p>
    <w:p w14:paraId="5CB1F6DE" w14:textId="77777777" w:rsidR="006517CF" w:rsidRPr="00622BBC" w:rsidRDefault="006517CF" w:rsidP="006517CF">
      <w:pPr>
        <w:spacing w:line="360" w:lineRule="auto"/>
        <w:jc w:val="both"/>
        <w:rPr>
          <w:rFonts w:cstheme="minorHAnsi"/>
        </w:rPr>
      </w:pPr>
      <w:bookmarkStart w:id="17" w:name="_Hlk173160465"/>
      <w:r>
        <w:rPr>
          <w:rFonts w:cstheme="minorHAnsi"/>
        </w:rPr>
        <w:t xml:space="preserve">Participants at both time points </w:t>
      </w:r>
      <w:r w:rsidRPr="00622BBC">
        <w:rPr>
          <w:rFonts w:cstheme="minorHAnsi"/>
        </w:rPr>
        <w:t xml:space="preserve">noted a potential benefit of consumer involvement in </w:t>
      </w:r>
      <w:r>
        <w:rPr>
          <w:rFonts w:cstheme="minorHAnsi"/>
        </w:rPr>
        <w:t>decision-making</w:t>
      </w:r>
      <w:r w:rsidRPr="00622BBC">
        <w:rPr>
          <w:rFonts w:cstheme="minorHAnsi"/>
        </w:rPr>
        <w:t xml:space="preserve"> is improved transparency and legitimacy to decisions</w:t>
      </w:r>
      <w:r>
        <w:rPr>
          <w:rFonts w:cstheme="minorHAnsi"/>
        </w:rPr>
        <w:t xml:space="preserve">. </w:t>
      </w:r>
      <w:r w:rsidRPr="00622BBC">
        <w:rPr>
          <w:rFonts w:cstheme="minorHAnsi"/>
        </w:rPr>
        <w:t>Bringing consumers into policy setting decisions is also thought to reduce the need for advocacy through political processes.</w:t>
      </w:r>
    </w:p>
    <w:bookmarkEnd w:id="17"/>
    <w:p w14:paraId="3258828F" w14:textId="77777777" w:rsidR="006517CF" w:rsidRDefault="006517CF" w:rsidP="006517CF">
      <w:pPr>
        <w:spacing w:line="360" w:lineRule="auto"/>
        <w:ind w:left="284"/>
        <w:jc w:val="both"/>
        <w:rPr>
          <w:rFonts w:cstheme="minorHAnsi"/>
          <w:i/>
          <w:sz w:val="18"/>
        </w:rPr>
      </w:pPr>
    </w:p>
    <w:p w14:paraId="08956E9C" w14:textId="77777777" w:rsidR="006517CF" w:rsidRPr="00C811C6" w:rsidRDefault="006517CF" w:rsidP="006517CF">
      <w:pPr>
        <w:spacing w:line="360" w:lineRule="auto"/>
        <w:ind w:left="284"/>
        <w:jc w:val="both"/>
        <w:rPr>
          <w:rFonts w:cstheme="minorHAnsi"/>
          <w:i/>
          <w:sz w:val="18"/>
        </w:rPr>
      </w:pPr>
      <w:r w:rsidRPr="00C811C6">
        <w:rPr>
          <w:rFonts w:cstheme="minorHAnsi"/>
          <w:i/>
          <w:sz w:val="18"/>
        </w:rPr>
        <w:t>“there’s currently … this unhelpful narrative that</w:t>
      </w:r>
      <w:r>
        <w:rPr>
          <w:rFonts w:cstheme="minorHAnsi"/>
          <w:i/>
          <w:sz w:val="18"/>
        </w:rPr>
        <w:t>…</w:t>
      </w:r>
      <w:r w:rsidRPr="00C811C6">
        <w:rPr>
          <w:rFonts w:cstheme="minorHAnsi"/>
          <w:i/>
          <w:sz w:val="18"/>
        </w:rPr>
        <w:t>the government won’t subsidise or PBAC won’t recommend because costs are too high.  But when you can engage consumers in the conversation,</w:t>
      </w:r>
      <w:r>
        <w:rPr>
          <w:rFonts w:cstheme="minorHAnsi"/>
          <w:i/>
          <w:sz w:val="18"/>
        </w:rPr>
        <w:t xml:space="preserve"> </w:t>
      </w:r>
      <w:r w:rsidRPr="00C811C6">
        <w:rPr>
          <w:rFonts w:cstheme="minorHAnsi"/>
          <w:i/>
          <w:sz w:val="18"/>
        </w:rPr>
        <w:t>and share that commercial-in-confidence information with them so that they can actually see the data that we’re trying to evaluate. … equity is one of the principles that underlines our work.  We’re actually just trying to get cost-effective access.  Consumers understand that so they can help to be part of the solution.” [20</w:t>
      </w:r>
      <w:r>
        <w:rPr>
          <w:rFonts w:cstheme="minorHAnsi"/>
          <w:i/>
          <w:sz w:val="18"/>
        </w:rPr>
        <w:t>21/</w:t>
      </w:r>
      <w:r w:rsidRPr="00C811C6">
        <w:rPr>
          <w:rFonts w:cstheme="minorHAnsi"/>
          <w:i/>
          <w:sz w:val="18"/>
        </w:rPr>
        <w:t>22 DM3]</w:t>
      </w:r>
    </w:p>
    <w:p w14:paraId="7555B276" w14:textId="77777777" w:rsidR="006517CF" w:rsidRPr="00C811C6" w:rsidRDefault="006517CF" w:rsidP="006517CF">
      <w:pPr>
        <w:spacing w:line="360" w:lineRule="auto"/>
        <w:ind w:left="284"/>
        <w:jc w:val="both"/>
        <w:rPr>
          <w:rFonts w:cstheme="minorHAnsi"/>
          <w:i/>
          <w:sz w:val="18"/>
        </w:rPr>
      </w:pPr>
      <w:r w:rsidRPr="00C811C6">
        <w:rPr>
          <w:rFonts w:cstheme="minorHAnsi"/>
          <w:i/>
          <w:sz w:val="18"/>
        </w:rPr>
        <w:t xml:space="preserve">“we have to have a discussion with the community, because if we have a group of people, there’s end to MSAC’s </w:t>
      </w:r>
      <w:r>
        <w:rPr>
          <w:rFonts w:cstheme="minorHAnsi"/>
          <w:i/>
          <w:sz w:val="18"/>
        </w:rPr>
        <w:t>decision-making</w:t>
      </w:r>
      <w:r w:rsidRPr="00C811C6">
        <w:rPr>
          <w:rFonts w:cstheme="minorHAnsi"/>
          <w:i/>
          <w:sz w:val="18"/>
        </w:rPr>
        <w:t>, or recommendations, and the politicians need to have either the balls or the consensus across the community, that it is reasonable to limit some of these end of life expenditures.</w:t>
      </w:r>
      <w:r>
        <w:rPr>
          <w:rFonts w:cstheme="minorHAnsi"/>
          <w:i/>
          <w:sz w:val="18"/>
        </w:rPr>
        <w:t>”</w:t>
      </w:r>
      <w:r w:rsidRPr="00C811C6">
        <w:rPr>
          <w:rFonts w:cstheme="minorHAnsi"/>
          <w:i/>
          <w:sz w:val="18"/>
        </w:rPr>
        <w:t xml:space="preserve">  [2014 DM 3]</w:t>
      </w:r>
    </w:p>
    <w:p w14:paraId="5593627B" w14:textId="70E6E605" w:rsidR="006517CF" w:rsidRPr="00462C1E" w:rsidRDefault="00462C1E" w:rsidP="00462C1E">
      <w:pPr>
        <w:spacing w:line="360" w:lineRule="auto"/>
        <w:ind w:left="284"/>
        <w:jc w:val="both"/>
        <w:rPr>
          <w:rFonts w:cstheme="minorHAnsi"/>
          <w:i/>
          <w:sz w:val="18"/>
        </w:rPr>
      </w:pPr>
      <w:r w:rsidRPr="00462C1E">
        <w:rPr>
          <w:rFonts w:cstheme="minorHAnsi"/>
          <w:i/>
          <w:sz w:val="18"/>
        </w:rPr>
        <w:t>“We need to put…effort into actually collecting information about what society really wants because if we’re trying to…work that out, we need to have the evidence for it.”  [2021/22 DM8]</w:t>
      </w:r>
    </w:p>
    <w:p w14:paraId="1235DB68" w14:textId="77777777" w:rsidR="006517CF" w:rsidRPr="00683C5A" w:rsidRDefault="006517CF" w:rsidP="006517CF">
      <w:pPr>
        <w:pStyle w:val="StyleHeading3Heading3tenderAsianHeadingsAsianDengXia"/>
        <w:rPr>
          <w:caps w:val="0"/>
          <w:sz w:val="28"/>
        </w:rPr>
      </w:pPr>
      <w:r w:rsidRPr="00683C5A">
        <w:rPr>
          <w:caps w:val="0"/>
          <w:sz w:val="28"/>
        </w:rPr>
        <w:t>3.2.3 Revision</w:t>
      </w:r>
    </w:p>
    <w:p w14:paraId="372EECA3" w14:textId="77777777" w:rsidR="006517CF" w:rsidRDefault="006517CF" w:rsidP="006517CF">
      <w:pPr>
        <w:spacing w:line="360" w:lineRule="auto"/>
        <w:jc w:val="both"/>
        <w:rPr>
          <w:rFonts w:cstheme="minorHAnsi"/>
        </w:rPr>
      </w:pPr>
    </w:p>
    <w:p w14:paraId="1E390A79" w14:textId="77777777" w:rsidR="006517CF" w:rsidRDefault="006517CF" w:rsidP="006517CF">
      <w:pPr>
        <w:spacing w:line="360" w:lineRule="auto"/>
        <w:jc w:val="both"/>
        <w:rPr>
          <w:rFonts w:cstheme="minorHAnsi"/>
        </w:rPr>
      </w:pPr>
      <w:r w:rsidRPr="00C811C6">
        <w:rPr>
          <w:rFonts w:cstheme="minorHAnsi"/>
        </w:rPr>
        <w:lastRenderedPageBreak/>
        <w:t xml:space="preserve">Applicants of PBAC and MSAC submissions are able </w:t>
      </w:r>
      <w:r>
        <w:rPr>
          <w:rFonts w:cstheme="minorHAnsi"/>
        </w:rPr>
        <w:t xml:space="preserve">to </w:t>
      </w:r>
      <w:r w:rsidRPr="00C811C6">
        <w:rPr>
          <w:rFonts w:cstheme="minorHAnsi"/>
        </w:rPr>
        <w:t xml:space="preserve">resubmit an application. Re-submissions </w:t>
      </w:r>
      <w:r>
        <w:rPr>
          <w:rFonts w:cstheme="minorHAnsi"/>
        </w:rPr>
        <w:t xml:space="preserve">are </w:t>
      </w:r>
      <w:r w:rsidRPr="00C811C6">
        <w:rPr>
          <w:rFonts w:cstheme="minorHAnsi"/>
        </w:rPr>
        <w:t xml:space="preserve">permitted without limit and can include new data, analyses, arguments, or justifications. </w:t>
      </w:r>
      <w:r w:rsidRPr="008D1FDE">
        <w:rPr>
          <w:rFonts w:cstheme="minorHAnsi"/>
        </w:rPr>
        <w:t xml:space="preserve">When PBAC decides not to recommend, </w:t>
      </w:r>
      <w:r>
        <w:rPr>
          <w:rFonts w:cstheme="minorHAnsi"/>
        </w:rPr>
        <w:t xml:space="preserve">it is a </w:t>
      </w:r>
      <w:r w:rsidRPr="008D1FDE">
        <w:rPr>
          <w:rFonts w:cstheme="minorHAnsi"/>
        </w:rPr>
        <w:t>statutory decision</w:t>
      </w:r>
      <w:r>
        <w:rPr>
          <w:rFonts w:cstheme="minorHAnsi"/>
        </w:rPr>
        <w:t>, and because of this a</w:t>
      </w:r>
      <w:r w:rsidRPr="00C811C6">
        <w:rPr>
          <w:rFonts w:cstheme="minorHAnsi"/>
        </w:rPr>
        <w:t xml:space="preserve">n independent review is </w:t>
      </w:r>
      <w:r>
        <w:rPr>
          <w:rFonts w:cstheme="minorHAnsi"/>
        </w:rPr>
        <w:t xml:space="preserve">also </w:t>
      </w:r>
      <w:r w:rsidRPr="00C811C6">
        <w:rPr>
          <w:rFonts w:cstheme="minorHAnsi"/>
        </w:rPr>
        <w:t xml:space="preserve">available to sponsors whose submission to the PBAC has not resulted in a </w:t>
      </w:r>
      <w:r>
        <w:rPr>
          <w:rFonts w:cstheme="minorHAnsi"/>
        </w:rPr>
        <w:t xml:space="preserve">positive </w:t>
      </w:r>
      <w:r w:rsidRPr="00C811C6">
        <w:rPr>
          <w:rFonts w:cstheme="minorHAnsi"/>
        </w:rPr>
        <w:t>recommendation to list. The independent review is heard by reviewers unafﬁliated with</w:t>
      </w:r>
      <w:r>
        <w:rPr>
          <w:rFonts w:cstheme="minorHAnsi"/>
        </w:rPr>
        <w:t xml:space="preserve"> the</w:t>
      </w:r>
      <w:r w:rsidRPr="00C811C6">
        <w:rPr>
          <w:rFonts w:cstheme="minorHAnsi"/>
        </w:rPr>
        <w:t xml:space="preserve"> PBAC, the </w:t>
      </w:r>
      <w:r>
        <w:rPr>
          <w:rFonts w:cstheme="minorHAnsi"/>
        </w:rPr>
        <w:t xml:space="preserve">Health </w:t>
      </w:r>
      <w:r w:rsidRPr="00C811C6">
        <w:rPr>
          <w:rFonts w:cstheme="minorHAnsi"/>
        </w:rPr>
        <w:t>Department, and the pharmaceutical industry however applicants are not permitted to present new information or evidence beyond those considered by the PBAC.</w:t>
      </w:r>
      <w:r>
        <w:rPr>
          <w:rFonts w:cstheme="minorHAnsi"/>
        </w:rPr>
        <w:t xml:space="preserve"> MSAC advice is not statutory and so are not subject to appeal by the applicant, however applicants are provided the option for a post MSAC debrief with the Health Department and can resubmit </w:t>
      </w:r>
      <w:r>
        <w:rPr>
          <w:rFonts w:cstheme="minorHAnsi"/>
        </w:rPr>
        <w:fldChar w:fldCharType="begin"/>
      </w:r>
      <w:r>
        <w:rPr>
          <w:rFonts w:cstheme="minorHAnsi"/>
        </w:rPr>
        <w:instrText xml:space="preserve"> ADDIN EN.CITE &lt;EndNote&gt;&lt;Cite&gt;&lt;Author&gt;MSAC&lt;/Author&gt;&lt;Year&gt;2016&lt;/Year&gt;&lt;RecNum&gt;1437&lt;/RecNum&gt;&lt;DisplayText&gt;(MSAC, 2016)&lt;/DisplayText&gt;&lt;record&gt;&lt;rec-number&gt;1437&lt;/rec-number&gt;&lt;foreign-keys&gt;&lt;key app="EN" db-id="tdzzrwt05wxd0oed9xnp92sv9pfssztr9vaz" timestamp="1700051650"&gt;1437&lt;/key&gt;&lt;/foreign-keys&gt;&lt;ref-type name="Web Page"&gt;12&lt;/ref-type&gt;&lt;contributors&gt;&lt;authors&gt;&lt;author&gt;MSAC&lt;/author&gt;&lt;/authors&gt;&lt;secondary-authors&gt;&lt;author&gt;Australian Government Department of Health and Aged Care,&lt;/author&gt;&lt;/secondary-authors&gt;&lt;/contributors&gt;&lt;titles&gt;&lt;title&gt;Post MSAC Process&lt;/title&gt;&lt;/titles&gt;&lt;number&gt;15/11/2023&lt;/number&gt;&lt;dates&gt;&lt;year&gt;2016&lt;/year&gt;&lt;pub-dates&gt;&lt;date&gt;9/8/2016&lt;/date&gt;&lt;/pub-dates&gt;&lt;/dates&gt;&lt;urls&gt;&lt;related-urls&gt;&lt;url&gt;http://www.msac.gov.au/internet/msac/publishing.nsf/Content/Factsheet-10&lt;/url&gt;&lt;/related-urls&gt;&lt;/urls&gt;&lt;/record&gt;&lt;/Cite&gt;&lt;/EndNote&gt;</w:instrText>
      </w:r>
      <w:r>
        <w:rPr>
          <w:rFonts w:cstheme="minorHAnsi"/>
        </w:rPr>
        <w:fldChar w:fldCharType="separate"/>
      </w:r>
      <w:r>
        <w:rPr>
          <w:rFonts w:cstheme="minorHAnsi"/>
          <w:noProof/>
        </w:rPr>
        <w:t>(MSAC, 2016)</w:t>
      </w:r>
      <w:r>
        <w:rPr>
          <w:rFonts w:cstheme="minorHAnsi"/>
        </w:rPr>
        <w:fldChar w:fldCharType="end"/>
      </w:r>
      <w:r>
        <w:rPr>
          <w:rFonts w:cstheme="minorHAnsi"/>
        </w:rPr>
        <w:t xml:space="preserve">. </w:t>
      </w:r>
    </w:p>
    <w:p w14:paraId="4C8DB670" w14:textId="77777777" w:rsidR="00914BA4" w:rsidRDefault="00914BA4" w:rsidP="006517CF">
      <w:pPr>
        <w:spacing w:line="360" w:lineRule="auto"/>
        <w:jc w:val="both"/>
        <w:rPr>
          <w:rFonts w:cstheme="minorHAnsi"/>
        </w:rPr>
      </w:pPr>
    </w:p>
    <w:p w14:paraId="5A863C0A" w14:textId="258FDE89" w:rsidR="006517CF" w:rsidRPr="00C811C6" w:rsidRDefault="006517CF" w:rsidP="006517CF">
      <w:pPr>
        <w:spacing w:line="360" w:lineRule="auto"/>
        <w:jc w:val="both"/>
        <w:rPr>
          <w:rFonts w:cstheme="minorHAnsi"/>
        </w:rPr>
      </w:pPr>
      <w:r w:rsidRPr="00C811C6">
        <w:rPr>
          <w:rFonts w:cstheme="minorHAnsi"/>
        </w:rPr>
        <w:t>During the study period, several changes were introduced to the PBAC listing process (</w:t>
      </w:r>
      <w:r w:rsidRPr="00D925CC">
        <w:rPr>
          <w:rFonts w:cstheme="minorHAnsi"/>
        </w:rPr>
        <w:t>see Table</w:t>
      </w:r>
      <w:r w:rsidRPr="007F7674">
        <w:rPr>
          <w:rFonts w:cstheme="minorHAnsi"/>
        </w:rPr>
        <w:t xml:space="preserve"> 4), providing tailored resubmission pathways and advice with the aim to shorten </w:t>
      </w:r>
      <w:r>
        <w:rPr>
          <w:rFonts w:cstheme="minorHAnsi"/>
        </w:rPr>
        <w:t xml:space="preserve">the number of resubmissions needed to </w:t>
      </w:r>
      <w:r w:rsidRPr="007F7674">
        <w:rPr>
          <w:rFonts w:cstheme="minorHAnsi"/>
        </w:rPr>
        <w:t xml:space="preserve">list on the PBS (See Section 3.5).  </w:t>
      </w:r>
      <w:r>
        <w:rPr>
          <w:rFonts w:cstheme="minorHAnsi"/>
        </w:rPr>
        <w:t>Decision-maker</w:t>
      </w:r>
      <w:r w:rsidRPr="007F7674">
        <w:rPr>
          <w:rFonts w:cstheme="minorHAnsi"/>
        </w:rPr>
        <w:t>s interviewed did not</w:t>
      </w:r>
      <w:r w:rsidRPr="00C811C6">
        <w:rPr>
          <w:rFonts w:cstheme="minorHAnsi"/>
        </w:rPr>
        <w:t xml:space="preserve"> bring up any concerns </w:t>
      </w:r>
      <w:r>
        <w:rPr>
          <w:rFonts w:cstheme="minorHAnsi"/>
        </w:rPr>
        <w:t>with respect to</w:t>
      </w:r>
      <w:r w:rsidRPr="00C811C6">
        <w:rPr>
          <w:rFonts w:cstheme="minorHAnsi"/>
        </w:rPr>
        <w:t xml:space="preserve"> </w:t>
      </w:r>
      <w:r w:rsidR="00914BA4" w:rsidRPr="00914BA4">
        <w:rPr>
          <w:rFonts w:cstheme="minorHAnsi"/>
          <w:i/>
          <w:iCs/>
        </w:rPr>
        <w:t>R</w:t>
      </w:r>
      <w:r w:rsidRPr="00914BA4">
        <w:rPr>
          <w:rFonts w:cstheme="minorHAnsi"/>
          <w:i/>
          <w:iCs/>
        </w:rPr>
        <w:t>evision</w:t>
      </w:r>
      <w:r>
        <w:rPr>
          <w:rFonts w:cstheme="minorHAnsi"/>
        </w:rPr>
        <w:t xml:space="preserve"> when discussing the decision-making process.</w:t>
      </w:r>
      <w:r w:rsidRPr="00C811C6">
        <w:rPr>
          <w:rFonts w:cstheme="minorHAnsi"/>
        </w:rPr>
        <w:t xml:space="preserve"> </w:t>
      </w:r>
    </w:p>
    <w:p w14:paraId="6ABA3EF2" w14:textId="77777777" w:rsidR="006517CF" w:rsidRPr="00DF14B7" w:rsidRDefault="006517CF" w:rsidP="006517CF">
      <w:pPr>
        <w:spacing w:line="360" w:lineRule="auto"/>
        <w:rPr>
          <w:rFonts w:cstheme="minorHAnsi"/>
        </w:rPr>
      </w:pPr>
    </w:p>
    <w:p w14:paraId="060DB8A9" w14:textId="77777777" w:rsidR="006517CF" w:rsidRPr="00683C5A" w:rsidRDefault="006517CF" w:rsidP="006517CF">
      <w:pPr>
        <w:pStyle w:val="StyleHeading3Heading3tenderAsianHeadingsAsianDengXia"/>
        <w:rPr>
          <w:caps w:val="0"/>
          <w:sz w:val="28"/>
        </w:rPr>
      </w:pPr>
      <w:r w:rsidRPr="00683C5A">
        <w:rPr>
          <w:caps w:val="0"/>
          <w:sz w:val="28"/>
        </w:rPr>
        <w:t>3.2.4 Enforcement</w:t>
      </w:r>
    </w:p>
    <w:p w14:paraId="5771F0B4" w14:textId="77777777" w:rsidR="006517CF" w:rsidRDefault="006517CF" w:rsidP="006517CF"/>
    <w:p w14:paraId="492C03E7" w14:textId="3C1C3BAE" w:rsidR="006517CF" w:rsidRDefault="006517CF" w:rsidP="006517CF">
      <w:pPr>
        <w:spacing w:line="360" w:lineRule="auto"/>
        <w:jc w:val="both"/>
        <w:rPr>
          <w:rFonts w:cstheme="minorHAnsi"/>
        </w:rPr>
      </w:pPr>
      <w:r w:rsidRPr="00C767A7">
        <w:rPr>
          <w:rFonts w:cstheme="minorHAnsi"/>
        </w:rPr>
        <w:t xml:space="preserve">In </w:t>
      </w:r>
      <w:r>
        <w:rPr>
          <w:rFonts w:cstheme="minorHAnsi"/>
        </w:rPr>
        <w:t xml:space="preserve">both </w:t>
      </w:r>
      <w:r w:rsidRPr="00C767A7">
        <w:rPr>
          <w:rFonts w:cstheme="minorHAnsi"/>
        </w:rPr>
        <w:t xml:space="preserve">2014 and 2021/22, participants </w:t>
      </w:r>
      <w:r>
        <w:rPr>
          <w:rFonts w:cstheme="minorHAnsi"/>
        </w:rPr>
        <w:t xml:space="preserve">discussed aspects consistent with both </w:t>
      </w:r>
      <w:r w:rsidRPr="00C767A7">
        <w:rPr>
          <w:rFonts w:cstheme="minorHAnsi"/>
        </w:rPr>
        <w:t xml:space="preserve">regulatory and voluntary </w:t>
      </w:r>
      <w:r w:rsidR="00914BA4" w:rsidRPr="00914BA4">
        <w:rPr>
          <w:rFonts w:cstheme="minorHAnsi"/>
          <w:i/>
          <w:iCs/>
        </w:rPr>
        <w:t>E</w:t>
      </w:r>
      <w:r w:rsidRPr="00914BA4">
        <w:rPr>
          <w:rFonts w:cstheme="minorHAnsi"/>
          <w:i/>
          <w:iCs/>
        </w:rPr>
        <w:t>nforcement</w:t>
      </w:r>
      <w:r w:rsidRPr="00C767A7">
        <w:rPr>
          <w:rFonts w:cstheme="minorHAnsi"/>
        </w:rPr>
        <w:t xml:space="preserve"> of fair decision-making processes at PBAC and MSAC</w:t>
      </w:r>
      <w:r>
        <w:rPr>
          <w:rFonts w:cstheme="minorHAnsi"/>
        </w:rPr>
        <w:t xml:space="preserve">. Participants </w:t>
      </w:r>
      <w:r w:rsidRPr="002827C5">
        <w:rPr>
          <w:rFonts w:cstheme="minorHAnsi"/>
        </w:rPr>
        <w:t xml:space="preserve">also </w:t>
      </w:r>
      <w:r>
        <w:rPr>
          <w:rFonts w:cstheme="minorHAnsi"/>
        </w:rPr>
        <w:t xml:space="preserve">noted </w:t>
      </w:r>
      <w:r w:rsidRPr="002827C5">
        <w:rPr>
          <w:rFonts w:cstheme="minorHAnsi"/>
        </w:rPr>
        <w:t xml:space="preserve">that at the committee level, </w:t>
      </w:r>
      <w:r w:rsidR="00914BA4" w:rsidRPr="00914BA4">
        <w:rPr>
          <w:rFonts w:cstheme="minorHAnsi"/>
          <w:i/>
          <w:iCs/>
        </w:rPr>
        <w:t>E</w:t>
      </w:r>
      <w:r w:rsidRPr="00914BA4">
        <w:rPr>
          <w:rFonts w:cstheme="minorHAnsi"/>
          <w:i/>
          <w:iCs/>
        </w:rPr>
        <w:t>nforcement</w:t>
      </w:r>
      <w:r w:rsidRPr="002827C5">
        <w:rPr>
          <w:rFonts w:cstheme="minorHAnsi"/>
        </w:rPr>
        <w:t xml:space="preserve"> of fair process is thr</w:t>
      </w:r>
      <w:r>
        <w:rPr>
          <w:rFonts w:cstheme="minorHAnsi"/>
        </w:rPr>
        <w:t>ough</w:t>
      </w:r>
      <w:r w:rsidRPr="002827C5">
        <w:rPr>
          <w:rFonts w:cstheme="minorHAnsi"/>
        </w:rPr>
        <w:t xml:space="preserve"> deliberation, </w:t>
      </w:r>
      <w:r>
        <w:rPr>
          <w:rFonts w:cstheme="minorHAnsi"/>
        </w:rPr>
        <w:t xml:space="preserve">and this had improved over time </w:t>
      </w:r>
      <w:r w:rsidRPr="00AA3825">
        <w:rPr>
          <w:rFonts w:cstheme="minorHAnsi"/>
        </w:rPr>
        <w:t xml:space="preserve">with </w:t>
      </w:r>
      <w:r>
        <w:rPr>
          <w:rFonts w:cstheme="minorHAnsi"/>
        </w:rPr>
        <w:t xml:space="preserve">a </w:t>
      </w:r>
      <w:r w:rsidRPr="00AA3825">
        <w:rPr>
          <w:rFonts w:cstheme="minorHAnsi"/>
        </w:rPr>
        <w:t>broader committee</w:t>
      </w:r>
      <w:r>
        <w:rPr>
          <w:rFonts w:cstheme="minorHAnsi"/>
        </w:rPr>
        <w:t xml:space="preserve">. They also reported persistent system constraints on A4R with respect to </w:t>
      </w:r>
      <w:r w:rsidR="00075F4D">
        <w:rPr>
          <w:rFonts w:cstheme="minorHAnsi"/>
        </w:rPr>
        <w:t>tight timelines,</w:t>
      </w:r>
      <w:r w:rsidR="00075F4D" w:rsidRPr="00E00733">
        <w:rPr>
          <w:rFonts w:cstheme="minorHAnsi"/>
        </w:rPr>
        <w:t xml:space="preserve"> </w:t>
      </w:r>
      <w:r w:rsidR="00075F4D">
        <w:rPr>
          <w:rFonts w:cstheme="minorHAnsi"/>
        </w:rPr>
        <w:t xml:space="preserve">submission volumes </w:t>
      </w:r>
      <w:r w:rsidR="00075F4D" w:rsidRPr="00E00733">
        <w:rPr>
          <w:rFonts w:cstheme="minorHAnsi"/>
        </w:rPr>
        <w:t xml:space="preserve">and </w:t>
      </w:r>
      <w:r w:rsidR="00075F4D">
        <w:rPr>
          <w:rFonts w:cstheme="minorHAnsi"/>
        </w:rPr>
        <w:t>precedent as a constraint on decisions.</w:t>
      </w:r>
    </w:p>
    <w:p w14:paraId="389E9EF1" w14:textId="77777777" w:rsidR="006517CF" w:rsidRDefault="006517CF" w:rsidP="006517CF">
      <w:pPr>
        <w:spacing w:line="360" w:lineRule="auto"/>
        <w:jc w:val="both"/>
        <w:rPr>
          <w:rFonts w:cstheme="minorHAnsi"/>
        </w:rPr>
      </w:pPr>
      <w:r>
        <w:rPr>
          <w:rFonts w:cstheme="minorHAnsi"/>
        </w:rPr>
        <w:t xml:space="preserve">  </w:t>
      </w:r>
      <w:r w:rsidRPr="00C767A7">
        <w:rPr>
          <w:rFonts w:cstheme="minorHAnsi"/>
        </w:rPr>
        <w:t xml:space="preserve"> </w:t>
      </w:r>
    </w:p>
    <w:p w14:paraId="38445E37" w14:textId="77777777" w:rsidR="006517CF" w:rsidRPr="00C767A7" w:rsidRDefault="006517CF" w:rsidP="006517CF">
      <w:pPr>
        <w:pStyle w:val="Level2Heading"/>
        <w:numPr>
          <w:ilvl w:val="0"/>
          <w:numId w:val="13"/>
        </w:numPr>
        <w:spacing w:line="360" w:lineRule="auto"/>
        <w:outlineLvl w:val="3"/>
        <w:rPr>
          <w:rFonts w:asciiTheme="minorHAnsi" w:hAnsiTheme="minorHAnsi" w:cstheme="minorHAnsi"/>
        </w:rPr>
      </w:pPr>
      <w:bookmarkStart w:id="18" w:name="_Hlk164211794"/>
      <w:r w:rsidRPr="00C767A7">
        <w:rPr>
          <w:rFonts w:asciiTheme="minorHAnsi" w:hAnsiTheme="minorHAnsi" w:cstheme="minorHAnsi"/>
        </w:rPr>
        <w:t xml:space="preserve">Enforcement </w:t>
      </w:r>
      <w:r>
        <w:rPr>
          <w:rFonts w:asciiTheme="minorHAnsi" w:hAnsiTheme="minorHAnsi" w:cstheme="minorHAnsi"/>
        </w:rPr>
        <w:t xml:space="preserve">is achieved through </w:t>
      </w:r>
      <w:r w:rsidRPr="00C767A7">
        <w:rPr>
          <w:rFonts w:asciiTheme="minorHAnsi" w:hAnsiTheme="minorHAnsi" w:cstheme="minorHAnsi"/>
        </w:rPr>
        <w:t>deliberati</w:t>
      </w:r>
      <w:r>
        <w:rPr>
          <w:rFonts w:asciiTheme="minorHAnsi" w:hAnsiTheme="minorHAnsi" w:cstheme="minorHAnsi"/>
        </w:rPr>
        <w:t>on (l</w:t>
      </w:r>
      <w:r w:rsidRPr="00C767A7">
        <w:rPr>
          <w:rFonts w:asciiTheme="minorHAnsi" w:hAnsiTheme="minorHAnsi" w:cstheme="minorHAnsi"/>
        </w:rPr>
        <w:t>ike a j</w:t>
      </w:r>
      <w:r>
        <w:rPr>
          <w:rFonts w:asciiTheme="minorHAnsi" w:hAnsiTheme="minorHAnsi" w:cstheme="minorHAnsi"/>
        </w:rPr>
        <w:t>ury), no</w:t>
      </w:r>
      <w:r w:rsidRPr="00C767A7">
        <w:rPr>
          <w:rFonts w:asciiTheme="minorHAnsi" w:hAnsiTheme="minorHAnsi" w:cstheme="minorHAnsi"/>
        </w:rPr>
        <w:t xml:space="preserve"> explicit thresholds</w:t>
      </w:r>
      <w:r>
        <w:rPr>
          <w:rFonts w:asciiTheme="minorHAnsi" w:hAnsiTheme="minorHAnsi" w:cstheme="minorHAnsi"/>
        </w:rPr>
        <w:t xml:space="preserve">, consistency is </w:t>
      </w:r>
      <w:r w:rsidRPr="00C767A7">
        <w:rPr>
          <w:rFonts w:asciiTheme="minorHAnsi" w:hAnsiTheme="minorHAnsi" w:cstheme="minorHAnsi"/>
        </w:rPr>
        <w:t>achieved through precedence</w:t>
      </w:r>
    </w:p>
    <w:bookmarkEnd w:id="18"/>
    <w:p w14:paraId="31DF3594" w14:textId="77777777" w:rsidR="006517CF" w:rsidRDefault="006517CF" w:rsidP="006517CF">
      <w:pPr>
        <w:spacing w:line="360" w:lineRule="auto"/>
        <w:jc w:val="both"/>
        <w:rPr>
          <w:rFonts w:cstheme="minorHAnsi"/>
        </w:rPr>
      </w:pPr>
    </w:p>
    <w:p w14:paraId="5B17412F" w14:textId="08135C45" w:rsidR="006517CF" w:rsidRDefault="006517CF" w:rsidP="006517CF">
      <w:pPr>
        <w:spacing w:line="360" w:lineRule="auto"/>
        <w:jc w:val="both"/>
        <w:rPr>
          <w:rFonts w:cstheme="minorHAnsi"/>
        </w:rPr>
      </w:pPr>
      <w:r w:rsidRPr="00C767A7">
        <w:rPr>
          <w:rFonts w:cstheme="minorHAnsi"/>
        </w:rPr>
        <w:t>In 2014 and 20</w:t>
      </w:r>
      <w:r w:rsidR="00385484">
        <w:rPr>
          <w:rFonts w:cstheme="minorHAnsi"/>
        </w:rPr>
        <w:t>21/</w:t>
      </w:r>
      <w:r w:rsidRPr="00C767A7">
        <w:rPr>
          <w:rFonts w:cstheme="minorHAnsi"/>
        </w:rPr>
        <w:t xml:space="preserve">22, participants discussed both regulatory and voluntary </w:t>
      </w:r>
      <w:r w:rsidR="00914BA4" w:rsidRPr="00914BA4">
        <w:rPr>
          <w:rFonts w:cstheme="minorHAnsi"/>
          <w:i/>
          <w:iCs/>
        </w:rPr>
        <w:t>E</w:t>
      </w:r>
      <w:r w:rsidRPr="00914BA4">
        <w:rPr>
          <w:rFonts w:cstheme="minorHAnsi"/>
          <w:i/>
          <w:iCs/>
        </w:rPr>
        <w:t>nforcement</w:t>
      </w:r>
      <w:r w:rsidRPr="00C767A7">
        <w:rPr>
          <w:rFonts w:cstheme="minorHAnsi"/>
        </w:rPr>
        <w:t xml:space="preserve"> of fair decision-making processes at PBAC and MSAC. Regulatory </w:t>
      </w:r>
      <w:r w:rsidR="00914BA4" w:rsidRPr="00914BA4">
        <w:rPr>
          <w:rFonts w:cstheme="minorHAnsi"/>
          <w:i/>
          <w:iCs/>
        </w:rPr>
        <w:t>E</w:t>
      </w:r>
      <w:r w:rsidRPr="00914BA4">
        <w:rPr>
          <w:rFonts w:cstheme="minorHAnsi"/>
          <w:i/>
          <w:iCs/>
        </w:rPr>
        <w:t>nforcement</w:t>
      </w:r>
      <w:r w:rsidRPr="00C767A7">
        <w:rPr>
          <w:rFonts w:cstheme="minorHAnsi"/>
        </w:rPr>
        <w:t xml:space="preserve"> was particularly noted by participants for PBAC given the committee’s composition and decision criteria are stipulated by the N</w:t>
      </w:r>
      <w:r>
        <w:rPr>
          <w:rFonts w:cstheme="minorHAnsi"/>
        </w:rPr>
        <w:t xml:space="preserve">ational </w:t>
      </w:r>
      <w:r w:rsidRPr="00C767A7">
        <w:rPr>
          <w:rFonts w:cstheme="minorHAnsi"/>
        </w:rPr>
        <w:t>H</w:t>
      </w:r>
      <w:r>
        <w:rPr>
          <w:rFonts w:cstheme="minorHAnsi"/>
        </w:rPr>
        <w:t xml:space="preserve">ealth </w:t>
      </w:r>
      <w:r w:rsidRPr="00C767A7">
        <w:rPr>
          <w:rFonts w:cstheme="minorHAnsi"/>
        </w:rPr>
        <w:t>A</w:t>
      </w:r>
      <w:r>
        <w:rPr>
          <w:rFonts w:cstheme="minorHAnsi"/>
        </w:rPr>
        <w:t>ct</w:t>
      </w:r>
      <w:r w:rsidRPr="00C767A7">
        <w:rPr>
          <w:rFonts w:cstheme="minorHAnsi"/>
        </w:rPr>
        <w:t xml:space="preserve"> 1953 requiring the committee to consider comparative safety, comparative effectiveness and comparative cost and other factors.</w:t>
      </w:r>
    </w:p>
    <w:p w14:paraId="262CA0C9" w14:textId="77777777" w:rsidR="006517CF" w:rsidRPr="00F9228C" w:rsidRDefault="006517CF" w:rsidP="006517CF">
      <w:pPr>
        <w:spacing w:line="360" w:lineRule="auto"/>
        <w:ind w:left="284"/>
        <w:jc w:val="both"/>
        <w:rPr>
          <w:rFonts w:cstheme="minorHAnsi"/>
          <w:i/>
          <w:sz w:val="18"/>
        </w:rPr>
      </w:pPr>
      <w:r w:rsidRPr="00F9228C">
        <w:rPr>
          <w:rFonts w:cstheme="minorHAnsi"/>
          <w:i/>
          <w:sz w:val="18"/>
        </w:rPr>
        <w:lastRenderedPageBreak/>
        <w:t>“The [PBAC] is constrained by the National Health Act, so that’s comparative effectiveness, comparative safety – because we’re supposed to look at toxicity – and then comparative cost. … 101(3) of the National Health Act.  … Beyond that, then you go into all the technicalities of trying to make sense of a cost effectiveness evaluation and then … other factors.  [2014 DM10]</w:t>
      </w:r>
    </w:p>
    <w:p w14:paraId="19210A66" w14:textId="77777777" w:rsidR="006517CF" w:rsidRPr="00C767A7" w:rsidRDefault="006517CF" w:rsidP="006517CF">
      <w:pPr>
        <w:spacing w:line="360" w:lineRule="auto"/>
        <w:jc w:val="both"/>
        <w:rPr>
          <w:rFonts w:cstheme="minorHAnsi"/>
        </w:rPr>
      </w:pPr>
    </w:p>
    <w:p w14:paraId="2398BA8E" w14:textId="25F8AEB4" w:rsidR="006517CF" w:rsidRPr="00C767A7" w:rsidRDefault="006517CF" w:rsidP="006517CF">
      <w:pPr>
        <w:spacing w:line="360" w:lineRule="auto"/>
        <w:jc w:val="both"/>
        <w:rPr>
          <w:rFonts w:cstheme="minorHAnsi"/>
        </w:rPr>
      </w:pPr>
      <w:r w:rsidRPr="00C767A7">
        <w:rPr>
          <w:rFonts w:cstheme="minorHAnsi"/>
        </w:rPr>
        <w:t xml:space="preserve">Voluntary </w:t>
      </w:r>
      <w:r w:rsidR="00914BA4" w:rsidRPr="00914BA4">
        <w:rPr>
          <w:rFonts w:cstheme="minorHAnsi"/>
          <w:i/>
          <w:iCs/>
        </w:rPr>
        <w:t>E</w:t>
      </w:r>
      <w:r w:rsidRPr="00914BA4">
        <w:rPr>
          <w:rFonts w:cstheme="minorHAnsi"/>
          <w:i/>
          <w:iCs/>
        </w:rPr>
        <w:t>nforcement</w:t>
      </w:r>
      <w:r w:rsidRPr="00C767A7">
        <w:rPr>
          <w:rFonts w:cstheme="minorHAnsi"/>
        </w:rPr>
        <w:t xml:space="preserve"> is also apparent </w:t>
      </w:r>
      <w:r>
        <w:rPr>
          <w:rFonts w:cstheme="minorHAnsi"/>
        </w:rPr>
        <w:t>through</w:t>
      </w:r>
      <w:r w:rsidRPr="00C767A7">
        <w:rPr>
          <w:rFonts w:cstheme="minorHAnsi"/>
        </w:rPr>
        <w:t xml:space="preserve"> the continued broad stakeholder participation in the decision-making processes as noted by many participants across time. </w:t>
      </w:r>
    </w:p>
    <w:p w14:paraId="3539A8B6" w14:textId="77777777" w:rsidR="006517CF" w:rsidRDefault="006517CF" w:rsidP="006517CF">
      <w:pPr>
        <w:spacing w:line="360" w:lineRule="auto"/>
        <w:jc w:val="both"/>
        <w:rPr>
          <w:rFonts w:cstheme="minorHAnsi"/>
        </w:rPr>
      </w:pPr>
    </w:p>
    <w:p w14:paraId="000A20C4" w14:textId="17BC25FA" w:rsidR="006517CF" w:rsidRDefault="006517CF" w:rsidP="006517CF">
      <w:pPr>
        <w:spacing w:line="360" w:lineRule="auto"/>
        <w:jc w:val="both"/>
        <w:rPr>
          <w:rFonts w:cstheme="minorHAnsi"/>
        </w:rPr>
      </w:pPr>
      <w:r>
        <w:rPr>
          <w:rFonts w:cstheme="minorHAnsi"/>
        </w:rPr>
        <w:t>At both time points, p</w:t>
      </w:r>
      <w:r w:rsidRPr="00C767A7">
        <w:rPr>
          <w:rFonts w:cstheme="minorHAnsi"/>
        </w:rPr>
        <w:t>articipants</w:t>
      </w:r>
      <w:r>
        <w:rPr>
          <w:rFonts w:cstheme="minorHAnsi"/>
        </w:rPr>
        <w:t xml:space="preserve"> </w:t>
      </w:r>
      <w:r w:rsidRPr="00C767A7">
        <w:rPr>
          <w:rFonts w:cstheme="minorHAnsi"/>
        </w:rPr>
        <w:t>discussed that</w:t>
      </w:r>
      <w:r>
        <w:rPr>
          <w:rFonts w:cstheme="minorHAnsi"/>
        </w:rPr>
        <w:t xml:space="preserve"> at the committee level,</w:t>
      </w:r>
      <w:r w:rsidRPr="00C767A7">
        <w:rPr>
          <w:rFonts w:cstheme="minorHAnsi"/>
        </w:rPr>
        <w:t xml:space="preserve"> </w:t>
      </w:r>
      <w:r w:rsidR="00914BA4" w:rsidRPr="00914BA4">
        <w:rPr>
          <w:rFonts w:cstheme="minorHAnsi"/>
          <w:i/>
          <w:iCs/>
        </w:rPr>
        <w:t>E</w:t>
      </w:r>
      <w:r w:rsidRPr="00914BA4">
        <w:rPr>
          <w:rFonts w:cstheme="minorHAnsi"/>
          <w:i/>
          <w:iCs/>
        </w:rPr>
        <w:t>nforcement</w:t>
      </w:r>
      <w:r w:rsidRPr="00C767A7">
        <w:rPr>
          <w:rFonts w:cstheme="minorHAnsi"/>
        </w:rPr>
        <w:t xml:space="preserve"> of fair process is </w:t>
      </w:r>
      <w:r>
        <w:rPr>
          <w:rFonts w:cstheme="minorHAnsi"/>
        </w:rPr>
        <w:t>through</w:t>
      </w:r>
      <w:r w:rsidRPr="00C767A7">
        <w:rPr>
          <w:rFonts w:cstheme="minorHAnsi"/>
        </w:rPr>
        <w:t xml:space="preserve"> deliberation. In both time periods, formulaic approaches to </w:t>
      </w:r>
      <w:r>
        <w:rPr>
          <w:rFonts w:cstheme="minorHAnsi"/>
        </w:rPr>
        <w:t>decision-making</w:t>
      </w:r>
      <w:r w:rsidRPr="00C767A7">
        <w:rPr>
          <w:rFonts w:cstheme="minorHAnsi"/>
        </w:rPr>
        <w:t xml:space="preserve"> were likened to </w:t>
      </w:r>
      <w:r w:rsidRPr="00075F4D">
        <w:rPr>
          <w:rFonts w:cstheme="minorHAnsi"/>
          <w:i/>
          <w:iCs/>
        </w:rPr>
        <w:t>“monkeys sitting on a committee</w:t>
      </w:r>
      <w:r w:rsidRPr="00C767A7">
        <w:rPr>
          <w:rFonts w:cstheme="minorHAnsi"/>
        </w:rPr>
        <w:t>” and were not considered sensible approaches.</w:t>
      </w:r>
    </w:p>
    <w:p w14:paraId="1F97C018" w14:textId="63340501" w:rsidR="006517CF" w:rsidRPr="00F9228C" w:rsidRDefault="006517CF" w:rsidP="006517CF">
      <w:pPr>
        <w:spacing w:line="360" w:lineRule="auto"/>
        <w:ind w:left="284"/>
        <w:jc w:val="both"/>
        <w:rPr>
          <w:rFonts w:cstheme="minorHAnsi"/>
          <w:i/>
          <w:sz w:val="18"/>
        </w:rPr>
      </w:pPr>
      <w:r w:rsidRPr="00F9228C">
        <w:rPr>
          <w:rFonts w:cstheme="minorHAnsi"/>
          <w:i/>
          <w:sz w:val="18"/>
        </w:rPr>
        <w:t>“I think it’s reflective of the fact that it’s not monkeys sitting on a committee and it’s a sort of jury system … and people around the table bring their own preferences and those preferences come through in the submissions and in the responses and there’s that, …social personal … overlay that always comes to bear at some level or other.”  [2014 DM9]</w:t>
      </w:r>
    </w:p>
    <w:p w14:paraId="1BB117BD" w14:textId="77777777" w:rsidR="006517CF" w:rsidRDefault="006517CF" w:rsidP="006517CF">
      <w:pPr>
        <w:spacing w:line="360" w:lineRule="auto"/>
        <w:jc w:val="both"/>
        <w:rPr>
          <w:rFonts w:cstheme="minorHAnsi"/>
        </w:rPr>
      </w:pPr>
    </w:p>
    <w:p w14:paraId="73E8658E" w14:textId="4A8FADF7" w:rsidR="006517CF" w:rsidRDefault="006517CF" w:rsidP="006517CF">
      <w:pPr>
        <w:spacing w:line="360" w:lineRule="auto"/>
        <w:jc w:val="both"/>
        <w:rPr>
          <w:rFonts w:cstheme="minorHAnsi"/>
        </w:rPr>
      </w:pPr>
      <w:r w:rsidRPr="00C767A7">
        <w:rPr>
          <w:rFonts w:cstheme="minorHAnsi"/>
        </w:rPr>
        <w:t>The majority of participants across both time periods also reported strong preference for implicit rather than explicit decision thresholds (</w:t>
      </w:r>
      <w:r>
        <w:rPr>
          <w:rFonts w:cstheme="minorHAnsi"/>
        </w:rPr>
        <w:t>for example,</w:t>
      </w:r>
      <w:r w:rsidRPr="00C767A7">
        <w:rPr>
          <w:rFonts w:cstheme="minorHAnsi"/>
        </w:rPr>
        <w:t xml:space="preserve"> an implicit ICER threshold). Participants drew comparisons with </w:t>
      </w:r>
      <w:r>
        <w:rPr>
          <w:rFonts w:cstheme="minorHAnsi"/>
        </w:rPr>
        <w:t>decision-making</w:t>
      </w:r>
      <w:r w:rsidRPr="00C767A7">
        <w:rPr>
          <w:rFonts w:cstheme="minorHAnsi"/>
        </w:rPr>
        <w:t xml:space="preserve"> processes at NICE in the UK and reflected how the use of an explicit ICER threshold </w:t>
      </w:r>
      <w:r w:rsidR="00075F4D">
        <w:rPr>
          <w:rFonts w:cstheme="minorHAnsi"/>
        </w:rPr>
        <w:t xml:space="preserve">and how using an explicit ICER threshold, decision makers at NICE has </w:t>
      </w:r>
      <w:r w:rsidRPr="00125D9E">
        <w:rPr>
          <w:rFonts w:cstheme="minorHAnsi"/>
          <w:i/>
        </w:rPr>
        <w:t>“tied themselves in knots”.</w:t>
      </w:r>
      <w:r w:rsidRPr="00C767A7">
        <w:rPr>
          <w:rFonts w:cstheme="minorHAnsi"/>
        </w:rPr>
        <w:t xml:space="preserve">  Participants also noted that explicitness can encourage gaming.</w:t>
      </w:r>
    </w:p>
    <w:p w14:paraId="358CE5C2" w14:textId="77777777" w:rsidR="006517CF" w:rsidRPr="00F9228C" w:rsidRDefault="006517CF" w:rsidP="006517CF">
      <w:pPr>
        <w:spacing w:line="360" w:lineRule="auto"/>
        <w:ind w:left="284"/>
        <w:jc w:val="both"/>
        <w:rPr>
          <w:rFonts w:cstheme="minorHAnsi"/>
          <w:i/>
          <w:sz w:val="18"/>
        </w:rPr>
      </w:pPr>
      <w:r w:rsidRPr="00F9228C">
        <w:rPr>
          <w:rFonts w:cstheme="minorHAnsi"/>
          <w:i/>
          <w:sz w:val="18"/>
        </w:rPr>
        <w:t>“I just think that given what I’ve seen with the industry with gaming thresholds and gaming fixed numbers in economics, I think that a deliberative process is far less likely to be distorted systematically, if you like, compared to a weighted explicit 2.8 or whatever, 2.5 times the threshold type of gain” [2014 DM10].</w:t>
      </w:r>
    </w:p>
    <w:p w14:paraId="79570FFA" w14:textId="77777777" w:rsidR="006517CF" w:rsidRDefault="006517CF" w:rsidP="006517CF">
      <w:pPr>
        <w:spacing w:line="360" w:lineRule="auto"/>
        <w:jc w:val="both"/>
        <w:rPr>
          <w:rFonts w:cstheme="minorHAnsi"/>
        </w:rPr>
      </w:pPr>
    </w:p>
    <w:p w14:paraId="1C0CD51F" w14:textId="2B18FB91" w:rsidR="006517CF" w:rsidRDefault="006517CF" w:rsidP="006517CF">
      <w:pPr>
        <w:spacing w:line="360" w:lineRule="auto"/>
        <w:jc w:val="both"/>
        <w:rPr>
          <w:rFonts w:cstheme="minorHAnsi"/>
          <w:i/>
        </w:rPr>
      </w:pPr>
      <w:r w:rsidRPr="00C767A7">
        <w:rPr>
          <w:rFonts w:cstheme="minorHAnsi"/>
        </w:rPr>
        <w:t xml:space="preserve">In enforcing fair process </w:t>
      </w:r>
      <w:r>
        <w:rPr>
          <w:rFonts w:cstheme="minorHAnsi"/>
        </w:rPr>
        <w:t>through</w:t>
      </w:r>
      <w:r w:rsidRPr="00C767A7">
        <w:rPr>
          <w:rFonts w:cstheme="minorHAnsi"/>
        </w:rPr>
        <w:t xml:space="preserve"> deliberation, participants reflected on the importance of consistency in </w:t>
      </w:r>
      <w:r>
        <w:rPr>
          <w:rFonts w:cstheme="minorHAnsi"/>
        </w:rPr>
        <w:t>decision-making</w:t>
      </w:r>
      <w:r w:rsidRPr="00C767A7">
        <w:rPr>
          <w:rFonts w:cstheme="minorHAnsi"/>
        </w:rPr>
        <w:t xml:space="preserve"> and noted this was largely achieved </w:t>
      </w:r>
      <w:r>
        <w:rPr>
          <w:rFonts w:cstheme="minorHAnsi"/>
        </w:rPr>
        <w:t>through</w:t>
      </w:r>
      <w:r w:rsidRPr="00C767A7">
        <w:rPr>
          <w:rFonts w:cstheme="minorHAnsi"/>
        </w:rPr>
        <w:t xml:space="preserve"> decision precedence </w:t>
      </w:r>
      <w:r w:rsidRPr="00125D9E">
        <w:rPr>
          <w:rFonts w:cstheme="minorHAnsi"/>
          <w:i/>
        </w:rPr>
        <w:t>“mindful of what had been done before and in defending what looks like an apparent inconsistency” [2014 DM1].</w:t>
      </w:r>
      <w:r w:rsidRPr="00C767A7">
        <w:rPr>
          <w:rFonts w:cstheme="minorHAnsi"/>
        </w:rPr>
        <w:t xml:space="preserve"> One participant reflected this is also how the government expects the committees to operate, “</w:t>
      </w:r>
      <w:r w:rsidRPr="00125D9E">
        <w:rPr>
          <w:rFonts w:cstheme="minorHAnsi"/>
          <w:i/>
        </w:rPr>
        <w:t>to tackle the difficult technical and sometimes value laden issues and come up with their best advice in the circumstances in a practical and implementable way if it’s a positive thing, and defensible reasons if it’s not positive” [2014 DM1].</w:t>
      </w:r>
      <w:r w:rsidRPr="00C767A7">
        <w:rPr>
          <w:rFonts w:cstheme="minorHAnsi"/>
        </w:rPr>
        <w:t xml:space="preserve"> Participants drew similarities </w:t>
      </w:r>
      <w:r>
        <w:rPr>
          <w:rFonts w:cstheme="minorHAnsi"/>
        </w:rPr>
        <w:t>between</w:t>
      </w:r>
      <w:r w:rsidRPr="00C767A7">
        <w:rPr>
          <w:rFonts w:cstheme="minorHAnsi"/>
        </w:rPr>
        <w:t xml:space="preserve"> the decision-making process </w:t>
      </w:r>
      <w:r>
        <w:rPr>
          <w:rFonts w:cstheme="minorHAnsi"/>
        </w:rPr>
        <w:t xml:space="preserve">and </w:t>
      </w:r>
      <w:r w:rsidRPr="00C767A7">
        <w:rPr>
          <w:rFonts w:cstheme="minorHAnsi"/>
        </w:rPr>
        <w:t xml:space="preserve">a jury, with evidence presentation followed by deliberation and judgement.  The decision and </w:t>
      </w:r>
      <w:r w:rsidRPr="00C767A7">
        <w:rPr>
          <w:rFonts w:cstheme="minorHAnsi"/>
        </w:rPr>
        <w:lastRenderedPageBreak/>
        <w:t xml:space="preserve">rationale then act as precedence for future decisions. </w:t>
      </w:r>
      <w:bookmarkStart w:id="19" w:name="_Hlk183816136"/>
      <w:r w:rsidR="005354D3" w:rsidRPr="005354D3">
        <w:rPr>
          <w:rFonts w:cstheme="minorHAnsi"/>
          <w:iCs/>
        </w:rPr>
        <w:t>Challenge to consistency due to recall bias was discussed by a participant:</w:t>
      </w:r>
      <w:r w:rsidR="005354D3">
        <w:rPr>
          <w:rFonts w:cstheme="minorHAnsi"/>
          <w:i/>
        </w:rPr>
        <w:t xml:space="preserve"> “</w:t>
      </w:r>
      <w:r w:rsidR="005354D3" w:rsidRPr="003129D8">
        <w:rPr>
          <w:rFonts w:cstheme="minorHAnsi"/>
          <w:i/>
        </w:rPr>
        <w:t>if you asked everyone to recall what they'd done five years ago, they wouldn't necessarily remember correctly</w:t>
      </w:r>
      <w:r w:rsidR="005354D3">
        <w:rPr>
          <w:rFonts w:cstheme="minorHAnsi"/>
          <w:i/>
        </w:rPr>
        <w:t xml:space="preserve">” </w:t>
      </w:r>
      <w:r w:rsidR="005354D3" w:rsidRPr="005354D3">
        <w:rPr>
          <w:rFonts w:cstheme="minorHAnsi"/>
          <w:iCs/>
        </w:rPr>
        <w:t>but added</w:t>
      </w:r>
      <w:r w:rsidR="005354D3">
        <w:rPr>
          <w:rFonts w:cstheme="minorHAnsi"/>
          <w:i/>
        </w:rPr>
        <w:t xml:space="preserve"> “</w:t>
      </w:r>
      <w:r w:rsidR="005354D3" w:rsidRPr="00901F1A">
        <w:rPr>
          <w:rFonts w:cstheme="minorHAnsi"/>
          <w:i/>
        </w:rPr>
        <w:t>what's remarkable is how consistent the decision-making actually is, despite all that</w:t>
      </w:r>
      <w:r w:rsidR="005354D3">
        <w:rPr>
          <w:rFonts w:cstheme="minorHAnsi"/>
          <w:i/>
        </w:rPr>
        <w:t>” [2021/2022 DM5]</w:t>
      </w:r>
      <w:r w:rsidR="005354D3" w:rsidRPr="00901F1A">
        <w:rPr>
          <w:rFonts w:cstheme="minorHAnsi"/>
          <w:i/>
        </w:rPr>
        <w:t xml:space="preserve">. </w:t>
      </w:r>
      <w:bookmarkEnd w:id="19"/>
      <w:r w:rsidR="005354D3">
        <w:rPr>
          <w:rFonts w:cstheme="minorHAnsi"/>
        </w:rPr>
        <w:t>Another</w:t>
      </w:r>
      <w:r w:rsidR="005354D3" w:rsidRPr="00F9442A">
        <w:rPr>
          <w:rFonts w:cstheme="minorHAnsi"/>
        </w:rPr>
        <w:t xml:space="preserve"> </w:t>
      </w:r>
      <w:r w:rsidRPr="00C767A7">
        <w:rPr>
          <w:rFonts w:cstheme="minorHAnsi"/>
        </w:rPr>
        <w:t xml:space="preserve">participant reflected that the information to enable consistency in </w:t>
      </w:r>
      <w:r>
        <w:rPr>
          <w:rFonts w:cstheme="minorHAnsi"/>
        </w:rPr>
        <w:t>decision-making</w:t>
      </w:r>
      <w:r w:rsidRPr="00C767A7">
        <w:rPr>
          <w:rFonts w:cstheme="minorHAnsi"/>
        </w:rPr>
        <w:t xml:space="preserve"> is often provided by Department officers, </w:t>
      </w:r>
      <w:r w:rsidRPr="00125D9E">
        <w:rPr>
          <w:rFonts w:cstheme="minorHAnsi"/>
          <w:i/>
        </w:rPr>
        <w:t>“with a depth of corporate knowledge about what's been done in the past and why it's been done. … they have no influence over the recommendation, but they provide that corporate context for consistency [20</w:t>
      </w:r>
      <w:r>
        <w:rPr>
          <w:rFonts w:cstheme="minorHAnsi"/>
          <w:i/>
        </w:rPr>
        <w:t>21/</w:t>
      </w:r>
      <w:r w:rsidRPr="00125D9E">
        <w:rPr>
          <w:rFonts w:cstheme="minorHAnsi"/>
          <w:i/>
        </w:rPr>
        <w:t xml:space="preserve">22, DM12]. </w:t>
      </w:r>
      <w:r w:rsidR="005354D3" w:rsidRPr="001C1649">
        <w:rPr>
          <w:rFonts w:cstheme="minorHAnsi"/>
          <w:iCs/>
        </w:rPr>
        <w:t>Additionally, participants acknowledged that the industry contributes to consistency by citing precedence however this can also be used to constrain the committee</w:t>
      </w:r>
      <w:r w:rsidR="005354D3">
        <w:rPr>
          <w:rFonts w:cstheme="minorHAnsi"/>
          <w:i/>
        </w:rPr>
        <w:t xml:space="preserve"> </w:t>
      </w:r>
      <w:r w:rsidR="005354D3" w:rsidRPr="00C70591">
        <w:rPr>
          <w:rFonts w:cstheme="minorHAnsi"/>
          <w:i/>
        </w:rPr>
        <w:t>“But you paid this for this reason, and so we're saying that we've got this reason, and so you have to pay us at least this much</w:t>
      </w:r>
      <w:r w:rsidR="005354D3">
        <w:rPr>
          <w:rFonts w:cstheme="minorHAnsi"/>
          <w:i/>
        </w:rPr>
        <w:t>” [2021/22 DM10].</w:t>
      </w:r>
      <w:r w:rsidR="005354D3" w:rsidRPr="00C70591">
        <w:rPr>
          <w:rFonts w:cstheme="minorHAnsi"/>
          <w:i/>
        </w:rPr>
        <w:t xml:space="preserve"> </w:t>
      </w:r>
      <w:r w:rsidR="005354D3">
        <w:rPr>
          <w:rFonts w:cstheme="minorHAnsi"/>
          <w:i/>
        </w:rPr>
        <w:t>“</w:t>
      </w:r>
      <w:r w:rsidR="005354D3" w:rsidRPr="00957473">
        <w:rPr>
          <w:rFonts w:cstheme="minorHAnsi"/>
          <w:i/>
        </w:rPr>
        <w:t>I think that does mean that some people will be disadvantaged</w:t>
      </w:r>
      <w:r w:rsidR="005354D3">
        <w:rPr>
          <w:rFonts w:cstheme="minorHAnsi"/>
          <w:i/>
        </w:rPr>
        <w:t xml:space="preserve"> [due to this consistency]”</w:t>
      </w:r>
      <w:r w:rsidR="005354D3" w:rsidRPr="00957473">
        <w:rPr>
          <w:rFonts w:cstheme="minorHAnsi"/>
          <w:i/>
        </w:rPr>
        <w:t xml:space="preserve"> [2021/22 DM6]</w:t>
      </w:r>
      <w:r w:rsidR="005354D3">
        <w:rPr>
          <w:rFonts w:cstheme="minorHAnsi"/>
          <w:i/>
        </w:rPr>
        <w:t xml:space="preserve">.  </w:t>
      </w:r>
    </w:p>
    <w:p w14:paraId="3358BDEF" w14:textId="77777777" w:rsidR="006517CF" w:rsidRPr="00125D9E" w:rsidRDefault="006517CF" w:rsidP="006517CF">
      <w:pPr>
        <w:spacing w:line="360" w:lineRule="auto"/>
        <w:jc w:val="both"/>
        <w:rPr>
          <w:rFonts w:cstheme="minorHAnsi"/>
          <w:i/>
        </w:rPr>
      </w:pPr>
    </w:p>
    <w:p w14:paraId="6E7B5216" w14:textId="77777777" w:rsidR="006517CF" w:rsidRPr="00C767A7" w:rsidRDefault="006517CF" w:rsidP="006517CF">
      <w:pPr>
        <w:pStyle w:val="Level2Heading"/>
        <w:numPr>
          <w:ilvl w:val="0"/>
          <w:numId w:val="13"/>
        </w:numPr>
        <w:spacing w:line="360" w:lineRule="auto"/>
        <w:outlineLvl w:val="3"/>
        <w:rPr>
          <w:rFonts w:asciiTheme="minorHAnsi" w:hAnsiTheme="minorHAnsi" w:cstheme="minorHAnsi"/>
        </w:rPr>
      </w:pPr>
      <w:bookmarkStart w:id="20" w:name="_Hlk164212700"/>
      <w:r w:rsidRPr="001671F4">
        <w:rPr>
          <w:rFonts w:asciiTheme="minorHAnsi" w:hAnsiTheme="minorHAnsi" w:cstheme="minorHAnsi"/>
        </w:rPr>
        <w:t>Evolution of deliberative processes over time</w:t>
      </w:r>
      <w:r>
        <w:rPr>
          <w:rFonts w:asciiTheme="minorHAnsi" w:hAnsiTheme="minorHAnsi" w:cstheme="minorHAnsi"/>
        </w:rPr>
        <w:t xml:space="preserve"> with</w:t>
      </w:r>
      <w:r w:rsidRPr="001671F4">
        <w:rPr>
          <w:rFonts w:asciiTheme="minorHAnsi" w:hAnsiTheme="minorHAnsi" w:cstheme="minorHAnsi"/>
        </w:rPr>
        <w:t xml:space="preserve"> broade</w:t>
      </w:r>
      <w:r>
        <w:rPr>
          <w:rFonts w:asciiTheme="minorHAnsi" w:hAnsiTheme="minorHAnsi" w:cstheme="minorHAnsi"/>
        </w:rPr>
        <w:t>r</w:t>
      </w:r>
      <w:r w:rsidRPr="001671F4">
        <w:rPr>
          <w:rFonts w:asciiTheme="minorHAnsi" w:hAnsiTheme="minorHAnsi" w:cstheme="minorHAnsi"/>
        </w:rPr>
        <w:t xml:space="preserve"> committee memberships, inclusive culture to reflect societal </w:t>
      </w:r>
      <w:r>
        <w:rPr>
          <w:rFonts w:asciiTheme="minorHAnsi" w:hAnsiTheme="minorHAnsi" w:cstheme="minorHAnsi"/>
        </w:rPr>
        <w:t xml:space="preserve">values </w:t>
      </w:r>
    </w:p>
    <w:bookmarkEnd w:id="20"/>
    <w:p w14:paraId="0C091526" w14:textId="77777777" w:rsidR="006517CF" w:rsidRDefault="006517CF" w:rsidP="006517CF">
      <w:pPr>
        <w:spacing w:line="360" w:lineRule="auto"/>
        <w:jc w:val="both"/>
        <w:rPr>
          <w:rFonts w:cstheme="minorHAnsi"/>
        </w:rPr>
      </w:pPr>
    </w:p>
    <w:p w14:paraId="537D0FB8" w14:textId="16D96A02" w:rsidR="006517CF" w:rsidRPr="001671F4" w:rsidRDefault="006517CF" w:rsidP="006517CF">
      <w:pPr>
        <w:spacing w:line="360" w:lineRule="auto"/>
        <w:jc w:val="both"/>
        <w:rPr>
          <w:rFonts w:cstheme="minorHAnsi"/>
        </w:rPr>
      </w:pPr>
      <w:r w:rsidRPr="001671F4">
        <w:rPr>
          <w:rFonts w:cstheme="minorHAnsi"/>
        </w:rPr>
        <w:t xml:space="preserve">Between 2014 and </w:t>
      </w:r>
      <w:r w:rsidR="005354D3">
        <w:rPr>
          <w:rFonts w:cstheme="minorHAnsi"/>
        </w:rPr>
        <w:t>2021/</w:t>
      </w:r>
      <w:r w:rsidRPr="001671F4">
        <w:rPr>
          <w:rFonts w:cstheme="minorHAnsi"/>
        </w:rPr>
        <w:t>22 participant</w:t>
      </w:r>
      <w:r>
        <w:rPr>
          <w:rFonts w:cstheme="minorHAnsi"/>
        </w:rPr>
        <w:t>s</w:t>
      </w:r>
      <w:r w:rsidRPr="001671F4">
        <w:rPr>
          <w:rFonts w:cstheme="minorHAnsi"/>
        </w:rPr>
        <w:t xml:space="preserve"> also reported significant structural improvement to decision-making in accordance with A4R, by broadening committee membership at PBAC and MSAC to encourage deliberation (see also </w:t>
      </w:r>
      <w:r w:rsidRPr="005354D3">
        <w:rPr>
          <w:rFonts w:cstheme="minorHAnsi"/>
          <w:i/>
          <w:iCs/>
        </w:rPr>
        <w:t>Relevance</w:t>
      </w:r>
      <w:r w:rsidRPr="001671F4">
        <w:rPr>
          <w:rFonts w:cstheme="minorHAnsi"/>
        </w:rPr>
        <w:t xml:space="preserve">). One participated noted: </w:t>
      </w:r>
    </w:p>
    <w:p w14:paraId="7FD0F988" w14:textId="718A4C72" w:rsidR="006517CF" w:rsidRPr="00F9228C" w:rsidRDefault="006517CF" w:rsidP="006517CF">
      <w:pPr>
        <w:spacing w:line="360" w:lineRule="auto"/>
        <w:ind w:left="284"/>
        <w:jc w:val="both"/>
        <w:rPr>
          <w:rFonts w:cstheme="minorHAnsi"/>
          <w:i/>
          <w:sz w:val="18"/>
        </w:rPr>
      </w:pPr>
      <w:r w:rsidRPr="00F9228C">
        <w:rPr>
          <w:rFonts w:cstheme="minorHAnsi"/>
          <w:i/>
          <w:sz w:val="18"/>
        </w:rPr>
        <w:t>“</w:t>
      </w:r>
      <w:r w:rsidR="005354D3">
        <w:rPr>
          <w:rFonts w:cstheme="minorHAnsi"/>
          <w:i/>
          <w:sz w:val="18"/>
        </w:rPr>
        <w:t>W</w:t>
      </w:r>
      <w:r w:rsidRPr="00F9228C">
        <w:rPr>
          <w:rFonts w:cstheme="minorHAnsi"/>
          <w:i/>
          <w:sz w:val="18"/>
        </w:rPr>
        <w:t xml:space="preserve">e are seeing an evolution of the deliberative process. Back in 1995 it was a group of old men, there was one woman on the committee, and they were all clinicians, and </w:t>
      </w:r>
      <w:r>
        <w:rPr>
          <w:rFonts w:cstheme="minorHAnsi"/>
          <w:i/>
          <w:sz w:val="18"/>
        </w:rPr>
        <w:t>…</w:t>
      </w:r>
      <w:r w:rsidRPr="00F9228C">
        <w:rPr>
          <w:rFonts w:cstheme="minorHAnsi"/>
          <w:i/>
          <w:sz w:val="18"/>
        </w:rPr>
        <w:t xml:space="preserve"> there was little beyond looking at the effectiveness and cost of the drugs. We’ve added a lot more people and we’ve mixed the brew of people on PBAC. We have a whole range of consultative mechanisms that go with the PBAC processes, where we consult with interested parties.  And we spend a lot more deliberation around these matters and exploring those issues (more than we did).” [20</w:t>
      </w:r>
      <w:r>
        <w:rPr>
          <w:rFonts w:cstheme="minorHAnsi"/>
          <w:i/>
          <w:sz w:val="18"/>
        </w:rPr>
        <w:t>21/2</w:t>
      </w:r>
      <w:r w:rsidRPr="00F9228C">
        <w:rPr>
          <w:rFonts w:cstheme="minorHAnsi"/>
          <w:i/>
          <w:sz w:val="18"/>
        </w:rPr>
        <w:t>2 DM</w:t>
      </w:r>
      <w:r>
        <w:rPr>
          <w:rFonts w:cstheme="minorHAnsi"/>
          <w:i/>
          <w:sz w:val="18"/>
        </w:rPr>
        <w:t>6</w:t>
      </w:r>
      <w:r w:rsidRPr="00F9228C">
        <w:rPr>
          <w:rFonts w:cstheme="minorHAnsi"/>
          <w:i/>
          <w:sz w:val="18"/>
        </w:rPr>
        <w:t xml:space="preserve">]. </w:t>
      </w:r>
    </w:p>
    <w:p w14:paraId="0F01C1A2" w14:textId="77777777" w:rsidR="006517CF" w:rsidRDefault="006517CF" w:rsidP="006517CF">
      <w:pPr>
        <w:spacing w:line="360" w:lineRule="auto"/>
        <w:jc w:val="both"/>
        <w:rPr>
          <w:rFonts w:cstheme="minorHAnsi"/>
        </w:rPr>
      </w:pPr>
    </w:p>
    <w:p w14:paraId="516E14A1" w14:textId="50CFF4D1" w:rsidR="006517CF" w:rsidRDefault="006517CF" w:rsidP="006517CF">
      <w:pPr>
        <w:spacing w:line="360" w:lineRule="auto"/>
        <w:jc w:val="both"/>
        <w:rPr>
          <w:rFonts w:cstheme="minorHAnsi"/>
        </w:rPr>
      </w:pPr>
      <w:r w:rsidRPr="00C767A7">
        <w:rPr>
          <w:rFonts w:cstheme="minorHAnsi"/>
        </w:rPr>
        <w:t xml:space="preserve">Participants reported that decisions are usually based on consensus, there is voting but votes are not formally documented. In 2014 one participant reported different members </w:t>
      </w:r>
      <w:r>
        <w:rPr>
          <w:rFonts w:cstheme="minorHAnsi"/>
        </w:rPr>
        <w:t xml:space="preserve">were perceived to </w:t>
      </w:r>
      <w:r w:rsidRPr="00C767A7">
        <w:rPr>
          <w:rFonts w:cstheme="minorHAnsi"/>
        </w:rPr>
        <w:t xml:space="preserve">carry different weights in forming </w:t>
      </w:r>
      <w:r>
        <w:rPr>
          <w:rFonts w:cstheme="minorHAnsi"/>
        </w:rPr>
        <w:t>a</w:t>
      </w:r>
      <w:r w:rsidRPr="00C767A7">
        <w:rPr>
          <w:rFonts w:cstheme="minorHAnsi"/>
        </w:rPr>
        <w:t xml:space="preserve"> consensus.  This contrasted with </w:t>
      </w:r>
      <w:r>
        <w:rPr>
          <w:rFonts w:cstheme="minorHAnsi"/>
        </w:rPr>
        <w:t>decision-maker</w:t>
      </w:r>
      <w:r w:rsidRPr="00C767A7">
        <w:rPr>
          <w:rFonts w:cstheme="minorHAnsi"/>
        </w:rPr>
        <w:t xml:space="preserve"> views in 20</w:t>
      </w:r>
      <w:r w:rsidR="00385484">
        <w:rPr>
          <w:rFonts w:cstheme="minorHAnsi"/>
        </w:rPr>
        <w:t>21/</w:t>
      </w:r>
      <w:r w:rsidRPr="00C767A7">
        <w:rPr>
          <w:rFonts w:cstheme="minorHAnsi"/>
        </w:rPr>
        <w:t xml:space="preserve">22, where </w:t>
      </w:r>
      <w:r>
        <w:rPr>
          <w:rFonts w:cstheme="minorHAnsi"/>
        </w:rPr>
        <w:t>decision-maker</w:t>
      </w:r>
      <w:r w:rsidRPr="00C767A7">
        <w:rPr>
          <w:rFonts w:cstheme="minorHAnsi"/>
        </w:rPr>
        <w:t xml:space="preserve">s reported </w:t>
      </w:r>
      <w:r w:rsidR="005354D3">
        <w:rPr>
          <w:rFonts w:cstheme="minorHAnsi"/>
        </w:rPr>
        <w:t xml:space="preserve">that </w:t>
      </w:r>
      <w:r w:rsidRPr="00C767A7">
        <w:rPr>
          <w:rFonts w:cstheme="minorHAnsi"/>
        </w:rPr>
        <w:t>broader committee membership created a balanced set of views, decisions are still by consensus</w:t>
      </w:r>
      <w:r>
        <w:rPr>
          <w:rFonts w:cstheme="minorHAnsi"/>
        </w:rPr>
        <w:t xml:space="preserve"> and</w:t>
      </w:r>
      <w:r w:rsidRPr="00C767A7">
        <w:rPr>
          <w:rFonts w:cstheme="minorHAnsi"/>
        </w:rPr>
        <w:t xml:space="preserve"> all member views are valued</w:t>
      </w:r>
      <w:r>
        <w:rPr>
          <w:rFonts w:cstheme="minorHAnsi"/>
        </w:rPr>
        <w:t xml:space="preserve">. The </w:t>
      </w:r>
      <w:r w:rsidRPr="00C767A7">
        <w:rPr>
          <w:rFonts w:cstheme="minorHAnsi"/>
        </w:rPr>
        <w:t>importance of the committee chairs in establishing a collaborative culture</w:t>
      </w:r>
      <w:r>
        <w:rPr>
          <w:rFonts w:cstheme="minorHAnsi"/>
        </w:rPr>
        <w:t xml:space="preserve"> was noted</w:t>
      </w:r>
      <w:r w:rsidRPr="00C767A7">
        <w:rPr>
          <w:rFonts w:cstheme="minorHAnsi"/>
        </w:rPr>
        <w:t xml:space="preserve">. </w:t>
      </w:r>
    </w:p>
    <w:p w14:paraId="071A47D9" w14:textId="77777777" w:rsidR="006517CF" w:rsidRPr="00F9228C" w:rsidRDefault="006517CF" w:rsidP="006517CF">
      <w:pPr>
        <w:spacing w:line="360" w:lineRule="auto"/>
        <w:ind w:left="284"/>
        <w:jc w:val="both"/>
        <w:rPr>
          <w:rFonts w:cstheme="minorHAnsi"/>
          <w:i/>
          <w:sz w:val="18"/>
        </w:rPr>
      </w:pPr>
      <w:r>
        <w:rPr>
          <w:rFonts w:cstheme="minorHAnsi"/>
          <w:i/>
          <w:sz w:val="18"/>
        </w:rPr>
        <w:t>“</w:t>
      </w:r>
      <w:r w:rsidRPr="00F9228C">
        <w:rPr>
          <w:rFonts w:cstheme="minorHAnsi"/>
          <w:i/>
          <w:sz w:val="18"/>
        </w:rPr>
        <w:t xml:space="preserve">[members] genuinely try and find a way forward, as </w:t>
      </w:r>
      <w:r>
        <w:rPr>
          <w:rFonts w:cstheme="minorHAnsi"/>
          <w:i/>
          <w:sz w:val="18"/>
        </w:rPr>
        <w:t>o</w:t>
      </w:r>
      <w:r w:rsidRPr="00F9228C">
        <w:rPr>
          <w:rFonts w:cstheme="minorHAnsi"/>
          <w:i/>
          <w:sz w:val="18"/>
        </w:rPr>
        <w:t>pposed to, […] a couple of the more important sort of experts winning their way “[20</w:t>
      </w:r>
      <w:r>
        <w:rPr>
          <w:rFonts w:cstheme="minorHAnsi"/>
          <w:i/>
          <w:sz w:val="18"/>
        </w:rPr>
        <w:t>21/</w:t>
      </w:r>
      <w:r w:rsidRPr="00F9228C">
        <w:rPr>
          <w:rFonts w:cstheme="minorHAnsi"/>
          <w:i/>
          <w:sz w:val="18"/>
        </w:rPr>
        <w:t xml:space="preserve">22 DM1]. </w:t>
      </w:r>
    </w:p>
    <w:p w14:paraId="3645302E" w14:textId="09A6BBF6" w:rsidR="005354D3" w:rsidRPr="00C767A7" w:rsidRDefault="005354D3" w:rsidP="005354D3">
      <w:pPr>
        <w:spacing w:line="360" w:lineRule="auto"/>
        <w:jc w:val="both"/>
        <w:rPr>
          <w:rFonts w:cstheme="minorHAnsi"/>
        </w:rPr>
      </w:pPr>
      <w:r w:rsidRPr="00C767A7">
        <w:rPr>
          <w:rFonts w:cstheme="minorHAnsi"/>
        </w:rPr>
        <w:lastRenderedPageBreak/>
        <w:t xml:space="preserve">One participant </w:t>
      </w:r>
      <w:r>
        <w:rPr>
          <w:rFonts w:cstheme="minorHAnsi"/>
        </w:rPr>
        <w:t xml:space="preserve">in 2021/22 </w:t>
      </w:r>
      <w:r w:rsidRPr="00C767A7">
        <w:rPr>
          <w:rFonts w:cstheme="minorHAnsi"/>
        </w:rPr>
        <w:t>conceded that the committee may need to continue to evolve, including formally consulting the general public on value judgements, particularly when the budget impact is large.</w:t>
      </w:r>
    </w:p>
    <w:p w14:paraId="60952546" w14:textId="77777777" w:rsidR="005354D3" w:rsidRDefault="005354D3" w:rsidP="006517CF">
      <w:pPr>
        <w:spacing w:line="360" w:lineRule="auto"/>
        <w:jc w:val="both"/>
        <w:rPr>
          <w:rFonts w:cstheme="minorHAnsi"/>
        </w:rPr>
      </w:pPr>
    </w:p>
    <w:p w14:paraId="230E08F1" w14:textId="175630A7" w:rsidR="006517CF" w:rsidRPr="00C767A7" w:rsidRDefault="006517CF" w:rsidP="006517CF">
      <w:pPr>
        <w:spacing w:line="360" w:lineRule="auto"/>
        <w:jc w:val="both"/>
        <w:rPr>
          <w:rFonts w:cstheme="minorHAnsi"/>
        </w:rPr>
      </w:pPr>
      <w:r w:rsidRPr="00C767A7">
        <w:rPr>
          <w:rFonts w:cstheme="minorHAnsi"/>
        </w:rPr>
        <w:t xml:space="preserve">Another aspect discussed by participants was the multi-layered, stepwise approach </w:t>
      </w:r>
      <w:r>
        <w:rPr>
          <w:rFonts w:cstheme="minorHAnsi"/>
        </w:rPr>
        <w:t xml:space="preserve">to the </w:t>
      </w:r>
      <w:r w:rsidRPr="00C767A7">
        <w:rPr>
          <w:rFonts w:cstheme="minorHAnsi"/>
        </w:rPr>
        <w:t>decision</w:t>
      </w:r>
      <w:r>
        <w:rPr>
          <w:rFonts w:cstheme="minorHAnsi"/>
        </w:rPr>
        <w:t>-making</w:t>
      </w:r>
      <w:r w:rsidRPr="00C767A7">
        <w:rPr>
          <w:rFonts w:cstheme="minorHAnsi"/>
        </w:rPr>
        <w:t xml:space="preserve"> processes at MSAC and PBAC. Starting with a detailed critique of the sponsor submissions </w:t>
      </w:r>
      <w:r>
        <w:rPr>
          <w:rFonts w:cstheme="minorHAnsi"/>
        </w:rPr>
        <w:t xml:space="preserve">focusing on all the details, </w:t>
      </w:r>
      <w:r w:rsidRPr="00C767A7">
        <w:rPr>
          <w:rFonts w:cstheme="minorHAnsi"/>
        </w:rPr>
        <w:t xml:space="preserve">followed </w:t>
      </w:r>
      <w:r>
        <w:rPr>
          <w:rFonts w:cstheme="minorHAnsi"/>
        </w:rPr>
        <w:t xml:space="preserve">by review of the </w:t>
      </w:r>
      <w:r w:rsidRPr="00C767A7">
        <w:rPr>
          <w:rFonts w:cstheme="minorHAnsi"/>
        </w:rPr>
        <w:t xml:space="preserve">technical </w:t>
      </w:r>
      <w:r>
        <w:rPr>
          <w:rFonts w:cstheme="minorHAnsi"/>
        </w:rPr>
        <w:t xml:space="preserve">information by the relevant </w:t>
      </w:r>
      <w:r w:rsidRPr="00C767A7">
        <w:rPr>
          <w:rFonts w:cstheme="minorHAnsi"/>
        </w:rPr>
        <w:t>subcommittees (focusing on the technical competenc</w:t>
      </w:r>
      <w:r>
        <w:rPr>
          <w:rFonts w:cstheme="minorHAnsi"/>
        </w:rPr>
        <w:t>ie</w:t>
      </w:r>
      <w:r w:rsidRPr="00C767A7">
        <w:rPr>
          <w:rFonts w:cstheme="minorHAnsi"/>
        </w:rPr>
        <w:t xml:space="preserve">s of the submissions) and finally MSAC or PBAC for </w:t>
      </w:r>
      <w:r>
        <w:rPr>
          <w:rFonts w:cstheme="minorHAnsi"/>
        </w:rPr>
        <w:t>deliberation</w:t>
      </w:r>
      <w:r w:rsidRPr="00C767A7">
        <w:rPr>
          <w:rFonts w:cstheme="minorHAnsi"/>
        </w:rPr>
        <w:t xml:space="preserve">. Each step relies and builds on the previous. Sponsors are also provided opportunity to respond to the issues </w:t>
      </w:r>
      <w:r>
        <w:rPr>
          <w:rFonts w:cstheme="minorHAnsi"/>
        </w:rPr>
        <w:t xml:space="preserve">raised </w:t>
      </w:r>
      <w:r w:rsidRPr="00C767A7">
        <w:rPr>
          <w:rFonts w:cstheme="minorHAnsi"/>
        </w:rPr>
        <w:t xml:space="preserve">at each step. One participant noted this structured approach is what allows for broader discussions at PBAC beyond the technical elements of the submission </w:t>
      </w:r>
      <w:r w:rsidRPr="00EB4FE6">
        <w:rPr>
          <w:rFonts w:cstheme="minorHAnsi"/>
          <w:i/>
        </w:rPr>
        <w:t>“since they [the technical information] were mostly done by the time the committee is sitting” [2021/22 DM1].</w:t>
      </w:r>
      <w:r w:rsidRPr="00C767A7">
        <w:rPr>
          <w:rFonts w:cstheme="minorHAnsi"/>
        </w:rPr>
        <w:t xml:space="preserve">  While participants noted their individual responsibilities to understanding the submissions, they also noted the benefits of having support from the broad expertise in the committee. </w:t>
      </w:r>
    </w:p>
    <w:p w14:paraId="6C79DCFD" w14:textId="77777777" w:rsidR="006517CF" w:rsidRDefault="006517CF" w:rsidP="006517CF">
      <w:pPr>
        <w:jc w:val="both"/>
      </w:pPr>
    </w:p>
    <w:p w14:paraId="52408A0A" w14:textId="4194B10E" w:rsidR="006517CF" w:rsidRPr="002546DB" w:rsidRDefault="006517CF" w:rsidP="006517CF">
      <w:pPr>
        <w:pStyle w:val="Level2Heading"/>
        <w:numPr>
          <w:ilvl w:val="0"/>
          <w:numId w:val="13"/>
        </w:numPr>
        <w:spacing w:line="360" w:lineRule="auto"/>
        <w:jc w:val="both"/>
        <w:outlineLvl w:val="3"/>
      </w:pPr>
      <w:bookmarkStart w:id="21" w:name="_Hlk164212447"/>
      <w:r w:rsidRPr="002546DB">
        <w:rPr>
          <w:rFonts w:asciiTheme="minorHAnsi" w:hAnsiTheme="minorHAnsi" w:cstheme="minorHAnsi"/>
        </w:rPr>
        <w:t xml:space="preserve">Constraints on A4R –tight timelines and submission-based processes limiting wider consideration beyond the submission (impacting </w:t>
      </w:r>
      <w:r w:rsidR="00914BA4" w:rsidRPr="00914BA4">
        <w:rPr>
          <w:rFonts w:asciiTheme="minorHAnsi" w:hAnsiTheme="minorHAnsi" w:cstheme="minorHAnsi"/>
          <w:i/>
          <w:iCs/>
        </w:rPr>
        <w:t>R</w:t>
      </w:r>
      <w:r w:rsidRPr="00914BA4">
        <w:rPr>
          <w:rFonts w:asciiTheme="minorHAnsi" w:hAnsiTheme="minorHAnsi" w:cstheme="minorHAnsi"/>
          <w:i/>
          <w:iCs/>
        </w:rPr>
        <w:t>elevance</w:t>
      </w:r>
      <w:r w:rsidRPr="002546DB">
        <w:rPr>
          <w:rFonts w:asciiTheme="minorHAnsi" w:hAnsiTheme="minorHAnsi" w:cstheme="minorHAnsi"/>
        </w:rPr>
        <w:t xml:space="preserve">) </w:t>
      </w:r>
      <w:bookmarkEnd w:id="21"/>
    </w:p>
    <w:p w14:paraId="6B6AF15F" w14:textId="77777777" w:rsidR="005354D3" w:rsidRDefault="005354D3" w:rsidP="006517CF">
      <w:pPr>
        <w:spacing w:line="360" w:lineRule="auto"/>
        <w:jc w:val="both"/>
        <w:rPr>
          <w:rFonts w:cstheme="minorHAnsi"/>
        </w:rPr>
      </w:pPr>
    </w:p>
    <w:p w14:paraId="10FC71CF" w14:textId="5C3EAC75" w:rsidR="006517CF" w:rsidRDefault="006517CF" w:rsidP="006517CF">
      <w:pPr>
        <w:spacing w:line="360" w:lineRule="auto"/>
        <w:jc w:val="both"/>
        <w:rPr>
          <w:rFonts w:cstheme="minorHAnsi"/>
        </w:rPr>
      </w:pPr>
      <w:r>
        <w:rPr>
          <w:rFonts w:cstheme="minorHAnsi"/>
        </w:rPr>
        <w:t>P</w:t>
      </w:r>
      <w:r w:rsidRPr="00C767A7">
        <w:rPr>
          <w:rFonts w:cstheme="minorHAnsi"/>
        </w:rPr>
        <w:t>articipants</w:t>
      </w:r>
      <w:r>
        <w:rPr>
          <w:rFonts w:cstheme="minorHAnsi"/>
        </w:rPr>
        <w:t xml:space="preserve"> at both time points</w:t>
      </w:r>
      <w:r w:rsidRPr="00C767A7">
        <w:rPr>
          <w:rFonts w:cstheme="minorHAnsi"/>
        </w:rPr>
        <w:t xml:space="preserve"> also noted system constraints on A4R, including the submission</w:t>
      </w:r>
      <w:r>
        <w:rPr>
          <w:rFonts w:cstheme="minorHAnsi"/>
        </w:rPr>
        <w:t xml:space="preserve">-based </w:t>
      </w:r>
      <w:r w:rsidRPr="00C767A7">
        <w:rPr>
          <w:rFonts w:cstheme="minorHAnsi"/>
        </w:rPr>
        <w:t xml:space="preserve">approach of current </w:t>
      </w:r>
      <w:r>
        <w:rPr>
          <w:rFonts w:cstheme="minorHAnsi"/>
        </w:rPr>
        <w:t>decision-making</w:t>
      </w:r>
      <w:r w:rsidRPr="00C767A7">
        <w:rPr>
          <w:rFonts w:cstheme="minorHAnsi"/>
        </w:rPr>
        <w:t xml:space="preserve"> and the tight timelines prohibiting broader explorations of comparative effectiveness and cost effectiveness for example between a drug and </w:t>
      </w:r>
      <w:r>
        <w:rPr>
          <w:rFonts w:cstheme="minorHAnsi"/>
        </w:rPr>
        <w:t>other forms of care</w:t>
      </w:r>
      <w:r w:rsidRPr="00C767A7">
        <w:rPr>
          <w:rFonts w:cstheme="minorHAnsi"/>
        </w:rPr>
        <w:t xml:space="preserve">. Participants thought the current approach therefore encourages </w:t>
      </w:r>
      <w:r>
        <w:rPr>
          <w:rFonts w:cstheme="minorHAnsi"/>
        </w:rPr>
        <w:t>“</w:t>
      </w:r>
      <w:r w:rsidRPr="008062CB">
        <w:rPr>
          <w:rFonts w:cstheme="minorHAnsi"/>
          <w:i/>
          <w:iCs/>
        </w:rPr>
        <w:t>silos of decision-making”</w:t>
      </w:r>
      <w:r>
        <w:rPr>
          <w:rFonts w:cstheme="minorHAnsi"/>
        </w:rPr>
        <w:t xml:space="preserve"> [20</w:t>
      </w:r>
      <w:r w:rsidR="00385484">
        <w:rPr>
          <w:rFonts w:cstheme="minorHAnsi"/>
        </w:rPr>
        <w:t>21/</w:t>
      </w:r>
      <w:r>
        <w:rPr>
          <w:rFonts w:cstheme="minorHAnsi"/>
        </w:rPr>
        <w:t>22 DM6]</w:t>
      </w:r>
      <w:r w:rsidRPr="00C767A7">
        <w:rPr>
          <w:rFonts w:cstheme="minorHAnsi"/>
        </w:rPr>
        <w:t xml:space="preserve">. One participant </w:t>
      </w:r>
      <w:r>
        <w:rPr>
          <w:rFonts w:cstheme="minorHAnsi"/>
        </w:rPr>
        <w:t xml:space="preserve">in 2022 </w:t>
      </w:r>
      <w:r w:rsidRPr="00C767A7">
        <w:rPr>
          <w:rFonts w:cstheme="minorHAnsi"/>
        </w:rPr>
        <w:t xml:space="preserve">noted that </w:t>
      </w:r>
      <w:r>
        <w:rPr>
          <w:rFonts w:cstheme="minorHAnsi"/>
        </w:rPr>
        <w:t xml:space="preserve">effective consideration of </w:t>
      </w:r>
      <w:r w:rsidRPr="00C767A7">
        <w:rPr>
          <w:rFonts w:cstheme="minorHAnsi"/>
        </w:rPr>
        <w:t xml:space="preserve">equity, ethical, legal implications </w:t>
      </w:r>
      <w:r>
        <w:rPr>
          <w:rFonts w:cstheme="minorHAnsi"/>
        </w:rPr>
        <w:t xml:space="preserve">also depend on the issues being identified </w:t>
      </w:r>
      <w:r w:rsidRPr="00C767A7">
        <w:rPr>
          <w:rFonts w:cstheme="minorHAnsi"/>
        </w:rPr>
        <w:t xml:space="preserve">prior to MSAC or PBAC and </w:t>
      </w:r>
      <w:r>
        <w:rPr>
          <w:rFonts w:cstheme="minorHAnsi"/>
        </w:rPr>
        <w:t xml:space="preserve">but sometimes they </w:t>
      </w:r>
      <w:r w:rsidRPr="00C767A7">
        <w:rPr>
          <w:rFonts w:cstheme="minorHAnsi"/>
        </w:rPr>
        <w:t>“</w:t>
      </w:r>
      <w:r w:rsidRPr="00EB4FE6">
        <w:rPr>
          <w:rFonts w:cstheme="minorHAnsi"/>
          <w:i/>
        </w:rPr>
        <w:t xml:space="preserve">first </w:t>
      </w:r>
      <w:r>
        <w:rPr>
          <w:rFonts w:cstheme="minorHAnsi"/>
          <w:i/>
        </w:rPr>
        <w:t xml:space="preserve">comes to light when it gets to </w:t>
      </w:r>
      <w:r w:rsidRPr="00EB4FE6">
        <w:rPr>
          <w:rFonts w:cstheme="minorHAnsi"/>
          <w:i/>
        </w:rPr>
        <w:t>MSAC”</w:t>
      </w:r>
      <w:r w:rsidRPr="00C767A7">
        <w:rPr>
          <w:rFonts w:cstheme="minorHAnsi"/>
        </w:rPr>
        <w:t xml:space="preserve"> and that’s </w:t>
      </w:r>
      <w:r w:rsidRPr="00EB4FE6">
        <w:rPr>
          <w:rFonts w:cstheme="minorHAnsi"/>
          <w:i/>
        </w:rPr>
        <w:t>“just not ideal. It can sway decision-making”</w:t>
      </w:r>
      <w:r>
        <w:rPr>
          <w:rFonts w:cstheme="minorHAnsi"/>
          <w:i/>
        </w:rPr>
        <w:t xml:space="preserve"> [2021/22 DM5]</w:t>
      </w:r>
      <w:r w:rsidRPr="00EB4FE6">
        <w:rPr>
          <w:rFonts w:cstheme="minorHAnsi"/>
          <w:i/>
        </w:rPr>
        <w:t>.</w:t>
      </w:r>
      <w:r w:rsidRPr="00C767A7">
        <w:rPr>
          <w:rFonts w:cstheme="minorHAnsi"/>
        </w:rPr>
        <w:t xml:space="preserve"> The participants noted that timelines are even tighter at PBAC. </w:t>
      </w:r>
    </w:p>
    <w:p w14:paraId="17A099A0" w14:textId="77777777" w:rsidR="00C36344" w:rsidRDefault="00C36344" w:rsidP="006517CF">
      <w:pPr>
        <w:spacing w:line="360" w:lineRule="auto"/>
        <w:ind w:left="284"/>
        <w:jc w:val="both"/>
        <w:rPr>
          <w:rFonts w:cstheme="minorHAnsi"/>
          <w:i/>
          <w:sz w:val="18"/>
        </w:rPr>
      </w:pPr>
    </w:p>
    <w:p w14:paraId="3FA6D350" w14:textId="5F45E64A" w:rsidR="006517CF" w:rsidRPr="00125D9E" w:rsidRDefault="006517CF" w:rsidP="006517CF">
      <w:pPr>
        <w:spacing w:line="360" w:lineRule="auto"/>
        <w:ind w:left="284"/>
        <w:jc w:val="both"/>
        <w:rPr>
          <w:rFonts w:cstheme="minorHAnsi"/>
          <w:i/>
          <w:sz w:val="18"/>
        </w:rPr>
      </w:pPr>
      <w:r w:rsidRPr="00125D9E">
        <w:rPr>
          <w:rFonts w:cstheme="minorHAnsi"/>
          <w:i/>
          <w:sz w:val="18"/>
        </w:rPr>
        <w:t>“PBAC has only a 17</w:t>
      </w:r>
      <w:r>
        <w:rPr>
          <w:rFonts w:cstheme="minorHAnsi"/>
          <w:i/>
          <w:sz w:val="18"/>
        </w:rPr>
        <w:t>-</w:t>
      </w:r>
      <w:r w:rsidRPr="00125D9E">
        <w:rPr>
          <w:rFonts w:cstheme="minorHAnsi"/>
          <w:i/>
          <w:sz w:val="18"/>
        </w:rPr>
        <w:t>week cycle, it’s really hard to address these things</w:t>
      </w:r>
      <w:r>
        <w:rPr>
          <w:rFonts w:cstheme="minorHAnsi"/>
          <w:i/>
          <w:sz w:val="18"/>
        </w:rPr>
        <w:t xml:space="preserve"> in a meaningful way</w:t>
      </w:r>
      <w:r w:rsidRPr="00125D9E">
        <w:rPr>
          <w:rFonts w:cstheme="minorHAnsi"/>
          <w:i/>
          <w:sz w:val="18"/>
        </w:rPr>
        <w:t>”</w:t>
      </w:r>
      <w:r>
        <w:rPr>
          <w:rFonts w:cstheme="minorHAnsi"/>
          <w:i/>
          <w:sz w:val="18"/>
        </w:rPr>
        <w:t xml:space="preserve"> </w:t>
      </w:r>
      <w:r w:rsidRPr="00125D9E">
        <w:rPr>
          <w:rFonts w:cstheme="minorHAnsi"/>
          <w:i/>
          <w:sz w:val="18"/>
        </w:rPr>
        <w:t>“left up to the judgement of the applicant and assessment group”. “Canvassed and touched on, my view is they are not done in a sufficiently systematic way.”</w:t>
      </w:r>
      <w:r>
        <w:rPr>
          <w:rFonts w:cstheme="minorHAnsi"/>
          <w:i/>
          <w:sz w:val="18"/>
        </w:rPr>
        <w:t xml:space="preserve"> [2021/22 DM5]</w:t>
      </w:r>
      <w:r w:rsidRPr="00125D9E">
        <w:rPr>
          <w:rFonts w:cstheme="minorHAnsi"/>
          <w:i/>
          <w:sz w:val="18"/>
        </w:rPr>
        <w:t>.</w:t>
      </w:r>
    </w:p>
    <w:p w14:paraId="7E0577FB" w14:textId="77777777" w:rsidR="006517CF" w:rsidRDefault="006517CF" w:rsidP="006517CF">
      <w:pPr>
        <w:spacing w:line="360" w:lineRule="auto"/>
        <w:jc w:val="both"/>
        <w:rPr>
          <w:rFonts w:cstheme="minorHAnsi"/>
        </w:rPr>
      </w:pPr>
    </w:p>
    <w:p w14:paraId="32D8C2CF" w14:textId="77777777" w:rsidR="006517CF" w:rsidRPr="005B448D" w:rsidRDefault="006517CF" w:rsidP="006517CF">
      <w:pPr>
        <w:spacing w:line="360" w:lineRule="auto"/>
        <w:ind w:left="284"/>
        <w:jc w:val="both"/>
        <w:rPr>
          <w:rFonts w:cstheme="minorHAnsi"/>
          <w:i/>
          <w:sz w:val="18"/>
        </w:rPr>
      </w:pPr>
      <w:r>
        <w:rPr>
          <w:rFonts w:cstheme="minorHAnsi"/>
          <w:i/>
          <w:sz w:val="18"/>
        </w:rPr>
        <w:lastRenderedPageBreak/>
        <w:t>“</w:t>
      </w:r>
      <w:r w:rsidRPr="005B448D">
        <w:rPr>
          <w:rFonts w:cstheme="minorHAnsi"/>
          <w:i/>
          <w:sz w:val="18"/>
        </w:rPr>
        <w:t xml:space="preserve">if you think about, say, something like Autism Spectrum Disorder, we’re considering drugs which have potential costs of hundreds of millions of dollars, </w:t>
      </w:r>
      <w:r>
        <w:rPr>
          <w:rFonts w:cstheme="minorHAnsi"/>
          <w:i/>
          <w:sz w:val="18"/>
        </w:rPr>
        <w:t>…</w:t>
      </w:r>
      <w:r w:rsidRPr="005B448D">
        <w:rPr>
          <w:rFonts w:cstheme="minorHAnsi"/>
          <w:i/>
          <w:sz w:val="18"/>
        </w:rPr>
        <w:t xml:space="preserve"> is that the best [buy] for kids with Autistic Spectrum Disorder, or would </w:t>
      </w:r>
      <w:r>
        <w:rPr>
          <w:rFonts w:cstheme="minorHAnsi"/>
          <w:i/>
          <w:sz w:val="18"/>
        </w:rPr>
        <w:t>…</w:t>
      </w:r>
      <w:r w:rsidRPr="005B448D">
        <w:rPr>
          <w:rFonts w:cstheme="minorHAnsi"/>
          <w:i/>
          <w:sz w:val="18"/>
        </w:rPr>
        <w:t xml:space="preserve"> [schooling] or other forms of care that’s involved</w:t>
      </w:r>
      <w:r>
        <w:rPr>
          <w:rFonts w:cstheme="minorHAnsi"/>
          <w:i/>
          <w:sz w:val="18"/>
        </w:rPr>
        <w:t xml:space="preserve"> [be better buys]</w:t>
      </w:r>
      <w:r w:rsidRPr="005B448D">
        <w:rPr>
          <w:rFonts w:cstheme="minorHAnsi"/>
          <w:i/>
          <w:sz w:val="18"/>
        </w:rPr>
        <w:t xml:space="preserve">.  </w:t>
      </w:r>
      <w:r>
        <w:rPr>
          <w:rFonts w:cstheme="minorHAnsi"/>
          <w:i/>
          <w:sz w:val="18"/>
        </w:rPr>
        <w:t xml:space="preserve"> …</w:t>
      </w:r>
      <w:r w:rsidRPr="005B448D">
        <w:rPr>
          <w:rFonts w:cstheme="minorHAnsi"/>
          <w:i/>
          <w:sz w:val="18"/>
        </w:rPr>
        <w:t xml:space="preserve">part of the problem on our system, </w:t>
      </w:r>
      <w:proofErr w:type="gramStart"/>
      <w:r>
        <w:rPr>
          <w:rFonts w:cstheme="minorHAnsi"/>
          <w:i/>
          <w:sz w:val="18"/>
        </w:rPr>
        <w:t>…[</w:t>
      </w:r>
      <w:proofErr w:type="gramEnd"/>
      <w:r>
        <w:rPr>
          <w:rFonts w:cstheme="minorHAnsi"/>
          <w:i/>
          <w:sz w:val="18"/>
        </w:rPr>
        <w:t>is that]</w:t>
      </w:r>
      <w:r w:rsidRPr="005B448D">
        <w:rPr>
          <w:rFonts w:cstheme="minorHAnsi"/>
          <w:i/>
          <w:sz w:val="18"/>
        </w:rPr>
        <w:t xml:space="preserve"> we have these silos of decision-making around some of these things</w:t>
      </w:r>
      <w:r>
        <w:rPr>
          <w:rFonts w:cstheme="minorHAnsi"/>
          <w:i/>
          <w:sz w:val="18"/>
        </w:rPr>
        <w:t>”</w:t>
      </w:r>
      <w:r w:rsidRPr="005B448D">
        <w:rPr>
          <w:rFonts w:cstheme="minorHAnsi"/>
          <w:i/>
          <w:sz w:val="18"/>
        </w:rPr>
        <w:t xml:space="preserve"> [20</w:t>
      </w:r>
      <w:r>
        <w:rPr>
          <w:rFonts w:cstheme="minorHAnsi"/>
          <w:i/>
          <w:sz w:val="18"/>
        </w:rPr>
        <w:t>21/</w:t>
      </w:r>
      <w:r w:rsidRPr="005B448D">
        <w:rPr>
          <w:rFonts w:cstheme="minorHAnsi"/>
          <w:i/>
          <w:sz w:val="18"/>
        </w:rPr>
        <w:t>22 DM6]</w:t>
      </w:r>
    </w:p>
    <w:p w14:paraId="40B644F5" w14:textId="77777777" w:rsidR="006517CF" w:rsidRPr="00C767A7" w:rsidRDefault="006517CF" w:rsidP="006517CF">
      <w:pPr>
        <w:spacing w:line="360" w:lineRule="auto"/>
        <w:jc w:val="both"/>
        <w:rPr>
          <w:rFonts w:cstheme="minorHAnsi"/>
        </w:rPr>
      </w:pPr>
    </w:p>
    <w:p w14:paraId="21A0C9A2" w14:textId="77777777" w:rsidR="003B5BE7" w:rsidRDefault="003B5BE7"/>
    <w:sectPr w:rsidR="003B5BE7" w:rsidSect="006517C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4F5FF" w14:textId="77777777" w:rsidR="000C4EC8" w:rsidRDefault="000C4EC8">
      <w:pPr>
        <w:spacing w:after="0" w:line="240" w:lineRule="auto"/>
      </w:pPr>
      <w:r>
        <w:separator/>
      </w:r>
    </w:p>
  </w:endnote>
  <w:endnote w:type="continuationSeparator" w:id="0">
    <w:p w14:paraId="37643144" w14:textId="77777777" w:rsidR="000C4EC8" w:rsidRDefault="000C4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65C1" w14:textId="77777777" w:rsidR="00192288" w:rsidRDefault="001922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318207"/>
      <w:docPartObj>
        <w:docPartGallery w:val="Page Numbers (Bottom of Page)"/>
        <w:docPartUnique/>
      </w:docPartObj>
    </w:sdtPr>
    <w:sdtEndPr>
      <w:rPr>
        <w:noProof/>
      </w:rPr>
    </w:sdtEndPr>
    <w:sdtContent>
      <w:p w14:paraId="263A3946" w14:textId="77777777" w:rsidR="00462C1E" w:rsidRDefault="00462C1E" w:rsidP="006517CF">
        <w:pPr>
          <w:pStyle w:val="Footer"/>
          <w:jc w:val="center"/>
        </w:pPr>
        <w:r>
          <w:fldChar w:fldCharType="begin"/>
        </w:r>
        <w:r>
          <w:instrText xml:space="preserve"> PAGE   \* MERGEFORMAT </w:instrText>
        </w:r>
        <w:r>
          <w:fldChar w:fldCharType="separate"/>
        </w:r>
        <w:r>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A2CE0" w14:textId="77777777" w:rsidR="00192288" w:rsidRDefault="001922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EA676" w14:textId="77777777" w:rsidR="00462C1E" w:rsidRDefault="00462C1E" w:rsidP="006517C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5595E" w14:textId="77777777" w:rsidR="000C4EC8" w:rsidRDefault="000C4EC8">
      <w:pPr>
        <w:spacing w:after="0" w:line="240" w:lineRule="auto"/>
      </w:pPr>
      <w:r>
        <w:separator/>
      </w:r>
    </w:p>
  </w:footnote>
  <w:footnote w:type="continuationSeparator" w:id="0">
    <w:p w14:paraId="42D8325F" w14:textId="77777777" w:rsidR="000C4EC8" w:rsidRDefault="000C4E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2FCC" w14:textId="77777777" w:rsidR="00192288" w:rsidRDefault="00192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F040" w14:textId="77777777" w:rsidR="00192288" w:rsidRDefault="001922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B6DD9" w14:textId="77777777" w:rsidR="00192288" w:rsidRDefault="00192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200E" w14:textId="12CF7716" w:rsidR="00462C1E" w:rsidRDefault="00462C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7B780" w14:textId="241B3911" w:rsidR="00462C1E" w:rsidRPr="00C0671B" w:rsidRDefault="00462C1E">
    <w:pPr>
      <w:pStyle w:val="Head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4E24B62"/>
    <w:lvl w:ilvl="0">
      <w:numFmt w:val="bullet"/>
      <w:lvlText w:val="*"/>
      <w:lvlJc w:val="left"/>
    </w:lvl>
  </w:abstractNum>
  <w:abstractNum w:abstractNumId="1" w15:restartNumberingAfterBreak="0">
    <w:nsid w:val="04433EBC"/>
    <w:multiLevelType w:val="hybridMultilevel"/>
    <w:tmpl w:val="F726042A"/>
    <w:lvl w:ilvl="0" w:tplc="5C989C9A">
      <w:start w:val="3"/>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280017"/>
    <w:multiLevelType w:val="hybridMultilevel"/>
    <w:tmpl w:val="4DE6CE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00E13CE"/>
    <w:multiLevelType w:val="hybridMultilevel"/>
    <w:tmpl w:val="DA360158"/>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F535FF0"/>
    <w:multiLevelType w:val="hybridMultilevel"/>
    <w:tmpl w:val="8FA2E030"/>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DB36E21"/>
    <w:multiLevelType w:val="hybridMultilevel"/>
    <w:tmpl w:val="8FA2E030"/>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0BB3CA5"/>
    <w:multiLevelType w:val="hybridMultilevel"/>
    <w:tmpl w:val="99E21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BBA7FB1"/>
    <w:multiLevelType w:val="hybridMultilevel"/>
    <w:tmpl w:val="016CE0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58833FD"/>
    <w:multiLevelType w:val="hybridMultilevel"/>
    <w:tmpl w:val="E33C1F1A"/>
    <w:lvl w:ilvl="0" w:tplc="0C09000F">
      <w:start w:val="1"/>
      <w:numFmt w:val="decimal"/>
      <w:lvlText w:val="%1."/>
      <w:lvlJc w:val="left"/>
      <w:pPr>
        <w:ind w:left="360" w:hanging="360"/>
      </w:pPr>
      <w:rPr>
        <w:rFonts w:hint="default"/>
      </w:rPr>
    </w:lvl>
    <w:lvl w:ilvl="1" w:tplc="0C090011">
      <w:start w:val="1"/>
      <w:numFmt w:val="decimal"/>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494B0B68"/>
    <w:multiLevelType w:val="hybridMultilevel"/>
    <w:tmpl w:val="1E40E686"/>
    <w:lvl w:ilvl="0" w:tplc="AD6C8C26">
      <w:numFmt w:val="bullet"/>
      <w:lvlText w:val="-"/>
      <w:lvlJc w:val="left"/>
      <w:pPr>
        <w:ind w:left="360" w:hanging="360"/>
      </w:pPr>
      <w:rPr>
        <w:rFonts w:ascii="Arial Narrow" w:eastAsia="Times New Roman" w:hAnsi="Arial Narrow" w:cs="Times New Roman"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62643A7"/>
    <w:multiLevelType w:val="hybridMultilevel"/>
    <w:tmpl w:val="A5505682"/>
    <w:lvl w:ilvl="0" w:tplc="0C090011">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6C0F561F"/>
    <w:multiLevelType w:val="hybridMultilevel"/>
    <w:tmpl w:val="BC9061D2"/>
    <w:lvl w:ilvl="0" w:tplc="0B46DBDA">
      <w:numFmt w:val="bullet"/>
      <w:lvlText w:val="-"/>
      <w:lvlJc w:val="left"/>
      <w:pPr>
        <w:ind w:left="720" w:hanging="360"/>
      </w:pPr>
      <w:rPr>
        <w:rFonts w:ascii="Segoe UI" w:eastAsia="Cambria"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5B27792"/>
    <w:multiLevelType w:val="hybridMultilevel"/>
    <w:tmpl w:val="FDB47D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6166F50"/>
    <w:multiLevelType w:val="hybridMultilevel"/>
    <w:tmpl w:val="E95289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B4300D3"/>
    <w:multiLevelType w:val="hybridMultilevel"/>
    <w:tmpl w:val="9C8E7F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7BF77B8E"/>
    <w:multiLevelType w:val="hybridMultilevel"/>
    <w:tmpl w:val="85A6B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49047427">
    <w:abstractNumId w:val="7"/>
  </w:num>
  <w:num w:numId="2" w16cid:durableId="1295671245">
    <w:abstractNumId w:val="5"/>
  </w:num>
  <w:num w:numId="3" w16cid:durableId="130392830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1683434837">
    <w:abstractNumId w:val="10"/>
  </w:num>
  <w:num w:numId="5" w16cid:durableId="687827414">
    <w:abstractNumId w:val="11"/>
  </w:num>
  <w:num w:numId="6" w16cid:durableId="958338353">
    <w:abstractNumId w:val="4"/>
  </w:num>
  <w:num w:numId="7" w16cid:durableId="754787434">
    <w:abstractNumId w:val="3"/>
  </w:num>
  <w:num w:numId="8" w16cid:durableId="1364163882">
    <w:abstractNumId w:val="14"/>
  </w:num>
  <w:num w:numId="9" w16cid:durableId="321280719">
    <w:abstractNumId w:val="2"/>
  </w:num>
  <w:num w:numId="10" w16cid:durableId="1256132791">
    <w:abstractNumId w:val="6"/>
  </w:num>
  <w:num w:numId="11" w16cid:durableId="2048751751">
    <w:abstractNumId w:val="8"/>
  </w:num>
  <w:num w:numId="12" w16cid:durableId="326174498">
    <w:abstractNumId w:val="15"/>
  </w:num>
  <w:num w:numId="13" w16cid:durableId="251815830">
    <w:abstractNumId w:val="13"/>
  </w:num>
  <w:num w:numId="14" w16cid:durableId="1577594696">
    <w:abstractNumId w:val="9"/>
  </w:num>
  <w:num w:numId="15" w16cid:durableId="1319725331">
    <w:abstractNumId w:val="12"/>
  </w:num>
  <w:num w:numId="16" w16cid:durableId="1225989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ocial Science and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dzzrwt05wxd0oed9xnp92sv9pfssztr9vaz&quot;&gt;AfR&lt;record-ids&gt;&lt;item&gt;18&lt;/item&gt;&lt;item&gt;63&lt;/item&gt;&lt;item&gt;68&lt;/item&gt;&lt;item&gt;109&lt;/item&gt;&lt;item&gt;119&lt;/item&gt;&lt;item&gt;121&lt;/item&gt;&lt;item&gt;124&lt;/item&gt;&lt;item&gt;125&lt;/item&gt;&lt;item&gt;127&lt;/item&gt;&lt;item&gt;129&lt;/item&gt;&lt;item&gt;134&lt;/item&gt;&lt;item&gt;142&lt;/item&gt;&lt;item&gt;143&lt;/item&gt;&lt;item&gt;144&lt;/item&gt;&lt;item&gt;1437&lt;/item&gt;&lt;/record-ids&gt;&lt;/item&gt;&lt;/Libraries&gt;"/>
  </w:docVars>
  <w:rsids>
    <w:rsidRoot w:val="008D59F1"/>
    <w:rsid w:val="00004F78"/>
    <w:rsid w:val="0002101E"/>
    <w:rsid w:val="00054C8E"/>
    <w:rsid w:val="00060739"/>
    <w:rsid w:val="00073DA1"/>
    <w:rsid w:val="00075F4D"/>
    <w:rsid w:val="00076B72"/>
    <w:rsid w:val="000822B7"/>
    <w:rsid w:val="00087055"/>
    <w:rsid w:val="000A14AB"/>
    <w:rsid w:val="000A44D3"/>
    <w:rsid w:val="000A4CA2"/>
    <w:rsid w:val="000A65E2"/>
    <w:rsid w:val="000A6685"/>
    <w:rsid w:val="000B02EB"/>
    <w:rsid w:val="000B234B"/>
    <w:rsid w:val="000B23AB"/>
    <w:rsid w:val="000C4EC8"/>
    <w:rsid w:val="000D0EC5"/>
    <w:rsid w:val="000D51F5"/>
    <w:rsid w:val="000D727A"/>
    <w:rsid w:val="000F4514"/>
    <w:rsid w:val="00113F11"/>
    <w:rsid w:val="00125D0B"/>
    <w:rsid w:val="00125EB8"/>
    <w:rsid w:val="00126804"/>
    <w:rsid w:val="00136B1F"/>
    <w:rsid w:val="001405DB"/>
    <w:rsid w:val="0015139F"/>
    <w:rsid w:val="0016240E"/>
    <w:rsid w:val="0018195E"/>
    <w:rsid w:val="00181A71"/>
    <w:rsid w:val="00192288"/>
    <w:rsid w:val="00195971"/>
    <w:rsid w:val="001A4BB8"/>
    <w:rsid w:val="001C30B5"/>
    <w:rsid w:val="001D5DD0"/>
    <w:rsid w:val="0020063F"/>
    <w:rsid w:val="0020175B"/>
    <w:rsid w:val="00223EA3"/>
    <w:rsid w:val="00230F96"/>
    <w:rsid w:val="002546DB"/>
    <w:rsid w:val="00282A78"/>
    <w:rsid w:val="00291D28"/>
    <w:rsid w:val="002A27D4"/>
    <w:rsid w:val="002A66C0"/>
    <w:rsid w:val="002D1C9C"/>
    <w:rsid w:val="002D3ECA"/>
    <w:rsid w:val="002D7E29"/>
    <w:rsid w:val="002E5978"/>
    <w:rsid w:val="002F6576"/>
    <w:rsid w:val="00301324"/>
    <w:rsid w:val="00353118"/>
    <w:rsid w:val="00362792"/>
    <w:rsid w:val="00363F1C"/>
    <w:rsid w:val="00364FE1"/>
    <w:rsid w:val="003658FA"/>
    <w:rsid w:val="00367C78"/>
    <w:rsid w:val="0038019A"/>
    <w:rsid w:val="00385484"/>
    <w:rsid w:val="00386E90"/>
    <w:rsid w:val="0039725F"/>
    <w:rsid w:val="003A0673"/>
    <w:rsid w:val="003A16C8"/>
    <w:rsid w:val="003A5C7C"/>
    <w:rsid w:val="003B56DF"/>
    <w:rsid w:val="003B5BE7"/>
    <w:rsid w:val="003C7BB8"/>
    <w:rsid w:val="003E7008"/>
    <w:rsid w:val="003F5DF4"/>
    <w:rsid w:val="00403303"/>
    <w:rsid w:val="00411DD4"/>
    <w:rsid w:val="00421280"/>
    <w:rsid w:val="00421ABA"/>
    <w:rsid w:val="0043215A"/>
    <w:rsid w:val="0044733A"/>
    <w:rsid w:val="00454EC8"/>
    <w:rsid w:val="00462C1E"/>
    <w:rsid w:val="0048578D"/>
    <w:rsid w:val="00491B33"/>
    <w:rsid w:val="004D30A8"/>
    <w:rsid w:val="004E13B5"/>
    <w:rsid w:val="00500504"/>
    <w:rsid w:val="00500748"/>
    <w:rsid w:val="00504F2C"/>
    <w:rsid w:val="005307CD"/>
    <w:rsid w:val="00533F82"/>
    <w:rsid w:val="005354D3"/>
    <w:rsid w:val="00546EA5"/>
    <w:rsid w:val="005511AA"/>
    <w:rsid w:val="005540C0"/>
    <w:rsid w:val="00565F72"/>
    <w:rsid w:val="0056628E"/>
    <w:rsid w:val="005866AE"/>
    <w:rsid w:val="005B15C5"/>
    <w:rsid w:val="005B1A92"/>
    <w:rsid w:val="005D288B"/>
    <w:rsid w:val="005D2AD6"/>
    <w:rsid w:val="005E66AB"/>
    <w:rsid w:val="005F2964"/>
    <w:rsid w:val="00600EE7"/>
    <w:rsid w:val="00613A50"/>
    <w:rsid w:val="00613CE4"/>
    <w:rsid w:val="0064085D"/>
    <w:rsid w:val="006517CF"/>
    <w:rsid w:val="0066125F"/>
    <w:rsid w:val="006B402F"/>
    <w:rsid w:val="006B65AD"/>
    <w:rsid w:val="006C6423"/>
    <w:rsid w:val="006D0256"/>
    <w:rsid w:val="006D70CF"/>
    <w:rsid w:val="0070052B"/>
    <w:rsid w:val="00710B69"/>
    <w:rsid w:val="00712A73"/>
    <w:rsid w:val="00715235"/>
    <w:rsid w:val="007163A6"/>
    <w:rsid w:val="00744F0E"/>
    <w:rsid w:val="00747C8B"/>
    <w:rsid w:val="00784AA7"/>
    <w:rsid w:val="007950F5"/>
    <w:rsid w:val="0079701C"/>
    <w:rsid w:val="007A3F28"/>
    <w:rsid w:val="00814406"/>
    <w:rsid w:val="0082317C"/>
    <w:rsid w:val="0082397E"/>
    <w:rsid w:val="00823CAD"/>
    <w:rsid w:val="00831922"/>
    <w:rsid w:val="0084264A"/>
    <w:rsid w:val="00843185"/>
    <w:rsid w:val="00843832"/>
    <w:rsid w:val="008522AB"/>
    <w:rsid w:val="008577A1"/>
    <w:rsid w:val="008625AE"/>
    <w:rsid w:val="00867DD9"/>
    <w:rsid w:val="00872B19"/>
    <w:rsid w:val="00894A0A"/>
    <w:rsid w:val="008A5E44"/>
    <w:rsid w:val="008B5431"/>
    <w:rsid w:val="008D59F1"/>
    <w:rsid w:val="008D742B"/>
    <w:rsid w:val="008E7756"/>
    <w:rsid w:val="00904E85"/>
    <w:rsid w:val="00914BA4"/>
    <w:rsid w:val="009227C0"/>
    <w:rsid w:val="00941875"/>
    <w:rsid w:val="00944832"/>
    <w:rsid w:val="00950892"/>
    <w:rsid w:val="00952531"/>
    <w:rsid w:val="009547A5"/>
    <w:rsid w:val="00956427"/>
    <w:rsid w:val="00957431"/>
    <w:rsid w:val="00963700"/>
    <w:rsid w:val="00986A09"/>
    <w:rsid w:val="009A0529"/>
    <w:rsid w:val="009A7D16"/>
    <w:rsid w:val="009B356B"/>
    <w:rsid w:val="009C027D"/>
    <w:rsid w:val="009C3D11"/>
    <w:rsid w:val="009C4EE5"/>
    <w:rsid w:val="009E58E0"/>
    <w:rsid w:val="009E6085"/>
    <w:rsid w:val="00A02B3A"/>
    <w:rsid w:val="00A04683"/>
    <w:rsid w:val="00A35D5F"/>
    <w:rsid w:val="00A35FEF"/>
    <w:rsid w:val="00A431E2"/>
    <w:rsid w:val="00A656B3"/>
    <w:rsid w:val="00A921A5"/>
    <w:rsid w:val="00AB5313"/>
    <w:rsid w:val="00AB5FC3"/>
    <w:rsid w:val="00AC6990"/>
    <w:rsid w:val="00AD7D81"/>
    <w:rsid w:val="00AE405F"/>
    <w:rsid w:val="00B25796"/>
    <w:rsid w:val="00B270ED"/>
    <w:rsid w:val="00B34C1E"/>
    <w:rsid w:val="00B37320"/>
    <w:rsid w:val="00B51BFF"/>
    <w:rsid w:val="00B51FDF"/>
    <w:rsid w:val="00B549B0"/>
    <w:rsid w:val="00B8676C"/>
    <w:rsid w:val="00B90239"/>
    <w:rsid w:val="00BA15D4"/>
    <w:rsid w:val="00BA1BBC"/>
    <w:rsid w:val="00BA30B8"/>
    <w:rsid w:val="00BD0AD5"/>
    <w:rsid w:val="00BD2848"/>
    <w:rsid w:val="00BD77FF"/>
    <w:rsid w:val="00BE0F66"/>
    <w:rsid w:val="00BF0705"/>
    <w:rsid w:val="00C015D7"/>
    <w:rsid w:val="00C042A8"/>
    <w:rsid w:val="00C15CC2"/>
    <w:rsid w:val="00C24743"/>
    <w:rsid w:val="00C31ABA"/>
    <w:rsid w:val="00C36344"/>
    <w:rsid w:val="00C473AC"/>
    <w:rsid w:val="00C57927"/>
    <w:rsid w:val="00C72765"/>
    <w:rsid w:val="00C74F87"/>
    <w:rsid w:val="00C82FBB"/>
    <w:rsid w:val="00C87D4E"/>
    <w:rsid w:val="00CB030B"/>
    <w:rsid w:val="00CB07F2"/>
    <w:rsid w:val="00CB7375"/>
    <w:rsid w:val="00CC0BB2"/>
    <w:rsid w:val="00CC68AC"/>
    <w:rsid w:val="00CD1719"/>
    <w:rsid w:val="00CD67B9"/>
    <w:rsid w:val="00CE70B3"/>
    <w:rsid w:val="00D148EA"/>
    <w:rsid w:val="00D14CD6"/>
    <w:rsid w:val="00D22DBC"/>
    <w:rsid w:val="00D26BA4"/>
    <w:rsid w:val="00D42386"/>
    <w:rsid w:val="00D53CDB"/>
    <w:rsid w:val="00D54EDB"/>
    <w:rsid w:val="00D64D06"/>
    <w:rsid w:val="00D74965"/>
    <w:rsid w:val="00D81E82"/>
    <w:rsid w:val="00D82E74"/>
    <w:rsid w:val="00D975B1"/>
    <w:rsid w:val="00D97792"/>
    <w:rsid w:val="00D97A7D"/>
    <w:rsid w:val="00DA3C06"/>
    <w:rsid w:val="00DD1568"/>
    <w:rsid w:val="00DF2F7F"/>
    <w:rsid w:val="00E015DB"/>
    <w:rsid w:val="00E031EC"/>
    <w:rsid w:val="00E271A6"/>
    <w:rsid w:val="00E374F7"/>
    <w:rsid w:val="00E5347C"/>
    <w:rsid w:val="00E7188B"/>
    <w:rsid w:val="00E76EBC"/>
    <w:rsid w:val="00E9212E"/>
    <w:rsid w:val="00E937CD"/>
    <w:rsid w:val="00EA1D70"/>
    <w:rsid w:val="00EC3714"/>
    <w:rsid w:val="00ED4DE7"/>
    <w:rsid w:val="00ED4FD6"/>
    <w:rsid w:val="00EF3C02"/>
    <w:rsid w:val="00EF5B3B"/>
    <w:rsid w:val="00F028CB"/>
    <w:rsid w:val="00F12393"/>
    <w:rsid w:val="00F170F7"/>
    <w:rsid w:val="00F3124E"/>
    <w:rsid w:val="00F46F1C"/>
    <w:rsid w:val="00F558CC"/>
    <w:rsid w:val="00F94767"/>
    <w:rsid w:val="00FD03EC"/>
    <w:rsid w:val="00FF4DA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A86927"/>
  <w15:chartTrackingRefBased/>
  <w15:docId w15:val="{2601E245-E25D-4531-9358-EC48195A2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tender"/>
    <w:basedOn w:val="Normal"/>
    <w:next w:val="Normal"/>
    <w:link w:val="Heading1Char"/>
    <w:uiPriority w:val="9"/>
    <w:qFormat/>
    <w:rsid w:val="008D59F1"/>
    <w:pPr>
      <w:pBdr>
        <w:bottom w:val="thinThickSmallGap" w:sz="12" w:space="1" w:color="943634"/>
      </w:pBdr>
      <w:spacing w:before="400" w:after="0" w:line="240" w:lineRule="auto"/>
      <w:jc w:val="center"/>
      <w:outlineLvl w:val="0"/>
    </w:pPr>
    <w:rPr>
      <w:rFonts w:ascii="Cambria" w:eastAsia="Times New Roman" w:hAnsi="Cambria" w:cs="Times New Roman"/>
      <w:caps/>
      <w:color w:val="632423"/>
      <w:spacing w:val="20"/>
      <w:sz w:val="28"/>
      <w:szCs w:val="28"/>
    </w:rPr>
  </w:style>
  <w:style w:type="paragraph" w:styleId="Heading3">
    <w:name w:val="heading 3"/>
    <w:basedOn w:val="Normal"/>
    <w:next w:val="Normal"/>
    <w:link w:val="Heading3Char"/>
    <w:uiPriority w:val="9"/>
    <w:semiHidden/>
    <w:unhideWhenUsed/>
    <w:qFormat/>
    <w:rsid w:val="006517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tender Char"/>
    <w:basedOn w:val="DefaultParagraphFont"/>
    <w:link w:val="Heading1"/>
    <w:uiPriority w:val="9"/>
    <w:rsid w:val="008D59F1"/>
    <w:rPr>
      <w:rFonts w:ascii="Cambria" w:eastAsia="Times New Roman" w:hAnsi="Cambria" w:cs="Times New Roman"/>
      <w:caps/>
      <w:color w:val="632423"/>
      <w:spacing w:val="20"/>
      <w:sz w:val="28"/>
      <w:szCs w:val="28"/>
    </w:rPr>
  </w:style>
  <w:style w:type="paragraph" w:customStyle="1" w:styleId="Title1">
    <w:name w:val="Title1"/>
    <w:basedOn w:val="Normal"/>
    <w:uiPriority w:val="1"/>
    <w:qFormat/>
    <w:rsid w:val="008D59F1"/>
    <w:pPr>
      <w:keepNext/>
      <w:keepLines/>
      <w:spacing w:before="200" w:after="0" w:line="276" w:lineRule="auto"/>
    </w:pPr>
    <w:rPr>
      <w:rFonts w:ascii="Arial" w:eastAsiaTheme="minorHAnsi" w:hAnsi="Arial" w:cs="Arial"/>
      <w:b/>
      <w:color w:val="000000"/>
      <w:sz w:val="18"/>
      <w:szCs w:val="18"/>
      <w:lang w:val="da-DK"/>
    </w:rPr>
  </w:style>
  <w:style w:type="paragraph" w:styleId="CommentText">
    <w:name w:val="annotation text"/>
    <w:basedOn w:val="Normal"/>
    <w:link w:val="CommentTextChar"/>
    <w:uiPriority w:val="99"/>
    <w:unhideWhenUsed/>
    <w:rsid w:val="008D59F1"/>
    <w:pPr>
      <w:spacing w:after="0" w:line="240" w:lineRule="auto"/>
    </w:pPr>
    <w:rPr>
      <w:rFonts w:ascii="Cambria" w:eastAsia="Times New Roman" w:hAnsi="Cambria" w:cs="Times New Roman"/>
      <w:sz w:val="20"/>
      <w:szCs w:val="20"/>
    </w:rPr>
  </w:style>
  <w:style w:type="character" w:customStyle="1" w:styleId="CommentTextChar">
    <w:name w:val="Comment Text Char"/>
    <w:basedOn w:val="DefaultParagraphFont"/>
    <w:link w:val="CommentText"/>
    <w:uiPriority w:val="99"/>
    <w:rsid w:val="008D59F1"/>
    <w:rPr>
      <w:rFonts w:ascii="Cambria" w:eastAsia="Times New Roman" w:hAnsi="Cambria" w:cs="Times New Roman"/>
      <w:sz w:val="20"/>
      <w:szCs w:val="20"/>
    </w:rPr>
  </w:style>
  <w:style w:type="paragraph" w:styleId="Header">
    <w:name w:val="header"/>
    <w:basedOn w:val="Normal"/>
    <w:link w:val="HeaderChar"/>
    <w:uiPriority w:val="99"/>
    <w:rsid w:val="008D59F1"/>
    <w:pPr>
      <w:tabs>
        <w:tab w:val="center" w:pos="4153"/>
        <w:tab w:val="right" w:pos="8306"/>
      </w:tabs>
      <w:spacing w:after="0" w:line="240" w:lineRule="auto"/>
    </w:pPr>
    <w:rPr>
      <w:rFonts w:ascii="Cambria" w:eastAsia="Times New Roman" w:hAnsi="Cambria" w:cs="Times New Roman"/>
      <w:sz w:val="20"/>
      <w:szCs w:val="20"/>
    </w:rPr>
  </w:style>
  <w:style w:type="character" w:customStyle="1" w:styleId="HeaderChar">
    <w:name w:val="Header Char"/>
    <w:basedOn w:val="DefaultParagraphFont"/>
    <w:link w:val="Header"/>
    <w:uiPriority w:val="99"/>
    <w:rsid w:val="008D59F1"/>
    <w:rPr>
      <w:rFonts w:ascii="Cambria" w:eastAsia="Times New Roman" w:hAnsi="Cambria" w:cs="Times New Roman"/>
      <w:sz w:val="20"/>
      <w:szCs w:val="20"/>
    </w:rPr>
  </w:style>
  <w:style w:type="paragraph" w:styleId="Footer">
    <w:name w:val="footer"/>
    <w:basedOn w:val="Normal"/>
    <w:link w:val="FooterChar"/>
    <w:uiPriority w:val="99"/>
    <w:rsid w:val="008D59F1"/>
    <w:pPr>
      <w:tabs>
        <w:tab w:val="center" w:pos="4153"/>
        <w:tab w:val="right" w:pos="8306"/>
      </w:tabs>
      <w:spacing w:after="0" w:line="240" w:lineRule="auto"/>
    </w:pPr>
    <w:rPr>
      <w:rFonts w:ascii="Cambria" w:eastAsia="Times New Roman" w:hAnsi="Cambria" w:cs="Times New Roman"/>
      <w:sz w:val="20"/>
      <w:szCs w:val="20"/>
    </w:rPr>
  </w:style>
  <w:style w:type="character" w:customStyle="1" w:styleId="FooterChar">
    <w:name w:val="Footer Char"/>
    <w:basedOn w:val="DefaultParagraphFont"/>
    <w:link w:val="Footer"/>
    <w:uiPriority w:val="99"/>
    <w:rsid w:val="008D59F1"/>
    <w:rPr>
      <w:rFonts w:ascii="Cambria" w:eastAsia="Times New Roman" w:hAnsi="Cambria" w:cs="Times New Roman"/>
      <w:sz w:val="20"/>
      <w:szCs w:val="20"/>
    </w:rPr>
  </w:style>
  <w:style w:type="character" w:styleId="CommentReference">
    <w:name w:val="annotation reference"/>
    <w:basedOn w:val="DefaultParagraphFont"/>
    <w:uiPriority w:val="99"/>
    <w:semiHidden/>
    <w:unhideWhenUsed/>
    <w:rsid w:val="008D59F1"/>
    <w:rPr>
      <w:sz w:val="16"/>
      <w:szCs w:val="16"/>
    </w:rPr>
  </w:style>
  <w:style w:type="character" w:styleId="Hyperlink">
    <w:name w:val="Hyperlink"/>
    <w:basedOn w:val="DefaultParagraphFont"/>
    <w:uiPriority w:val="99"/>
    <w:rsid w:val="008D59F1"/>
    <w:rPr>
      <w:color w:val="0000FF"/>
      <w:u w:val="single"/>
    </w:rPr>
  </w:style>
  <w:style w:type="table" w:styleId="TableGrid">
    <w:name w:val="Table Grid"/>
    <w:aliases w:val="Summary box,Table Gridbeth"/>
    <w:basedOn w:val="TableNormal"/>
    <w:uiPriority w:val="39"/>
    <w:rsid w:val="008D59F1"/>
    <w:pPr>
      <w:spacing w:after="0" w:line="240" w:lineRule="auto"/>
    </w:pPr>
    <w:rPr>
      <w:rFonts w:ascii="Cambria" w:eastAsia="Times New Roman" w:hAnsi="Cambria"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D59F1"/>
    <w:pPr>
      <w:spacing w:after="0" w:line="240" w:lineRule="auto"/>
      <w:ind w:left="720"/>
      <w:contextualSpacing/>
    </w:pPr>
    <w:rPr>
      <w:rFonts w:ascii="Cambria" w:eastAsia="Times New Roman" w:hAnsi="Cambria" w:cs="Times New Roman"/>
      <w:sz w:val="20"/>
      <w:szCs w:val="20"/>
    </w:rPr>
  </w:style>
  <w:style w:type="character" w:customStyle="1" w:styleId="ListParagraphChar">
    <w:name w:val="List Paragraph Char"/>
    <w:link w:val="ListParagraph"/>
    <w:uiPriority w:val="34"/>
    <w:locked/>
    <w:rsid w:val="008D59F1"/>
    <w:rPr>
      <w:rFonts w:ascii="Cambria" w:eastAsia="Times New Roman" w:hAnsi="Cambria" w:cs="Times New Roman"/>
      <w:sz w:val="20"/>
      <w:szCs w:val="20"/>
    </w:rPr>
  </w:style>
  <w:style w:type="paragraph" w:customStyle="1" w:styleId="Level2Heading">
    <w:name w:val="Level 2 Heading"/>
    <w:basedOn w:val="Caption"/>
    <w:link w:val="Level2HeadingChar"/>
    <w:qFormat/>
    <w:rsid w:val="008D59F1"/>
    <w:pPr>
      <w:spacing w:after="0"/>
    </w:pPr>
    <w:rPr>
      <w:rFonts w:ascii="Times New Roman" w:eastAsia="Times New Roman" w:hAnsi="Times New Roman" w:cs="Times New Roman"/>
      <w:b/>
      <w:bCs/>
      <w:i w:val="0"/>
      <w:iCs w:val="0"/>
      <w:color w:val="auto"/>
      <w:spacing w:val="10"/>
      <w:sz w:val="22"/>
      <w:szCs w:val="22"/>
    </w:rPr>
  </w:style>
  <w:style w:type="character" w:customStyle="1" w:styleId="Level2HeadingChar">
    <w:name w:val="Level 2 Heading Char"/>
    <w:basedOn w:val="DefaultParagraphFont"/>
    <w:link w:val="Level2Heading"/>
    <w:rsid w:val="008D59F1"/>
    <w:rPr>
      <w:rFonts w:ascii="Times New Roman" w:eastAsia="Times New Roman" w:hAnsi="Times New Roman" w:cs="Times New Roman"/>
      <w:b/>
      <w:bCs/>
      <w:spacing w:val="10"/>
    </w:rPr>
  </w:style>
  <w:style w:type="paragraph" w:customStyle="1" w:styleId="UnitsStyle">
    <w:name w:val="Units Style"/>
    <w:basedOn w:val="Normal"/>
    <w:rsid w:val="008D59F1"/>
    <w:pPr>
      <w:overflowPunct w:val="0"/>
      <w:autoSpaceDE w:val="0"/>
      <w:autoSpaceDN w:val="0"/>
      <w:adjustRightInd w:val="0"/>
      <w:spacing w:after="0" w:line="240" w:lineRule="auto"/>
      <w:textAlignment w:val="baseline"/>
    </w:pPr>
    <w:rPr>
      <w:rFonts w:ascii="Times" w:eastAsia="Times New Roman" w:hAnsi="Times" w:cs="Times New Roman"/>
      <w:sz w:val="24"/>
      <w:szCs w:val="20"/>
      <w:lang w:val="en-GB" w:eastAsia="en-GB"/>
    </w:rPr>
  </w:style>
  <w:style w:type="paragraph" w:customStyle="1" w:styleId="1AutoList7">
    <w:name w:val="1AutoList7"/>
    <w:rsid w:val="008D59F1"/>
    <w:pPr>
      <w:widowControl w:val="0"/>
      <w:tabs>
        <w:tab w:val="left" w:pos="720"/>
      </w:tabs>
      <w:autoSpaceDE w:val="0"/>
      <w:autoSpaceDN w:val="0"/>
      <w:adjustRightInd w:val="0"/>
      <w:spacing w:after="0" w:line="240" w:lineRule="auto"/>
      <w:ind w:left="720" w:hanging="720"/>
      <w:jc w:val="both"/>
    </w:pPr>
    <w:rPr>
      <w:rFonts w:ascii="Times New Roman" w:eastAsia="PMingLiU" w:hAnsi="Times New Roman" w:cs="Times New Roman"/>
      <w:sz w:val="20"/>
      <w:szCs w:val="24"/>
      <w:lang w:val="en-US" w:eastAsia="en-US"/>
    </w:rPr>
  </w:style>
  <w:style w:type="paragraph" w:styleId="Caption">
    <w:name w:val="caption"/>
    <w:basedOn w:val="Normal"/>
    <w:next w:val="Normal"/>
    <w:uiPriority w:val="35"/>
    <w:semiHidden/>
    <w:unhideWhenUsed/>
    <w:qFormat/>
    <w:rsid w:val="008D59F1"/>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8D59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9F1"/>
    <w:rPr>
      <w:rFonts w:ascii="Segoe UI" w:hAnsi="Segoe UI" w:cs="Segoe UI"/>
      <w:sz w:val="18"/>
      <w:szCs w:val="18"/>
    </w:rPr>
  </w:style>
  <w:style w:type="paragraph" w:customStyle="1" w:styleId="EndNoteBibliographyTitle">
    <w:name w:val="EndNote Bibliography Title"/>
    <w:basedOn w:val="Normal"/>
    <w:link w:val="EndNoteBibliographyTitleChar"/>
    <w:rsid w:val="008D59F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D59F1"/>
    <w:rPr>
      <w:rFonts w:ascii="Calibri" w:hAnsi="Calibri" w:cs="Calibri"/>
      <w:noProof/>
    </w:rPr>
  </w:style>
  <w:style w:type="paragraph" w:customStyle="1" w:styleId="EndNoteBibliography">
    <w:name w:val="EndNote Bibliography"/>
    <w:basedOn w:val="Normal"/>
    <w:link w:val="EndNoteBibliographyChar"/>
    <w:rsid w:val="008D59F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D59F1"/>
    <w:rPr>
      <w:rFonts w:ascii="Calibri" w:hAnsi="Calibri" w:cs="Calibri"/>
      <w:noProof/>
    </w:rPr>
  </w:style>
  <w:style w:type="paragraph" w:customStyle="1" w:styleId="StyleHeading3Heading3tenderAsianHeadingsAsianDengXia">
    <w:name w:val="Style Heading 3Heading 3 tender + (Asian) +Headings Asian (DengXia..."/>
    <w:basedOn w:val="Heading3"/>
    <w:rsid w:val="006517CF"/>
    <w:pPr>
      <w:keepNext w:val="0"/>
      <w:keepLines w:val="0"/>
      <w:spacing w:before="300" w:line="240" w:lineRule="auto"/>
    </w:pPr>
    <w:rPr>
      <w:rFonts w:asciiTheme="minorHAnsi" w:hAnsiTheme="minorHAnsi" w:cs="Times New Roman"/>
      <w:b/>
      <w:caps/>
      <w:color w:val="auto"/>
    </w:rPr>
  </w:style>
  <w:style w:type="character" w:customStyle="1" w:styleId="Heading3Char">
    <w:name w:val="Heading 3 Char"/>
    <w:basedOn w:val="DefaultParagraphFont"/>
    <w:link w:val="Heading3"/>
    <w:uiPriority w:val="9"/>
    <w:semiHidden/>
    <w:rsid w:val="006517CF"/>
    <w:rPr>
      <w:rFonts w:asciiTheme="majorHAnsi" w:eastAsiaTheme="majorEastAsia" w:hAnsiTheme="majorHAnsi" w:cstheme="majorBidi"/>
      <w:color w:val="1F3763" w:themeColor="accent1" w:themeShade="7F"/>
      <w:sz w:val="24"/>
      <w:szCs w:val="24"/>
    </w:rPr>
  </w:style>
  <w:style w:type="paragraph" w:styleId="CommentSubject">
    <w:name w:val="annotation subject"/>
    <w:basedOn w:val="CommentText"/>
    <w:next w:val="CommentText"/>
    <w:link w:val="CommentSubjectChar"/>
    <w:uiPriority w:val="99"/>
    <w:semiHidden/>
    <w:unhideWhenUsed/>
    <w:rsid w:val="00B549B0"/>
    <w:pPr>
      <w:spacing w:after="16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B549B0"/>
    <w:rPr>
      <w:rFonts w:ascii="Cambria" w:eastAsia="Times New Roman" w:hAnsi="Cambria" w:cs="Times New Roman"/>
      <w:b/>
      <w:bCs/>
      <w:sz w:val="20"/>
      <w:szCs w:val="20"/>
    </w:rPr>
  </w:style>
  <w:style w:type="character" w:styleId="UnresolvedMention">
    <w:name w:val="Unresolved Mention"/>
    <w:basedOn w:val="DefaultParagraphFont"/>
    <w:uiPriority w:val="99"/>
    <w:semiHidden/>
    <w:unhideWhenUsed/>
    <w:rsid w:val="000A44D3"/>
    <w:rPr>
      <w:color w:val="605E5C"/>
      <w:shd w:val="clear" w:color="auto" w:fill="E1DFDD"/>
    </w:rPr>
  </w:style>
  <w:style w:type="character" w:styleId="FollowedHyperlink">
    <w:name w:val="FollowedHyperlink"/>
    <w:basedOn w:val="DefaultParagraphFont"/>
    <w:uiPriority w:val="99"/>
    <w:semiHidden/>
    <w:unhideWhenUsed/>
    <w:rsid w:val="006D70CF"/>
    <w:rPr>
      <w:color w:val="954F72" w:themeColor="followedHyperlink"/>
      <w:u w:val="single"/>
    </w:rPr>
  </w:style>
  <w:style w:type="paragraph" w:styleId="FootnoteText">
    <w:name w:val="footnote text"/>
    <w:basedOn w:val="Normal"/>
    <w:link w:val="FootnoteTextChar"/>
    <w:uiPriority w:val="99"/>
    <w:semiHidden/>
    <w:unhideWhenUsed/>
    <w:rsid w:val="00004F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4F78"/>
    <w:rPr>
      <w:sz w:val="20"/>
      <w:szCs w:val="20"/>
    </w:rPr>
  </w:style>
  <w:style w:type="character" w:styleId="FootnoteReference">
    <w:name w:val="footnote reference"/>
    <w:basedOn w:val="DefaultParagraphFont"/>
    <w:uiPriority w:val="99"/>
    <w:semiHidden/>
    <w:unhideWhenUsed/>
    <w:rsid w:val="00004F78"/>
    <w:rPr>
      <w:vertAlign w:val="superscript"/>
    </w:rPr>
  </w:style>
  <w:style w:type="paragraph" w:customStyle="1" w:styleId="Default">
    <w:name w:val="Default"/>
    <w:link w:val="DefaultChar"/>
    <w:rsid w:val="00A656B3"/>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DefaultChar">
    <w:name w:val="Default Char"/>
    <w:basedOn w:val="DefaultParagraphFont"/>
    <w:link w:val="Default"/>
    <w:rsid w:val="00A656B3"/>
    <w:rPr>
      <w:rFonts w:ascii="Times New Roman" w:eastAsia="Times New Roman" w:hAnsi="Times New Roman" w:cs="Times New Roman"/>
      <w:color w:val="000000"/>
      <w:sz w:val="24"/>
      <w:szCs w:val="24"/>
      <w:lang w:val="en-US" w:eastAsia="en-US"/>
    </w:rPr>
  </w:style>
  <w:style w:type="paragraph" w:styleId="NormalWeb">
    <w:name w:val="Normal (Web)"/>
    <w:basedOn w:val="Normal"/>
    <w:uiPriority w:val="99"/>
    <w:semiHidden/>
    <w:unhideWhenUsed/>
    <w:rsid w:val="0070052B"/>
    <w:pPr>
      <w:spacing w:before="100" w:beforeAutospacing="1" w:after="100" w:afterAutospacing="1" w:line="240" w:lineRule="auto"/>
    </w:pPr>
    <w:rPr>
      <w:rFonts w:ascii="Times New Roman" w:hAnsi="Times New Roman" w:cs="Times New Roman"/>
      <w:sz w:val="24"/>
      <w:szCs w:val="24"/>
    </w:rPr>
  </w:style>
  <w:style w:type="paragraph" w:styleId="Revision">
    <w:name w:val="Revision"/>
    <w:hidden/>
    <w:uiPriority w:val="99"/>
    <w:semiHidden/>
    <w:rsid w:val="001922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bs.gov.au/info/general/pbs-access-sustainability/fact-sheet-streamlining-of-pharmaceutical-benefits-advisory-%20Thiscommittee-processes" TargetMode="External"/><Relationship Id="rId21" Type="http://schemas.openxmlformats.org/officeDocument/2006/relationships/hyperlink" Target="https://m.pbs.gov.au/news/2014/03/streamlined-pbs-pricing.html" TargetMode="External"/><Relationship Id="rId42" Type="http://schemas.openxmlformats.org/officeDocument/2006/relationships/hyperlink" Target="https://www.pbs.gov.au/info/industry/listing/procedure-guidance/appendix-b" TargetMode="External"/><Relationship Id="rId47" Type="http://schemas.openxmlformats.org/officeDocument/2006/relationships/hyperlink" Target="https://www.pbs.gov.au/info/news/2021/02/amendments-to-the-process-for-reviewing-and-remaking-positiv" TargetMode="External"/><Relationship Id="rId63" Type="http://schemas.openxmlformats.org/officeDocument/2006/relationships/hyperlink" Target="http://www.msac.gov.au/internet/msac/publishing.nsf/Content/MSAC-Guidelines" TargetMode="External"/><Relationship Id="rId68" Type="http://schemas.openxmlformats.org/officeDocument/2006/relationships/header" Target="header5.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pbs.gov.au/info/industry/listing/elements/pbac-meetings/agenda/03-2014" TargetMode="External"/><Relationship Id="rId29" Type="http://schemas.openxmlformats.org/officeDocument/2006/relationships/hyperlink" Target="https://www.directory.gov.au/portfolios/health/department-health/health-resourcing/technology-assessment-access" TargetMode="External"/><Relationship Id="rId11" Type="http://schemas.openxmlformats.org/officeDocument/2006/relationships/footer" Target="footer1.xml"/><Relationship Id="rId24" Type="http://schemas.openxmlformats.org/officeDocument/2006/relationships/hyperlink" Target="https://www.pbs.gov.au/info/news/2015/03/post-market-review-framework" TargetMode="External"/><Relationship Id="rId32" Type="http://schemas.openxmlformats.org/officeDocument/2006/relationships/hyperlink" Target="https://webarchive" TargetMode="External"/><Relationship Id="rId37" Type="http://schemas.openxmlformats.org/officeDocument/2006/relationships/hyperlink" Target="https://chf.org.au/media-releases/promoting-consumer-involvement-medicine-decisions-welcomed" TargetMode="External"/><Relationship Id="rId40" Type="http://schemas.openxmlformats.org/officeDocument/2006/relationships/hyperlink" Target="https://www.pbs.gov.au/info/general/pbs-process-improvements" TargetMode="External"/><Relationship Id="rId45" Type="http://schemas.openxmlformats.org/officeDocument/2006/relationships/hyperlink" Target="https://www.health.gov.au/resources/publications/htaccc-communique-19-october-2023?language=en" TargetMode="External"/><Relationship Id="rId53" Type="http://schemas.openxmlformats.org/officeDocument/2006/relationships/hyperlink" Target="http://www.msac.gov.au/internet/msac/publishing.nsf/Content/applicants" TargetMode="External"/><Relationship Id="rId58" Type="http://schemas.openxmlformats.org/officeDocument/2006/relationships/hyperlink" Target="http://www.msac.gov.au/internet/msac/publishing.nsf/Content/msac-process-framework" TargetMode="External"/><Relationship Id="rId66" Type="http://schemas.openxmlformats.org/officeDocument/2006/relationships/hyperlink" Target="https://www.medicinesaustralia.com.au/wp-content/uploads/sites/65/2023/10/ma-strategic-agreement-22-27.pdf" TargetMode="External"/><Relationship Id="rId5" Type="http://schemas.openxmlformats.org/officeDocument/2006/relationships/webSettings" Target="webSettings.xml"/><Relationship Id="rId61" Type="http://schemas.openxmlformats.org/officeDocument/2006/relationships/hyperlink" Target="http://www.msac.gov.au/internet/msac/publishing.nsf/Content/msac-terms-of-reference" TargetMode="External"/><Relationship Id="rId19" Type="http://schemas.openxmlformats.org/officeDocument/2006/relationships/hyperlink" Target="https://www.pbs.gov.au/info/industry/listing/elements/initiation-of-stakeholder-meetings" TargetMode="External"/><Relationship Id="rId14" Type="http://schemas.openxmlformats.org/officeDocument/2006/relationships/footer" Target="footer3.xml"/><Relationship Id="rId22" Type="http://schemas.openxmlformats.org/officeDocument/2006/relationships/hyperlink" Target="https://www.pbs.gov.au/info/industry/listing/elements/pbac-meetings/psd" TargetMode="External"/><Relationship Id="rId27" Type="http://schemas.openxmlformats.org/officeDocument/2006/relationships/hyperlink" Target="https://www.legislation.gov.au/C2015A00089/latest/text" TargetMode="External"/><Relationship Id="rId30" Type="http://schemas.openxmlformats.org/officeDocument/2006/relationships/hyperlink" Target="https://pbac.pbs.gov.au/information/about-the-guidelines.html" TargetMode="External"/><Relationship Id="rId35" Type="http://schemas.openxmlformats.org/officeDocument/2006/relationships/hyperlink" Target="https://www.legislation.gov.au/Details/C2023C00085" TargetMode="External"/><Relationship Id="rId43" Type="http://schemas.openxmlformats.org/officeDocument/2006/relationships/hyperlink" Target="https://www.pbs.gov.au/industry/listing/elements/pbac-meetings/files/PBAC-Statement-of-Endorsement-July-2020.pdf" TargetMode="External"/><Relationship Id="rId48" Type="http://schemas.openxmlformats.org/officeDocument/2006/relationships/hyperlink" Target="https://www.pbs.gov.au/pbs/industry/listing/procedure-guidance/6-consideration-submissions/6-7-consumer-input" TargetMode="External"/><Relationship Id="rId56" Type="http://schemas.openxmlformats.org/officeDocument/2006/relationships/hyperlink" Target="http://www.msac.gov.au/internet/msac/publishing.nsf/Content/assessment-groups" TargetMode="External"/><Relationship Id="rId64" Type="http://schemas.openxmlformats.org/officeDocument/2006/relationships/hyperlink" Target="https://consultations.health.gov.au/technology-assessment-access-division/msac-guidelines-review-consultation/" TargetMode="External"/><Relationship Id="rId69" Type="http://schemas.openxmlformats.org/officeDocument/2006/relationships/footer" Target="footer4.xml"/><Relationship Id="rId8" Type="http://schemas.openxmlformats.org/officeDocument/2006/relationships/image" Target="media/image1.png"/><Relationship Id="rId51" Type="http://schemas.openxmlformats.org/officeDocument/2006/relationships/hyperlink" Target="https://hpp.health.gov.au/termsandcondition/?id=a20dfef2-0e27-46a6-85e2-51a568ddd3b9"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medicinesaustralia.com.au/media-release/industry-supports-greater-pbac-transparency/" TargetMode="External"/><Relationship Id="rId25" Type="http://schemas.openxmlformats.org/officeDocument/2006/relationships/hyperlink" Target="https://www.pbs.gov.au/info/news/2017/06/new-appointments-to-the-pbac" TargetMode="External"/><Relationship Id="rId33" Type="http://schemas.openxmlformats.org/officeDocument/2006/relationships/hyperlink" Target="https://www.legislation.gov.au/Details/C2023C00085" TargetMode="External"/><Relationship Id="rId38" Type="http://schemas.openxmlformats.org/officeDocument/2006/relationships/hyperlink" Target="https://www.pbs.gov.au/reviews/lsdp-report/government-response-to-lsdp-review.pdf" TargetMode="External"/><Relationship Id="rId46" Type="http://schemas.openxmlformats.org/officeDocument/2006/relationships/hyperlink" Target="https://www.pbs.gov.au/info/general/pbs-process-improvements" TargetMode="External"/><Relationship Id="rId59" Type="http://schemas.openxmlformats.org/officeDocument/2006/relationships/hyperlink" Target="http://www.msac.gov.au/internet/msac/publishing.nsf/Content/MSAC-Guidelines" TargetMode="External"/><Relationship Id="rId67" Type="http://schemas.openxmlformats.org/officeDocument/2006/relationships/hyperlink" Target="http://www.msac.gov.au/internet/msac/publishing.nsf/Content/msac-membershiphttps://www.medicinesaustralia.com.au/wp-content/uploads/sites/65/2023/10/ma-strategic-agreement-22-27.pdf" TargetMode="External"/><Relationship Id="rId20" Type="http://schemas.openxmlformats.org/officeDocument/2006/relationships/hyperlink" Target="https://www.pbs.gov.au/pbs/industry/listing/elements/pbac-meetings/stakeholder-meetings" TargetMode="External"/><Relationship Id="rId41" Type="http://schemas.openxmlformats.org/officeDocument/2006/relationships/hyperlink" Target="https://www.pbs.gov.au/info/industry/listing/listing-steps" TargetMode="External"/><Relationship Id="rId54" Type="http://schemas.openxmlformats.org/officeDocument/2006/relationships/hyperlink" Target="http://www.msac.gov.au/internet/msac/publishing.nsf/Content/applicants" TargetMode="External"/><Relationship Id="rId62" Type="http://schemas.openxmlformats.org/officeDocument/2006/relationships/hyperlink" Target="https://www.health.gov.au/our-work/2020-25-national-health-reform-agreement-nhra"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www.pbs.gov.au/industry/listing/elements/pbac-meetings/pbac-submission-senate-inquiry/pbac-submission-senate-inquiry-16-march-2015.pdf" TargetMode="External"/><Relationship Id="rId28" Type="http://schemas.openxmlformats.org/officeDocument/2006/relationships/hyperlink" Target="https://www.medicinesaustralia.com.au/media-release/pbac-announces-appointment-of-industry-expert-to-committee/" TargetMode="External"/><Relationship Id="rId36" Type="http://schemas.openxmlformats.org/officeDocument/2006/relationships/hyperlink" Target="https://www.pbs.gov.au/info/news/2017/08/new-appointment-pbac-august-2017" TargetMode="External"/><Relationship Id="rId49" Type="http://schemas.openxmlformats.org/officeDocument/2006/relationships/hyperlink" Target="https://www.health.gov.au/our-work/health-technology-assessment-policy-and-methods-review" TargetMode="External"/><Relationship Id="rId57" Type="http://schemas.openxmlformats.org/officeDocument/2006/relationships/hyperlink" Target="http://www.msac.gov.au/internet/msac/publishing.nsf/Content/msac-calendar-key-dates" TargetMode="External"/><Relationship Id="rId10" Type="http://schemas.openxmlformats.org/officeDocument/2006/relationships/header" Target="header2.xml"/><Relationship Id="rId31" Type="http://schemas.openxmlformats.org/officeDocument/2006/relationships/hyperlink" Target="https://www.pbs.gov.au/info/reviews/pbac-guidelines-review" TargetMode="External"/><Relationship Id="rId44" Type="http://schemas.openxmlformats.org/officeDocument/2006/relationships/hyperlink" Target="https://www.pbs.gov.au/info/industry/listing/procedure-guidance/appendix-b" TargetMode="External"/><Relationship Id="rId52" Type="http://schemas.openxmlformats.org/officeDocument/2006/relationships/hyperlink" Target="http://www.msac.gov.au/internet/msac/publishing.nsf/Content/msac-process-framework" TargetMode="External"/><Relationship Id="rId60" Type="http://schemas.openxmlformats.org/officeDocument/2006/relationships/hyperlink" Target="https://www.blood.gov.au/changes-national-product-price-list" TargetMode="External"/><Relationship Id="rId65" Type="http://schemas.openxmlformats.org/officeDocument/2006/relationships/hyperlink" Target="http://www.msac.gov.au/internet/msac/publishing.nsf/Content/4599F67A7A885C2DCA2586E000799979/$File/MSACGUIDE-Summary%20for%20stakeholders-08-FINAL(18May21).pdf"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www.pbs.gov.au/info/news/2014/01/mobile-website" TargetMode="External"/><Relationship Id="rId39" Type="http://schemas.openxmlformats.org/officeDocument/2006/relationships/hyperlink" Target="https://webarchive.nla.gov.au/awa/20211214223311/https://www1.health.gov.au/internet/hta/publishing.nsf/Content/ccc" TargetMode="External"/><Relationship Id="rId34" Type="http://schemas.openxmlformats.org/officeDocument/2006/relationships/hyperlink" Target="https://chf.org.au/sites/default/files/chf_annual_report_2016-17.pdf" TargetMode="External"/><Relationship Id="rId50" Type="http://schemas.openxmlformats.org/officeDocument/2006/relationships/hyperlink" Target="https://www.pbs.gov.au/info/general/medicines-industry-strategic-agreement" TargetMode="External"/><Relationship Id="rId55" Type="http://schemas.openxmlformats.org/officeDocument/2006/relationships/hyperlink" Target="http://www.msac.gov.au/internet/msac/publishing.nsf/Content/assessment-grou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41A48-7393-4EEA-A97A-504548A0D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10804</Words>
  <Characters>63669</Characters>
  <Application>Microsoft Office Word</Application>
  <DocSecurity>0</DocSecurity>
  <Lines>1270</Lines>
  <Paragraphs>500</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74224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Jing Jing Li</dc:creator>
  <cp:keywords/>
  <dc:description/>
  <cp:lastModifiedBy>Jing Jing Li</cp:lastModifiedBy>
  <cp:revision>3</cp:revision>
  <cp:lastPrinted>2024-11-05T10:32:00Z</cp:lastPrinted>
  <dcterms:created xsi:type="dcterms:W3CDTF">2026-04-08T11:20:00Z</dcterms:created>
  <dcterms:modified xsi:type="dcterms:W3CDTF">2026-04-08T11:25:00Z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47c5d7e1892b8f15cf2b59a8894d09372befa7ee95348f6776ca8d428126cf66</vt:lpwstr>
  </property>
</Properties>
</file>