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4C5B9" w14:textId="77777777" w:rsidR="008B62E8" w:rsidRPr="00A506F4" w:rsidRDefault="008B62E8" w:rsidP="008B62E8">
      <w:pPr>
        <w:rPr>
          <w:b/>
          <w:bCs/>
        </w:rPr>
      </w:pPr>
      <w:r w:rsidRPr="00A506F4">
        <w:rPr>
          <w:b/>
          <w:bCs/>
        </w:rPr>
        <w:t>Supplementary Material</w:t>
      </w:r>
    </w:p>
    <w:p w14:paraId="5882410B" w14:textId="77777777" w:rsidR="008B62E8" w:rsidRDefault="008B62E8" w:rsidP="008B62E8"/>
    <w:p w14:paraId="18062022" w14:textId="77777777" w:rsidR="008B62E8" w:rsidRDefault="008B62E8" w:rsidP="008B62E8">
      <w:r>
        <w:t>Simulation methods</w:t>
      </w:r>
      <w:r w:rsidRPr="00F84608">
        <w:t xml:space="preserve"> for the genetic effects</w:t>
      </w:r>
    </w:p>
    <w:p w14:paraId="3E0B89B9" w14:textId="77777777" w:rsidR="008B62E8" w:rsidRPr="00F84608" w:rsidRDefault="008B62E8" w:rsidP="008B62E8">
      <w:r w:rsidRPr="00F84608">
        <w:t xml:space="preserve">Assume that the measured and unmeasured genetic effects on the log scale are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84608">
        <w:t xml:space="preserve"> 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F84608">
        <w:t xml:space="preserve">, respectively. We assume that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~N(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 xml:space="preserve">,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)</m:t>
        </m:r>
      </m:oMath>
      <w:r w:rsidRPr="00F84608">
        <w:t xml:space="preserve"> for </w:t>
      </w:r>
      <m:oMath>
        <m:r>
          <w:rPr>
            <w:rFonts w:ascii="Cambria Math" w:hAnsi="Cambria Math"/>
          </w:rPr>
          <m:t>i</m:t>
        </m:r>
      </m:oMath>
      <w:r w:rsidRPr="00F84608">
        <w:t xml:space="preserve"> being either 1 or 2,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=-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i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/2</m:t>
        </m:r>
      </m:oMath>
      <w:r w:rsidRPr="00F84608">
        <w:t xml:space="preserve">, so that </w:t>
      </w:r>
      <m:oMath>
        <m:r>
          <w:rPr>
            <w:rFonts w:ascii="Cambria Math" w:hAnsi="Cambria Math"/>
          </w:rPr>
          <m:t>E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func>
              <m:funcPr>
                <m:ctrlPr>
                  <w:rPr>
                    <w:rFonts w:ascii="Cambria Math" w:hAnsi="Cambria Math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/>
                  </w:rPr>
                  <m:t>exp</m:t>
                </m:r>
                <m:ctrlPr>
                  <w:rPr>
                    <w:rFonts w:ascii="Cambria Math" w:hAnsi="Cambria Math"/>
                    <w:i/>
                  </w:rPr>
                </m:ctrlPr>
              </m:fName>
              <m:e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e>
                </m:d>
              </m:e>
            </m:func>
          </m:e>
        </m:d>
        <m:r>
          <w:rPr>
            <w:rFonts w:ascii="Cambria Math" w:hAnsi="Cambria Math"/>
          </w:rPr>
          <m:t>=1</m:t>
        </m:r>
      </m:oMath>
      <w:r w:rsidRPr="00F84608">
        <w:t xml:space="preserve">. Further, we assume that the two effects are independent. To allow for common random numbers, we initially sample for the total genetic effect </w:t>
      </w:r>
      <m:oMath>
        <m:r>
          <w:rPr>
            <w:rFonts w:ascii="Cambria Math" w:hAnsi="Cambria Math"/>
          </w:rPr>
          <m:t>k=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Pr="00F84608">
        <w:t xml:space="preserve"> on the log scale. We then want to sample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84608">
        <w:t xml:space="preserve"> given </w:t>
      </w:r>
      <m:oMath>
        <m:r>
          <w:rPr>
            <w:rFonts w:ascii="Cambria Math" w:hAnsi="Cambria Math"/>
          </w:rPr>
          <m:t>k</m:t>
        </m:r>
      </m:oMath>
      <w:r w:rsidRPr="00F84608">
        <w:t xml:space="preserve">. First, we calculate the normalizing value </w:t>
      </w:r>
      <m:oMath>
        <m:r>
          <w:rPr>
            <w:rFonts w:ascii="Cambria Math" w:hAnsi="Cambria Math"/>
          </w:rPr>
          <m:t>ψ=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-∞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w:rPr>
                <w:rFonts w:ascii="Cambria Math" w:hAnsi="Cambria Math"/>
              </w:rPr>
              <m:t>ϕ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u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1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e>
            </m:d>
          </m:e>
        </m:nary>
        <m:r>
          <w:rPr>
            <w:rFonts w:ascii="Cambria Math" w:hAnsi="Cambria Math"/>
          </w:rPr>
          <m:t>ϕ(k-u|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,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2</m:t>
            </m:r>
          </m:sup>
        </m:sSubSup>
        <m:r>
          <w:rPr>
            <w:rFonts w:ascii="Cambria Math" w:hAnsi="Cambria Math"/>
          </w:rPr>
          <m:t>)du</m:t>
        </m:r>
      </m:oMath>
      <w:r w:rsidRPr="00F84608">
        <w:t xml:space="preserve">, which is the area under the bivariate normal distribution for the sum </w:t>
      </w:r>
      <m:oMath>
        <m:r>
          <w:rPr>
            <w:rFonts w:ascii="Cambria Math" w:hAnsi="Cambria Math"/>
          </w:rPr>
          <m:t>k</m:t>
        </m:r>
      </m:oMath>
      <w:r w:rsidRPr="00F84608">
        <w:t xml:space="preserve"> (where </w:t>
      </w:r>
      <m:oMath>
        <m:r>
          <w:rPr>
            <w:rFonts w:ascii="Cambria Math" w:hAnsi="Cambria Math"/>
          </w:rPr>
          <m:t>ϕ()</m:t>
        </m:r>
      </m:oMath>
      <w:r w:rsidRPr="00F84608">
        <w:t xml:space="preserve"> is the probability density function for a univariate normal distribution). Second, we calculate the conditional mean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84608">
        <w:t xml:space="preserve">, which is </w:t>
      </w:r>
      <m:oMath>
        <m:r>
          <w:rPr>
            <w:rFonts w:ascii="Cambria Math" w:hAnsi="Cambria Math"/>
          </w:rPr>
          <m:t>E(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|k)=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-∞</m:t>
                </m:r>
              </m:sub>
              <m:sup>
                <m:r>
                  <w:rPr>
                    <w:rFonts w:ascii="Cambria Math" w:hAnsi="Cambria Math"/>
                  </w:rPr>
                  <m:t>∞</m:t>
                </m:r>
              </m:sup>
              <m:e>
                <m:r>
                  <w:rPr>
                    <w:rFonts w:ascii="Cambria Math" w:hAnsi="Cambria Math"/>
                  </w:rPr>
                  <m:t>u 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e>
                </m:d>
              </m:e>
            </m:nary>
            <m:r>
              <w:rPr>
                <w:rFonts w:ascii="Cambria Math" w:hAnsi="Cambria Math"/>
              </w:rPr>
              <m:t>ϕ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k-u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e>
            </m:d>
            <m:r>
              <w:rPr>
                <w:rFonts w:ascii="Cambria Math" w:hAnsi="Cambria Math"/>
              </w:rPr>
              <m:t>du</m:t>
            </m:r>
          </m:num>
          <m:den>
            <m:r>
              <w:rPr>
                <w:rFonts w:ascii="Cambria Math" w:hAnsi="Cambria Math"/>
              </w:rPr>
              <m:t>ψ</m:t>
            </m:r>
          </m:den>
        </m:f>
      </m:oMath>
      <w:r w:rsidRPr="00F84608">
        <w:t xml:space="preserve">. Third, we calculate the conditional variance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84608">
        <w:t xml:space="preserve">, which is </w:t>
      </w:r>
      <m:oMath>
        <m:r>
          <m:rPr>
            <m:sty m:val="p"/>
          </m:rPr>
          <w:rPr>
            <w:rFonts w:ascii="Cambria Math" w:hAnsi="Cambria Math"/>
          </w:rPr>
          <m:t>var</m:t>
        </m:r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|k)=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-∞</m:t>
                </m:r>
              </m:sub>
              <m:sup>
                <m:r>
                  <w:rPr>
                    <w:rFonts w:ascii="Cambria Math" w:hAnsi="Cambria Math"/>
                  </w:rPr>
                  <m:t>∞</m:t>
                </m:r>
              </m:sup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u-E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</w:rPr>
                  <m:t>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,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σ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2</m:t>
                        </m:r>
                      </m:sup>
                    </m:sSubSup>
                  </m:e>
                </m:d>
              </m:e>
            </m:nary>
            <m:r>
              <w:rPr>
                <w:rFonts w:ascii="Cambria Math" w:hAnsi="Cambria Math"/>
              </w:rPr>
              <m:t>ϕ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k-u</m:t>
                </m:r>
              </m:e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,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σ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bSup>
              </m:e>
            </m:d>
            <m:r>
              <w:rPr>
                <w:rFonts w:ascii="Cambria Math" w:hAnsi="Cambria Math"/>
              </w:rPr>
              <m:t>du</m:t>
            </m:r>
          </m:num>
          <m:den>
            <m:r>
              <w:rPr>
                <w:rFonts w:ascii="Cambria Math" w:hAnsi="Cambria Math"/>
              </w:rPr>
              <m:t>ψ</m:t>
            </m:r>
          </m:den>
        </m:f>
      </m:oMath>
      <w:r w:rsidRPr="00F84608">
        <w:t xml:space="preserve">. Finally, we sample for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84608">
        <w:t xml:space="preserve"> assuming that it is normal and given the conditional mean and variance, and calculate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=k-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F84608">
        <w:t xml:space="preserve">. </w:t>
      </w:r>
    </w:p>
    <w:p w14:paraId="5BAF6216" w14:textId="77777777" w:rsidR="008B62E8" w:rsidRPr="00F84608" w:rsidRDefault="008B62E8" w:rsidP="008B62E8"/>
    <w:p w14:paraId="7252C4B3" w14:textId="77777777" w:rsidR="008B62E8" w:rsidRPr="00F84608" w:rsidRDefault="008B62E8" w:rsidP="008B62E8">
      <w:r w:rsidRPr="00F84608">
        <w:t xml:space="preserve">This approach can be readily extended to include correlated genetic effects: consider a bivariate normal distribution </w:t>
      </w:r>
      <m:oMath>
        <m:r>
          <m:rPr>
            <m:sty m:val="bi"/>
          </m:rP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~MVN(</m:t>
        </m:r>
        <m:r>
          <m:rPr>
            <m:sty m:val="bi"/>
          </m:rPr>
          <w:rPr>
            <w:rFonts w:ascii="Cambria Math" w:hAnsi="Cambria Math"/>
          </w:rPr>
          <m:t>μ</m:t>
        </m:r>
        <m:r>
          <w:rPr>
            <w:rFonts w:ascii="Cambria Math" w:hAnsi="Cambria Math"/>
          </w:rPr>
          <m:t>,</m:t>
        </m:r>
        <m:r>
          <m:rPr>
            <m:sty m:val="b"/>
          </m:rPr>
          <w:rPr>
            <w:rFonts w:ascii="Cambria Math" w:hAnsi="Cambria Math"/>
          </w:rPr>
          <m:t>Σ</m:t>
        </m:r>
        <m:r>
          <w:rPr>
            <w:rFonts w:ascii="Cambria Math" w:hAnsi="Cambria Math"/>
          </w:rPr>
          <m:t>)</m:t>
        </m:r>
      </m:oMath>
      <w:r w:rsidRPr="00F84608">
        <w:t xml:space="preserve"> with mean </w:t>
      </w:r>
      <m:oMath>
        <m:r>
          <m:rPr>
            <m:sty m:val="bi"/>
          </m:rPr>
          <w:rPr>
            <w:rFonts w:ascii="Cambria Math" w:hAnsi="Cambria Math"/>
          </w:rPr>
          <m:t>μ</m:t>
        </m:r>
      </m:oMath>
      <w:r w:rsidRPr="00F84608">
        <w:t xml:space="preserve"> and covariance matrix </w:t>
      </w:r>
      <m:oMath>
        <m:r>
          <m:rPr>
            <m:sty m:val="b"/>
          </m:rPr>
          <w:rPr>
            <w:rFonts w:ascii="Cambria Math" w:hAnsi="Cambria Math"/>
          </w:rPr>
          <m:t>Σ</m:t>
        </m:r>
      </m:oMath>
      <w:r w:rsidRPr="00F84608">
        <w:t xml:space="preserve">. Then, following a similar approach, we have a normalizing value </w:t>
      </w:r>
      <m:oMath>
        <m:r>
          <w:rPr>
            <w:rFonts w:ascii="Cambria Math" w:hAnsi="Cambria Math"/>
          </w:rPr>
          <m:t>ψ=</m:t>
        </m:r>
        <m:nary>
          <m:naryPr>
            <m:limLoc m:val="subSup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-∞</m:t>
            </m:r>
          </m:sub>
          <m:sup>
            <m:r>
              <w:rPr>
                <w:rFonts w:ascii="Cambria Math" w:hAnsi="Cambria Math"/>
              </w:rPr>
              <m:t>∞</m:t>
            </m:r>
          </m:sup>
          <m:e>
            <m:r>
              <m:rPr>
                <m:sty m:val="bi"/>
              </m:rPr>
              <w:rPr>
                <w:rFonts w:ascii="Cambria Math" w:hAnsi="Cambria Math"/>
              </w:rPr>
              <m:t>ϕ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u,k-u</m:t>
                        </m:r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T</m:t>
                    </m:r>
                  </m:sup>
                </m:sSup>
              </m:e>
              <m:e>
                <m:r>
                  <m:rPr>
                    <m:sty m:val="bi"/>
                  </m:rPr>
                  <w:rPr>
                    <w:rFonts w:ascii="Cambria Math" w:hAnsi="Cambria Math"/>
                  </w:rPr>
                  <m:t>μ</m:t>
                </m:r>
                <m:r>
                  <w:rPr>
                    <w:rFonts w:ascii="Cambria Math" w:hAnsi="Cambria Math"/>
                  </w:rPr>
                  <m:t>,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Σ</m:t>
                </m:r>
              </m:e>
            </m:d>
          </m:e>
        </m:nary>
        <m:r>
          <w:rPr>
            <w:rFonts w:ascii="Cambria Math" w:hAnsi="Cambria Math"/>
          </w:rPr>
          <m:t>du</m:t>
        </m:r>
      </m:oMath>
      <w:r w:rsidRPr="00F84608">
        <w:t xml:space="preserve">, </w:t>
      </w:r>
      <m:oMath>
        <m:r>
          <w:rPr>
            <w:rFonts w:ascii="Cambria Math" w:hAnsi="Cambria Math"/>
          </w:rPr>
          <m:t>E(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|k)=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-∞</m:t>
                </m:r>
              </m:sub>
              <m:sup>
                <m:r>
                  <w:rPr>
                    <w:rFonts w:ascii="Cambria Math" w:hAnsi="Cambria Math"/>
                  </w:rPr>
                  <m:t>∞</m:t>
                </m:r>
              </m:sup>
              <m:e>
                <m:r>
                  <w:rPr>
                    <w:rFonts w:ascii="Cambria Math" w:hAnsi="Cambria Math"/>
                  </w:rPr>
                  <m:t xml:space="preserve">u 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u,k-u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p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μ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Σ</m:t>
                    </m:r>
                  </m:e>
                </m:d>
              </m:e>
            </m:nary>
            <m:r>
              <w:rPr>
                <w:rFonts w:ascii="Cambria Math" w:hAnsi="Cambria Math"/>
              </w:rPr>
              <m:t>du</m:t>
            </m:r>
          </m:num>
          <m:den>
            <m:r>
              <w:rPr>
                <w:rFonts w:ascii="Cambria Math" w:hAnsi="Cambria Math"/>
              </w:rPr>
              <m:t>ψ</m:t>
            </m:r>
          </m:den>
        </m:f>
      </m:oMath>
      <w:r w:rsidRPr="00F84608">
        <w:t xml:space="preserve"> and </w:t>
      </w:r>
      <m:oMath>
        <m:r>
          <m:rPr>
            <m:sty m:val="p"/>
          </m:rPr>
          <w:rPr>
            <w:rFonts w:ascii="Cambria Math" w:hAnsi="Cambria Math"/>
          </w:rPr>
          <m:t>var</m:t>
        </m:r>
        <m:r>
          <w:rPr>
            <w:rFonts w:ascii="Cambria Math" w:hAnsi="Cambria Math"/>
          </w:rPr>
          <m:t>(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Y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|k)=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limLoc m:val="subSup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-∞</m:t>
                </m:r>
              </m:sub>
              <m:sup>
                <m:r>
                  <w:rPr>
                    <w:rFonts w:ascii="Cambria Math" w:hAnsi="Cambria Math"/>
                  </w:rPr>
                  <m:t>∞</m:t>
                </m:r>
              </m:sup>
              <m:e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u-E</m:t>
                        </m:r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Y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</w:rPr>
                                  <m:t>1</m:t>
                                </m:r>
                              </m:sub>
                            </m:sSub>
                          </m:e>
                          <m:e>
                            <m:r>
                              <w:rPr>
                                <w:rFonts w:ascii="Cambria Math" w:hAnsi="Cambria Math"/>
                              </w:rPr>
                              <m:t>k</m:t>
                            </m:r>
                          </m:e>
                        </m:d>
                      </m:e>
                    </m:d>
                  </m:e>
                  <m:sup>
                    <m:r>
                      <w:rPr>
                        <w:rFonts w:ascii="Cambria Math" w:hAnsi="Cambria Math"/>
                      </w:rPr>
                      <m:t>2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ϕ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</w:rPr>
                              <m:t>u,k-u</m:t>
                            </m:r>
                          </m:e>
                        </m:d>
                      </m:e>
                      <m:sup>
                        <m:r>
                          <w:rPr>
                            <w:rFonts w:ascii="Cambria Math" w:hAnsi="Cambria Math"/>
                          </w:rPr>
                          <m:t>T</m:t>
                        </m:r>
                      </m:sup>
                    </m:sSup>
                  </m:e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μ</m:t>
                    </m:r>
                    <m:r>
                      <w:rPr>
                        <w:rFonts w:ascii="Cambria Math" w:hAnsi="Cambria Math"/>
                      </w:rPr>
                      <m:t>,</m:t>
                    </m:r>
                    <m:r>
                      <m:rPr>
                        <m:sty m:val="b"/>
                      </m:rPr>
                      <w:rPr>
                        <w:rFonts w:ascii="Cambria Math" w:hAnsi="Cambria Math"/>
                      </w:rPr>
                      <m:t>Σ</m:t>
                    </m:r>
                  </m:e>
                </m:d>
              </m:e>
            </m:nary>
            <m:r>
              <w:rPr>
                <w:rFonts w:ascii="Cambria Math" w:hAnsi="Cambria Math"/>
              </w:rPr>
              <m:t>du</m:t>
            </m:r>
          </m:num>
          <m:den>
            <m:r>
              <w:rPr>
                <w:rFonts w:ascii="Cambria Math" w:hAnsi="Cambria Math"/>
              </w:rPr>
              <m:t>ψ</m:t>
            </m:r>
          </m:den>
        </m:f>
      </m:oMath>
      <w:r w:rsidRPr="00F84608">
        <w:t xml:space="preserve">, where </w:t>
      </w:r>
      <m:oMath>
        <m:r>
          <m:rPr>
            <m:sty m:val="bi"/>
          </m:rPr>
          <w:rPr>
            <w:rFonts w:ascii="Cambria Math" w:hAnsi="Cambria Math"/>
          </w:rPr>
          <m:t>ϕ</m:t>
        </m:r>
        <m:r>
          <w:rPr>
            <w:rFonts w:ascii="Cambria Math" w:hAnsi="Cambria Math"/>
          </w:rPr>
          <m:t>()</m:t>
        </m:r>
      </m:oMath>
      <w:r w:rsidRPr="00F84608">
        <w:t xml:space="preserve"> is the probability density function for a bivariate normal distribution.</w:t>
      </w:r>
    </w:p>
    <w:p w14:paraId="6C50F7A4" w14:textId="77777777" w:rsidR="008B62E8" w:rsidRDefault="008B62E8" w:rsidP="008B62E8"/>
    <w:p w14:paraId="79394F14" w14:textId="77777777" w:rsidR="008B62E8" w:rsidRDefault="008B62E8" w:rsidP="008B62E8"/>
    <w:p w14:paraId="269B9FE3" w14:textId="77777777" w:rsidR="008B62E8" w:rsidRDefault="008B62E8" w:rsidP="008B62E8"/>
    <w:p w14:paraId="3B51976A" w14:textId="77777777" w:rsidR="008B62E8" w:rsidRDefault="008B62E8" w:rsidP="008B62E8"/>
    <w:p w14:paraId="442A9014" w14:textId="77777777" w:rsidR="008B62E8" w:rsidRDefault="008B62E8" w:rsidP="008B62E8"/>
    <w:p w14:paraId="2FE62F8D" w14:textId="77777777" w:rsidR="008B62E8" w:rsidRDefault="008B62E8" w:rsidP="008B62E8"/>
    <w:p w14:paraId="2CBAF75C" w14:textId="77777777" w:rsidR="008B62E8" w:rsidRDefault="008B62E8" w:rsidP="008B62E8"/>
    <w:p w14:paraId="1BB054AC" w14:textId="77777777" w:rsidR="008B62E8" w:rsidRDefault="008B62E8" w:rsidP="008B62E8">
      <w:pPr>
        <w:sectPr w:rsidR="008B62E8" w:rsidSect="008B62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6AD1290" w14:textId="77777777" w:rsidR="008B62E8" w:rsidRDefault="008B62E8" w:rsidP="008B62E8">
      <w:r>
        <w:lastRenderedPageBreak/>
        <w:t>Supplementary Table S1: Lifetime expected outcomes and cost-effectiveness from age 50 excluding the upper bound strategies</w:t>
      </w:r>
    </w:p>
    <w:tbl>
      <w:tblPr>
        <w:tblW w:w="4619" w:type="pct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2142"/>
        <w:gridCol w:w="758"/>
        <w:gridCol w:w="754"/>
        <w:gridCol w:w="903"/>
        <w:gridCol w:w="900"/>
        <w:gridCol w:w="979"/>
        <w:gridCol w:w="989"/>
        <w:gridCol w:w="989"/>
        <w:gridCol w:w="1042"/>
        <w:gridCol w:w="1042"/>
        <w:gridCol w:w="821"/>
        <w:gridCol w:w="653"/>
      </w:tblGrid>
      <w:tr w:rsidR="008B62E8" w:rsidRPr="0083477D" w14:paraId="1B726D7E" w14:textId="77777777" w:rsidTr="007C2AE7">
        <w:trPr>
          <w:trHeight w:val="1155"/>
        </w:trPr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8AE1479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Strategy</w:t>
            </w:r>
          </w:p>
        </w:tc>
        <w:tc>
          <w:tcPr>
            <w:tcW w:w="31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95450F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Mean lifetime number of PSA tests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2B2892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Mean lifetime number of biopsies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644F90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Lifetime risk of a prostate cancer diagnosis</w:t>
            </w:r>
          </w:p>
        </w:tc>
        <w:tc>
          <w:tcPr>
            <w:tcW w:w="37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F11990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Lifetime risk of a prostate cancer death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1281FB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Life expectancy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56AE70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Discounted health-sector costs (£)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76EE68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Discounted quality-adjusted life expectancy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48F0C87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Incremental health-sector costs (£)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EE0936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Incremental effects</w:t>
            </w:r>
          </w:p>
        </w:tc>
        <w:tc>
          <w:tcPr>
            <w:tcW w:w="34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848427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ICER (£ per QALY gained)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ECEB7E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b/>
                <w:bCs/>
                <w:sz w:val="14"/>
                <w:szCs w:val="14"/>
                <w:lang w:val="en-GB" w:eastAsia="en-GB"/>
              </w:rPr>
              <w:t>Status</w:t>
            </w:r>
          </w:p>
        </w:tc>
      </w:tr>
      <w:tr w:rsidR="008B62E8" w:rsidRPr="0083477D" w14:paraId="1EDB5B0F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F3A5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No screening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CEA1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0.000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DB586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0.298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99380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0.1573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C5A5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0.0564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3527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32.555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061F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1152.3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674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15.0160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7A30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45F26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31B3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88BE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ND</w:t>
            </w:r>
          </w:p>
        </w:tc>
      </w:tr>
      <w:tr w:rsidR="008B62E8" w:rsidRPr="0083477D" w14:paraId="3490ED9C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10EE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50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4FC66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0.851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3980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0.299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CA04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0.1574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EC719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0.0557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8E02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32.569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CECD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1198.1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80EA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15.0198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6651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45.8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045E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0.0038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7352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12050.0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F829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ND</w:t>
            </w:r>
          </w:p>
        </w:tc>
      </w:tr>
      <w:tr w:rsidR="008B62E8" w:rsidRPr="0083477D" w14:paraId="11019884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85A1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60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A58EE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0.819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73C1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0.307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9C71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0.1595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719F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0.0540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E2F0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32.586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AFDD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1256.0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BCE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15.0221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3D2A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57.9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5C16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0.0023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CA70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25586.5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7F6B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ND</w:t>
            </w:r>
          </w:p>
        </w:tc>
      </w:tr>
      <w:tr w:rsidR="008B62E8" w:rsidRPr="0083477D" w14:paraId="411F7C50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4A9F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4-yearly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A24E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4.126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7860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0.362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D333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0.1669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20D29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0.0494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FAB5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32.642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E2E4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1547.4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35B99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15.0321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DE0A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291.4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18D3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0.0101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24EC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28932.0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4975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ND</w:t>
            </w:r>
          </w:p>
        </w:tc>
      </w:tr>
      <w:tr w:rsidR="008B62E8" w:rsidRPr="0083477D" w14:paraId="72F14631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0E55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2-yearly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C655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6.703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7E5B7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0.411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58A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0.1688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AB5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0.0478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C990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32.661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85D2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1727.7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0A9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15.0352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60F6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180.3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9277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0.0031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B427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58638.7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29BD6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ND</w:t>
            </w:r>
          </w:p>
        </w:tc>
      </w:tr>
      <w:tr w:rsidR="008B62E8" w:rsidRPr="0083477D" w14:paraId="2725E3FA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EC3C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4-yearly (PRS first, pragmatic)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8A9F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2.039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E37C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0.327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FE56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0.1646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16FA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0.0511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5001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32.622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1ECB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1446.2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216D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15.0286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4BE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7DAE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5A9E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408E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ED</w:t>
            </w:r>
          </w:p>
        </w:tc>
      </w:tr>
      <w:tr w:rsidR="008B62E8" w:rsidRPr="0083477D" w14:paraId="545465B0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7BCC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50 (PRS first, pragmatic)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2AE5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0.429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657A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0.299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E8A8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0.1574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50820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0.0558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59E7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32.566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D628B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1223.3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A5F7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15.0191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E207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152B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E571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02B2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D</w:t>
            </w:r>
          </w:p>
        </w:tc>
      </w:tr>
      <w:tr w:rsidR="008B62E8" w:rsidRPr="0083477D" w14:paraId="377A883D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E7B4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70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ECB4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0.719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8D89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0.328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A712C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0.1634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48E0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0.0549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9BC1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32.570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DF6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1243.2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806C1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15.0174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7EFC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5B08E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119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61403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D</w:t>
            </w:r>
          </w:p>
        </w:tc>
      </w:tr>
      <w:tr w:rsidR="008B62E8" w:rsidRPr="0083477D" w14:paraId="4DB67A69" w14:textId="77777777" w:rsidTr="007C2AE7">
        <w:trPr>
          <w:trHeight w:val="255"/>
        </w:trPr>
        <w:tc>
          <w:tcPr>
            <w:tcW w:w="8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95B2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2-yearly (PRS first, pragmatic)</w:t>
            </w:r>
          </w:p>
        </w:tc>
        <w:tc>
          <w:tcPr>
            <w:tcW w:w="31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A126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3.298</w:t>
            </w:r>
          </w:p>
        </w:tc>
        <w:tc>
          <w:tcPr>
            <w:tcW w:w="31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1A8CD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0.352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AC1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0.1660</w:t>
            </w:r>
          </w:p>
        </w:tc>
        <w:tc>
          <w:tcPr>
            <w:tcW w:w="376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021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0.0498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7CDC6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32.636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FF38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1551.8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4DC77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15.0311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A81E5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5FEAA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34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9CBF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right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NA</w:t>
            </w: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50ED2" w14:textId="77777777" w:rsidR="008B62E8" w:rsidRPr="0083477D" w:rsidRDefault="008B62E8" w:rsidP="007C2AE7">
            <w:pPr>
              <w:autoSpaceDE/>
              <w:autoSpaceDN/>
              <w:adjustRightInd/>
              <w:spacing w:line="240" w:lineRule="auto"/>
              <w:jc w:val="center"/>
              <w:rPr>
                <w:rFonts w:eastAsia="Times New Roman" w:cs="Times New Roman"/>
                <w:sz w:val="14"/>
                <w:szCs w:val="14"/>
                <w:lang w:val="en-GB" w:eastAsia="en-GB"/>
              </w:rPr>
            </w:pPr>
            <w:r w:rsidRPr="0083477D">
              <w:rPr>
                <w:rFonts w:eastAsia="Times New Roman" w:cs="Times New Roman"/>
                <w:sz w:val="14"/>
                <w:szCs w:val="14"/>
                <w:lang w:val="en-GB" w:eastAsia="en-GB"/>
              </w:rPr>
              <w:t>D</w:t>
            </w:r>
          </w:p>
        </w:tc>
      </w:tr>
    </w:tbl>
    <w:p w14:paraId="6C82EC1A" w14:textId="77777777" w:rsidR="008B62E8" w:rsidRDefault="008B62E8" w:rsidP="008B62E8"/>
    <w:p w14:paraId="75A8991A" w14:textId="77777777" w:rsidR="008B62E8" w:rsidRDefault="008B62E8" w:rsidP="008B62E8"/>
    <w:p w14:paraId="60067DCB" w14:textId="77777777" w:rsidR="008B62E8" w:rsidRDefault="008B62E8" w:rsidP="008B62E8">
      <w:r>
        <w:br w:type="page"/>
      </w:r>
    </w:p>
    <w:p w14:paraId="7414BE9E" w14:textId="77777777" w:rsidR="008B62E8" w:rsidRDefault="008B62E8" w:rsidP="008B62E8">
      <w:r>
        <w:lastRenderedPageBreak/>
        <w:t>Supplementary Table S2: Lifetime expected outcomes and cost-effectiveness from age 50, using EQ-5D rather than PORPUS-U for utility values</w:t>
      </w:r>
    </w:p>
    <w:p w14:paraId="5AE1A67D" w14:textId="77777777" w:rsidR="008B62E8" w:rsidRDefault="008B62E8" w:rsidP="008B62E8"/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31"/>
        <w:gridCol w:w="835"/>
        <w:gridCol w:w="720"/>
        <w:gridCol w:w="989"/>
        <w:gridCol w:w="983"/>
        <w:gridCol w:w="815"/>
        <w:gridCol w:w="946"/>
        <w:gridCol w:w="1003"/>
        <w:gridCol w:w="967"/>
        <w:gridCol w:w="938"/>
        <w:gridCol w:w="922"/>
        <w:gridCol w:w="651"/>
      </w:tblGrid>
      <w:tr w:rsidR="008B62E8" w14:paraId="7C3EC691" w14:textId="77777777" w:rsidTr="007C2AE7">
        <w:trPr>
          <w:trHeight w:val="1305"/>
        </w:trPr>
        <w:tc>
          <w:tcPr>
            <w:tcW w:w="233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BCE340" w14:textId="77777777" w:rsidR="008B62E8" w:rsidRDefault="008B62E8" w:rsidP="007C2AE7">
            <w:pPr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Strategy</w:t>
            </w:r>
          </w:p>
        </w:tc>
        <w:tc>
          <w:tcPr>
            <w:tcW w:w="83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66DFEB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Mean lifetime number of PSA tests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A93A1F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Mean lifetime number of biopsies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27ABED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Lifetime risk of a prostate cancer diagnosis</w:t>
            </w:r>
          </w:p>
        </w:tc>
        <w:tc>
          <w:tcPr>
            <w:tcW w:w="98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FB75E4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Lifetime risk of a prostate cancer death</w:t>
            </w:r>
          </w:p>
        </w:tc>
        <w:tc>
          <w:tcPr>
            <w:tcW w:w="81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E6A104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Life expectancy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BBF398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Discounted health-sector costs (£)</w:t>
            </w:r>
          </w:p>
        </w:tc>
        <w:tc>
          <w:tcPr>
            <w:tcW w:w="100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7CB939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Discounted quality-adjusted life expectancy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DAC9F4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Incremental health-sector costs (£)</w:t>
            </w:r>
          </w:p>
        </w:tc>
        <w:tc>
          <w:tcPr>
            <w:tcW w:w="9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824E11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Incremental effects</w:t>
            </w:r>
          </w:p>
        </w:tc>
        <w:tc>
          <w:tcPr>
            <w:tcW w:w="9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F98D09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ICER (£ per QALY gained)</w:t>
            </w:r>
          </w:p>
        </w:tc>
        <w:tc>
          <w:tcPr>
            <w:tcW w:w="651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A46836" w14:textId="77777777" w:rsidR="008B62E8" w:rsidRDefault="008B62E8" w:rsidP="007C2AE7">
            <w:pPr>
              <w:jc w:val="center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Status</w:t>
            </w:r>
          </w:p>
        </w:tc>
      </w:tr>
      <w:tr w:rsidR="008B62E8" w14:paraId="5F9BD711" w14:textId="77777777" w:rsidTr="007C2AE7">
        <w:trPr>
          <w:trHeight w:val="255"/>
        </w:trPr>
        <w:tc>
          <w:tcPr>
            <w:tcW w:w="233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54988C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No screening</w:t>
            </w:r>
          </w:p>
        </w:tc>
        <w:tc>
          <w:tcPr>
            <w:tcW w:w="83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6CEDAE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E6F63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0.298</w:t>
            </w:r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3816DA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0.1573</w:t>
            </w:r>
          </w:p>
        </w:tc>
        <w:tc>
          <w:tcPr>
            <w:tcW w:w="98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599F2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0.0564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3B671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32.555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EDF77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1064.1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3AF5C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14.9870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F3CF0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159089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AA8D2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F5DFE9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4929A496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9696D1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50 (PRS first, upper bound)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24C27E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0.429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1462B4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F6EB8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B7793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BB2B3B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32.568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A425F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1096.0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50D24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9F3F4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31.9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4ACEF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0.0026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CF2F3E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12161.3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F84EA9F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2FC8030F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9BEBA0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50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AB50D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0.851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49EBC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2E7F63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DC335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0.0557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A9F79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32.569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8BE65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1111.5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10A84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14.9898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15156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15.5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E3915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0.0002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4BD74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88259.2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8D9CE0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26B1CAE6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2A2D71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4-yearly (PRS first, upper bound)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1E1D7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2.021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5D612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0.325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64155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0.1658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93891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0.0502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7FF131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32.632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8B599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1348.9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F94E7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14.9917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A44568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237.4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B7E8C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0.0019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6A30E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123933.0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E2C524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7A8C5CE7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C1A4B6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2-yearly (PRS first, upper bound)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D894B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3.261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CDE59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0.350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EE3CD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0.1674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EA082D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0.0488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C7FBD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32.649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158A4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1463.4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67772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14.9924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51E79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114.5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2E1A9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0.0007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BFF0E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173559.4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48A592F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6E88E5E2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D4FB6E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2-yearly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BEB25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6.703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CCD2F9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0.411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A7883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0.1688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21E0C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0.0478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B9059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32.661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F19314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1653.3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84311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14.9925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5BC6A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189.89548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DFB35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0.000120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F06B9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1577652.3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5D8A21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545A6C4A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E7FD66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50 (PRS first, pragmatic)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F0F3E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0.429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CA4B4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0.299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597A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881E3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0.0558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FAF19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32.566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1281F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1136.3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10102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649AAD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2D180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FEED4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E09900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151379BA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F9442D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70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B93E6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0.719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9BB6E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0.328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C4B2A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0.1634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07933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0.0549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A805F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32.570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FAA6A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1156.8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DD85CA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14.9853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067B33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553D79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82B10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CCED022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314964AA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7319217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60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BE34B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0.819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F8A7A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0.307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443F0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0.1595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D31EFF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0.0540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CEBD9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32.586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4BA61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1171.7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308E2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14.9895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FCA9CC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AEC542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6462C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2E88F8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49BF9E26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7A7AE0A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4-yearly (PRS first, pragmatic)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CC9F2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2.039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301AB9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0.327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20FB0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0.1646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4B0B5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0.0511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FEF39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32.622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D4437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1366.5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2D3B5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14.9910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E4A764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A7B34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1952A1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7DA8C0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77D40406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722EDD2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4-yearly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0A7F3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4.126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BF000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0.362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56FE1A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0.1669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2FD15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0.0494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57E565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32.642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AC209E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1470.3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0234F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14.9920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B79A7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AAE795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70CC0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C50EE54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47A3F4AF" w14:textId="77777777" w:rsidTr="007C2AE7">
        <w:trPr>
          <w:trHeight w:val="255"/>
        </w:trPr>
        <w:tc>
          <w:tcPr>
            <w:tcW w:w="233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AB4F98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2-yearly (PRS first, pragmatic)</w:t>
            </w:r>
          </w:p>
        </w:tc>
        <w:tc>
          <w:tcPr>
            <w:tcW w:w="8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61945F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3.298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29E2D6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0.352</w:t>
            </w: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41DC3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0.1660</w:t>
            </w:r>
          </w:p>
        </w:tc>
        <w:tc>
          <w:tcPr>
            <w:tcW w:w="9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A9B1C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0.0498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15CE9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32.636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A2A87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1474.2</w:t>
            </w:r>
          </w:p>
        </w:tc>
        <w:tc>
          <w:tcPr>
            <w:tcW w:w="100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2650D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14.9916</w:t>
            </w:r>
          </w:p>
        </w:tc>
        <w:tc>
          <w:tcPr>
            <w:tcW w:w="96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F775D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705BA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78BF0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D455392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</w:tbl>
    <w:p w14:paraId="77EEC5F2" w14:textId="77777777" w:rsidR="008B62E8" w:rsidRDefault="008B62E8" w:rsidP="008B62E8"/>
    <w:p w14:paraId="1E2CD618" w14:textId="77777777" w:rsidR="008B62E8" w:rsidRDefault="008B62E8" w:rsidP="008B62E8"/>
    <w:p w14:paraId="391E0FE4" w14:textId="77777777" w:rsidR="008B62E8" w:rsidRDefault="008B62E8" w:rsidP="008B62E8">
      <w:r>
        <w:br w:type="page"/>
      </w:r>
    </w:p>
    <w:p w14:paraId="51546802" w14:textId="77777777" w:rsidR="008B62E8" w:rsidRDefault="008B62E8" w:rsidP="008B62E8">
      <w:r>
        <w:lastRenderedPageBreak/>
        <w:t>Supplementary Table S3: Lifetime expected outcomes and cost-effectiveness excluding the upper bound strategies from age 50, using EQ-5D rather than PORPUS-U for utility values</w:t>
      </w:r>
    </w:p>
    <w:p w14:paraId="2E26E7D3" w14:textId="77777777" w:rsidR="008B62E8" w:rsidRDefault="008B62E8" w:rsidP="008B62E8"/>
    <w:tbl>
      <w:tblPr>
        <w:tblW w:w="0" w:type="auto"/>
        <w:tblLayout w:type="fixed"/>
        <w:tblLook w:val="06A0" w:firstRow="1" w:lastRow="0" w:firstColumn="1" w:lastColumn="0" w:noHBand="1" w:noVBand="1"/>
      </w:tblPr>
      <w:tblGrid>
        <w:gridCol w:w="2317"/>
        <w:gridCol w:w="838"/>
        <w:gridCol w:w="722"/>
        <w:gridCol w:w="992"/>
        <w:gridCol w:w="987"/>
        <w:gridCol w:w="816"/>
        <w:gridCol w:w="947"/>
        <w:gridCol w:w="1005"/>
        <w:gridCol w:w="968"/>
        <w:gridCol w:w="939"/>
        <w:gridCol w:w="916"/>
        <w:gridCol w:w="654"/>
      </w:tblGrid>
      <w:tr w:rsidR="008B62E8" w14:paraId="14995910" w14:textId="77777777" w:rsidTr="007C2AE7">
        <w:trPr>
          <w:trHeight w:val="1305"/>
        </w:trPr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984DFD" w14:textId="77777777" w:rsidR="008B62E8" w:rsidRDefault="008B62E8" w:rsidP="007C2AE7">
            <w:pPr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Strategy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EF4AF8F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Mean lifetime number of PSA tests</w:t>
            </w:r>
          </w:p>
        </w:tc>
        <w:tc>
          <w:tcPr>
            <w:tcW w:w="72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BFFFA2E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Mean lifetime number of biopsies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2DB2DE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Lifetime risk of a prostate cancer diagnosis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233C7BD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Lifetime risk of a prostate cancer death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827661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Life expectancy</w:t>
            </w:r>
          </w:p>
        </w:tc>
        <w:tc>
          <w:tcPr>
            <w:tcW w:w="9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041D1D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Discounted health-sector costs (£)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FDDAC04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Discounted quality-adjusted life expectancy</w:t>
            </w:r>
          </w:p>
        </w:tc>
        <w:tc>
          <w:tcPr>
            <w:tcW w:w="968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1CDE0F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Incremental health-sector costs (£)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C7FBFAB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Incremental effects</w:t>
            </w:r>
          </w:p>
        </w:tc>
        <w:tc>
          <w:tcPr>
            <w:tcW w:w="91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E8AAE9" w14:textId="77777777" w:rsidR="008B62E8" w:rsidRDefault="008B62E8" w:rsidP="007C2AE7">
            <w:pPr>
              <w:jc w:val="right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ICER (£ per QALY gained)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F1716E" w14:textId="77777777" w:rsidR="008B62E8" w:rsidRDefault="008B62E8" w:rsidP="007C2AE7">
            <w:pPr>
              <w:jc w:val="center"/>
              <w:rPr>
                <w:rFonts w:eastAsia="LM Roman 12" w:cs="LM Roman 12"/>
                <w:b/>
                <w:bCs/>
                <w:sz w:val="14"/>
                <w:szCs w:val="14"/>
              </w:rPr>
            </w:pPr>
            <w:r w:rsidRPr="5C563650">
              <w:rPr>
                <w:rFonts w:eastAsia="LM Roman 12" w:cs="LM Roman 12"/>
                <w:b/>
                <w:bCs/>
                <w:sz w:val="14"/>
                <w:szCs w:val="14"/>
              </w:rPr>
              <w:t>Status</w:t>
            </w:r>
          </w:p>
        </w:tc>
      </w:tr>
      <w:tr w:rsidR="008B62E8" w14:paraId="10CE3D94" w14:textId="77777777" w:rsidTr="007C2AE7">
        <w:trPr>
          <w:trHeight w:val="255"/>
        </w:trPr>
        <w:tc>
          <w:tcPr>
            <w:tcW w:w="231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FA74F5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No screening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65B30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0.000</w:t>
            </w:r>
          </w:p>
        </w:tc>
        <w:tc>
          <w:tcPr>
            <w:tcW w:w="72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092973E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C1153E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0.1573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58BEC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0.0564</w:t>
            </w:r>
          </w:p>
        </w:tc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B9B5DD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32.555</w:t>
            </w:r>
          </w:p>
        </w:tc>
        <w:tc>
          <w:tcPr>
            <w:tcW w:w="94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26BC58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1064.1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852C9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14.9870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0BD22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9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389F85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16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08D0B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4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3C9FE0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5D51E0EC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1D0B24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50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413CA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0.851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C0543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66CA13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072B5B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0.0557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B31B4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32.569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2A6A2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1111.5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37419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14.9898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9DB4AF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47.4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D8BAA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0.0028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17D845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16952.8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74AD81F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42220C2E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92E9866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4-yearly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9952A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4.126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404A31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F17BB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0.1669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2373C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0.0494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1D1C1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32.642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9CA92C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1470.3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6D33D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14.9920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6A48E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358.8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37C57B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0.0022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43D89A8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162152.9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6AFC6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504873E7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3A24F7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2-yearly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4A8F2E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6.703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07BFD6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0.411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FB4748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0.1688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8E7A71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0.0478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A0269A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32.661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99D454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1653.3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17875F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14.9925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5513F72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183.0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FBC84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0.0005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E3F8A7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378952.0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B09B73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ND</w:t>
            </w:r>
          </w:p>
        </w:tc>
      </w:tr>
      <w:tr w:rsidR="008B62E8" w14:paraId="166A85C0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9338B1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4-yearly (PRS first, pragmatic)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F2949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2.039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D3C8C0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6D5A4F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0.1646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D26744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473B0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32.622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2B1669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1366.5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B8CAC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14.9910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E470E2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6F7B9C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89FC53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5D9D5C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ED</w:t>
            </w:r>
          </w:p>
        </w:tc>
      </w:tr>
      <w:tr w:rsidR="008B62E8" w14:paraId="304F300C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99DA7D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50 (PRS first, pragmatic)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5FA8AE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0.429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CD6E8B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0.299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A97AB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0.1574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FD64D1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0.0558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B597B6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32.566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2DFC96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1136.3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E3F3E7B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B4CAD0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796D62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0A2BD0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E3AC973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0266F936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8F317B2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70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0E0F19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0.719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0A1E7B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0.328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E43C6A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0.1634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928C6B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0.0549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C5C305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32.570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B7A65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1156.8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B743F0E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14.9853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5A3B67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49B6D1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9B4C2E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6A4FC12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4F5B9B21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37348B6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60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8B93B8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0.819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52D402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0.307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402BBB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0.1595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7E7062A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0.0540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4E427B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32.586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FD462A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1171.7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61D8C1C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14.9895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38FFDB0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56041A7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77EC51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1B1DC41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  <w:tr w:rsidR="008B62E8" w14:paraId="3A64F70B" w14:textId="77777777" w:rsidTr="007C2AE7">
        <w:trPr>
          <w:trHeight w:val="255"/>
        </w:trPr>
        <w:tc>
          <w:tcPr>
            <w:tcW w:w="231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85B2206" w14:textId="77777777" w:rsidR="008B62E8" w:rsidRDefault="008B62E8" w:rsidP="007C2AE7">
            <w:pPr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2-yearly (PRS first, pragmatic)</w:t>
            </w:r>
          </w:p>
        </w:tc>
        <w:tc>
          <w:tcPr>
            <w:tcW w:w="83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B34FC46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3.298</w:t>
            </w:r>
          </w:p>
        </w:tc>
        <w:tc>
          <w:tcPr>
            <w:tcW w:w="72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2ABED6D5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0.352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76447534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0.1660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B51453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0.0498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7D8925D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32.636</w:t>
            </w:r>
          </w:p>
        </w:tc>
        <w:tc>
          <w:tcPr>
            <w:tcW w:w="947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0A73D5A7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1474.2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18D80F4F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14.9916</w:t>
            </w:r>
          </w:p>
        </w:tc>
        <w:tc>
          <w:tcPr>
            <w:tcW w:w="96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D0008C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4DB1D333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91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A002B49" w14:textId="77777777" w:rsidR="008B62E8" w:rsidRDefault="008B62E8" w:rsidP="007C2AE7">
            <w:pPr>
              <w:jc w:val="right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NA</w:t>
            </w:r>
          </w:p>
        </w:tc>
        <w:tc>
          <w:tcPr>
            <w:tcW w:w="6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14:paraId="33896E9B" w14:textId="77777777" w:rsidR="008B62E8" w:rsidRDefault="008B62E8" w:rsidP="007C2AE7">
            <w:pPr>
              <w:jc w:val="center"/>
              <w:rPr>
                <w:rFonts w:eastAsia="LM Roman 12" w:cs="LM Roman 12"/>
                <w:sz w:val="14"/>
                <w:szCs w:val="14"/>
              </w:rPr>
            </w:pPr>
            <w:r w:rsidRPr="5C563650">
              <w:rPr>
                <w:rFonts w:eastAsia="LM Roman 12" w:cs="LM Roman 12"/>
                <w:sz w:val="14"/>
                <w:szCs w:val="14"/>
              </w:rPr>
              <w:t>D</w:t>
            </w:r>
          </w:p>
        </w:tc>
      </w:tr>
    </w:tbl>
    <w:p w14:paraId="4E662674" w14:textId="77777777" w:rsidR="008B62E8" w:rsidRDefault="008B62E8" w:rsidP="008B62E8">
      <w:pPr>
        <w:sectPr w:rsidR="008B62E8" w:rsidSect="008B62E8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FDE1897" w14:textId="77777777" w:rsidR="008B62E8" w:rsidRDefault="008B62E8" w:rsidP="008B62E8"/>
    <w:p w14:paraId="46623AA3" w14:textId="77777777" w:rsidR="008B62E8" w:rsidRDefault="008B62E8" w:rsidP="008B62E8">
      <w:r>
        <w:t>Supplementary Table S4: EQ-5D health state values used as alternative to PORPUS-U values</w:t>
      </w:r>
    </w:p>
    <w:p w14:paraId="41705AA1" w14:textId="77777777" w:rsidR="008B62E8" w:rsidRDefault="008B62E8" w:rsidP="008B62E8"/>
    <w:p w14:paraId="0E519D0C" w14:textId="77777777" w:rsidR="008B62E8" w:rsidRDefault="008B62E8" w:rsidP="008B62E8"/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70"/>
        <w:gridCol w:w="1872"/>
        <w:gridCol w:w="1870"/>
        <w:gridCol w:w="1870"/>
        <w:gridCol w:w="1868"/>
      </w:tblGrid>
      <w:tr w:rsidR="008B62E8" w:rsidRPr="009148A1" w14:paraId="54384D37" w14:textId="77777777" w:rsidTr="007C2AE7">
        <w:trPr>
          <w:trHeight w:val="896"/>
        </w:trPr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6C027E91" w14:textId="77777777" w:rsidR="008B62E8" w:rsidRPr="009148A1" w:rsidRDefault="008B62E8" w:rsidP="007C2AE7">
            <w:pPr>
              <w:rPr>
                <w:b/>
                <w:bCs/>
              </w:rPr>
            </w:pPr>
            <w:r w:rsidRPr="009148A1">
              <w:rPr>
                <w:b/>
                <w:bCs/>
                <w:sz w:val="20"/>
              </w:rPr>
              <w:t>Health states</w:t>
            </w:r>
          </w:p>
        </w:tc>
        <w:tc>
          <w:tcPr>
            <w:tcW w:w="1001" w:type="pct"/>
            <w:shd w:val="clear" w:color="auto" w:fill="D9D9D9" w:themeFill="background1" w:themeFillShade="D9"/>
            <w:vAlign w:val="center"/>
          </w:tcPr>
          <w:p w14:paraId="36BE7D22" w14:textId="77777777" w:rsidR="008B62E8" w:rsidRPr="009148A1" w:rsidRDefault="008B62E8" w:rsidP="007C2AE7">
            <w:pPr>
              <w:rPr>
                <w:b/>
                <w:bCs/>
              </w:rPr>
            </w:pPr>
            <w:r w:rsidRPr="009148A1">
              <w:rPr>
                <w:b/>
                <w:bCs/>
                <w:sz w:val="20"/>
              </w:rPr>
              <w:t>Utility value</w:t>
            </w:r>
            <w:r>
              <w:rPr>
                <w:b/>
                <w:bCs/>
                <w:sz w:val="20"/>
              </w:rPr>
              <w:t xml:space="preserve"> (EQ-5D)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44D34FF4" w14:textId="77777777" w:rsidR="008B62E8" w:rsidRPr="009148A1" w:rsidRDefault="008B62E8" w:rsidP="007C2AE7">
            <w:pPr>
              <w:rPr>
                <w:b/>
                <w:bCs/>
              </w:rPr>
            </w:pPr>
            <w:r w:rsidRPr="009148A1">
              <w:rPr>
                <w:b/>
                <w:bCs/>
                <w:sz w:val="20"/>
              </w:rPr>
              <w:t>Lower 95% CI</w:t>
            </w:r>
          </w:p>
        </w:tc>
        <w:tc>
          <w:tcPr>
            <w:tcW w:w="1000" w:type="pct"/>
            <w:shd w:val="clear" w:color="auto" w:fill="D9D9D9" w:themeFill="background1" w:themeFillShade="D9"/>
            <w:vAlign w:val="center"/>
          </w:tcPr>
          <w:p w14:paraId="79AF0BDE" w14:textId="77777777" w:rsidR="008B62E8" w:rsidRPr="009148A1" w:rsidRDefault="008B62E8" w:rsidP="007C2AE7">
            <w:pPr>
              <w:rPr>
                <w:b/>
                <w:bCs/>
              </w:rPr>
            </w:pPr>
            <w:r w:rsidRPr="009148A1">
              <w:rPr>
                <w:b/>
                <w:bCs/>
                <w:sz w:val="20"/>
              </w:rPr>
              <w:t>Upper 95% CI</w:t>
            </w:r>
          </w:p>
        </w:tc>
        <w:tc>
          <w:tcPr>
            <w:tcW w:w="999" w:type="pct"/>
            <w:shd w:val="clear" w:color="auto" w:fill="D9D9D9" w:themeFill="background1" w:themeFillShade="D9"/>
            <w:vAlign w:val="center"/>
          </w:tcPr>
          <w:p w14:paraId="4B6747BF" w14:textId="77777777" w:rsidR="008B62E8" w:rsidRPr="009148A1" w:rsidRDefault="008B62E8" w:rsidP="007C2AE7">
            <w:pPr>
              <w:rPr>
                <w:b/>
                <w:bCs/>
              </w:rPr>
            </w:pPr>
            <w:r w:rsidRPr="009148A1">
              <w:rPr>
                <w:b/>
                <w:bCs/>
                <w:sz w:val="20"/>
              </w:rPr>
              <w:t>Duration of state</w:t>
            </w:r>
          </w:p>
        </w:tc>
      </w:tr>
      <w:tr w:rsidR="008B62E8" w14:paraId="789FC450" w14:textId="77777777" w:rsidTr="007C2AE7">
        <w:tc>
          <w:tcPr>
            <w:tcW w:w="1000" w:type="pct"/>
            <w:vAlign w:val="center"/>
          </w:tcPr>
          <w:p w14:paraId="0EF7273A" w14:textId="77777777" w:rsidR="008B62E8" w:rsidRDefault="008B62E8" w:rsidP="007C2AE7">
            <w:r>
              <w:rPr>
                <w:sz w:val="20"/>
              </w:rPr>
              <w:t>PSA test</w:t>
            </w:r>
          </w:p>
        </w:tc>
        <w:tc>
          <w:tcPr>
            <w:tcW w:w="1001" w:type="pct"/>
            <w:vAlign w:val="center"/>
          </w:tcPr>
          <w:p w14:paraId="3AA8934B" w14:textId="77777777" w:rsidR="008B62E8" w:rsidRDefault="008B62E8" w:rsidP="007C2AE7">
            <w:r>
              <w:rPr>
                <w:sz w:val="20"/>
              </w:rPr>
              <w:t>0.99</w:t>
            </w:r>
          </w:p>
        </w:tc>
        <w:tc>
          <w:tcPr>
            <w:tcW w:w="1000" w:type="pct"/>
            <w:vAlign w:val="center"/>
          </w:tcPr>
          <w:p w14:paraId="70277910" w14:textId="77777777" w:rsidR="008B62E8" w:rsidRDefault="008B62E8" w:rsidP="007C2AE7">
            <w:r>
              <w:rPr>
                <w:sz w:val="20"/>
              </w:rPr>
              <w:t>0.99</w:t>
            </w:r>
          </w:p>
        </w:tc>
        <w:tc>
          <w:tcPr>
            <w:tcW w:w="1000" w:type="pct"/>
            <w:vAlign w:val="center"/>
          </w:tcPr>
          <w:p w14:paraId="355C4C54" w14:textId="77777777" w:rsidR="008B62E8" w:rsidRDefault="008B62E8" w:rsidP="007C2AE7">
            <w:r>
              <w:rPr>
                <w:sz w:val="20"/>
              </w:rPr>
              <w:t>1</w:t>
            </w:r>
          </w:p>
        </w:tc>
        <w:tc>
          <w:tcPr>
            <w:tcW w:w="999" w:type="pct"/>
            <w:vAlign w:val="center"/>
          </w:tcPr>
          <w:p w14:paraId="30E9138D" w14:textId="77777777" w:rsidR="008B62E8" w:rsidRDefault="008B62E8" w:rsidP="007C2AE7">
            <w:r>
              <w:rPr>
                <w:sz w:val="20"/>
              </w:rPr>
              <w:t>1 week</w:t>
            </w:r>
          </w:p>
        </w:tc>
      </w:tr>
      <w:tr w:rsidR="008B62E8" w14:paraId="34DFF5DC" w14:textId="77777777" w:rsidTr="007C2AE7">
        <w:tc>
          <w:tcPr>
            <w:tcW w:w="1000" w:type="pct"/>
            <w:vAlign w:val="center"/>
          </w:tcPr>
          <w:p w14:paraId="243B24D4" w14:textId="77777777" w:rsidR="008B62E8" w:rsidRDefault="008B62E8" w:rsidP="007C2AE7">
            <w:r>
              <w:rPr>
                <w:sz w:val="20"/>
              </w:rPr>
              <w:t>Biopsy (SBx, TBx, TBx/SBx)</w:t>
            </w:r>
          </w:p>
        </w:tc>
        <w:tc>
          <w:tcPr>
            <w:tcW w:w="1001" w:type="pct"/>
            <w:vAlign w:val="center"/>
          </w:tcPr>
          <w:p w14:paraId="0C00A4EC" w14:textId="77777777" w:rsidR="008B62E8" w:rsidRDefault="008B62E8" w:rsidP="007C2AE7">
            <w:r>
              <w:rPr>
                <w:sz w:val="20"/>
              </w:rPr>
              <w:t>0.9</w:t>
            </w:r>
          </w:p>
        </w:tc>
        <w:tc>
          <w:tcPr>
            <w:tcW w:w="1000" w:type="pct"/>
            <w:vAlign w:val="center"/>
          </w:tcPr>
          <w:p w14:paraId="0FC3A54A" w14:textId="77777777" w:rsidR="008B62E8" w:rsidRDefault="008B62E8" w:rsidP="007C2AE7">
            <w:r>
              <w:rPr>
                <w:sz w:val="20"/>
              </w:rPr>
              <w:t>0.87</w:t>
            </w:r>
          </w:p>
        </w:tc>
        <w:tc>
          <w:tcPr>
            <w:tcW w:w="1000" w:type="pct"/>
            <w:vAlign w:val="center"/>
          </w:tcPr>
          <w:p w14:paraId="5FA8BA28" w14:textId="77777777" w:rsidR="008B62E8" w:rsidRDefault="008B62E8" w:rsidP="007C2AE7">
            <w:r>
              <w:rPr>
                <w:sz w:val="20"/>
              </w:rPr>
              <w:t>0.94</w:t>
            </w:r>
          </w:p>
        </w:tc>
        <w:tc>
          <w:tcPr>
            <w:tcW w:w="999" w:type="pct"/>
            <w:vAlign w:val="center"/>
          </w:tcPr>
          <w:p w14:paraId="66FA8C29" w14:textId="77777777" w:rsidR="008B62E8" w:rsidRDefault="008B62E8" w:rsidP="007C2AE7">
            <w:r>
              <w:rPr>
                <w:sz w:val="20"/>
              </w:rPr>
              <w:t>3 weeks</w:t>
            </w:r>
          </w:p>
        </w:tc>
      </w:tr>
      <w:tr w:rsidR="008B62E8" w14:paraId="12F8B04E" w14:textId="77777777" w:rsidTr="007C2AE7">
        <w:tc>
          <w:tcPr>
            <w:tcW w:w="1000" w:type="pct"/>
            <w:vAlign w:val="center"/>
          </w:tcPr>
          <w:p w14:paraId="0EE7C128" w14:textId="77777777" w:rsidR="008B62E8" w:rsidRDefault="008B62E8" w:rsidP="007C2AE7">
            <w:r>
              <w:rPr>
                <w:sz w:val="20"/>
              </w:rPr>
              <w:t>Cancer diagnosis</w:t>
            </w:r>
          </w:p>
        </w:tc>
        <w:tc>
          <w:tcPr>
            <w:tcW w:w="1001" w:type="pct"/>
            <w:vAlign w:val="center"/>
          </w:tcPr>
          <w:p w14:paraId="6BE9D2E7" w14:textId="77777777" w:rsidR="008B62E8" w:rsidRDefault="008B62E8" w:rsidP="007C2AE7">
            <w:r>
              <w:rPr>
                <w:sz w:val="20"/>
              </w:rPr>
              <w:t>0.8</w:t>
            </w:r>
          </w:p>
        </w:tc>
        <w:tc>
          <w:tcPr>
            <w:tcW w:w="1000" w:type="pct"/>
            <w:vAlign w:val="center"/>
          </w:tcPr>
          <w:p w14:paraId="044CCAAD" w14:textId="77777777" w:rsidR="008B62E8" w:rsidRDefault="008B62E8" w:rsidP="007C2AE7">
            <w:r>
              <w:rPr>
                <w:sz w:val="20"/>
              </w:rPr>
              <w:t>0.75</w:t>
            </w:r>
          </w:p>
        </w:tc>
        <w:tc>
          <w:tcPr>
            <w:tcW w:w="1000" w:type="pct"/>
            <w:vAlign w:val="center"/>
          </w:tcPr>
          <w:p w14:paraId="110811E9" w14:textId="77777777" w:rsidR="008B62E8" w:rsidRDefault="008B62E8" w:rsidP="007C2AE7">
            <w:r>
              <w:rPr>
                <w:sz w:val="20"/>
              </w:rPr>
              <w:t>0.85</w:t>
            </w:r>
          </w:p>
        </w:tc>
        <w:tc>
          <w:tcPr>
            <w:tcW w:w="999" w:type="pct"/>
            <w:vAlign w:val="center"/>
          </w:tcPr>
          <w:p w14:paraId="7DA3E0EC" w14:textId="77777777" w:rsidR="008B62E8" w:rsidRDefault="008B62E8" w:rsidP="007C2AE7">
            <w:r>
              <w:rPr>
                <w:sz w:val="20"/>
              </w:rPr>
              <w:t>1 month</w:t>
            </w:r>
          </w:p>
        </w:tc>
      </w:tr>
      <w:tr w:rsidR="008B62E8" w14:paraId="55CBFB38" w14:textId="77777777" w:rsidTr="007C2AE7">
        <w:tc>
          <w:tcPr>
            <w:tcW w:w="1000" w:type="pct"/>
            <w:vAlign w:val="center"/>
          </w:tcPr>
          <w:p w14:paraId="69904978" w14:textId="77777777" w:rsidR="008B62E8" w:rsidRDefault="008B62E8" w:rsidP="007C2AE7">
            <w:r>
              <w:rPr>
                <w:sz w:val="20"/>
              </w:rPr>
              <w:t>Active surveillance</w:t>
            </w:r>
          </w:p>
        </w:tc>
        <w:tc>
          <w:tcPr>
            <w:tcW w:w="1001" w:type="pct"/>
            <w:vAlign w:val="center"/>
          </w:tcPr>
          <w:p w14:paraId="5F5F7614" w14:textId="77777777" w:rsidR="008B62E8" w:rsidRDefault="008B62E8" w:rsidP="007C2AE7">
            <w:r>
              <w:rPr>
                <w:sz w:val="20"/>
              </w:rPr>
              <w:t>0.90</w:t>
            </w:r>
          </w:p>
        </w:tc>
        <w:tc>
          <w:tcPr>
            <w:tcW w:w="1000" w:type="pct"/>
            <w:vAlign w:val="center"/>
          </w:tcPr>
          <w:p w14:paraId="6C41D646" w14:textId="77777777" w:rsidR="008B62E8" w:rsidRDefault="008B62E8" w:rsidP="007C2AE7">
            <w:r>
              <w:rPr>
                <w:sz w:val="20"/>
              </w:rPr>
              <w:t xml:space="preserve">0.85 </w:t>
            </w:r>
          </w:p>
        </w:tc>
        <w:tc>
          <w:tcPr>
            <w:tcW w:w="1000" w:type="pct"/>
            <w:vAlign w:val="center"/>
          </w:tcPr>
          <w:p w14:paraId="34C622AF" w14:textId="77777777" w:rsidR="008B62E8" w:rsidRDefault="008B62E8" w:rsidP="007C2AE7">
            <w:r>
              <w:rPr>
                <w:sz w:val="20"/>
              </w:rPr>
              <w:t>0.95</w:t>
            </w:r>
          </w:p>
        </w:tc>
        <w:tc>
          <w:tcPr>
            <w:tcW w:w="999" w:type="pct"/>
            <w:vAlign w:val="center"/>
          </w:tcPr>
          <w:p w14:paraId="302D52BD" w14:textId="77777777" w:rsidR="008B62E8" w:rsidRDefault="008B62E8" w:rsidP="007C2AE7">
            <w:r>
              <w:rPr>
                <w:sz w:val="20"/>
              </w:rPr>
              <w:t>7 year</w:t>
            </w:r>
          </w:p>
        </w:tc>
      </w:tr>
      <w:tr w:rsidR="008B62E8" w14:paraId="1FA1648E" w14:textId="77777777" w:rsidTr="007C2AE7">
        <w:tc>
          <w:tcPr>
            <w:tcW w:w="1000" w:type="pct"/>
            <w:vAlign w:val="center"/>
          </w:tcPr>
          <w:p w14:paraId="0D717607" w14:textId="77777777" w:rsidR="008B62E8" w:rsidRDefault="008B62E8" w:rsidP="007C2AE7">
            <w:r>
              <w:rPr>
                <w:sz w:val="20"/>
              </w:rPr>
              <w:t>Radical prostatectomy (part 1)</w:t>
            </w:r>
          </w:p>
        </w:tc>
        <w:tc>
          <w:tcPr>
            <w:tcW w:w="1001" w:type="pct"/>
            <w:vAlign w:val="center"/>
          </w:tcPr>
          <w:p w14:paraId="54C9A67C" w14:textId="77777777" w:rsidR="008B62E8" w:rsidRDefault="008B62E8" w:rsidP="007C2AE7">
            <w:r>
              <w:rPr>
                <w:sz w:val="20"/>
              </w:rPr>
              <w:t>0.83</w:t>
            </w:r>
          </w:p>
        </w:tc>
        <w:tc>
          <w:tcPr>
            <w:tcW w:w="1000" w:type="pct"/>
            <w:vAlign w:val="center"/>
          </w:tcPr>
          <w:p w14:paraId="5704C8E0" w14:textId="77777777" w:rsidR="008B62E8" w:rsidRDefault="008B62E8" w:rsidP="007C2AE7">
            <w:r>
              <w:rPr>
                <w:sz w:val="20"/>
              </w:rPr>
              <w:t>0.73</w:t>
            </w:r>
          </w:p>
        </w:tc>
        <w:tc>
          <w:tcPr>
            <w:tcW w:w="1000" w:type="pct"/>
            <w:vAlign w:val="center"/>
          </w:tcPr>
          <w:p w14:paraId="6D9B0D71" w14:textId="77777777" w:rsidR="008B62E8" w:rsidRDefault="008B62E8" w:rsidP="007C2AE7">
            <w:r>
              <w:rPr>
                <w:sz w:val="20"/>
              </w:rPr>
              <w:t>0.91</w:t>
            </w:r>
          </w:p>
        </w:tc>
        <w:tc>
          <w:tcPr>
            <w:tcW w:w="999" w:type="pct"/>
            <w:vAlign w:val="center"/>
          </w:tcPr>
          <w:p w14:paraId="705FA09C" w14:textId="77777777" w:rsidR="008B62E8" w:rsidRDefault="008B62E8" w:rsidP="007C2AE7">
            <w:r>
              <w:rPr>
                <w:sz w:val="20"/>
              </w:rPr>
              <w:t>2 months</w:t>
            </w:r>
          </w:p>
        </w:tc>
      </w:tr>
      <w:tr w:rsidR="008B62E8" w14:paraId="7B7126A4" w14:textId="77777777" w:rsidTr="007C2AE7">
        <w:tc>
          <w:tcPr>
            <w:tcW w:w="1000" w:type="pct"/>
            <w:vAlign w:val="center"/>
          </w:tcPr>
          <w:p w14:paraId="0D9B5403" w14:textId="77777777" w:rsidR="008B62E8" w:rsidRDefault="008B62E8" w:rsidP="007C2AE7">
            <w:r>
              <w:rPr>
                <w:sz w:val="20"/>
              </w:rPr>
              <w:t>Radical prostatectomy (part 2)</w:t>
            </w:r>
          </w:p>
        </w:tc>
        <w:tc>
          <w:tcPr>
            <w:tcW w:w="1001" w:type="pct"/>
            <w:vAlign w:val="center"/>
          </w:tcPr>
          <w:p w14:paraId="1AF2A1F4" w14:textId="77777777" w:rsidR="008B62E8" w:rsidRDefault="008B62E8" w:rsidP="007C2AE7">
            <w:r>
              <w:rPr>
                <w:sz w:val="20"/>
              </w:rPr>
              <w:t>0.89</w:t>
            </w:r>
          </w:p>
        </w:tc>
        <w:tc>
          <w:tcPr>
            <w:tcW w:w="1000" w:type="pct"/>
            <w:vAlign w:val="center"/>
          </w:tcPr>
          <w:p w14:paraId="693BBD38" w14:textId="77777777" w:rsidR="008B62E8" w:rsidRDefault="008B62E8" w:rsidP="007C2AE7">
            <w:r>
              <w:rPr>
                <w:sz w:val="20"/>
              </w:rPr>
              <w:t>0.88</w:t>
            </w:r>
          </w:p>
        </w:tc>
        <w:tc>
          <w:tcPr>
            <w:tcW w:w="1000" w:type="pct"/>
            <w:vAlign w:val="center"/>
          </w:tcPr>
          <w:p w14:paraId="33D6F44C" w14:textId="77777777" w:rsidR="008B62E8" w:rsidRDefault="008B62E8" w:rsidP="007C2AE7">
            <w:r>
              <w:rPr>
                <w:sz w:val="20"/>
              </w:rPr>
              <w:t>0.91</w:t>
            </w:r>
          </w:p>
        </w:tc>
        <w:tc>
          <w:tcPr>
            <w:tcW w:w="999" w:type="pct"/>
            <w:vAlign w:val="center"/>
          </w:tcPr>
          <w:p w14:paraId="5866D11D" w14:textId="77777777" w:rsidR="008B62E8" w:rsidRDefault="008B62E8" w:rsidP="007C2AE7">
            <w:r>
              <w:rPr>
                <w:sz w:val="20"/>
              </w:rPr>
              <w:t>10 months</w:t>
            </w:r>
          </w:p>
        </w:tc>
      </w:tr>
      <w:tr w:rsidR="008B62E8" w14:paraId="19BABEF9" w14:textId="77777777" w:rsidTr="007C2AE7">
        <w:tc>
          <w:tcPr>
            <w:tcW w:w="1000" w:type="pct"/>
            <w:vAlign w:val="center"/>
          </w:tcPr>
          <w:p w14:paraId="3EE44B01" w14:textId="77777777" w:rsidR="008B62E8" w:rsidRDefault="008B62E8" w:rsidP="007C2AE7">
            <w:r>
              <w:rPr>
                <w:sz w:val="20"/>
              </w:rPr>
              <w:t>Radiation therapy (part 1)</w:t>
            </w:r>
          </w:p>
        </w:tc>
        <w:tc>
          <w:tcPr>
            <w:tcW w:w="1001" w:type="pct"/>
            <w:vAlign w:val="center"/>
          </w:tcPr>
          <w:p w14:paraId="571E2EB8" w14:textId="77777777" w:rsidR="008B62E8" w:rsidRDefault="008B62E8" w:rsidP="007C2AE7">
            <w:r>
              <w:rPr>
                <w:sz w:val="20"/>
              </w:rPr>
              <w:t>0.82</w:t>
            </w:r>
          </w:p>
        </w:tc>
        <w:tc>
          <w:tcPr>
            <w:tcW w:w="1000" w:type="pct"/>
            <w:vAlign w:val="center"/>
          </w:tcPr>
          <w:p w14:paraId="3BF31C04" w14:textId="77777777" w:rsidR="008B62E8" w:rsidRDefault="008B62E8" w:rsidP="007C2AE7">
            <w:r>
              <w:rPr>
                <w:sz w:val="20"/>
              </w:rPr>
              <w:t>0.75</w:t>
            </w:r>
          </w:p>
        </w:tc>
        <w:tc>
          <w:tcPr>
            <w:tcW w:w="1000" w:type="pct"/>
            <w:vAlign w:val="center"/>
          </w:tcPr>
          <w:p w14:paraId="788690C1" w14:textId="77777777" w:rsidR="008B62E8" w:rsidRDefault="008B62E8" w:rsidP="007C2AE7">
            <w:r>
              <w:rPr>
                <w:sz w:val="20"/>
              </w:rPr>
              <w:t>0.88</w:t>
            </w:r>
          </w:p>
        </w:tc>
        <w:tc>
          <w:tcPr>
            <w:tcW w:w="999" w:type="pct"/>
            <w:vAlign w:val="center"/>
          </w:tcPr>
          <w:p w14:paraId="5D6C2B01" w14:textId="77777777" w:rsidR="008B62E8" w:rsidRDefault="008B62E8" w:rsidP="007C2AE7">
            <w:r>
              <w:rPr>
                <w:sz w:val="20"/>
              </w:rPr>
              <w:t>2 months</w:t>
            </w:r>
          </w:p>
        </w:tc>
      </w:tr>
      <w:tr w:rsidR="008B62E8" w14:paraId="50C915D0" w14:textId="77777777" w:rsidTr="007C2AE7">
        <w:tc>
          <w:tcPr>
            <w:tcW w:w="1000" w:type="pct"/>
            <w:vAlign w:val="center"/>
          </w:tcPr>
          <w:p w14:paraId="2C3D28BB" w14:textId="77777777" w:rsidR="008B62E8" w:rsidRDefault="008B62E8" w:rsidP="007C2AE7">
            <w:r>
              <w:rPr>
                <w:sz w:val="20"/>
              </w:rPr>
              <w:t>Radiation therapy (part 2)</w:t>
            </w:r>
          </w:p>
        </w:tc>
        <w:tc>
          <w:tcPr>
            <w:tcW w:w="1001" w:type="pct"/>
            <w:vAlign w:val="center"/>
          </w:tcPr>
          <w:p w14:paraId="41505258" w14:textId="77777777" w:rsidR="008B62E8" w:rsidRDefault="008B62E8" w:rsidP="007C2AE7">
            <w:r>
              <w:rPr>
                <w:sz w:val="20"/>
              </w:rPr>
              <w:t>0.83</w:t>
            </w:r>
          </w:p>
        </w:tc>
        <w:tc>
          <w:tcPr>
            <w:tcW w:w="1000" w:type="pct"/>
            <w:vAlign w:val="center"/>
          </w:tcPr>
          <w:p w14:paraId="4173CD97" w14:textId="77777777" w:rsidR="008B62E8" w:rsidRDefault="008B62E8" w:rsidP="007C2AE7">
            <w:r>
              <w:rPr>
                <w:sz w:val="20"/>
              </w:rPr>
              <w:t>0.81</w:t>
            </w:r>
          </w:p>
        </w:tc>
        <w:tc>
          <w:tcPr>
            <w:tcW w:w="1000" w:type="pct"/>
            <w:vAlign w:val="center"/>
          </w:tcPr>
          <w:p w14:paraId="12A2E89C" w14:textId="77777777" w:rsidR="008B62E8" w:rsidRDefault="008B62E8" w:rsidP="007C2AE7">
            <w:r>
              <w:rPr>
                <w:sz w:val="20"/>
              </w:rPr>
              <w:t>0.85</w:t>
            </w:r>
          </w:p>
        </w:tc>
        <w:tc>
          <w:tcPr>
            <w:tcW w:w="999" w:type="pct"/>
            <w:vAlign w:val="center"/>
          </w:tcPr>
          <w:p w14:paraId="0EC2587B" w14:textId="77777777" w:rsidR="008B62E8" w:rsidRDefault="008B62E8" w:rsidP="007C2AE7">
            <w:r>
              <w:rPr>
                <w:sz w:val="20"/>
              </w:rPr>
              <w:t>10 months</w:t>
            </w:r>
          </w:p>
        </w:tc>
      </w:tr>
      <w:tr w:rsidR="008B62E8" w14:paraId="55515D4A" w14:textId="77777777" w:rsidTr="007C2AE7">
        <w:tc>
          <w:tcPr>
            <w:tcW w:w="1000" w:type="pct"/>
            <w:vAlign w:val="center"/>
          </w:tcPr>
          <w:p w14:paraId="4D56B011" w14:textId="77777777" w:rsidR="008B62E8" w:rsidRDefault="008B62E8" w:rsidP="007C2AE7">
            <w:r>
              <w:rPr>
                <w:sz w:val="20"/>
              </w:rPr>
              <w:t>Androgen deprivation therapy and chemotherapy</w:t>
            </w:r>
          </w:p>
        </w:tc>
        <w:tc>
          <w:tcPr>
            <w:tcW w:w="1001" w:type="pct"/>
            <w:vAlign w:val="center"/>
          </w:tcPr>
          <w:p w14:paraId="11AD5E69" w14:textId="77777777" w:rsidR="008B62E8" w:rsidRDefault="008B62E8" w:rsidP="007C2AE7">
            <w:r>
              <w:rPr>
                <w:sz w:val="20"/>
              </w:rPr>
              <w:t>0.73</w:t>
            </w:r>
          </w:p>
        </w:tc>
        <w:tc>
          <w:tcPr>
            <w:tcW w:w="1000" w:type="pct"/>
            <w:vAlign w:val="center"/>
          </w:tcPr>
          <w:p w14:paraId="430B9AA4" w14:textId="77777777" w:rsidR="008B62E8" w:rsidRDefault="008B62E8" w:rsidP="007C2AE7">
            <w:r>
              <w:rPr>
                <w:sz w:val="20"/>
              </w:rPr>
              <w:t>0.68</w:t>
            </w:r>
          </w:p>
        </w:tc>
        <w:tc>
          <w:tcPr>
            <w:tcW w:w="1000" w:type="pct"/>
            <w:vAlign w:val="center"/>
          </w:tcPr>
          <w:p w14:paraId="2F385DC5" w14:textId="77777777" w:rsidR="008B62E8" w:rsidRDefault="008B62E8" w:rsidP="007C2AE7">
            <w:r>
              <w:rPr>
                <w:sz w:val="20"/>
              </w:rPr>
              <w:t>0.77</w:t>
            </w:r>
          </w:p>
        </w:tc>
        <w:tc>
          <w:tcPr>
            <w:tcW w:w="999" w:type="pct"/>
            <w:vAlign w:val="center"/>
          </w:tcPr>
          <w:p w14:paraId="20722064" w14:textId="77777777" w:rsidR="008B62E8" w:rsidRDefault="008B62E8" w:rsidP="007C2AE7">
            <w:r>
              <w:rPr>
                <w:sz w:val="20"/>
              </w:rPr>
              <w:t>18 months</w:t>
            </w:r>
          </w:p>
        </w:tc>
      </w:tr>
      <w:tr w:rsidR="008B62E8" w14:paraId="3A384F2A" w14:textId="77777777" w:rsidTr="007C2AE7">
        <w:tc>
          <w:tcPr>
            <w:tcW w:w="1000" w:type="pct"/>
            <w:vAlign w:val="center"/>
          </w:tcPr>
          <w:p w14:paraId="2D74CC3B" w14:textId="77777777" w:rsidR="008B62E8" w:rsidRDefault="008B62E8" w:rsidP="007C2AE7">
            <w:r>
              <w:rPr>
                <w:sz w:val="20"/>
              </w:rPr>
              <w:t>Post recovery period</w:t>
            </w:r>
          </w:p>
        </w:tc>
        <w:tc>
          <w:tcPr>
            <w:tcW w:w="1001" w:type="pct"/>
            <w:vAlign w:val="center"/>
          </w:tcPr>
          <w:p w14:paraId="74CBBFEF" w14:textId="77777777" w:rsidR="008B62E8" w:rsidRDefault="008B62E8" w:rsidP="007C2AE7">
            <w:r>
              <w:rPr>
                <w:sz w:val="20"/>
              </w:rPr>
              <w:t>0.86</w:t>
            </w:r>
          </w:p>
        </w:tc>
        <w:tc>
          <w:tcPr>
            <w:tcW w:w="1000" w:type="pct"/>
            <w:vAlign w:val="center"/>
          </w:tcPr>
          <w:p w14:paraId="478F1F1F" w14:textId="77777777" w:rsidR="008B62E8" w:rsidRDefault="008B62E8" w:rsidP="007C2AE7">
            <w:r>
              <w:rPr>
                <w:sz w:val="20"/>
              </w:rPr>
              <w:t>0.84</w:t>
            </w:r>
          </w:p>
        </w:tc>
        <w:tc>
          <w:tcPr>
            <w:tcW w:w="1000" w:type="pct"/>
            <w:vAlign w:val="center"/>
          </w:tcPr>
          <w:p w14:paraId="58A9C64C" w14:textId="77777777" w:rsidR="008B62E8" w:rsidRDefault="008B62E8" w:rsidP="007C2AE7">
            <w:r>
              <w:rPr>
                <w:sz w:val="20"/>
              </w:rPr>
              <w:t>0.88</w:t>
            </w:r>
          </w:p>
        </w:tc>
        <w:tc>
          <w:tcPr>
            <w:tcW w:w="999" w:type="pct"/>
            <w:vAlign w:val="center"/>
          </w:tcPr>
          <w:p w14:paraId="042929E1" w14:textId="77777777" w:rsidR="008B62E8" w:rsidRDefault="008B62E8" w:rsidP="007C2AE7">
            <w:r>
              <w:rPr>
                <w:sz w:val="20"/>
              </w:rPr>
              <w:t>9 year</w:t>
            </w:r>
          </w:p>
        </w:tc>
      </w:tr>
      <w:tr w:rsidR="008B62E8" w14:paraId="61F2EB53" w14:textId="77777777" w:rsidTr="007C2AE7">
        <w:tc>
          <w:tcPr>
            <w:tcW w:w="1000" w:type="pct"/>
            <w:vAlign w:val="center"/>
          </w:tcPr>
          <w:p w14:paraId="1D41E177" w14:textId="77777777" w:rsidR="008B62E8" w:rsidRDefault="008B62E8" w:rsidP="007C2AE7">
            <w:r>
              <w:rPr>
                <w:sz w:val="20"/>
              </w:rPr>
              <w:t>Palliative therapy</w:t>
            </w:r>
          </w:p>
        </w:tc>
        <w:tc>
          <w:tcPr>
            <w:tcW w:w="1001" w:type="pct"/>
            <w:vAlign w:val="center"/>
          </w:tcPr>
          <w:p w14:paraId="03735898" w14:textId="77777777" w:rsidR="008B62E8" w:rsidRDefault="008B62E8" w:rsidP="007C2AE7">
            <w:r>
              <w:rPr>
                <w:sz w:val="20"/>
              </w:rPr>
              <w:t>0.62</w:t>
            </w:r>
          </w:p>
        </w:tc>
        <w:tc>
          <w:tcPr>
            <w:tcW w:w="1000" w:type="pct"/>
            <w:vAlign w:val="center"/>
          </w:tcPr>
          <w:p w14:paraId="7B1A61D5" w14:textId="77777777" w:rsidR="008B62E8" w:rsidRDefault="008B62E8" w:rsidP="007C2AE7">
            <w:r>
              <w:rPr>
                <w:sz w:val="20"/>
              </w:rPr>
              <w:t>0.58</w:t>
            </w:r>
          </w:p>
        </w:tc>
        <w:tc>
          <w:tcPr>
            <w:tcW w:w="1000" w:type="pct"/>
            <w:vAlign w:val="center"/>
          </w:tcPr>
          <w:p w14:paraId="3E28256F" w14:textId="77777777" w:rsidR="008B62E8" w:rsidRDefault="008B62E8" w:rsidP="007C2AE7">
            <w:r>
              <w:rPr>
                <w:sz w:val="20"/>
              </w:rPr>
              <w:t>0.66</w:t>
            </w:r>
          </w:p>
        </w:tc>
        <w:tc>
          <w:tcPr>
            <w:tcW w:w="999" w:type="pct"/>
            <w:vAlign w:val="center"/>
          </w:tcPr>
          <w:p w14:paraId="2530F34F" w14:textId="77777777" w:rsidR="008B62E8" w:rsidRDefault="008B62E8" w:rsidP="007C2AE7">
            <w:r>
              <w:rPr>
                <w:sz w:val="20"/>
              </w:rPr>
              <w:t>12 months</w:t>
            </w:r>
          </w:p>
        </w:tc>
      </w:tr>
      <w:tr w:rsidR="008B62E8" w14:paraId="5A28FB8B" w14:textId="77777777" w:rsidTr="007C2AE7">
        <w:tc>
          <w:tcPr>
            <w:tcW w:w="1000" w:type="pct"/>
            <w:vAlign w:val="center"/>
          </w:tcPr>
          <w:p w14:paraId="3F3AAFE3" w14:textId="77777777" w:rsidR="008B62E8" w:rsidRDefault="008B62E8" w:rsidP="007C2AE7">
            <w:r>
              <w:rPr>
                <w:sz w:val="20"/>
              </w:rPr>
              <w:t>Terminal illness</w:t>
            </w:r>
          </w:p>
        </w:tc>
        <w:tc>
          <w:tcPr>
            <w:tcW w:w="1001" w:type="pct"/>
            <w:vAlign w:val="center"/>
          </w:tcPr>
          <w:p w14:paraId="497A5E0C" w14:textId="77777777" w:rsidR="008B62E8" w:rsidRDefault="008B62E8" w:rsidP="007C2AE7">
            <w:r>
              <w:rPr>
                <w:sz w:val="20"/>
              </w:rPr>
              <w:t>0.4</w:t>
            </w:r>
          </w:p>
        </w:tc>
        <w:tc>
          <w:tcPr>
            <w:tcW w:w="1000" w:type="pct"/>
            <w:vAlign w:val="center"/>
          </w:tcPr>
          <w:p w14:paraId="7676D03E" w14:textId="77777777" w:rsidR="008B62E8" w:rsidRDefault="008B62E8" w:rsidP="007C2AE7">
            <w:r>
              <w:rPr>
                <w:sz w:val="20"/>
              </w:rPr>
              <w:t>NR</w:t>
            </w:r>
          </w:p>
        </w:tc>
        <w:tc>
          <w:tcPr>
            <w:tcW w:w="1000" w:type="pct"/>
            <w:vAlign w:val="center"/>
          </w:tcPr>
          <w:p w14:paraId="471FCB37" w14:textId="77777777" w:rsidR="008B62E8" w:rsidRDefault="008B62E8" w:rsidP="007C2AE7">
            <w:r>
              <w:rPr>
                <w:sz w:val="20"/>
              </w:rPr>
              <w:t>NR</w:t>
            </w:r>
          </w:p>
        </w:tc>
        <w:tc>
          <w:tcPr>
            <w:tcW w:w="999" w:type="pct"/>
            <w:vAlign w:val="center"/>
          </w:tcPr>
          <w:p w14:paraId="29C3DE04" w14:textId="77777777" w:rsidR="008B62E8" w:rsidRDefault="008B62E8" w:rsidP="007C2AE7">
            <w:r>
              <w:rPr>
                <w:sz w:val="20"/>
              </w:rPr>
              <w:t>6 months</w:t>
            </w:r>
          </w:p>
        </w:tc>
      </w:tr>
    </w:tbl>
    <w:p w14:paraId="7146F742" w14:textId="77777777" w:rsidR="008B62E8" w:rsidRDefault="008B62E8" w:rsidP="008B62E8">
      <w:pPr>
        <w:sectPr w:rsidR="008B62E8" w:rsidSect="008B62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A88912B" w14:textId="77777777" w:rsidR="008B62E8" w:rsidRDefault="008B62E8" w:rsidP="008B62E8">
      <w:pPr>
        <w:rPr>
          <w:b/>
          <w:bCs/>
        </w:rPr>
      </w:pPr>
      <w:r w:rsidRPr="5C563650">
        <w:rPr>
          <w:b/>
          <w:bCs/>
        </w:rPr>
        <w:lastRenderedPageBreak/>
        <w:t xml:space="preserve">Figure S1: </w:t>
      </w:r>
      <w:r>
        <w:tab/>
      </w:r>
      <w:r w:rsidRPr="5C563650">
        <w:rPr>
          <w:b/>
          <w:bCs/>
        </w:rPr>
        <w:t>Cost-effectiveness acceptability frontier using EQ-5D utility values</w:t>
      </w:r>
    </w:p>
    <w:p w14:paraId="7435F190" w14:textId="77777777" w:rsidR="008B62E8" w:rsidRDefault="008B62E8" w:rsidP="008B62E8">
      <w:r>
        <w:rPr>
          <w:noProof/>
          <w:lang w:eastAsia="en-US"/>
        </w:rPr>
        <w:drawing>
          <wp:inline distT="0" distB="0" distL="0" distR="0" wp14:anchorId="5DA54602" wp14:editId="287BB2FD">
            <wp:extent cx="5943600" cy="4200525"/>
            <wp:effectExtent l="0" t="0" r="0" b="0"/>
            <wp:docPr id="1329240518" name="Picture 1329240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12470" w14:textId="77777777" w:rsidR="008B62E8" w:rsidRDefault="008B62E8" w:rsidP="008B62E8"/>
    <w:p w14:paraId="795FB1BA" w14:textId="77777777" w:rsidR="008B62E8" w:rsidRDefault="008B62E8" w:rsidP="008B62E8"/>
    <w:p w14:paraId="673232FD" w14:textId="77777777" w:rsidR="008B62E8" w:rsidRDefault="008B62E8" w:rsidP="008B62E8">
      <w:pPr>
        <w:sectPr w:rsidR="008B62E8" w:rsidSect="008B62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DB0F05" w14:textId="77777777" w:rsidR="008B62E8" w:rsidRDefault="008B62E8" w:rsidP="008B62E8"/>
    <w:p w14:paraId="6DDBF700" w14:textId="77777777" w:rsidR="008B62E8" w:rsidRDefault="008B62E8" w:rsidP="008B62E8"/>
    <w:p w14:paraId="2A9FA014" w14:textId="77777777" w:rsidR="008B62E8" w:rsidRDefault="008B62E8" w:rsidP="008B62E8">
      <w:pPr>
        <w:rPr>
          <w:b/>
          <w:bCs/>
        </w:rPr>
      </w:pPr>
      <w:r w:rsidRPr="5C563650">
        <w:rPr>
          <w:b/>
          <w:bCs/>
        </w:rPr>
        <w:t>Figure S</w:t>
      </w:r>
      <w:r>
        <w:rPr>
          <w:b/>
          <w:bCs/>
        </w:rPr>
        <w:t>2</w:t>
      </w:r>
      <w:r w:rsidRPr="5C563650">
        <w:rPr>
          <w:b/>
          <w:bCs/>
        </w:rPr>
        <w:t xml:space="preserve">: </w:t>
      </w:r>
      <w:r>
        <w:tab/>
      </w:r>
      <w:r w:rsidRPr="5C563650">
        <w:rPr>
          <w:b/>
          <w:bCs/>
        </w:rPr>
        <w:t xml:space="preserve">Cost-effectiveness acceptability </w:t>
      </w:r>
      <w:r>
        <w:rPr>
          <w:b/>
          <w:bCs/>
        </w:rPr>
        <w:t>curve – all strategies</w:t>
      </w:r>
    </w:p>
    <w:p w14:paraId="48CCFA74" w14:textId="77777777" w:rsidR="008B62E8" w:rsidRDefault="008B62E8" w:rsidP="008B62E8">
      <w:pPr>
        <w:rPr>
          <w:b/>
          <w:bCs/>
        </w:rPr>
      </w:pPr>
    </w:p>
    <w:p w14:paraId="7AB11026" w14:textId="77777777" w:rsidR="008B62E8" w:rsidRDefault="008B62E8" w:rsidP="008B62E8">
      <w:pPr>
        <w:rPr>
          <w:b/>
          <w:bCs/>
        </w:rPr>
      </w:pPr>
      <w:r w:rsidRPr="002B2593">
        <w:rPr>
          <w:b/>
          <w:bCs/>
          <w:noProof/>
        </w:rPr>
        <w:drawing>
          <wp:inline distT="0" distB="0" distL="0" distR="0" wp14:anchorId="2C8E5BD8" wp14:editId="6C662F54">
            <wp:extent cx="5943600" cy="4215130"/>
            <wp:effectExtent l="0" t="0" r="0" b="0"/>
            <wp:docPr id="466546541" name="Picture 1" descr="A graph of a func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546541" name="Picture 1" descr="A graph of a function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15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841A" w14:textId="77777777" w:rsidR="008B62E8" w:rsidRDefault="008B62E8" w:rsidP="008B62E8"/>
    <w:p w14:paraId="3569D4DA" w14:textId="77777777" w:rsidR="008B62E8" w:rsidRDefault="008B62E8" w:rsidP="008B62E8"/>
    <w:p w14:paraId="38178F54" w14:textId="77777777" w:rsidR="008B62E8" w:rsidRDefault="008B62E8" w:rsidP="008B62E8">
      <w:r>
        <w:br w:type="page"/>
      </w:r>
    </w:p>
    <w:p w14:paraId="7AE26513" w14:textId="77777777" w:rsidR="008B62E8" w:rsidRDefault="008B62E8" w:rsidP="008B62E8">
      <w:pPr>
        <w:sectPr w:rsidR="008B62E8" w:rsidSect="008B62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A4C88C1" w14:textId="77777777" w:rsidR="008B62E8" w:rsidRDefault="008B62E8" w:rsidP="008B62E8">
      <w:pPr>
        <w:rPr>
          <w:b/>
          <w:bCs/>
        </w:rPr>
      </w:pPr>
      <w:r w:rsidRPr="5C563650">
        <w:rPr>
          <w:b/>
          <w:bCs/>
        </w:rPr>
        <w:lastRenderedPageBreak/>
        <w:t>Figure S</w:t>
      </w:r>
      <w:r>
        <w:rPr>
          <w:b/>
          <w:bCs/>
        </w:rPr>
        <w:t>3</w:t>
      </w:r>
      <w:r w:rsidRPr="5C563650">
        <w:rPr>
          <w:b/>
          <w:bCs/>
        </w:rPr>
        <w:t xml:space="preserve">: </w:t>
      </w:r>
      <w:r>
        <w:tab/>
      </w:r>
      <w:r w:rsidRPr="5C563650">
        <w:rPr>
          <w:b/>
          <w:bCs/>
        </w:rPr>
        <w:t xml:space="preserve">Cost-effectiveness acceptability </w:t>
      </w:r>
      <w:r>
        <w:rPr>
          <w:b/>
          <w:bCs/>
        </w:rPr>
        <w:t>curve – excluding “Upper bound” strategies</w:t>
      </w:r>
    </w:p>
    <w:p w14:paraId="452741E2" w14:textId="77777777" w:rsidR="008B62E8" w:rsidRDefault="008B62E8" w:rsidP="008B62E8">
      <w:pPr>
        <w:rPr>
          <w:b/>
          <w:bCs/>
        </w:rPr>
      </w:pPr>
    </w:p>
    <w:p w14:paraId="0E1758EA" w14:textId="77777777" w:rsidR="008B62E8" w:rsidRDefault="008B62E8" w:rsidP="008B62E8">
      <w:pPr>
        <w:rPr>
          <w:b/>
          <w:bCs/>
        </w:rPr>
      </w:pPr>
      <w:r w:rsidRPr="0036276B">
        <w:rPr>
          <w:b/>
          <w:bCs/>
          <w:noProof/>
        </w:rPr>
        <w:drawing>
          <wp:inline distT="0" distB="0" distL="0" distR="0" wp14:anchorId="27329CC2" wp14:editId="5BB4800A">
            <wp:extent cx="5943600" cy="4163060"/>
            <wp:effectExtent l="0" t="0" r="0" b="8890"/>
            <wp:docPr id="301185162" name="Picture 1" descr="A graph of a normal distributi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1185162" name="Picture 1" descr="A graph of a normal distributio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6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ACC5F" w14:textId="77777777" w:rsidR="008B62E8" w:rsidRDefault="008B62E8" w:rsidP="008B62E8">
      <w:pPr>
        <w:rPr>
          <w:b/>
          <w:bCs/>
        </w:rPr>
      </w:pPr>
    </w:p>
    <w:p w14:paraId="093F174E" w14:textId="77777777" w:rsidR="008B62E8" w:rsidRDefault="008B62E8" w:rsidP="008B62E8">
      <w:pPr>
        <w:rPr>
          <w:b/>
          <w:bCs/>
        </w:rPr>
      </w:pPr>
    </w:p>
    <w:p w14:paraId="546DC70E" w14:textId="77777777" w:rsidR="008B62E8" w:rsidRDefault="008B62E8" w:rsidP="008B62E8">
      <w:pPr>
        <w:sectPr w:rsidR="008B62E8" w:rsidSect="008B62E8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7A3503" w14:textId="77777777" w:rsidR="008B62E8" w:rsidRDefault="008B62E8" w:rsidP="008B62E8"/>
    <w:p w14:paraId="75506E28" w14:textId="77777777" w:rsidR="008B62E8" w:rsidRDefault="008B62E8" w:rsidP="008B62E8">
      <w:r>
        <w:t>Supplementary Table S5</w:t>
      </w:r>
      <w:r>
        <w:tab/>
        <w:t>CHEERS Checklist</w:t>
      </w:r>
    </w:p>
    <w:p w14:paraId="299EEBF8" w14:textId="77777777" w:rsidR="008B62E8" w:rsidRDefault="008B62E8" w:rsidP="008B62E8"/>
    <w:tbl>
      <w:tblPr>
        <w:tblW w:w="5000" w:type="pct"/>
        <w:tblBorders>
          <w:top w:val="single" w:sz="12" w:space="0" w:color="D5D5D5"/>
          <w:left w:val="single" w:sz="12" w:space="0" w:color="D5D5D5"/>
          <w:bottom w:val="single" w:sz="12" w:space="0" w:color="D5D5D5"/>
          <w:right w:val="single" w:sz="12" w:space="0" w:color="D5D5D5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05"/>
        <w:gridCol w:w="734"/>
        <w:gridCol w:w="5026"/>
        <w:gridCol w:w="1279"/>
      </w:tblGrid>
      <w:tr w:rsidR="008B62E8" w:rsidRPr="003903AA" w14:paraId="2B8BB1BD" w14:textId="77777777" w:rsidTr="007C2AE7">
        <w:trPr>
          <w:tblHeader/>
        </w:trPr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CF5140" w14:textId="77777777" w:rsidR="008B62E8" w:rsidRPr="003903AA" w:rsidRDefault="008B62E8" w:rsidP="007C2AE7">
            <w:pPr>
              <w:rPr>
                <w:b/>
                <w:bCs/>
                <w:lang w:val="en-GB"/>
              </w:rPr>
            </w:pPr>
            <w:r w:rsidRPr="003903AA">
              <w:rPr>
                <w:b/>
                <w:bCs/>
                <w:lang w:val="en-GB"/>
              </w:rPr>
              <w:t>Section/topic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C6CDB04" w14:textId="77777777" w:rsidR="008B62E8" w:rsidRPr="003903AA" w:rsidRDefault="008B62E8" w:rsidP="007C2AE7">
            <w:pPr>
              <w:rPr>
                <w:b/>
                <w:bCs/>
                <w:lang w:val="en-GB"/>
              </w:rPr>
            </w:pPr>
            <w:r w:rsidRPr="003903AA">
              <w:rPr>
                <w:b/>
                <w:bCs/>
                <w:lang w:val="en-GB"/>
              </w:rPr>
              <w:t>Item No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1B0F55" w14:textId="77777777" w:rsidR="008B62E8" w:rsidRPr="003903AA" w:rsidRDefault="008B62E8" w:rsidP="007C2AE7">
            <w:pPr>
              <w:rPr>
                <w:b/>
                <w:bCs/>
                <w:lang w:val="en-GB"/>
              </w:rPr>
            </w:pPr>
            <w:r w:rsidRPr="003903AA">
              <w:rPr>
                <w:b/>
                <w:bCs/>
                <w:lang w:val="en-GB"/>
              </w:rPr>
              <w:t>Guidance for reporting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E6E6E6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427F26B" w14:textId="77777777" w:rsidR="008B62E8" w:rsidRPr="003903AA" w:rsidRDefault="008B62E8" w:rsidP="007C2AE7">
            <w:pPr>
              <w:rPr>
                <w:b/>
                <w:bCs/>
                <w:lang w:val="en-GB"/>
              </w:rPr>
            </w:pPr>
            <w:r w:rsidRPr="003903AA">
              <w:rPr>
                <w:b/>
                <w:bCs/>
                <w:lang w:val="en-GB"/>
              </w:rPr>
              <w:t>Reported in section</w:t>
            </w:r>
          </w:p>
        </w:tc>
      </w:tr>
      <w:tr w:rsidR="008B62E8" w:rsidRPr="003903AA" w14:paraId="737FBD21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2E625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b/>
                <w:bCs/>
                <w:lang w:val="en-GB"/>
              </w:rPr>
              <w:t>Title</w:t>
            </w:r>
          </w:p>
        </w:tc>
      </w:tr>
      <w:tr w:rsidR="008B62E8" w:rsidRPr="003903AA" w14:paraId="0388F606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687A22A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Title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C64CC73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040B2D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Identify the study as an economic evaluation and specify the interventions being compared.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2DAE6A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P1</w:t>
            </w:r>
          </w:p>
        </w:tc>
      </w:tr>
      <w:tr w:rsidR="008B62E8" w:rsidRPr="003903AA" w14:paraId="6027CE65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52EBA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b/>
                <w:bCs/>
                <w:lang w:val="en-GB"/>
              </w:rPr>
              <w:t>Abstract</w:t>
            </w:r>
          </w:p>
        </w:tc>
      </w:tr>
      <w:tr w:rsidR="008B62E8" w:rsidRPr="003903AA" w14:paraId="32759EF1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25D94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Abstract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10D317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2E7BD0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Provide a structured summary that highlights context, key methods, results, and alternative analyses.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C50CA82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P2</w:t>
            </w:r>
          </w:p>
        </w:tc>
      </w:tr>
      <w:tr w:rsidR="008B62E8" w:rsidRPr="003903AA" w14:paraId="1286A56E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55F427D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b/>
                <w:bCs/>
                <w:lang w:val="en-GB"/>
              </w:rPr>
              <w:t>Introduction</w:t>
            </w:r>
          </w:p>
        </w:tc>
      </w:tr>
      <w:tr w:rsidR="008B62E8" w:rsidRPr="003903AA" w14:paraId="28DEEF90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8535A4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Background and objectives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B67B5C2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3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4B4C3DF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Give the context for the study, the study question, and its practical relevance for decision making in policy or practice.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5CB072C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P3-4</w:t>
            </w:r>
          </w:p>
        </w:tc>
      </w:tr>
      <w:tr w:rsidR="008B62E8" w:rsidRPr="003903AA" w14:paraId="0F4E9EE6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B993338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b/>
                <w:bCs/>
                <w:lang w:val="en-GB"/>
              </w:rPr>
              <w:t>Methods</w:t>
            </w:r>
          </w:p>
        </w:tc>
      </w:tr>
      <w:tr w:rsidR="008B62E8" w:rsidRPr="003903AA" w14:paraId="52EC5832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328FD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Health economic analysis plan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CC4B3A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4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2CB5E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Indicate whether a health economic analysis plan was developed and where available.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4B4D96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</w:t>
            </w:r>
          </w:p>
        </w:tc>
      </w:tr>
      <w:tr w:rsidR="008B62E8" w:rsidRPr="003903AA" w14:paraId="519BDE21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0054C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Study population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7C1FFC2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5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7D93AA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characteristics of the study population (such as age range, demographics, socioeconomic, or clinical characteristics).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96A098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P4-6</w:t>
            </w:r>
          </w:p>
        </w:tc>
      </w:tr>
      <w:tr w:rsidR="008B62E8" w:rsidRPr="003903AA" w14:paraId="1524F2F6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3A57C04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Setting and location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93921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6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58B17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Provide relevant contextual information that may influence findings.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B9CB052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P4-6</w:t>
            </w:r>
          </w:p>
        </w:tc>
      </w:tr>
      <w:tr w:rsidR="008B62E8" w:rsidRPr="003903AA" w14:paraId="155D69DA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89918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Comparators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A17AF4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7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2F6CD56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the interventions or strategies being compared and why chosen.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1304F41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P6-7</w:t>
            </w:r>
          </w:p>
        </w:tc>
      </w:tr>
      <w:tr w:rsidR="008B62E8" w:rsidRPr="003903AA" w14:paraId="359E9432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BB27FA0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lastRenderedPageBreak/>
              <w:t>Perspective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D6F624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8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AD94D3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State the perspective(s) adopted by the study and why chosen.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C334302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P6</w:t>
            </w:r>
          </w:p>
        </w:tc>
      </w:tr>
      <w:tr w:rsidR="008B62E8" w:rsidRPr="003903AA" w14:paraId="777D9DFC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A80E4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Time horizon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D391BB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9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2E894AA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State the time horizon for the study and why appropriate.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F9C3A84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</w:t>
            </w:r>
          </w:p>
        </w:tc>
      </w:tr>
      <w:tr w:rsidR="008B62E8" w:rsidRPr="003903AA" w14:paraId="42CCBE5E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922CA0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Discount rate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AE382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10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4AD0B6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the discount rate(s) and reason chosen.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D9C5DF2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P7</w:t>
            </w:r>
          </w:p>
        </w:tc>
      </w:tr>
      <w:tr w:rsidR="008B62E8" w:rsidRPr="003903AA" w14:paraId="1762731D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3AFF17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Selection of outcomes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D0445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11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DAA81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what outcomes were used as the measure(s) of benefit(s) and harm(s).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66EE55F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P7-8</w:t>
            </w:r>
          </w:p>
        </w:tc>
      </w:tr>
      <w:tr w:rsidR="008B62E8" w:rsidRPr="003903AA" w14:paraId="38D3940E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6E6CDE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Measurement of outcomes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F76748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12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E6250A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how outcomes used to capture benefit(s) and harm(s) were measured.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CBD64DE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P7-8</w:t>
            </w:r>
          </w:p>
        </w:tc>
      </w:tr>
      <w:tr w:rsidR="008B62E8" w:rsidRPr="003903AA" w14:paraId="08BCAC2F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7E3BD3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Valuation of outcomes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6DEE8E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13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99E4C6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the population and methods used to measure and value outcomes.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EA4742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P7-8</w:t>
            </w:r>
          </w:p>
        </w:tc>
      </w:tr>
      <w:tr w:rsidR="008B62E8" w:rsidRPr="003903AA" w14:paraId="7A9A4DB3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9264EA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Measurement and valuation of resources and costs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A3623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14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FFC794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how costs were valued.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3C57EB1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P7-8</w:t>
            </w:r>
          </w:p>
        </w:tc>
      </w:tr>
      <w:tr w:rsidR="008B62E8" w:rsidRPr="003903AA" w14:paraId="7F62E600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CA3C08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Currency, price date, and conversion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11E595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15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456CF2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the dates of the estimated resource quantities and unit costs, plus the currency and year of conversion.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154DB04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P7-8</w:t>
            </w:r>
          </w:p>
        </w:tc>
      </w:tr>
      <w:tr w:rsidR="008B62E8" w:rsidRPr="003903AA" w14:paraId="55993C96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01E7BC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Rationale and description of model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C7E5A6D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16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65FF41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If modelling is used, describe in detail and why used. Report if the model is publicly available and where it can be accessed.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A241727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P4-10</w:t>
            </w:r>
          </w:p>
        </w:tc>
      </w:tr>
      <w:tr w:rsidR="008B62E8" w:rsidRPr="003903AA" w14:paraId="5A6CF01D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2B6256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Analytics and assumptions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C6A5C2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17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FD1D153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any methods for analysing or statistically transforming data, any extrapolation methods, and approaches for validating any model used.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5852CA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P4-10</w:t>
            </w:r>
          </w:p>
        </w:tc>
      </w:tr>
      <w:tr w:rsidR="008B62E8" w:rsidRPr="003903AA" w14:paraId="11F3C62B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044757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lastRenderedPageBreak/>
              <w:t>Characterising heterogeneity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D5BCD9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18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5EA245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any methods used for estimating how the results of the study vary for subgroups.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2820B2E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</w:tr>
      <w:tr w:rsidR="008B62E8" w:rsidRPr="003903AA" w14:paraId="23FC0AEF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0062D0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Characterising distributional effects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FA0B03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19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6E851EA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how impacts are distributed across different individuals or adjustments made to reflect priority populations.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3F68940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</w:tr>
      <w:tr w:rsidR="008B62E8" w:rsidRPr="003903AA" w14:paraId="1A1E6231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73C2C86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Characterising uncertainty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84BEE8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20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19CCD4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methods to characterise any sources of uncertainty in the analysis.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77B23F0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P4-10, P19-20</w:t>
            </w:r>
          </w:p>
        </w:tc>
      </w:tr>
      <w:tr w:rsidR="008B62E8" w:rsidRPr="003903AA" w14:paraId="618FEB9A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AA9A78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Approach to engagement with patients and others affected by the study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98CA295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21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3462558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any approaches to engage patients or service recipients, the general public, communities, or stakeholders (such as clinicians or payers) in the design of the study.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5135425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</w:tr>
      <w:tr w:rsidR="008B62E8" w:rsidRPr="003903AA" w14:paraId="7E4BB103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94E5CD1" w14:textId="77777777" w:rsidR="008B62E8" w:rsidRPr="003903AA" w:rsidRDefault="008B62E8" w:rsidP="007C2AE7">
            <w:pPr>
              <w:rPr>
                <w:lang w:val="en-GB"/>
              </w:rPr>
            </w:pPr>
          </w:p>
        </w:tc>
      </w:tr>
      <w:tr w:rsidR="008B62E8" w:rsidRPr="003903AA" w14:paraId="09EDC936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8D2C04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Study parameters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27CEFF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22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A3CC6A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all analytic inputs (such as values, ranges, references) including uncertainty or distributional assumptions.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9CFEF6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P8-9</w:t>
            </w:r>
          </w:p>
        </w:tc>
      </w:tr>
      <w:tr w:rsidR="008B62E8" w:rsidRPr="003903AA" w14:paraId="21E1624D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4CC5AF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Summary of main results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6486C5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23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337228E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the mean values for the main categories of costs and outcomes of interest and summarise them in the most appropriate overall measure.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D9896E3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P10-14</w:t>
            </w:r>
          </w:p>
        </w:tc>
      </w:tr>
      <w:tr w:rsidR="008B62E8" w:rsidRPr="003903AA" w14:paraId="65C099BB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E84E3A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Effect of uncertainty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B1EB35F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24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3D40958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how uncertainty about analytic judgments, inputs, or projections affect findings. Report the effect of choice of discount rate and time horizon, if applicable.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87759E7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P5, P19-20</w:t>
            </w:r>
          </w:p>
        </w:tc>
      </w:tr>
      <w:tr w:rsidR="008B62E8" w:rsidRPr="003903AA" w14:paraId="7D0C0151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8D6783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lastRenderedPageBreak/>
              <w:t>Effect of engagement with patients and others affected by the study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6CEDBA7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25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8CD714F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on any difference patient/service recipient, general public, community, or stakeholder involvement made to the approach or findings of the study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C809CCB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NA</w:t>
            </w:r>
          </w:p>
        </w:tc>
      </w:tr>
      <w:tr w:rsidR="008B62E8" w:rsidRPr="003903AA" w14:paraId="783DD6AF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09B7E01" w14:textId="77777777" w:rsidR="008B62E8" w:rsidRPr="003903AA" w:rsidRDefault="008B62E8" w:rsidP="007C2AE7">
            <w:pPr>
              <w:rPr>
                <w:lang w:val="en-GB"/>
              </w:rPr>
            </w:pPr>
          </w:p>
        </w:tc>
      </w:tr>
      <w:tr w:rsidR="008B62E8" w:rsidRPr="003903AA" w14:paraId="243343DD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7761EE1C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Study findings, limitations, generalisability, and current knowledge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2F88FCD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26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4B1670B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key findings, limitations, ethical or equity considerations not captured, and how these could affect patients, policy, or practice.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4CAD3FB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P14-20</w:t>
            </w:r>
          </w:p>
        </w:tc>
      </w:tr>
      <w:tr w:rsidR="008B62E8" w:rsidRPr="003903AA" w14:paraId="0C827060" w14:textId="77777777" w:rsidTr="007C2AE7">
        <w:tc>
          <w:tcPr>
            <w:tcW w:w="5000" w:type="pct"/>
            <w:gridSpan w:val="4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5DBF3C8A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b/>
                <w:bCs/>
                <w:lang w:val="en-GB"/>
              </w:rPr>
              <w:t>Other relevant information</w:t>
            </w:r>
          </w:p>
        </w:tc>
      </w:tr>
      <w:tr w:rsidR="008B62E8" w:rsidRPr="003903AA" w14:paraId="26C4145D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31DB81E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Source of funding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62D14F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27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2A89245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Describe how the study was funded and any role of the funder in the identification, design, conduct, and reporting of the analysis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A42FBD5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P21</w:t>
            </w:r>
          </w:p>
        </w:tc>
      </w:tr>
      <w:tr w:rsidR="008B62E8" w:rsidRPr="003903AA" w14:paraId="318C4BB6" w14:textId="77777777" w:rsidTr="007C2AE7">
        <w:tc>
          <w:tcPr>
            <w:tcW w:w="1373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4B4E0289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Conflicts of interest</w:t>
            </w:r>
          </w:p>
        </w:tc>
        <w:tc>
          <w:tcPr>
            <w:tcW w:w="261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0AC417F1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28</w:t>
            </w:r>
          </w:p>
        </w:tc>
        <w:tc>
          <w:tcPr>
            <w:tcW w:w="2829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  <w:hideMark/>
          </w:tcPr>
          <w:p w14:paraId="1FD727AF" w14:textId="77777777" w:rsidR="008B62E8" w:rsidRPr="003903AA" w:rsidRDefault="008B62E8" w:rsidP="007C2AE7">
            <w:pPr>
              <w:rPr>
                <w:lang w:val="en-GB"/>
              </w:rPr>
            </w:pPr>
            <w:r w:rsidRPr="003903AA">
              <w:rPr>
                <w:lang w:val="en-GB"/>
              </w:rPr>
              <w:t>Report authors conflicts of interest according to journal or International Committee of Medical Journal Editors requirements.</w:t>
            </w:r>
          </w:p>
        </w:tc>
        <w:tc>
          <w:tcPr>
            <w:tcW w:w="538" w:type="pct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D5D5D5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C1A21B8" w14:textId="77777777" w:rsidR="008B62E8" w:rsidRPr="003903AA" w:rsidRDefault="008B62E8" w:rsidP="007C2AE7">
            <w:pPr>
              <w:rPr>
                <w:lang w:val="en-GB"/>
              </w:rPr>
            </w:pPr>
            <w:r>
              <w:rPr>
                <w:lang w:val="en-GB"/>
              </w:rPr>
              <w:t>P21</w:t>
            </w:r>
          </w:p>
        </w:tc>
      </w:tr>
    </w:tbl>
    <w:p w14:paraId="6E4163F9" w14:textId="77777777" w:rsidR="008B62E8" w:rsidRDefault="008B62E8" w:rsidP="008B62E8"/>
    <w:p w14:paraId="21C77578" w14:textId="77777777" w:rsidR="00BB57B5" w:rsidRPr="008B62E8" w:rsidRDefault="00BB57B5" w:rsidP="008B62E8"/>
    <w:sectPr w:rsidR="00BB57B5" w:rsidRPr="008B62E8" w:rsidSect="008B62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M Roman 12">
    <w:altName w:val="Courier New"/>
    <w:panose1 w:val="00000500000000000000"/>
    <w:charset w:val="00"/>
    <w:family w:val="modern"/>
    <w:notTrueType/>
    <w:pitch w:val="variable"/>
    <w:sig w:usb0="20000007" w:usb1="00000000" w:usb2="00000000" w:usb3="00000000" w:csb0="00000193" w:csb1="00000000"/>
  </w:font>
  <w:font w:name="cmr12">
    <w:altName w:val="Vrind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C6EF9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87807"/>
    <w:multiLevelType w:val="hybridMultilevel"/>
    <w:tmpl w:val="9A8EA0A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E697D"/>
    <w:multiLevelType w:val="hybridMultilevel"/>
    <w:tmpl w:val="4B5EC57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33F9"/>
    <w:multiLevelType w:val="multilevel"/>
    <w:tmpl w:val="8D02F03A"/>
    <w:lvl w:ilvl="0">
      <w:start w:val="1"/>
      <w:numFmt w:val="decimal"/>
      <w:pStyle w:val="Sectionheading"/>
      <w:lvlText w:val="%1"/>
      <w:lvlJc w:val="left"/>
      <w:pPr>
        <w:tabs>
          <w:tab w:val="num" w:pos="0"/>
        </w:tabs>
        <w:ind w:left="0" w:hanging="1134"/>
      </w:pPr>
      <w:rPr>
        <w:rFonts w:ascii="Helvetica" w:hAnsi="Helvetica" w:cs="Times New Roman" w:hint="default"/>
        <w:b/>
        <w:i w:val="0"/>
        <w:caps w:val="0"/>
        <w:strike w:val="0"/>
        <w:dstrike w:val="0"/>
        <w:vanish w:val="0"/>
        <w:webHidden w:val="0"/>
        <w:color w:val="663366"/>
        <w:sz w:val="30"/>
        <w:u w:val="none"/>
        <w:effect w:val="none"/>
        <w:vertAlign w:val="baseline"/>
        <w:specVanish w:val="0"/>
      </w:rPr>
    </w:lvl>
    <w:lvl w:ilvl="1">
      <w:start w:val="1"/>
      <w:numFmt w:val="decimal"/>
      <w:pStyle w:val="Sub-sectionheading"/>
      <w:lvlText w:val="%1.%2"/>
      <w:lvlJc w:val="left"/>
      <w:pPr>
        <w:tabs>
          <w:tab w:val="num" w:pos="0"/>
        </w:tabs>
        <w:ind w:left="0" w:hanging="1134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663366"/>
        <w:sz w:val="26"/>
        <w:u w:val="none"/>
        <w:effect w:val="none"/>
        <w:vertAlign w:val="baseline"/>
        <w:specVanish w:val="0"/>
      </w:rPr>
    </w:lvl>
    <w:lvl w:ilvl="2">
      <w:start w:val="1"/>
      <w:numFmt w:val="decimal"/>
      <w:pStyle w:val="Sub-subsectionheading"/>
      <w:lvlText w:val="%1.%2.%3"/>
      <w:lvlJc w:val="left"/>
      <w:pPr>
        <w:tabs>
          <w:tab w:val="num" w:pos="-414"/>
        </w:tabs>
        <w:ind w:left="-414" w:hanging="720"/>
      </w:pPr>
      <w:rPr>
        <w:rFonts w:ascii="Helvetica" w:hAnsi="Helvetica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-54"/>
        </w:tabs>
        <w:ind w:left="-54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-54"/>
        </w:tabs>
        <w:ind w:left="-54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06"/>
        </w:tabs>
        <w:ind w:left="306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06"/>
        </w:tabs>
        <w:ind w:left="306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666"/>
        </w:tabs>
        <w:ind w:left="666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666"/>
        </w:tabs>
        <w:ind w:left="666" w:hanging="1800"/>
      </w:pPr>
      <w:rPr>
        <w:rFonts w:cs="Times New Roman"/>
      </w:rPr>
    </w:lvl>
  </w:abstractNum>
  <w:abstractNum w:abstractNumId="4" w15:restartNumberingAfterBreak="0">
    <w:nsid w:val="1130128F"/>
    <w:multiLevelType w:val="hybridMultilevel"/>
    <w:tmpl w:val="F6549C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D67187"/>
    <w:multiLevelType w:val="multilevel"/>
    <w:tmpl w:val="4128FDAA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0499B"/>
    <w:multiLevelType w:val="hybridMultilevel"/>
    <w:tmpl w:val="FDAE868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B71CFE"/>
    <w:multiLevelType w:val="hybridMultilevel"/>
    <w:tmpl w:val="D74643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D00876"/>
    <w:multiLevelType w:val="multilevel"/>
    <w:tmpl w:val="A9AA4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2D17565"/>
    <w:multiLevelType w:val="multilevel"/>
    <w:tmpl w:val="8188CE22"/>
    <w:lvl w:ilvl="0">
      <w:start w:val="1"/>
      <w:numFmt w:val="decimal"/>
      <w:pStyle w:val="Appendixheading"/>
      <w:lvlText w:val="A%1 "/>
      <w:lvlJc w:val="left"/>
      <w:pPr>
        <w:tabs>
          <w:tab w:val="num" w:pos="-414"/>
        </w:tabs>
        <w:ind w:left="-1134" w:firstLine="0"/>
      </w:pPr>
      <w:rPr>
        <w:rFonts w:ascii="Helvetica" w:hAnsi="Helvetica" w:cs="Times New Roman" w:hint="default"/>
        <w:b/>
        <w:i w:val="0"/>
        <w:caps w:val="0"/>
        <w:strike w:val="0"/>
        <w:dstrike w:val="0"/>
        <w:vanish w:val="0"/>
        <w:webHidden w:val="0"/>
        <w:color w:val="663366"/>
        <w:sz w:val="30"/>
        <w:u w:val="none"/>
        <w:effect w:val="none"/>
        <w:vertAlign w:val="baseline"/>
        <w:specVanish w:val="0"/>
      </w:rPr>
    </w:lvl>
    <w:lvl w:ilvl="1">
      <w:start w:val="1"/>
      <w:numFmt w:val="decimal"/>
      <w:pStyle w:val="Appendixsub-sectionheading"/>
      <w:lvlText w:val="A%1.%2"/>
      <w:lvlJc w:val="left"/>
      <w:pPr>
        <w:tabs>
          <w:tab w:val="num" w:pos="-414"/>
        </w:tabs>
        <w:ind w:left="-1134" w:firstLine="0"/>
      </w:pPr>
      <w:rPr>
        <w:rFonts w:ascii="Arial" w:hAnsi="Arial" w:cs="Times New Roman" w:hint="default"/>
        <w:b/>
        <w:i w:val="0"/>
        <w:caps w:val="0"/>
        <w:strike w:val="0"/>
        <w:dstrike w:val="0"/>
        <w:vanish w:val="0"/>
        <w:webHidden w:val="0"/>
        <w:color w:val="663366"/>
        <w:sz w:val="26"/>
        <w:u w:val="none"/>
        <w:effect w:val="none"/>
        <w:vertAlign w:val="baseline"/>
        <w:specVanish w:val="0"/>
      </w:rPr>
    </w:lvl>
    <w:lvl w:ilvl="2">
      <w:start w:val="1"/>
      <w:numFmt w:val="decimal"/>
      <w:pStyle w:val="Appendixsub-subsectionheading"/>
      <w:lvlText w:val="A%1.%2.%3"/>
      <w:lvlJc w:val="left"/>
      <w:pPr>
        <w:tabs>
          <w:tab w:val="num" w:pos="-414"/>
        </w:tabs>
        <w:ind w:left="-1134" w:firstLine="0"/>
      </w:pPr>
      <w:rPr>
        <w:rFonts w:ascii="Helvetica" w:hAnsi="Helvetica" w:cs="Times New Roman" w:hint="default"/>
        <w:b/>
        <w:i w:val="0"/>
        <w:caps w:val="0"/>
        <w:strike w:val="0"/>
        <w:dstrike w:val="0"/>
        <w:vanish w:val="0"/>
        <w:webHidden w:val="0"/>
        <w:color w:val="auto"/>
        <w:sz w:val="20"/>
        <w:szCs w:val="20"/>
        <w:u w:val="none"/>
        <w:effect w:val="none"/>
        <w:vertAlign w:val="baseline"/>
        <w:specVanish w:val="0"/>
      </w:rPr>
    </w:lvl>
    <w:lvl w:ilvl="3">
      <w:start w:val="1"/>
      <w:numFmt w:val="decimal"/>
      <w:lvlText w:val="%1.%2.%3.%4"/>
      <w:lvlJc w:val="left"/>
      <w:pPr>
        <w:tabs>
          <w:tab w:val="num" w:pos="-1188"/>
        </w:tabs>
        <w:ind w:left="-1188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-1188"/>
        </w:tabs>
        <w:ind w:left="-118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-828"/>
        </w:tabs>
        <w:ind w:left="-828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-828"/>
        </w:tabs>
        <w:ind w:left="-828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-468"/>
        </w:tabs>
        <w:ind w:left="-468" w:hanging="180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-468"/>
        </w:tabs>
        <w:ind w:left="-468" w:hanging="1800"/>
      </w:pPr>
      <w:rPr>
        <w:rFonts w:cs="Times New Roman"/>
      </w:rPr>
    </w:lvl>
  </w:abstractNum>
  <w:abstractNum w:abstractNumId="10" w15:restartNumberingAfterBreak="0">
    <w:nsid w:val="29CB0701"/>
    <w:multiLevelType w:val="hybridMultilevel"/>
    <w:tmpl w:val="BB2AAC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B10EC3"/>
    <w:multiLevelType w:val="hybridMultilevel"/>
    <w:tmpl w:val="F6EC637E"/>
    <w:lvl w:ilvl="0" w:tplc="5C520B36">
      <w:start w:val="1"/>
      <w:numFmt w:val="decimal"/>
      <w:pStyle w:val="Standardparawithnumbering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3DAC435C"/>
    <w:multiLevelType w:val="hybridMultilevel"/>
    <w:tmpl w:val="A18049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EBE2DED"/>
    <w:multiLevelType w:val="hybridMultilevel"/>
    <w:tmpl w:val="3EA26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550EBC"/>
    <w:multiLevelType w:val="multilevel"/>
    <w:tmpl w:val="17800270"/>
    <w:lvl w:ilvl="0">
      <w:start w:val="1"/>
      <w:numFmt w:val="decimal"/>
      <w:lvlText w:val="%1"/>
      <w:lvlJc w:val="left"/>
      <w:pPr>
        <w:ind w:left="360" w:hanging="36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eastAsia"/>
      </w:rPr>
    </w:lvl>
  </w:abstractNum>
  <w:abstractNum w:abstractNumId="15" w15:restartNumberingAfterBreak="0">
    <w:nsid w:val="46B014FA"/>
    <w:multiLevelType w:val="hybridMultilevel"/>
    <w:tmpl w:val="81786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D2743"/>
    <w:multiLevelType w:val="hybridMultilevel"/>
    <w:tmpl w:val="AD401972"/>
    <w:lvl w:ilvl="0" w:tplc="3E942A72">
      <w:start w:val="1"/>
      <w:numFmt w:val="bullet"/>
      <w:pStyle w:val="Bulletlong"/>
      <w:lvlText w:val="–"/>
      <w:lvlJc w:val="left"/>
      <w:pPr>
        <w:tabs>
          <w:tab w:val="num" w:pos="908"/>
        </w:tabs>
        <w:ind w:left="908" w:hanging="454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color w:val="auto"/>
        <w:sz w:val="22"/>
        <w:u w:val="none"/>
        <w:effect w:val="none"/>
        <w:vertAlign w:val="baseline"/>
        <w:specVanish w:val="0"/>
      </w:rPr>
    </w:lvl>
    <w:lvl w:ilvl="1" w:tplc="FFFFFFFF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7" w15:restartNumberingAfterBreak="0">
    <w:nsid w:val="4B860B62"/>
    <w:multiLevelType w:val="hybridMultilevel"/>
    <w:tmpl w:val="9B0C9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1F01DC"/>
    <w:multiLevelType w:val="multilevel"/>
    <w:tmpl w:val="01A68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813EBF"/>
    <w:multiLevelType w:val="multilevel"/>
    <w:tmpl w:val="DDDCCF62"/>
    <w:lvl w:ilvl="0">
      <w:start w:val="1"/>
      <w:numFmt w:val="decimal"/>
      <w:lvlText w:val="(%1)"/>
      <w:lvlJc w:val="center"/>
      <w:pPr>
        <w:ind w:left="360" w:hanging="72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eastAsia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eastAsi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eastAsi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eastAsia"/>
      </w:rPr>
    </w:lvl>
  </w:abstractNum>
  <w:abstractNum w:abstractNumId="20" w15:restartNumberingAfterBreak="0">
    <w:nsid w:val="671F6A39"/>
    <w:multiLevelType w:val="hybridMultilevel"/>
    <w:tmpl w:val="F4027AC0"/>
    <w:lvl w:ilvl="0" w:tplc="FFFFFFFF">
      <w:numFmt w:val="bullet"/>
      <w:lvlText w:val="-"/>
      <w:lvlJc w:val="left"/>
      <w:pPr>
        <w:ind w:left="1080" w:hanging="360"/>
      </w:pPr>
      <w:rPr>
        <w:rFonts w:ascii="Calibri" w:eastAsia="Times New Roman" w:hAnsi="Calibri"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 w:hint="default"/>
        <w:sz w:val="24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B33BED"/>
    <w:multiLevelType w:val="hybridMultilevel"/>
    <w:tmpl w:val="4906C7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85757D"/>
    <w:multiLevelType w:val="hybridMultilevel"/>
    <w:tmpl w:val="050AB7CC"/>
    <w:lvl w:ilvl="0" w:tplc="856AD2E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3FA5E9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769A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8907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E6F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7ADD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4C26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E9E1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2E921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6CD743C2"/>
    <w:multiLevelType w:val="hybridMultilevel"/>
    <w:tmpl w:val="D7625BC2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F65579B"/>
    <w:multiLevelType w:val="hybridMultilevel"/>
    <w:tmpl w:val="253A78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A37794"/>
    <w:multiLevelType w:val="multilevel"/>
    <w:tmpl w:val="76F4C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1342097"/>
    <w:multiLevelType w:val="hybridMultilevel"/>
    <w:tmpl w:val="F732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C2362E"/>
    <w:multiLevelType w:val="multilevel"/>
    <w:tmpl w:val="88CA2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EFD0C34"/>
    <w:multiLevelType w:val="multilevel"/>
    <w:tmpl w:val="99ACE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F58240A"/>
    <w:multiLevelType w:val="hybridMultilevel"/>
    <w:tmpl w:val="432099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9475330">
    <w:abstractNumId w:val="14"/>
  </w:num>
  <w:num w:numId="2" w16cid:durableId="1039277095">
    <w:abstractNumId w:val="19"/>
  </w:num>
  <w:num w:numId="3" w16cid:durableId="1770273936">
    <w:abstractNumId w:val="15"/>
  </w:num>
  <w:num w:numId="4" w16cid:durableId="1315374877">
    <w:abstractNumId w:val="4"/>
  </w:num>
  <w:num w:numId="5" w16cid:durableId="771509836">
    <w:abstractNumId w:val="25"/>
  </w:num>
  <w:num w:numId="6" w16cid:durableId="1870219284">
    <w:abstractNumId w:val="18"/>
  </w:num>
  <w:num w:numId="7" w16cid:durableId="15236728">
    <w:abstractNumId w:val="24"/>
  </w:num>
  <w:num w:numId="8" w16cid:durableId="1273781418">
    <w:abstractNumId w:val="13"/>
  </w:num>
  <w:num w:numId="9" w16cid:durableId="802117388">
    <w:abstractNumId w:val="5"/>
  </w:num>
  <w:num w:numId="10" w16cid:durableId="1592081072">
    <w:abstractNumId w:val="28"/>
  </w:num>
  <w:num w:numId="11" w16cid:durableId="517624256">
    <w:abstractNumId w:val="27"/>
  </w:num>
  <w:num w:numId="12" w16cid:durableId="25451682">
    <w:abstractNumId w:val="0"/>
  </w:num>
  <w:num w:numId="13" w16cid:durableId="464468169">
    <w:abstractNumId w:val="26"/>
  </w:num>
  <w:num w:numId="14" w16cid:durableId="1152454516">
    <w:abstractNumId w:val="21"/>
  </w:num>
  <w:num w:numId="15" w16cid:durableId="960306110">
    <w:abstractNumId w:val="29"/>
  </w:num>
  <w:num w:numId="16" w16cid:durableId="6078569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4134277">
    <w:abstractNumId w:val="16"/>
  </w:num>
  <w:num w:numId="18" w16cid:durableId="18890240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756977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96411686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52146229">
    <w:abstractNumId w:val="1"/>
  </w:num>
  <w:num w:numId="22" w16cid:durableId="533035218">
    <w:abstractNumId w:val="17"/>
  </w:num>
  <w:num w:numId="23" w16cid:durableId="315689611">
    <w:abstractNumId w:val="7"/>
  </w:num>
  <w:num w:numId="24" w16cid:durableId="205217934">
    <w:abstractNumId w:val="6"/>
  </w:num>
  <w:num w:numId="25" w16cid:durableId="410585863">
    <w:abstractNumId w:val="10"/>
  </w:num>
  <w:num w:numId="26" w16cid:durableId="1548419525">
    <w:abstractNumId w:val="12"/>
  </w:num>
  <w:num w:numId="27" w16cid:durableId="1963607866">
    <w:abstractNumId w:val="23"/>
  </w:num>
  <w:num w:numId="28" w16cid:durableId="1633558858">
    <w:abstractNumId w:val="20"/>
  </w:num>
  <w:num w:numId="29" w16cid:durableId="1643461512">
    <w:abstractNumId w:val="8"/>
  </w:num>
  <w:num w:numId="30" w16cid:durableId="1926957139">
    <w:abstractNumId w:val="2"/>
  </w:num>
  <w:num w:numId="31" w16cid:durableId="23744814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2E8"/>
    <w:rsid w:val="008B62E8"/>
    <w:rsid w:val="00BB57B5"/>
    <w:rsid w:val="00C3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A6031"/>
  <w15:chartTrackingRefBased/>
  <w15:docId w15:val="{F59CAF65-BFEF-4FB5-8C33-367F45A9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2E8"/>
    <w:pPr>
      <w:autoSpaceDE w:val="0"/>
      <w:autoSpaceDN w:val="0"/>
      <w:adjustRightInd w:val="0"/>
      <w:spacing w:after="0" w:line="276" w:lineRule="auto"/>
    </w:pPr>
    <w:rPr>
      <w:rFonts w:ascii="LM Roman 12" w:eastAsiaTheme="minorEastAsia" w:hAnsi="LM Roman 12" w:cs="cmr12"/>
      <w:kern w:val="0"/>
      <w:sz w:val="24"/>
      <w:szCs w:val="24"/>
      <w:lang w:val="en-US" w:eastAsia="zh-TW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62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B62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B62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B62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62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62E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62E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62E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62E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62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B62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B62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B62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62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62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62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62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62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62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62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62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62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62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62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62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62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62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62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62E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B62E8"/>
    <w:pPr>
      <w:spacing w:after="0" w:line="240" w:lineRule="auto"/>
    </w:pPr>
    <w:rPr>
      <w:rFonts w:eastAsiaTheme="minorEastAsia"/>
      <w:kern w:val="0"/>
      <w:lang w:val="en-US" w:eastAsia="zh-TW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8B62E8"/>
    <w:pPr>
      <w:spacing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B62E8"/>
    <w:rPr>
      <w:rFonts w:ascii="LM Roman 12" w:eastAsiaTheme="minorEastAsia" w:hAnsi="LM Roman 12" w:cs="cmr12"/>
      <w:kern w:val="0"/>
      <w:sz w:val="18"/>
      <w:szCs w:val="20"/>
      <w:lang w:val="en-US" w:eastAsia="zh-TW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8B62E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62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2E8"/>
    <w:rPr>
      <w:rFonts w:ascii="Tahoma" w:eastAsiaTheme="minorEastAsia" w:hAnsi="Tahoma" w:cs="Tahoma"/>
      <w:kern w:val="0"/>
      <w:sz w:val="16"/>
      <w:szCs w:val="16"/>
      <w:lang w:val="en-US" w:eastAsia="zh-TW"/>
      <w14:ligatures w14:val="none"/>
    </w:rPr>
  </w:style>
  <w:style w:type="character" w:styleId="Strong">
    <w:name w:val="Strong"/>
    <w:uiPriority w:val="22"/>
    <w:qFormat/>
    <w:rsid w:val="008B62E8"/>
    <w:rPr>
      <w:b/>
    </w:rPr>
  </w:style>
  <w:style w:type="paragraph" w:customStyle="1" w:styleId="Standardparagraph">
    <w:name w:val="Standard paragraph"/>
    <w:basedOn w:val="Normal"/>
    <w:link w:val="StandardparagraphChar"/>
    <w:uiPriority w:val="99"/>
    <w:qFormat/>
    <w:rsid w:val="008B62E8"/>
    <w:pPr>
      <w:autoSpaceDE/>
      <w:autoSpaceDN/>
      <w:adjustRightInd/>
      <w:spacing w:after="220" w:line="360" w:lineRule="auto"/>
    </w:pPr>
    <w:rPr>
      <w:rFonts w:eastAsia="Times New Roman" w:cs="Arial"/>
      <w:szCs w:val="22"/>
      <w:lang w:val="en-GB" w:eastAsia="en-GB"/>
    </w:rPr>
  </w:style>
  <w:style w:type="character" w:customStyle="1" w:styleId="StandardparagraphChar">
    <w:name w:val="Standard paragraph Char"/>
    <w:link w:val="Standardparagraph"/>
    <w:uiPriority w:val="99"/>
    <w:locked/>
    <w:rsid w:val="008B62E8"/>
    <w:rPr>
      <w:rFonts w:ascii="LM Roman 12" w:eastAsia="Times New Roman" w:hAnsi="LM Roman 12" w:cs="Arial"/>
      <w:kern w:val="0"/>
      <w:sz w:val="24"/>
      <w:lang w:eastAsia="en-GB"/>
      <w14:ligatures w14:val="none"/>
    </w:rPr>
  </w:style>
  <w:style w:type="character" w:styleId="Hyperlink">
    <w:name w:val="Hyperlink"/>
    <w:uiPriority w:val="99"/>
    <w:rsid w:val="008B62E8"/>
    <w:rPr>
      <w:rFonts w:cs="Times New Roman"/>
      <w:color w:val="0000FF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8B62E8"/>
    <w:pPr>
      <w:autoSpaceDE/>
      <w:autoSpaceDN/>
      <w:adjustRightInd/>
      <w:spacing w:after="200" w:line="240" w:lineRule="auto"/>
    </w:pPr>
    <w:rPr>
      <w:rFonts w:ascii="Arial" w:eastAsia="Times New Roman" w:hAnsi="Arial" w:cs="Arial"/>
      <w:i/>
      <w:iCs/>
      <w:color w:val="0E2841" w:themeColor="text2"/>
      <w:sz w:val="18"/>
      <w:szCs w:val="18"/>
      <w:lang w:val="en-GB" w:eastAsia="en-GB"/>
    </w:rPr>
  </w:style>
  <w:style w:type="paragraph" w:customStyle="1" w:styleId="EndNoteBibliographyTitle">
    <w:name w:val="EndNote Bibliography Title"/>
    <w:basedOn w:val="Normal"/>
    <w:link w:val="EndNoteBibliographyTitleChar"/>
    <w:rsid w:val="008B62E8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8B62E8"/>
    <w:rPr>
      <w:rFonts w:ascii="LM Roman 12" w:eastAsiaTheme="minorEastAsia" w:hAnsi="LM Roman 12" w:cs="cmr12"/>
      <w:noProof/>
      <w:kern w:val="0"/>
      <w:sz w:val="24"/>
      <w:szCs w:val="24"/>
      <w:lang w:val="en-US" w:eastAsia="zh-TW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8B62E8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8B62E8"/>
    <w:rPr>
      <w:rFonts w:ascii="LM Roman 12" w:eastAsiaTheme="minorEastAsia" w:hAnsi="LM Roman 12" w:cs="cmr12"/>
      <w:noProof/>
      <w:kern w:val="0"/>
      <w:sz w:val="24"/>
      <w:szCs w:val="24"/>
      <w:lang w:val="en-US" w:eastAsia="zh-TW"/>
      <w14:ligatures w14:val="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62E8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B62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62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62E8"/>
    <w:rPr>
      <w:rFonts w:ascii="LM Roman 12" w:eastAsiaTheme="minorEastAsia" w:hAnsi="LM Roman 12" w:cs="cmr12"/>
      <w:kern w:val="0"/>
      <w:sz w:val="20"/>
      <w:szCs w:val="20"/>
      <w:lang w:val="en-US" w:eastAsia="zh-TW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62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62E8"/>
    <w:rPr>
      <w:rFonts w:ascii="LM Roman 12" w:eastAsiaTheme="minorEastAsia" w:hAnsi="LM Roman 12" w:cs="cmr12"/>
      <w:b/>
      <w:bCs/>
      <w:kern w:val="0"/>
      <w:sz w:val="20"/>
      <w:szCs w:val="20"/>
      <w:lang w:val="en-US" w:eastAsia="zh-TW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8B62E8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8B62E8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62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</w:pPr>
    <w:rPr>
      <w:rFonts w:ascii="Courier New" w:eastAsia="Times New Roman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62E8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paragraph" w:styleId="NormalWeb">
    <w:name w:val="Normal (Web)"/>
    <w:basedOn w:val="Normal"/>
    <w:uiPriority w:val="99"/>
    <w:unhideWhenUsed/>
    <w:rsid w:val="008B62E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xinline-formula">
    <w:name w:val="x_inline-formula"/>
    <w:basedOn w:val="DefaultParagraphFont"/>
    <w:rsid w:val="008B62E8"/>
  </w:style>
  <w:style w:type="character" w:customStyle="1" w:styleId="xmi">
    <w:name w:val="x_mi"/>
    <w:basedOn w:val="DefaultParagraphFont"/>
    <w:rsid w:val="008B62E8"/>
  </w:style>
  <w:style w:type="character" w:customStyle="1" w:styleId="xmjxassistivemathml">
    <w:name w:val="x_mjx_assistive_mathml"/>
    <w:basedOn w:val="DefaultParagraphFont"/>
    <w:rsid w:val="008B62E8"/>
  </w:style>
  <w:style w:type="character" w:customStyle="1" w:styleId="xmo">
    <w:name w:val="x_mo"/>
    <w:basedOn w:val="DefaultParagraphFont"/>
    <w:rsid w:val="008B62E8"/>
  </w:style>
  <w:style w:type="character" w:customStyle="1" w:styleId="xmn">
    <w:name w:val="x_mn"/>
    <w:basedOn w:val="DefaultParagraphFont"/>
    <w:rsid w:val="008B62E8"/>
  </w:style>
  <w:style w:type="character" w:customStyle="1" w:styleId="content-section">
    <w:name w:val="content-section"/>
    <w:basedOn w:val="DefaultParagraphFont"/>
    <w:rsid w:val="008B62E8"/>
  </w:style>
  <w:style w:type="character" w:customStyle="1" w:styleId="gghfmyibcob">
    <w:name w:val="gghfmyibcob"/>
    <w:basedOn w:val="DefaultParagraphFont"/>
    <w:rsid w:val="008B62E8"/>
  </w:style>
  <w:style w:type="character" w:customStyle="1" w:styleId="gghfmyibcpb">
    <w:name w:val="gghfmyibcpb"/>
    <w:basedOn w:val="DefaultParagraphFont"/>
    <w:rsid w:val="008B62E8"/>
  </w:style>
  <w:style w:type="character" w:customStyle="1" w:styleId="highlight">
    <w:name w:val="highlight"/>
    <w:basedOn w:val="DefaultParagraphFont"/>
    <w:rsid w:val="008B62E8"/>
  </w:style>
  <w:style w:type="paragraph" w:customStyle="1" w:styleId="u-mb-2">
    <w:name w:val="u-mb-2"/>
    <w:basedOn w:val="Normal"/>
    <w:rsid w:val="008B62E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authorsname">
    <w:name w:val="authors__name"/>
    <w:basedOn w:val="DefaultParagraphFont"/>
    <w:rsid w:val="008B62E8"/>
  </w:style>
  <w:style w:type="paragraph" w:styleId="Header">
    <w:name w:val="header"/>
    <w:basedOn w:val="Normal"/>
    <w:link w:val="HeaderChar"/>
    <w:uiPriority w:val="99"/>
    <w:unhideWhenUsed/>
    <w:rsid w:val="008B62E8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62E8"/>
    <w:rPr>
      <w:rFonts w:ascii="LM Roman 12" w:eastAsiaTheme="minorEastAsia" w:hAnsi="LM Roman 12" w:cs="cmr12"/>
      <w:kern w:val="0"/>
      <w:sz w:val="24"/>
      <w:szCs w:val="24"/>
      <w:lang w:val="en-US" w:eastAsia="zh-TW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62E8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62E8"/>
    <w:rPr>
      <w:rFonts w:ascii="LM Roman 12" w:eastAsiaTheme="minorEastAsia" w:hAnsi="LM Roman 12" w:cs="cmr12"/>
      <w:kern w:val="0"/>
      <w:sz w:val="24"/>
      <w:szCs w:val="24"/>
      <w:lang w:val="en-US" w:eastAsia="zh-TW"/>
      <w14:ligatures w14:val="none"/>
    </w:rPr>
  </w:style>
  <w:style w:type="character" w:customStyle="1" w:styleId="mi">
    <w:name w:val="mi"/>
    <w:basedOn w:val="DefaultParagraphFont"/>
    <w:rsid w:val="008B62E8"/>
  </w:style>
  <w:style w:type="character" w:customStyle="1" w:styleId="mjxassistivemathml">
    <w:name w:val="mjx_assistive_mathml"/>
    <w:basedOn w:val="DefaultParagraphFont"/>
    <w:rsid w:val="008B62E8"/>
  </w:style>
  <w:style w:type="character" w:customStyle="1" w:styleId="mo">
    <w:name w:val="mo"/>
    <w:basedOn w:val="DefaultParagraphFont"/>
    <w:rsid w:val="008B62E8"/>
  </w:style>
  <w:style w:type="character" w:customStyle="1" w:styleId="citationref">
    <w:name w:val="citationref"/>
    <w:basedOn w:val="DefaultParagraphFont"/>
    <w:rsid w:val="008B62E8"/>
  </w:style>
  <w:style w:type="paragraph" w:customStyle="1" w:styleId="p">
    <w:name w:val="p"/>
    <w:basedOn w:val="Normal"/>
    <w:rsid w:val="008B62E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msqrt">
    <w:name w:val="msqrt"/>
    <w:basedOn w:val="DefaultParagraphFont"/>
    <w:rsid w:val="008B62E8"/>
  </w:style>
  <w:style w:type="character" w:customStyle="1" w:styleId="mn">
    <w:name w:val="mn"/>
    <w:basedOn w:val="DefaultParagraphFont"/>
    <w:rsid w:val="008B62E8"/>
  </w:style>
  <w:style w:type="character" w:customStyle="1" w:styleId="mathjaxsvg">
    <w:name w:val="mathjax_svg"/>
    <w:basedOn w:val="DefaultParagraphFont"/>
    <w:rsid w:val="008B62E8"/>
  </w:style>
  <w:style w:type="paragraph" w:styleId="EndnoteText">
    <w:name w:val="endnote text"/>
    <w:basedOn w:val="Normal"/>
    <w:link w:val="EndnoteTextChar"/>
    <w:uiPriority w:val="99"/>
    <w:semiHidden/>
    <w:unhideWhenUsed/>
    <w:rsid w:val="008B62E8"/>
    <w:pPr>
      <w:spacing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62E8"/>
    <w:rPr>
      <w:rFonts w:ascii="LM Roman 12" w:eastAsiaTheme="minorEastAsia" w:hAnsi="LM Roman 12" w:cs="cmr12"/>
      <w:kern w:val="0"/>
      <w:sz w:val="20"/>
      <w:szCs w:val="20"/>
      <w:lang w:val="en-US" w:eastAsia="zh-TW"/>
      <w14:ligatures w14:val="none"/>
    </w:rPr>
  </w:style>
  <w:style w:type="character" w:styleId="EndnoteReference">
    <w:name w:val="endnote reference"/>
    <w:basedOn w:val="DefaultParagraphFont"/>
    <w:uiPriority w:val="99"/>
    <w:semiHidden/>
    <w:unhideWhenUsed/>
    <w:rsid w:val="008B62E8"/>
    <w:rPr>
      <w:vertAlign w:val="superscript"/>
    </w:rPr>
  </w:style>
  <w:style w:type="character" w:customStyle="1" w:styleId="gnkrckgcgsb">
    <w:name w:val="gnkrckgcgsb"/>
    <w:basedOn w:val="DefaultParagraphFont"/>
    <w:rsid w:val="008B62E8"/>
  </w:style>
  <w:style w:type="character" w:customStyle="1" w:styleId="gnkrckgcmrb">
    <w:name w:val="gnkrckgcmrb"/>
    <w:basedOn w:val="DefaultParagraphFont"/>
    <w:rsid w:val="008B62E8"/>
  </w:style>
  <w:style w:type="character" w:customStyle="1" w:styleId="gnkrckgcmsb">
    <w:name w:val="gnkrckgcmsb"/>
    <w:basedOn w:val="DefaultParagraphFont"/>
    <w:rsid w:val="008B62E8"/>
  </w:style>
  <w:style w:type="character" w:styleId="HTMLCode">
    <w:name w:val="HTML Code"/>
    <w:basedOn w:val="DefaultParagraphFont"/>
    <w:uiPriority w:val="99"/>
    <w:semiHidden/>
    <w:unhideWhenUsed/>
    <w:rsid w:val="008B62E8"/>
    <w:rPr>
      <w:rFonts w:ascii="Courier New" w:eastAsia="Times New Roman" w:hAnsi="Courier New" w:cs="Courier New"/>
      <w:sz w:val="20"/>
      <w:szCs w:val="20"/>
    </w:rPr>
  </w:style>
  <w:style w:type="character" w:customStyle="1" w:styleId="va">
    <w:name w:val="va"/>
    <w:basedOn w:val="DefaultParagraphFont"/>
    <w:rsid w:val="008B62E8"/>
  </w:style>
  <w:style w:type="character" w:customStyle="1" w:styleId="op">
    <w:name w:val="op"/>
    <w:basedOn w:val="DefaultParagraphFont"/>
    <w:rsid w:val="008B62E8"/>
  </w:style>
  <w:style w:type="character" w:customStyle="1" w:styleId="fu">
    <w:name w:val="fu"/>
    <w:basedOn w:val="DefaultParagraphFont"/>
    <w:rsid w:val="008B62E8"/>
  </w:style>
  <w:style w:type="character" w:customStyle="1" w:styleId="st">
    <w:name w:val="st"/>
    <w:basedOn w:val="DefaultParagraphFont"/>
    <w:rsid w:val="008B62E8"/>
  </w:style>
  <w:style w:type="paragraph" w:customStyle="1" w:styleId="Default">
    <w:name w:val="Default"/>
    <w:rsid w:val="008B62E8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kern w:val="0"/>
      <w:sz w:val="24"/>
      <w:szCs w:val="24"/>
      <w:lang w:val="en-CA" w:eastAsia="en-CA"/>
      <w14:ligatures w14:val="none"/>
    </w:rPr>
  </w:style>
  <w:style w:type="paragraph" w:customStyle="1" w:styleId="Tabletext">
    <w:name w:val="Table text"/>
    <w:basedOn w:val="Normal"/>
    <w:uiPriority w:val="99"/>
    <w:rsid w:val="008B62E8"/>
    <w:pPr>
      <w:keepNext/>
      <w:autoSpaceDE/>
      <w:autoSpaceDN/>
      <w:adjustRightInd/>
      <w:spacing w:before="120" w:line="240" w:lineRule="auto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Tablecolumnheading">
    <w:name w:val="Table column heading"/>
    <w:basedOn w:val="Tabletext"/>
    <w:next w:val="Tabletext"/>
    <w:uiPriority w:val="99"/>
    <w:rsid w:val="008B62E8"/>
    <w:pPr>
      <w:jc w:val="center"/>
    </w:pPr>
    <w:rPr>
      <w:b/>
      <w:color w:val="663366"/>
    </w:rPr>
  </w:style>
  <w:style w:type="paragraph" w:customStyle="1" w:styleId="Tableheading">
    <w:name w:val="Table heading"/>
    <w:basedOn w:val="Normal"/>
    <w:uiPriority w:val="99"/>
    <w:rsid w:val="008B62E8"/>
    <w:pPr>
      <w:keepNext/>
      <w:tabs>
        <w:tab w:val="left" w:pos="1276"/>
      </w:tabs>
      <w:autoSpaceDE/>
      <w:autoSpaceDN/>
      <w:adjustRightInd/>
      <w:spacing w:after="220" w:line="240" w:lineRule="auto"/>
      <w:ind w:left="1276" w:hanging="1276"/>
    </w:pPr>
    <w:rPr>
      <w:rFonts w:ascii="Arial" w:eastAsia="Times New Roman" w:hAnsi="Arial" w:cs="Times New Roman"/>
      <w:b/>
      <w:sz w:val="22"/>
      <w:szCs w:val="20"/>
      <w:lang w:val="en-GB" w:eastAsia="en-US"/>
    </w:rPr>
  </w:style>
  <w:style w:type="paragraph" w:customStyle="1" w:styleId="Notetotable">
    <w:name w:val="Note to table"/>
    <w:basedOn w:val="Normal"/>
    <w:next w:val="Normal"/>
    <w:uiPriority w:val="99"/>
    <w:rsid w:val="008B62E8"/>
    <w:pPr>
      <w:keepNext/>
      <w:autoSpaceDE/>
      <w:autoSpaceDN/>
      <w:adjustRightInd/>
      <w:spacing w:line="240" w:lineRule="auto"/>
    </w:pPr>
    <w:rPr>
      <w:rFonts w:ascii="Arial" w:eastAsia="Times New Roman" w:hAnsi="Arial" w:cs="Times New Roman"/>
      <w:sz w:val="18"/>
      <w:szCs w:val="20"/>
      <w:lang w:val="en-GB" w:eastAsia="en-US"/>
    </w:rPr>
  </w:style>
  <w:style w:type="paragraph" w:customStyle="1" w:styleId="Sectionheading">
    <w:name w:val="Section heading"/>
    <w:basedOn w:val="Normal"/>
    <w:next w:val="Standardparagraph"/>
    <w:uiPriority w:val="99"/>
    <w:rsid w:val="008B62E8"/>
    <w:pPr>
      <w:pageBreakBefore/>
      <w:numPr>
        <w:numId w:val="16"/>
      </w:numPr>
      <w:tabs>
        <w:tab w:val="right" w:pos="8931"/>
      </w:tabs>
      <w:autoSpaceDE/>
      <w:autoSpaceDN/>
      <w:adjustRightInd/>
      <w:spacing w:after="1134" w:line="240" w:lineRule="auto"/>
      <w:ind w:right="140"/>
      <w:outlineLvl w:val="0"/>
    </w:pPr>
    <w:rPr>
      <w:rFonts w:ascii="Arial" w:eastAsia="Times New Roman" w:hAnsi="Arial" w:cs="Times New Roman"/>
      <w:b/>
      <w:color w:val="663366"/>
      <w:sz w:val="30"/>
      <w:szCs w:val="20"/>
      <w:lang w:val="en-GB" w:eastAsia="en-US"/>
    </w:rPr>
  </w:style>
  <w:style w:type="paragraph" w:customStyle="1" w:styleId="Sub-sectionheading">
    <w:name w:val="Sub-section heading"/>
    <w:basedOn w:val="Sectionheading"/>
    <w:next w:val="Standardparagraph"/>
    <w:uiPriority w:val="99"/>
    <w:rsid w:val="008B62E8"/>
    <w:pPr>
      <w:keepNext/>
      <w:pageBreakBefore w:val="0"/>
      <w:numPr>
        <w:ilvl w:val="1"/>
      </w:numPr>
      <w:spacing w:before="220" w:after="300"/>
      <w:ind w:right="142"/>
      <w:outlineLvl w:val="1"/>
    </w:pPr>
    <w:rPr>
      <w:sz w:val="26"/>
    </w:rPr>
  </w:style>
  <w:style w:type="paragraph" w:customStyle="1" w:styleId="Sub-subsectionheading">
    <w:name w:val="Sub-subsection heading"/>
    <w:basedOn w:val="Sub-sectionheading"/>
    <w:next w:val="Standardparagraph"/>
    <w:uiPriority w:val="99"/>
    <w:rsid w:val="008B62E8"/>
    <w:pPr>
      <w:numPr>
        <w:ilvl w:val="2"/>
      </w:numPr>
      <w:tabs>
        <w:tab w:val="num" w:pos="0"/>
      </w:tabs>
      <w:spacing w:after="0"/>
      <w:ind w:right="0"/>
      <w:jc w:val="both"/>
      <w:outlineLvl w:val="9"/>
    </w:pPr>
    <w:rPr>
      <w:color w:val="auto"/>
      <w:sz w:val="22"/>
    </w:rPr>
  </w:style>
  <w:style w:type="paragraph" w:customStyle="1" w:styleId="Bulletlong">
    <w:name w:val="Bullet (long)"/>
    <w:basedOn w:val="Normal"/>
    <w:next w:val="Standardparagraph"/>
    <w:uiPriority w:val="99"/>
    <w:rsid w:val="008B62E8"/>
    <w:pPr>
      <w:numPr>
        <w:numId w:val="17"/>
      </w:numPr>
      <w:autoSpaceDE/>
      <w:autoSpaceDN/>
      <w:adjustRightInd/>
      <w:spacing w:after="240" w:line="240" w:lineRule="auto"/>
    </w:pPr>
    <w:rPr>
      <w:rFonts w:eastAsia="Times New Roman" w:cs="Times New Roman"/>
      <w:szCs w:val="20"/>
      <w:lang w:eastAsia="en-US"/>
    </w:rPr>
  </w:style>
  <w:style w:type="paragraph" w:customStyle="1" w:styleId="Standardparawithnumbering">
    <w:name w:val="Standard para with numbering"/>
    <w:basedOn w:val="Standardparagraph"/>
    <w:uiPriority w:val="99"/>
    <w:rsid w:val="008B62E8"/>
    <w:pPr>
      <w:numPr>
        <w:numId w:val="18"/>
      </w:numPr>
      <w:tabs>
        <w:tab w:val="clear" w:pos="720"/>
        <w:tab w:val="num" w:pos="360"/>
        <w:tab w:val="left" w:pos="454"/>
      </w:tabs>
      <w:spacing w:line="240" w:lineRule="auto"/>
      <w:ind w:left="454" w:hanging="454"/>
    </w:pPr>
    <w:rPr>
      <w:rFonts w:eastAsiaTheme="minorEastAsia"/>
      <w:szCs w:val="20"/>
      <w:lang w:val="en-US" w:eastAsia="zh-TW"/>
    </w:rPr>
  </w:style>
  <w:style w:type="paragraph" w:customStyle="1" w:styleId="Appendixsub-subsectionheading">
    <w:name w:val="Appendix sub-subsection heading"/>
    <w:basedOn w:val="Sub-subsectionheading"/>
    <w:next w:val="Standardparagraph"/>
    <w:uiPriority w:val="99"/>
    <w:rsid w:val="008B62E8"/>
    <w:pPr>
      <w:numPr>
        <w:numId w:val="19"/>
      </w:numPr>
      <w:tabs>
        <w:tab w:val="left" w:pos="0"/>
      </w:tabs>
    </w:pPr>
  </w:style>
  <w:style w:type="paragraph" w:customStyle="1" w:styleId="Appendixsub-sectionheading">
    <w:name w:val="Appendix sub-section heading"/>
    <w:basedOn w:val="Sub-sectionheading"/>
    <w:next w:val="Standardparagraph"/>
    <w:uiPriority w:val="99"/>
    <w:rsid w:val="008B62E8"/>
    <w:pPr>
      <w:numPr>
        <w:numId w:val="19"/>
      </w:numPr>
      <w:tabs>
        <w:tab w:val="left" w:pos="0"/>
      </w:tabs>
    </w:pPr>
  </w:style>
  <w:style w:type="paragraph" w:customStyle="1" w:styleId="Appendixheading">
    <w:name w:val="Appendix heading"/>
    <w:basedOn w:val="Normal"/>
    <w:next w:val="Standardparagraph"/>
    <w:uiPriority w:val="99"/>
    <w:rsid w:val="008B62E8"/>
    <w:pPr>
      <w:pageBreakBefore/>
      <w:numPr>
        <w:numId w:val="19"/>
      </w:numPr>
      <w:tabs>
        <w:tab w:val="left" w:pos="0"/>
      </w:tabs>
      <w:autoSpaceDE/>
      <w:autoSpaceDN/>
      <w:adjustRightInd/>
      <w:spacing w:after="1134" w:line="240" w:lineRule="auto"/>
    </w:pPr>
    <w:rPr>
      <w:rFonts w:ascii="Arial" w:eastAsia="Times New Roman" w:hAnsi="Arial" w:cs="Times New Roman"/>
      <w:b/>
      <w:color w:val="663366"/>
      <w:sz w:val="30"/>
      <w:szCs w:val="20"/>
      <w:lang w:val="en-GB" w:eastAsia="en-US"/>
    </w:rPr>
  </w:style>
  <w:style w:type="character" w:customStyle="1" w:styleId="addmd">
    <w:name w:val="addmd"/>
    <w:uiPriority w:val="99"/>
    <w:rsid w:val="008B62E8"/>
  </w:style>
  <w:style w:type="character" w:customStyle="1" w:styleId="apple-converted-space">
    <w:name w:val="apple-converted-space"/>
    <w:rsid w:val="008B62E8"/>
  </w:style>
  <w:style w:type="character" w:customStyle="1" w:styleId="bibrecord-highlight-user">
    <w:name w:val="bibrecord-highlight-user"/>
    <w:rsid w:val="008B62E8"/>
  </w:style>
  <w:style w:type="paragraph" w:customStyle="1" w:styleId="para">
    <w:name w:val="para"/>
    <w:basedOn w:val="Normal"/>
    <w:rsid w:val="008B62E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styleId="PlainText">
    <w:name w:val="Plain Text"/>
    <w:basedOn w:val="Normal"/>
    <w:link w:val="PlainTextChar"/>
    <w:uiPriority w:val="99"/>
    <w:unhideWhenUsed/>
    <w:rsid w:val="008B62E8"/>
    <w:pPr>
      <w:autoSpaceDE/>
      <w:autoSpaceDN/>
      <w:adjustRightInd/>
      <w:spacing w:line="240" w:lineRule="auto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B62E8"/>
    <w:rPr>
      <w:rFonts w:ascii="Consolas" w:hAnsi="Consolas"/>
      <w:kern w:val="0"/>
      <w:sz w:val="21"/>
      <w:szCs w:val="21"/>
      <w:lang w:val="en-US"/>
      <w14:ligatures w14:val="none"/>
    </w:rPr>
  </w:style>
  <w:style w:type="paragraph" w:customStyle="1" w:styleId="chapter-para">
    <w:name w:val="chapter-para"/>
    <w:basedOn w:val="Normal"/>
    <w:rsid w:val="008B62E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ColorfulList-Accent11">
    <w:name w:val="Colorful List - Accent 11"/>
    <w:basedOn w:val="Normal"/>
    <w:qFormat/>
    <w:rsid w:val="008B62E8"/>
    <w:pPr>
      <w:autoSpaceDE/>
      <w:autoSpaceDN/>
      <w:adjustRightInd/>
      <w:spacing w:after="200"/>
      <w:ind w:left="720"/>
      <w:contextualSpacing/>
    </w:pPr>
    <w:rPr>
      <w:rFonts w:ascii="Calibri" w:eastAsia="Times New Roman" w:hAnsi="Calibri" w:cs="Times New Roman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8B62E8"/>
    <w:pPr>
      <w:spacing w:after="0" w:line="240" w:lineRule="auto"/>
    </w:pPr>
    <w:rPr>
      <w:rFonts w:ascii="LM Roman 12" w:eastAsiaTheme="minorEastAsia" w:hAnsi="LM Roman 12" w:cs="cmr12"/>
      <w:kern w:val="0"/>
      <w:sz w:val="24"/>
      <w:szCs w:val="24"/>
      <w:lang w:val="en-US" w:eastAsia="zh-TW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B62E8"/>
    <w:rPr>
      <w:color w:val="605E5C"/>
      <w:shd w:val="clear" w:color="auto" w:fill="E1DFDD"/>
    </w:rPr>
  </w:style>
  <w:style w:type="table" w:styleId="PlainTable5">
    <w:name w:val="Plain Table 5"/>
    <w:basedOn w:val="TableNormal"/>
    <w:uiPriority w:val="45"/>
    <w:rsid w:val="008B62E8"/>
    <w:pPr>
      <w:spacing w:after="0" w:line="240" w:lineRule="auto"/>
    </w:pPr>
    <w:rPr>
      <w:rFonts w:eastAsiaTheme="minorEastAsia"/>
      <w:kern w:val="0"/>
      <w:lang w:val="en-US" w:eastAsia="zh-TW"/>
      <w14:ligatures w14:val="none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8B62E8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B62E8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B62E8"/>
    <w:pPr>
      <w:autoSpaceDE w:val="0"/>
      <w:autoSpaceDN w:val="0"/>
      <w:adjustRightInd w:val="0"/>
      <w:spacing w:after="0" w:line="240" w:lineRule="auto"/>
    </w:pPr>
    <w:rPr>
      <w:rFonts w:ascii="LM Roman 12" w:eastAsiaTheme="minorEastAsia" w:hAnsi="LM Roman 12" w:cs="cmr12"/>
      <w:kern w:val="0"/>
      <w:sz w:val="24"/>
      <w:szCs w:val="24"/>
      <w:lang w:val="en-US" w:eastAsia="zh-TW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1615</Words>
  <Characters>9211</Characters>
  <Application>Microsoft Office Word</Application>
  <DocSecurity>0</DocSecurity>
  <Lines>76</Lines>
  <Paragraphs>21</Paragraphs>
  <ScaleCrop>false</ScaleCrop>
  <Company/>
  <LinksUpToDate>false</LinksUpToDate>
  <CharactersWithSpaces>10805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Padraig Dixon</dc:creator>
  <cp:keywords/>
  <dc:description/>
  <cp:lastModifiedBy>Padraig Dixon</cp:lastModifiedBy>
  <cp:revision>1</cp:revision>
  <dcterms:created xsi:type="dcterms:W3CDTF">2025-11-25T11:22:00Z</dcterms:created>
  <dcterms:modified xsi:type="dcterms:W3CDTF">2025-11-25T11:23:00Z</dcterms:modified>
</cp:coreProperties>
</file>