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15B" w:rsidRDefault="006E215B" w:rsidP="006E215B">
      <w:pPr>
        <w:jc w:val="center"/>
        <w:rPr>
          <w:rFonts w:ascii="Times New Roman" w:hAnsi="Times New Roman" w:cs="Times New Roman"/>
          <w:b/>
          <w:lang w:val="en" w:eastAsia="de-DE"/>
        </w:rPr>
      </w:pPr>
      <w:r>
        <w:rPr>
          <w:rFonts w:ascii="Times New Roman" w:hAnsi="Times New Roman" w:cs="Times New Roman"/>
          <w:b/>
          <w:lang w:val="en" w:eastAsia="de-DE"/>
        </w:rPr>
        <w:t>Supplementary Material</w:t>
      </w:r>
    </w:p>
    <w:p w:rsidR="002E4412" w:rsidRPr="002E4412" w:rsidRDefault="002E4412" w:rsidP="002E4412">
      <w:pPr>
        <w:rPr>
          <w:rFonts w:ascii="Times New Roman" w:hAnsi="Times New Roman" w:cs="Times New Roman"/>
          <w:b/>
          <w:lang w:val="en" w:eastAsia="de-DE"/>
        </w:rPr>
      </w:pPr>
      <w:r w:rsidRPr="002E4412">
        <w:rPr>
          <w:rFonts w:ascii="Times New Roman" w:hAnsi="Times New Roman" w:cs="Times New Roman"/>
          <w:b/>
          <w:lang w:val="en" w:eastAsia="de-DE"/>
        </w:rPr>
        <w:t>Measure of Student Engagement</w:t>
      </w:r>
    </w:p>
    <w:p w:rsidR="002E4412" w:rsidRPr="002E4412" w:rsidRDefault="002E4412" w:rsidP="002E4412">
      <w:pPr>
        <w:rPr>
          <w:rFonts w:ascii="Times New Roman" w:hAnsi="Times New Roman" w:cs="Times New Roman"/>
          <w:lang w:val="en" w:eastAsia="de-DE"/>
        </w:rPr>
      </w:pPr>
      <w:r w:rsidRPr="002E4412">
        <w:rPr>
          <w:rFonts w:ascii="Times New Roman" w:hAnsi="Times New Roman" w:cs="Times New Roman"/>
          <w:lang w:val="en" w:eastAsia="de-DE"/>
        </w:rPr>
        <w:t xml:space="preserve">The German version (UWES-D9; </w:t>
      </w:r>
      <w:proofErr w:type="spellStart"/>
      <w:r w:rsidRPr="002E4412">
        <w:rPr>
          <w:rFonts w:ascii="Times New Roman" w:hAnsi="Times New Roman" w:cs="Times New Roman"/>
          <w:lang w:val="en" w:eastAsia="de-DE"/>
        </w:rPr>
        <w:t>Gusy</w:t>
      </w:r>
      <w:proofErr w:type="spellEnd"/>
      <w:r w:rsidRPr="002E4412">
        <w:rPr>
          <w:rFonts w:ascii="Times New Roman" w:hAnsi="Times New Roman" w:cs="Times New Roman"/>
          <w:lang w:val="en" w:eastAsia="de-DE"/>
        </w:rPr>
        <w:t xml:space="preserve"> et al., 2019) of the Utrecht Work Engagement Inventory Student Form contains 9 items and three subscales: vigor (VI; “I feel strong and vigorous when I’m studying or going to class”), dedication (DE; “My study inspires me”), and absorption (AB; “I feel happy when I am studying intensely”) on a 6-point-scale (0-never to 6-always). Higher scores indicated higher engagement. </w:t>
      </w:r>
    </w:p>
    <w:p w:rsidR="002E4412" w:rsidRPr="002E4412" w:rsidRDefault="002E4412" w:rsidP="002E4412">
      <w:pPr>
        <w:ind w:firstLine="708"/>
        <w:rPr>
          <w:rFonts w:ascii="Times New Roman" w:hAnsi="Times New Roman" w:cs="Times New Roman"/>
          <w:lang w:val="en" w:eastAsia="de-DE"/>
        </w:rPr>
      </w:pPr>
      <w:proofErr w:type="spellStart"/>
      <w:r w:rsidRPr="002E4412">
        <w:rPr>
          <w:rFonts w:ascii="Times New Roman" w:hAnsi="Times New Roman" w:cs="Times New Roman"/>
          <w:lang w:val="en" w:eastAsia="de-DE"/>
        </w:rPr>
        <w:t>Gusy</w:t>
      </w:r>
      <w:proofErr w:type="spellEnd"/>
      <w:r w:rsidRPr="002E4412">
        <w:rPr>
          <w:rFonts w:ascii="Times New Roman" w:hAnsi="Times New Roman" w:cs="Times New Roman"/>
          <w:lang w:val="en" w:eastAsia="de-DE"/>
        </w:rPr>
        <w:t xml:space="preserve"> and colleagues (2019) calculated Cronbach’s alpha as .86 and the intra-class correlation as .91. For our data, the fit indices of confirmatory factor analysis (CFA) for academic engagement indicated fit of the variables in the model (χ</w:t>
      </w:r>
      <w:proofErr w:type="gramStart"/>
      <w:r w:rsidRPr="002E4412">
        <w:rPr>
          <w:rFonts w:ascii="Times New Roman" w:hAnsi="Times New Roman" w:cs="Times New Roman"/>
          <w:lang w:val="en" w:eastAsia="de-DE"/>
        </w:rPr>
        <w:t>²(</w:t>
      </w:r>
      <w:proofErr w:type="gramEnd"/>
      <w:r w:rsidRPr="002E4412">
        <w:rPr>
          <w:rFonts w:ascii="Times New Roman" w:hAnsi="Times New Roman" w:cs="Times New Roman"/>
          <w:lang w:val="en" w:eastAsia="de-DE"/>
        </w:rPr>
        <w:t xml:space="preserve">19) = 157.138, p &lt; .001, χ2/df = 8.270, RMSEA= .074 [90% CI .064 - .085], SRMR= .021, GFI= .97, TLI = .97, CFI= .98, IFI= .98); with significant factor loadings ranged from .694 to .891, indicating strong convergent validity (see below). These results support using the three engagement dimensions as distinct yet related constructs. </w:t>
      </w:r>
    </w:p>
    <w:p w:rsidR="002E4412" w:rsidRDefault="002E4412" w:rsidP="002E4412">
      <w:pPr>
        <w:rPr>
          <w:rFonts w:ascii="Times New Roman" w:eastAsia="Times New Roman" w:hAnsi="Times New Roman" w:cs="Times New Roman"/>
          <w:b/>
          <w:bCs/>
          <w:lang w:val="en" w:eastAsia="de-DE"/>
        </w:rPr>
      </w:pPr>
    </w:p>
    <w:p w:rsidR="002E4412" w:rsidRPr="002E4412" w:rsidRDefault="002E4412" w:rsidP="002E4412">
      <w:pPr>
        <w:rPr>
          <w:rFonts w:ascii="Times New Roman" w:eastAsia="Times New Roman" w:hAnsi="Times New Roman" w:cs="Times New Roman"/>
          <w:b/>
          <w:bCs/>
          <w:lang w:val="en" w:eastAsia="de-DE"/>
        </w:rPr>
      </w:pPr>
      <w:r w:rsidRPr="002E4412">
        <w:rPr>
          <w:rFonts w:ascii="Times New Roman" w:eastAsia="Times New Roman" w:hAnsi="Times New Roman" w:cs="Times New Roman"/>
          <w:b/>
          <w:bCs/>
          <w:lang w:val="en" w:eastAsia="de-DE"/>
        </w:rPr>
        <w:t>Table S</w:t>
      </w:r>
      <w:r w:rsidR="006E215B">
        <w:rPr>
          <w:rFonts w:ascii="Times New Roman" w:eastAsia="Times New Roman" w:hAnsi="Times New Roman" w:cs="Times New Roman"/>
          <w:b/>
          <w:bCs/>
          <w:lang w:val="en" w:eastAsia="de-DE"/>
        </w:rPr>
        <w:t>2</w:t>
      </w:r>
      <w:r w:rsidRPr="002E4412">
        <w:rPr>
          <w:rFonts w:ascii="Times New Roman" w:eastAsia="Times New Roman" w:hAnsi="Times New Roman" w:cs="Times New Roman"/>
          <w:b/>
          <w:bCs/>
          <w:lang w:val="en" w:eastAsia="de-DE"/>
        </w:rPr>
        <w:t xml:space="preserve">. </w:t>
      </w:r>
      <w:r w:rsidRPr="002E4412">
        <w:rPr>
          <w:rFonts w:ascii="Times New Roman" w:hAnsi="Times New Roman" w:cs="Times New Roman"/>
          <w:lang w:val="en"/>
        </w:rPr>
        <w:t>Scalar Estimates</w:t>
      </w:r>
      <w:r>
        <w:rPr>
          <w:rFonts w:ascii="Times New Roman" w:hAnsi="Times New Roman" w:cs="Times New Roman"/>
          <w:lang w:val="en"/>
        </w:rPr>
        <w:t xml:space="preserve"> and S</w:t>
      </w:r>
      <w:r w:rsidRPr="002E4412">
        <w:rPr>
          <w:rFonts w:ascii="Times New Roman" w:hAnsi="Times New Roman" w:cs="Times New Roman"/>
          <w:lang w:val="en"/>
        </w:rPr>
        <w:t xml:space="preserve">tandardized </w:t>
      </w:r>
      <w:r>
        <w:rPr>
          <w:rFonts w:ascii="Times New Roman" w:hAnsi="Times New Roman" w:cs="Times New Roman"/>
          <w:lang w:val="en"/>
        </w:rPr>
        <w:t>R</w:t>
      </w:r>
      <w:r w:rsidRPr="002E4412">
        <w:rPr>
          <w:rFonts w:ascii="Times New Roman" w:hAnsi="Times New Roman" w:cs="Times New Roman"/>
          <w:lang w:val="en"/>
        </w:rPr>
        <w:t xml:space="preserve">egression </w:t>
      </w:r>
      <w:r>
        <w:rPr>
          <w:rFonts w:ascii="Times New Roman" w:hAnsi="Times New Roman" w:cs="Times New Roman"/>
          <w:lang w:val="en"/>
        </w:rPr>
        <w:t>W</w:t>
      </w:r>
      <w:r w:rsidRPr="002E4412">
        <w:rPr>
          <w:rFonts w:ascii="Times New Roman" w:hAnsi="Times New Roman" w:cs="Times New Roman"/>
          <w:lang w:val="en"/>
        </w:rPr>
        <w:t>eights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Regression Weights: (Group number 1 -  Default model)"/>
      </w:tblPr>
      <w:tblGrid>
        <w:gridCol w:w="1434"/>
        <w:gridCol w:w="458"/>
        <w:gridCol w:w="1270"/>
        <w:gridCol w:w="825"/>
        <w:gridCol w:w="665"/>
        <w:gridCol w:w="885"/>
        <w:gridCol w:w="610"/>
        <w:gridCol w:w="868"/>
      </w:tblGrid>
      <w:tr w:rsidR="002E4412" w:rsidRPr="002E4412" w:rsidTr="002E4412">
        <w:trPr>
          <w:tblHeader/>
        </w:trPr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"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</w:pPr>
            <w:proofErr w:type="spellStart"/>
            <w:r w:rsidRPr="002E4412"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  <w:t>C.R.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  <w:t>p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b/>
                <w:bCs/>
                <w:i/>
                <w:lang w:eastAsia="de-DE"/>
              </w:rPr>
              <w:t>β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Engagement_3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Vigor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.757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Vigor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1.135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33.927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.891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Vigor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33.892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.883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Dedication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68" w:type="dxa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.809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Dedication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35.724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.862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proofErr w:type="spellStart"/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Dedication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1.079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30.215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.762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A</w:t>
            </w:r>
            <w:proofErr w:type="spellStart"/>
            <w:r w:rsidRPr="002E4412">
              <w:rPr>
                <w:rFonts w:ascii="Times New Roman" w:hAnsi="Times New Roman" w:cs="Times New Roman"/>
                <w:lang w:val="en" w:eastAsia="de-DE"/>
              </w:rPr>
              <w:t>bsorption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0" w:type="auto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868" w:type="dxa"/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.788</w:t>
            </w:r>
          </w:p>
        </w:tc>
      </w:tr>
      <w:tr w:rsidR="002E4412" w:rsidRPr="002E4412" w:rsidTr="002E4412"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A</w:t>
            </w:r>
            <w:proofErr w:type="spellStart"/>
            <w:r w:rsidRPr="002E4412">
              <w:rPr>
                <w:rFonts w:ascii="Times New Roman" w:hAnsi="Times New Roman" w:cs="Times New Roman"/>
                <w:lang w:val="en" w:eastAsia="de-DE"/>
              </w:rPr>
              <w:t>bsorption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.993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29.333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.748</w:t>
            </w:r>
          </w:p>
        </w:tc>
      </w:tr>
      <w:tr w:rsidR="002E4412" w:rsidRPr="002E4412" w:rsidTr="002E4412"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Engagement</w:t>
            </w: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_9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&lt;---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A</w:t>
            </w:r>
            <w:proofErr w:type="spellStart"/>
            <w:r w:rsidRPr="002E4412">
              <w:rPr>
                <w:rFonts w:ascii="Times New Roman" w:hAnsi="Times New Roman" w:cs="Times New Roman"/>
                <w:lang w:val="en" w:eastAsia="de-DE"/>
              </w:rPr>
              <w:t>bsorption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1.063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.040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26.781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***</w:t>
            </w:r>
          </w:p>
        </w:tc>
        <w:tc>
          <w:tcPr>
            <w:tcW w:w="868" w:type="dxa"/>
            <w:tcBorders>
              <w:bottom w:val="single" w:sz="4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2E4412" w:rsidRPr="002E4412" w:rsidRDefault="002E4412" w:rsidP="002E44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E4412">
              <w:rPr>
                <w:rFonts w:ascii="Times New Roman" w:eastAsia="Times New Roman" w:hAnsi="Times New Roman" w:cs="Times New Roman"/>
                <w:lang w:eastAsia="de-DE"/>
              </w:rPr>
              <w:t>.694</w:t>
            </w:r>
          </w:p>
        </w:tc>
      </w:tr>
    </w:tbl>
    <w:p w:rsidR="007B732A" w:rsidRPr="006E215B" w:rsidRDefault="006E215B" w:rsidP="002E4412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56F1BFB">
            <wp:simplePos x="0" y="0"/>
            <wp:positionH relativeFrom="column">
              <wp:posOffset>-13111</wp:posOffset>
            </wp:positionH>
            <wp:positionV relativeFrom="paragraph">
              <wp:posOffset>536582</wp:posOffset>
            </wp:positionV>
            <wp:extent cx="2879463" cy="3333868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25" t="15742" r="472" b="7672"/>
                    <a:stretch/>
                  </pic:blipFill>
                  <pic:spPr bwMode="auto">
                    <a:xfrm>
                      <a:off x="0" y="0"/>
                      <a:ext cx="2879463" cy="3333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15B">
        <w:rPr>
          <w:rFonts w:ascii="Times New Roman" w:hAnsi="Times New Roman" w:cs="Times New Roman"/>
          <w:lang w:val="en-US"/>
        </w:rPr>
        <w:t>Figure S1. Confirmatory Factor Analysis Re</w:t>
      </w:r>
      <w:r>
        <w:rPr>
          <w:rFonts w:ascii="Times New Roman" w:hAnsi="Times New Roman" w:cs="Times New Roman"/>
          <w:lang w:val="en-US"/>
        </w:rPr>
        <w:t>sults</w:t>
      </w:r>
      <w:bookmarkStart w:id="0" w:name="_GoBack"/>
      <w:bookmarkEnd w:id="0"/>
    </w:p>
    <w:sectPr w:rsidR="007B732A" w:rsidRPr="006E215B" w:rsidSect="002D67F3">
      <w:pgSz w:w="11906" w:h="16838" w:code="9"/>
      <w:pgMar w:top="1469" w:right="1417" w:bottom="1469" w:left="1469" w:header="720" w:footer="720" w:gutter="0"/>
      <w:paperSrc w:first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12"/>
    <w:rsid w:val="002D67F3"/>
    <w:rsid w:val="002E4412"/>
    <w:rsid w:val="006E215B"/>
    <w:rsid w:val="00731E54"/>
    <w:rsid w:val="009710D3"/>
    <w:rsid w:val="00F5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1A789F"/>
  <w15:chartTrackingRefBased/>
  <w15:docId w15:val="{C2079854-2D71-40E6-AE94-BE8EE6E6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8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26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1386</Characters>
  <Application>Microsoft Office Word</Application>
  <DocSecurity>0</DocSecurity>
  <Lines>106</Lines>
  <Paragraphs>90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FernUniversität in Hagen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Yaban Yalcin, Helin</dc:creator>
  <cp:keywords/>
  <dc:description/>
  <cp:lastModifiedBy>Yaban Yalcin, Helin</cp:lastModifiedBy>
  <cp:revision>1</cp:revision>
  <dcterms:created xsi:type="dcterms:W3CDTF">2025-04-25T10:29:00Z</dcterms:created>
  <dcterms:modified xsi:type="dcterms:W3CDTF">2025-04-25T11:09:00Z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5cd0b57f-c8ef-499a-b202-fc52d96ea809</vt:lpwstr>
  </property>
</Properties>
</file>