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2C70" w14:textId="58018DB7" w:rsidR="00853046" w:rsidRPr="007F6568" w:rsidRDefault="00853046" w:rsidP="00853046">
      <w:pPr>
        <w:pStyle w:val="Heading1"/>
        <w:spacing w:line="240" w:lineRule="auto"/>
        <w:rPr>
          <w:rFonts w:ascii="Times New Roman" w:hAnsi="Times New Roman" w:cs="Times New Roman"/>
          <w:sz w:val="28"/>
          <w:szCs w:val="28"/>
        </w:rPr>
      </w:pPr>
      <w:r w:rsidRPr="007F6568">
        <w:rPr>
          <w:rFonts w:ascii="Times New Roman" w:hAnsi="Times New Roman" w:cs="Times New Roman"/>
          <w:sz w:val="28"/>
          <w:szCs w:val="28"/>
        </w:rPr>
        <w:t xml:space="preserve">Supplementary </w:t>
      </w:r>
      <w:bookmarkStart w:id="0" w:name="_Hlk100270952"/>
      <w:r w:rsidRPr="007F6568">
        <w:rPr>
          <w:rFonts w:ascii="Times New Roman" w:hAnsi="Times New Roman" w:cs="Times New Roman"/>
          <w:sz w:val="28"/>
          <w:szCs w:val="28"/>
        </w:rPr>
        <w:t xml:space="preserve">Information </w:t>
      </w:r>
    </w:p>
    <w:bookmarkEnd w:id="0"/>
    <w:p w14:paraId="0D39AE8E" w14:textId="78EA3F12" w:rsidR="007F6568" w:rsidRPr="007F6568" w:rsidRDefault="00853046" w:rsidP="007F6568">
      <w:pPr>
        <w:pStyle w:val="Heading3"/>
        <w:spacing w:before="240" w:after="120" w:line="240" w:lineRule="auto"/>
        <w:rPr>
          <w:rFonts w:ascii="Times New Roman" w:hAnsi="Times New Roman" w:cs="Times New Roman"/>
          <w:b/>
          <w:bCs/>
          <w:i w:val="0"/>
          <w:iCs/>
          <w:szCs w:val="22"/>
        </w:rPr>
      </w:pPr>
      <w:r w:rsidRPr="007F6568">
        <w:rPr>
          <w:rFonts w:ascii="Times New Roman" w:hAnsi="Times New Roman" w:cs="Times New Roman"/>
          <w:b/>
          <w:bCs/>
          <w:i w:val="0"/>
          <w:iCs/>
          <w:szCs w:val="22"/>
        </w:rPr>
        <w:t xml:space="preserve">Mining Operations </w:t>
      </w:r>
    </w:p>
    <w:p w14:paraId="6540844D" w14:textId="77DB3C6F"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 xml:space="preserve">Mount Lyell copper mine is situated 2 km north of Queenstown, </w:t>
      </w:r>
      <w:r>
        <w:rPr>
          <w:rFonts w:ascii="Times New Roman" w:hAnsi="Times New Roman" w:cs="Times New Roman"/>
        </w:rPr>
        <w:t>w</w:t>
      </w:r>
      <w:r w:rsidRPr="00366648">
        <w:rPr>
          <w:rFonts w:ascii="Times New Roman" w:hAnsi="Times New Roman" w:cs="Times New Roman"/>
        </w:rPr>
        <w:t>estern Tasmania (</w:t>
      </w:r>
      <w:r w:rsidRPr="00366648">
        <w:rPr>
          <w:rFonts w:ascii="Times New Roman" w:hAnsi="Times New Roman" w:cs="Times New Roman"/>
        </w:rPr>
        <w:fldChar w:fldCharType="begin"/>
      </w:r>
      <w:r w:rsidRPr="00366648">
        <w:rPr>
          <w:rFonts w:ascii="Times New Roman" w:hAnsi="Times New Roman" w:cs="Times New Roman"/>
        </w:rPr>
        <w:instrText xml:space="preserve"> REF _Ref10473775 \h  \* MERGEFORMAT </w:instrText>
      </w:r>
      <w:r w:rsidRPr="00366648">
        <w:rPr>
          <w:rFonts w:ascii="Times New Roman" w:hAnsi="Times New Roman" w:cs="Times New Roman"/>
        </w:rPr>
      </w:r>
      <w:r w:rsidRPr="00366648">
        <w:rPr>
          <w:rFonts w:ascii="Times New Roman" w:hAnsi="Times New Roman" w:cs="Times New Roman"/>
        </w:rPr>
        <w:fldChar w:fldCharType="separate"/>
      </w:r>
      <w:r w:rsidRPr="00366648">
        <w:rPr>
          <w:rFonts w:ascii="Times New Roman" w:hAnsi="Times New Roman" w:cs="Times New Roman"/>
        </w:rPr>
        <w:t>Fig</w:t>
      </w:r>
      <w:r>
        <w:rPr>
          <w:rFonts w:ascii="Times New Roman" w:hAnsi="Times New Roman" w:cs="Times New Roman"/>
        </w:rPr>
        <w:t>.</w:t>
      </w:r>
      <w:r w:rsidRPr="00366648">
        <w:rPr>
          <w:rFonts w:ascii="Times New Roman" w:hAnsi="Times New Roman" w:cs="Times New Roman"/>
        </w:rPr>
        <w:t xml:space="preserve"> 1</w:t>
      </w:r>
      <w:r w:rsidRPr="00366648">
        <w:rPr>
          <w:rFonts w:ascii="Times New Roman" w:hAnsi="Times New Roman" w:cs="Times New Roman"/>
        </w:rPr>
        <w:fldChar w:fldCharType="end"/>
      </w:r>
      <w:r w:rsidRPr="00366648">
        <w:rPr>
          <w:rFonts w:ascii="Times New Roman" w:hAnsi="Times New Roman" w:cs="Times New Roman"/>
        </w:rPr>
        <w:t>). The high-grade, polymetallic deposit was established in 1893 and mined until 2014. The Mount Lyell Mining &amp; Railway Company (MLMRC) operated the mine from 1893 until 1994. During this phase, mining was conducted in 10 principal open cuts and underground mines (</w:t>
      </w:r>
      <w:proofErr w:type="gramStart"/>
      <w:r w:rsidRPr="007043C6">
        <w:rPr>
          <w:rFonts w:ascii="Times New Roman" w:hAnsi="Times New Roman" w:cs="Times New Roman"/>
        </w:rPr>
        <w:t>i.e.</w:t>
      </w:r>
      <w:proofErr w:type="gramEnd"/>
      <w:r w:rsidRPr="00366648">
        <w:rPr>
          <w:rFonts w:ascii="Times New Roman" w:hAnsi="Times New Roman" w:cs="Times New Roman"/>
          <w:i/>
          <w:iCs/>
        </w:rPr>
        <w:t xml:space="preserve"> </w:t>
      </w:r>
      <w:r w:rsidRPr="00366648">
        <w:rPr>
          <w:rFonts w:ascii="Times New Roman" w:hAnsi="Times New Roman" w:cs="Times New Roman"/>
        </w:rPr>
        <w:t>Mount Lyell (Iron Blow) and South Lyell, North Lyell, Royall Tharsis, Lyell Comstock, Crown Lyell and Twelve West, West Lyell open cut, Razorback, Cape Horn, Prince Lyell</w:t>
      </w:r>
      <w:r>
        <w:rPr>
          <w:rFonts w:ascii="Times New Roman" w:hAnsi="Times New Roman" w:cs="Times New Roman"/>
        </w:rPr>
        <w:t>,</w:t>
      </w:r>
      <w:r w:rsidRPr="00366648">
        <w:rPr>
          <w:rFonts w:ascii="Times New Roman" w:hAnsi="Times New Roman" w:cs="Times New Roman"/>
        </w:rPr>
        <w:t xml:space="preserve"> and Lyell Tharsis)</w:t>
      </w:r>
      <w:r>
        <w:rPr>
          <w:rFonts w:ascii="Times New Roman" w:hAnsi="Times New Roman" w:cs="Times New Roman"/>
        </w:rPr>
        <w:t>,</w:t>
      </w:r>
      <w:r w:rsidRPr="00366648">
        <w:rPr>
          <w:rFonts w:ascii="Times New Roman" w:hAnsi="Times New Roman" w:cs="Times New Roman"/>
        </w:rPr>
        <w:t xml:space="preserve"> accounting for an area of approximately 13 km</w:t>
      </w:r>
      <w:r w:rsidRPr="00366648">
        <w:rPr>
          <w:rFonts w:ascii="Times New Roman" w:hAnsi="Times New Roman" w:cs="Times New Roman"/>
          <w:vertAlign w:val="superscript"/>
        </w:rPr>
        <w:t>2</w:t>
      </w:r>
      <w:r w:rsidRPr="00366648">
        <w:rPr>
          <w:rFonts w:ascii="Times New Roman" w:hAnsi="Times New Roman" w:cs="Times New Roman"/>
        </w:rPr>
        <w:t xml:space="preserve">. West Lyell was the largest open cut among them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&lt;EndNote&gt;&lt;Cite&gt;&lt;Author&gt;McQuade&lt;/Author&gt;&lt;Year&gt;1995&lt;/Year&gt;&lt;RecNum&gt;333&lt;/RecNum&gt;&lt;DisplayText&gt;(McQuade et al., 1995)&lt;/DisplayText&gt;&lt;record&gt;&lt;rec-number&gt;333&lt;/rec-number&gt;&lt;foreign-keys&gt;&lt;key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(McQuade et al., 1995)</w:t>
      </w:r>
      <w:r w:rsidRPr="00366648">
        <w:rPr>
          <w:rFonts w:ascii="Times New Roman" w:hAnsi="Times New Roman" w:cs="Times New Roman"/>
        </w:rPr>
        <w:fldChar w:fldCharType="end"/>
      </w:r>
      <w:r w:rsidRPr="00366648">
        <w:rPr>
          <w:rFonts w:ascii="Times New Roman" w:hAnsi="Times New Roman" w:cs="Times New Roman"/>
        </w:rPr>
        <w:t xml:space="preserve">. In 1995, Mount Lyell was acquired by Gold Mines of Australia, which was later renamed Copper Mines of Tasmania (CMT) and taken over by Sterlite Industries in 1999. In 2014, CMT was placed on care and maintenance and has remained so to date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&lt;EndNote&gt;&lt;Cite&gt;&lt;Author&gt;Australian Broadcasting Corporation&lt;/Author&gt;&lt;Year&gt;2014&lt;/Year&gt;&lt;RecNum&gt;561&lt;/RecNum&gt;&lt;DisplayText&gt;(Australian Broadcasting Corporation, 2014)&lt;/DisplayText&gt;&lt;record&gt;&lt;rec-number&gt;561&lt;/rec-number&gt;&lt;foreign-keys&gt;&lt;key app="EN" db-id="wfv0ff2zhvveeiepdtr5fpxcf2d9szdw0spe" timestamp="1618510576"&gt;561&lt;/key&gt;&lt;/foreign-keys&gt;&lt;ref-type name="Web Page"&gt;12&lt;/ref-type&gt;&lt;contributors&gt;&lt;authors&gt;&lt;author&gt;Australian Broadcasting Corporation,&lt;/author&gt;&lt;/authors&gt;&lt;/contributors&gt;&lt;titles&gt;&lt;title&gt;Mount Lyell copper mine: Look back at key dates in the history of Australia&amp;apos;s oldest mining field&lt;/title&gt;&lt;/titles&gt;&lt;volume&gt;2021&lt;/volume&gt;&lt;number&gt;16 April&lt;/number&gt;&lt;dates&gt;&lt;year&gt;2014&lt;/year&gt;&lt;pub-dates&gt;&lt;date&gt;9 July 2014 &lt;/date&gt;&lt;/pub-dates&gt;&lt;/dates&gt;&lt;urls&gt;&lt;related-urls&gt;&lt;url&gt;https://www.abc.net.au/news/2014-07-09/mount-lyell-timeline/5581684&lt;/url&gt;&lt;/related-urls&gt;&lt;/urls&gt;&lt;/record&gt;&lt;/Cite&gt;&lt;/EndNote&gt;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(Australian Broadcasting Corporation, 2014)</w:t>
      </w:r>
      <w:r w:rsidRPr="00366648">
        <w:rPr>
          <w:rFonts w:ascii="Times New Roman" w:hAnsi="Times New Roman" w:cs="Times New Roman"/>
        </w:rPr>
        <w:fldChar w:fldCharType="end"/>
      </w:r>
      <w:r w:rsidRPr="00366648">
        <w:rPr>
          <w:rFonts w:ascii="Times New Roman" w:hAnsi="Times New Roman" w:cs="Times New Roman"/>
        </w:rPr>
        <w:t>. Nonetheless</w:t>
      </w:r>
      <w:r>
        <w:rPr>
          <w:rFonts w:ascii="Times New Roman" w:hAnsi="Times New Roman" w:cs="Times New Roman"/>
        </w:rPr>
        <w:t>,</w:t>
      </w:r>
      <w:r w:rsidRPr="00366648">
        <w:rPr>
          <w:rFonts w:ascii="Times New Roman" w:hAnsi="Times New Roman" w:cs="Times New Roman"/>
        </w:rPr>
        <w:t xml:space="preserve"> mine dewatering continues. </w:t>
      </w:r>
    </w:p>
    <w:p w14:paraId="77206EBD" w14:textId="219C126A"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Total production for the field is 1.9 Mt Cu, 1.9 M Oz Au, 28 M Oz Ag from 150 Mt ore (source mine records, 2022). From 1916</w:t>
      </w:r>
      <w:r>
        <w:rPr>
          <w:rFonts w:ascii="Times New Roman" w:hAnsi="Times New Roman" w:cs="Times New Roman"/>
        </w:rPr>
        <w:t>,</w:t>
      </w:r>
      <w:r w:rsidRPr="00366648">
        <w:rPr>
          <w:rFonts w:ascii="Times New Roman" w:hAnsi="Times New Roman" w:cs="Times New Roman"/>
        </w:rPr>
        <w:t xml:space="preserve"> the mine operation involved a concentration process that included grinding and chemical flotation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t>.</w:t>
      </w:r>
    </w:p>
    <w:p w14:paraId="324530A9" w14:textId="42F6D409" w:rsidR="00853046" w:rsidRPr="007F6568" w:rsidRDefault="00853046" w:rsidP="007F6568">
      <w:pPr>
        <w:pStyle w:val="Heading3"/>
        <w:spacing w:before="240" w:after="120" w:line="240" w:lineRule="auto"/>
        <w:rPr>
          <w:rFonts w:ascii="Times New Roman" w:hAnsi="Times New Roman" w:cs="Times New Roman"/>
          <w:b/>
          <w:bCs/>
          <w:i w:val="0"/>
          <w:iCs/>
          <w:szCs w:val="22"/>
        </w:rPr>
      </w:pPr>
      <w:r w:rsidRPr="007F6568">
        <w:rPr>
          <w:rFonts w:ascii="Times New Roman" w:hAnsi="Times New Roman" w:cs="Times New Roman"/>
          <w:b/>
          <w:bCs/>
          <w:i w:val="0"/>
          <w:iCs/>
          <w:szCs w:val="22"/>
        </w:rPr>
        <w:t xml:space="preserve">Geology and Mineralisation </w:t>
      </w:r>
    </w:p>
    <w:p w14:paraId="2368A1BB" w14:textId="28FBCA3E" w:rsidR="00853046" w:rsidRPr="00366648" w:rsidRDefault="00853046" w:rsidP="00853046">
      <w:pPr>
        <w:pStyle w:val="Paraotexto"/>
        <w:spacing w:before="0" w:line="240" w:lineRule="auto"/>
        <w:ind w:right="0" w:firstLine="432"/>
        <w:rPr>
          <w:rFonts w:ascii="Times New Roman" w:hAnsi="Times New Roman" w:cs="Times New Roman"/>
        </w:rPr>
      </w:pPr>
      <w:r w:rsidRPr="00366648">
        <w:rPr>
          <w:rFonts w:ascii="Times New Roman" w:hAnsi="Times New Roman" w:cs="Times New Roman"/>
        </w:rPr>
        <w:t xml:space="preserve">The Mount Lyell region hosts the largest Cu deposits in the Cambrian Mt Read </w:t>
      </w:r>
      <w:r>
        <w:rPr>
          <w:rFonts w:ascii="Times New Roman" w:hAnsi="Times New Roman" w:cs="Times New Roman"/>
        </w:rPr>
        <w:t>v</w:t>
      </w:r>
      <w:r w:rsidRPr="00366648">
        <w:rPr>
          <w:rFonts w:ascii="Times New Roman" w:hAnsi="Times New Roman" w:cs="Times New Roman"/>
        </w:rPr>
        <w:t xml:space="preserve">olcanic belt, and is considered to be a subsurface replacement style VHMS system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&lt;EndNote&gt;&lt;Cite&gt;&lt;Author&gt;Corbett&lt;/Author&gt;&lt;Year&gt;2001&lt;/Year&gt;&lt;RecNum&gt;495&lt;/RecNum&gt;&lt;Prefix&gt;Supplementary Figure 1`; &lt;/Prefix&gt;&lt;DisplayText&gt;(Supplementary Figure 1; Keith Douglas Corbett, 2001)&lt;/DisplayText&gt;&lt;record&gt;&lt;rec-number&gt;495&lt;/rec-number&gt;&lt;foreign-keys&gt;&lt;key app="EN" db-id="wfv0ff2zhvveeiepdtr5fpxcf2d9szdw0spe" timestamp="1602641420"&gt;495&lt;/key&gt;&lt;/foreign-keys&gt;&lt;ref-type name="Thesis"&gt;32&lt;/ref-type&gt;&lt;contributors&gt;&lt;authors&gt;&lt;author&gt;Corbett, Keith Douglas&lt;/author&gt;&lt;/authors&gt;&lt;/contributors&gt;&lt;titles&gt;&lt;title&gt;The geology of the Mount Lyell mines area, Tasmania: a re-interpretation based on studies at Lyell Comstock, North Lyell and the Iron Blow area. Research master thesis, University of Tasmania &lt;/title&gt;&lt;/titles&gt;&lt;pages&gt;72&lt;/pages&gt;&lt;dates&gt;&lt;year&gt;2001&lt;/year&gt;&lt;/dates&gt;&lt;urls&gt;&lt;/urls&gt;&lt;/record&gt;&lt;/Cite&gt;&lt;/EndNote&gt;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(Supplementary Figure 1; Keith Douglas Corbett, 2001)</w:t>
      </w:r>
      <w:r w:rsidRPr="00366648">
        <w:rPr>
          <w:rFonts w:ascii="Times New Roman" w:hAnsi="Times New Roman" w:cs="Times New Roman"/>
        </w:rPr>
        <w:fldChar w:fldCharType="end"/>
      </w:r>
      <w:r w:rsidRPr="00366648">
        <w:rPr>
          <w:rFonts w:ascii="Times New Roman" w:hAnsi="Times New Roman" w:cs="Times New Roman"/>
        </w:rPr>
        <w:t xml:space="preserve">. The most economically important ore deposits in the Mount Lyell field are disseminated chalcopyrite-pyrite orebodies with alteration assemblages dominated by quartz-sericite or quartz-chlorite-sericite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&lt;EndNote&gt;&lt;Cite&gt;&lt;Author&gt;Walshe&lt;/Author&gt;&lt;Year&gt;1981&lt;/Year&gt;&lt;RecNum&gt;381&lt;/RecNum&gt;&lt;Prefix&gt;i.e.`, Prince Lyell`, Cape Horn`, Lyell Comstock in part`, and Western Tharsis`; &lt;/Prefix&gt;&lt;DisplayText&gt;(i.e., Prince Lyell, Cape Horn, Lyell Comstock in part, and Western Tharsis; Walshe and Solomon, 1981)&lt;/DisplayText&gt;&lt;record&gt;&lt;rec-number&gt;381&lt;/rec-number&gt;&lt;foreign-keys&gt;&lt;key app="EN" db-id="wfv0ff2zhvveeiepdtr5fpxcf2d9szdw0spe" timestamp="1559709054"&gt;381&lt;/key&gt;&lt;/foreign-keys&gt;&lt;ref-type name="Journal Article"&gt;17&lt;/ref-type&gt;&lt;contributors&gt;&lt;authors&gt;&lt;author&gt;Walshe, JL&lt;/author&gt;&lt;author&gt;Solomon, Michael&lt;/author&gt;&lt;/authors&gt;&lt;/contributors&gt;&lt;titles&gt;&lt;title&gt;An investigation into the environment of formation of the volcanic-hosted Mt. Lyell copper deposits using geology, mineralogy, stable isotopes, and a six-component chlorite solid solution model&lt;/title&gt;&lt;secondary-title&gt;Economic Geology&lt;/secondary-title&gt;&lt;/titles&gt;&lt;periodical&gt;&lt;full-title&gt;Economic Geology&lt;/full-title&gt;&lt;/periodical&gt;&lt;pages&gt;246-284&lt;/pages&gt;&lt;volume&gt;76&lt;/volume&gt;&lt;number&gt;2&lt;/number&gt;&lt;dates&gt;&lt;year&gt;1981&lt;/year&gt;&lt;/dates&gt;&lt;isbn&gt;1554-0774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(i.e., Prince Lyell, Cape Horn, Lyell Comstock in part, and Western Tharsis; Walshe and Solomon, 1981)</w:t>
      </w:r>
      <w:r w:rsidRPr="00366648">
        <w:rPr>
          <w:rFonts w:ascii="Times New Roman" w:hAnsi="Times New Roman" w:cs="Times New Roman"/>
        </w:rPr>
        <w:fldChar w:fldCharType="end"/>
      </w:r>
      <w:r w:rsidRPr="00366648">
        <w:rPr>
          <w:rFonts w:ascii="Times New Roman" w:hAnsi="Times New Roman" w:cs="Times New Roman"/>
        </w:rPr>
        <w:t xml:space="preserve">. The first deposit mined, Iron Blow, consisted mostly of massive pyrite-chalcopyrite. There are also small lenses of polymetallic pyritic sphalerite-galena rich massive sulfide in the Lyell Comstock area at the northern end of the field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&lt;EndNote&gt;&lt;Cite&gt;&lt;Author&gt;Seymour&lt;/Author&gt;&lt;Year&gt;2006&lt;/Year&gt;&lt;RecNum&gt;386&lt;/RecNum&gt;&lt;DisplayText&gt;(Seymour et al., 2006)&lt;/DisplayText&gt;&lt;record&gt;&lt;rec-number&gt;386&lt;/rec-number&gt;&lt;foreign-keys&gt;&lt;key app="EN" db-id="wfv0ff2zhvveeiepdtr5fpxcf2d9szdw0spe" timestamp="1559710180"&gt;386&lt;/key&gt;&lt;/foreign-keys&gt;&lt;ref-type name="Book"&gt;6&lt;/ref-type&gt;&lt;contributors&gt;&lt;authors&gt;&lt;author&gt;Seymour, DB&lt;/author&gt;&lt;author&gt;Green, GR&lt;/author&gt;&lt;author&gt;Calver, CR&lt;/author&gt;&lt;/authors&gt;&lt;/contributors&gt;&lt;titles&gt;&lt;title&gt;The geology and mineral deposits of Tasmania: a summary&lt;/title&gt;&lt;/titles&gt;&lt;pages&gt;32&lt;/pages&gt;&lt;volume&gt;72&lt;/volume&gt;&lt;edition&gt;2&lt;/edition&gt;&lt;dates&gt;&lt;year&gt;2006&lt;/year&gt;&lt;/dates&gt;&lt;publisher&gt;Tasmanian Department of Infrastructure, Energy and Resources&lt;/publisher&gt;&lt;urls&gt;&lt;/urls&gt;&lt;/record&gt;&lt;/Cite&gt;&lt;/EndNote&gt;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(Seymour et al., 2006)</w:t>
      </w:r>
      <w:r w:rsidRPr="00366648">
        <w:rPr>
          <w:rFonts w:ascii="Times New Roman" w:hAnsi="Times New Roman" w:cs="Times New Roman"/>
        </w:rPr>
        <w:fldChar w:fldCharType="end"/>
      </w:r>
      <w:r w:rsidRPr="00366648">
        <w:rPr>
          <w:rFonts w:ascii="Times New Roman" w:hAnsi="Times New Roman" w:cs="Times New Roman"/>
        </w:rPr>
        <w:t xml:space="preserve">. The </w:t>
      </w:r>
      <w:r>
        <w:rPr>
          <w:rFonts w:ascii="Times New Roman" w:hAnsi="Times New Roman" w:cs="Times New Roman"/>
        </w:rPr>
        <w:t>w</w:t>
      </w:r>
      <w:r w:rsidRPr="00366648">
        <w:rPr>
          <w:rFonts w:ascii="Times New Roman" w:hAnsi="Times New Roman" w:cs="Times New Roman"/>
        </w:rPr>
        <w:t xml:space="preserve">estern Tharsis deposit consists of concentrically and vertically zoned alteration assemblages centred on the mineralisation, with a lower and central quartz-chlorite-sericite zone passing upward and outward in turn into pyritic quartz-pyrophyllite ± topaz ± fluorite ± zunyite ± </w:t>
      </w:r>
      <w:proofErr w:type="spellStart"/>
      <w:r w:rsidRPr="00366648">
        <w:rPr>
          <w:rFonts w:ascii="Times New Roman" w:hAnsi="Times New Roman" w:cs="Times New Roman"/>
        </w:rPr>
        <w:t>woodhouseite</w:t>
      </w:r>
      <w:proofErr w:type="spellEnd"/>
      <w:r w:rsidRPr="00366648">
        <w:rPr>
          <w:rFonts w:ascii="Times New Roman" w:hAnsi="Times New Roman" w:cs="Times New Roman"/>
        </w:rPr>
        <w:t xml:space="preserve"> with local bornite-bearing zones and a pyritic quartz-sericite assemblage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&lt;EndNote&gt;&lt;Cite&gt;&lt;Author&gt;Huston&lt;/Author&gt;&lt;Year&gt;2001&lt;/Year&gt;&lt;RecNum&gt;382&lt;/RecNum&gt;&lt;DisplayText&gt;(Huston and Kamprad, 2001)&lt;/DisplayText&gt;&lt;record&gt;&lt;rec-number&gt;382&lt;/rec-number&gt;&lt;foreign-keys&gt;&lt;key app="EN" db-id="wfv0ff2zhvveeiepdtr5fpxcf2d9szdw0spe" timestamp="1559709129"&gt;382&lt;/key&gt;&lt;/foreign-keys&gt;&lt;ref-type name="Journal Article"&gt;17&lt;/ref-type&gt;&lt;contributors&gt;&lt;authors&gt;&lt;author&gt;Huston, David L&lt;/author&gt;&lt;author&gt;Kamprad, Julienne&lt;/author&gt;&lt;/authors&gt;&lt;/contributors&gt;&lt;titles&gt;&lt;title&gt;Zonation of alteration facies at Western Tharsis: implications for the genesis of Cu-Au deposits, Mount Lyell field, Western Tasmania&lt;/title&gt;&lt;secondary-title&gt;Economic Geology&lt;/secondary-title&gt;&lt;/titles&gt;&lt;periodical&gt;&lt;full-title&gt;Economic Geology&lt;/full-title&gt;&lt;/periodical&gt;&lt;pages&gt;1123-1132&lt;/pages&gt;&lt;volume&gt;96&lt;/volume&gt;&lt;number&gt;5&lt;/number&gt;&lt;dates&gt;&lt;year&gt;2001&lt;/year&gt;&lt;/dates&gt;&lt;isbn&gt;1554-0774&lt;/isbn&gt;&lt;urls&gt;&lt;/urls&gt;&lt;electronic-resource-num&gt;https://doi.org/10.2113/gsecongeo.96.5.1123&lt;/electronic-resource-num&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(Huston and Kamprad, 2001)</w:t>
      </w:r>
      <w:r w:rsidRPr="00366648">
        <w:rPr>
          <w:rFonts w:ascii="Times New Roman" w:hAnsi="Times New Roman" w:cs="Times New Roman"/>
        </w:rPr>
        <w:fldChar w:fldCharType="end"/>
      </w:r>
      <w:r w:rsidRPr="00366648">
        <w:rPr>
          <w:rFonts w:ascii="Times New Roman" w:hAnsi="Times New Roman" w:cs="Times New Roman"/>
        </w:rPr>
        <w:t xml:space="preserve">. </w:t>
      </w:r>
    </w:p>
    <w:p w14:paraId="001150B7" w14:textId="1AA63EF8"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 xml:space="preserve">The highest-grade ores are in the North Lyell area and consist of coarse-grained bornite with chalcopyrite and minor pyrite in brecciated chert ± pyrophyllite ± barite ± hematite or quartz-sericite schist at or near the contact between the altered Central Volcanic Complex (CVC) and the Owen Conglomerate, which may be locally </w:t>
      </w:r>
      <w:proofErr w:type="spellStart"/>
      <w:r w:rsidRPr="00366648">
        <w:rPr>
          <w:rFonts w:ascii="Times New Roman" w:hAnsi="Times New Roman" w:cs="Times New Roman"/>
        </w:rPr>
        <w:t>hemati</w:t>
      </w:r>
      <w:r>
        <w:rPr>
          <w:rFonts w:ascii="Times New Roman" w:hAnsi="Times New Roman" w:cs="Times New Roman"/>
        </w:rPr>
        <w:t>z</w:t>
      </w:r>
      <w:r w:rsidRPr="00366648">
        <w:rPr>
          <w:rFonts w:ascii="Times New Roman" w:hAnsi="Times New Roman" w:cs="Times New Roman"/>
        </w:rPr>
        <w:t>ed</w:t>
      </w:r>
      <w:proofErr w:type="spellEnd"/>
      <w:r w:rsidRPr="00366648">
        <w:rPr>
          <w:rFonts w:ascii="Times New Roman" w:hAnsi="Times New Roman" w:cs="Times New Roman"/>
        </w:rPr>
        <w:t xml:space="preserv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&lt;EndNote&gt;&lt;Cite&gt;&lt;Author&gt;Seymour&lt;/Author&gt;&lt;Year&gt;2006&lt;/Year&gt;&lt;RecNum&gt;386&lt;/RecNum&gt;&lt;DisplayText&gt;(Seymour et al., 2006)&lt;/DisplayText&gt;&lt;record&gt;&lt;rec-number&gt;386&lt;/rec-number&gt;&lt;foreign-keys&gt;&lt;key app="EN" db-id="wfv0ff2zhvveeiepdtr5fpxcf2d9szdw0spe" timestamp="1559710180"&gt;386&lt;/key&gt;&lt;/foreign-keys&gt;&lt;ref-type name="Book"&gt;6&lt;/ref-type&gt;&lt;contributors&gt;&lt;authors&gt;&lt;author&gt;Seymour, DB&lt;/author&gt;&lt;author&gt;Green, GR&lt;/author&gt;&lt;author&gt;Calver, CR&lt;/author&gt;&lt;/authors&gt;&lt;/contributors&gt;&lt;titles&gt;&lt;title&gt;The geology and mineral deposits of Tasmania: a summary&lt;/title&gt;&lt;/titles&gt;&lt;pages&gt;32&lt;/pages&gt;&lt;volume&gt;72&lt;/volume&gt;&lt;edition&gt;2&lt;/edition&gt;&lt;dates&gt;&lt;year&gt;2006&lt;/year&gt;&lt;/dates&gt;&lt;publisher&gt;Tasmanian Department of Infrastructure, Energy and Resources&lt;/publisher&gt;&lt;urls&gt;&lt;/urls&gt;&lt;/record&gt;&lt;/Cite&gt;&lt;/EndNote&gt;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(Seymour et al., 2006)</w:t>
      </w:r>
      <w:r w:rsidRPr="00366648">
        <w:rPr>
          <w:rFonts w:ascii="Times New Roman" w:hAnsi="Times New Roman" w:cs="Times New Roman"/>
        </w:rPr>
        <w:fldChar w:fldCharType="end"/>
      </w:r>
      <w:r w:rsidRPr="00366648">
        <w:rPr>
          <w:rFonts w:ascii="Times New Roman" w:hAnsi="Times New Roman" w:cs="Times New Roman"/>
        </w:rPr>
        <w:t xml:space="preserve">. Mineralisation of the Mount Lyell region is complex and drivers are debated in the literature. </w:t>
      </w:r>
      <w:r w:rsidRPr="00366648">
        <w:rPr>
          <w:rFonts w:ascii="Times New Roman" w:hAnsi="Times New Roman" w:cs="Times New Roman"/>
        </w:rPr>
        <w:fldChar w:fldCharType="begin"/>
      </w:r>
      <w:r w:rsidRPr="00366648">
        <w:rPr>
          <w:rFonts w:ascii="Times New Roman" w:hAnsi="Times New Roman" w:cs="Times New Roman"/>
        </w:rPr>
        <w:instrText xml:space="preserve"> ADDIN EN.CITE &lt;EndNote&gt;&lt;Cite AuthorYear="1"&gt;&lt;Author&gt;Solomon&lt;/Author&gt;&lt;Year&gt;1987&lt;/Year&gt;&lt;RecNum&gt;384&lt;/RecNum&gt;&lt;DisplayText&gt;Solomon et al. (1987)&lt;/DisplayText&gt;&lt;record&gt;&lt;rec-number&gt;384&lt;/rec-number&gt;&lt;foreign-keys&gt;&lt;key app="EN" db-id="wfv0ff2zhvveeiepdtr5fpxcf2d9szdw0spe" timestamp="1559709798"&gt;384&lt;/key&gt;&lt;/foreign-keys&gt;&lt;ref-type name="Journal Article"&gt;17&lt;/ref-type&gt;&lt;contributors&gt;&lt;authors&gt;&lt;author&gt;Solomon, M&lt;/author&gt;&lt;author&gt;Vokes, FM&lt;/author&gt;&lt;author&gt;Walshe, JL&lt;/author&gt;&lt;/authors&gt;&lt;/contributors&gt;&lt;titles&gt;&lt;title&gt;Chemical remobilization of volcanic-hosted sulphide deposits at Rosebery and Mt. Lyell, Tasmania&lt;/title&gt;&lt;secondary-title&gt;Ore Geology Reviews&lt;/secondary-title&gt;&lt;/titles&gt;&lt;periodical&gt;&lt;full-title&gt;Ore Geology Reviews&lt;/full-title&gt;&lt;/periodical&gt;&lt;pages&gt;173-190&lt;/pages&gt;&lt;volume&gt;2&lt;/volume&gt;&lt;number&gt;1-3&lt;/number&gt;&lt;dates&gt;&lt;year&gt;1987&lt;/year&gt;&lt;/dates&gt;&lt;isbn&gt;0169-1368&lt;/isbn&gt;&lt;urls&gt;&lt;/urls&gt;&lt;electronic-resource-num&gt;https://doi.org/10.1016/0169-1368(87)90027-8&lt;/electronic-resource-num&gt;&lt;/record&gt;&lt;/Cite&gt;&lt;/EndNote&gt;</w:instrText>
      </w:r>
      <w:r w:rsidRPr="00366648">
        <w:rPr>
          <w:rFonts w:ascii="Times New Roman" w:hAnsi="Times New Roman" w:cs="Times New Roman"/>
        </w:rPr>
        <w:fldChar w:fldCharType="separate"/>
      </w:r>
      <w:r w:rsidRPr="00366648">
        <w:rPr>
          <w:rFonts w:ascii="Times New Roman" w:hAnsi="Times New Roman" w:cs="Times New Roman"/>
          <w:noProof/>
        </w:rPr>
        <w:t>Solomon et al. (1987)</w:t>
      </w:r>
      <w:r w:rsidRPr="00366648">
        <w:rPr>
          <w:rFonts w:ascii="Times New Roman" w:hAnsi="Times New Roman" w:cs="Times New Roman"/>
        </w:rPr>
        <w:fldChar w:fldCharType="end"/>
      </w:r>
      <w:r w:rsidRPr="00366648">
        <w:rPr>
          <w:rFonts w:ascii="Times New Roman" w:hAnsi="Times New Roman" w:cs="Times New Roman"/>
        </w:rPr>
        <w:t xml:space="preserve"> suggested that these high-grade ores may have formed during Devonian deformation by mixing of metamorphic fluids from volcanic rocks and conglomerate. Others have proposed that the ores of the field formed in the Cambrian</w:t>
      </w:r>
      <w:r>
        <w:rPr>
          <w:rFonts w:ascii="Times New Roman" w:hAnsi="Times New Roman" w:cs="Times New Roman"/>
        </w:rPr>
        <w:t>,</w:t>
      </w:r>
      <w:r w:rsidRPr="00366648">
        <w:rPr>
          <w:rFonts w:ascii="Times New Roman" w:hAnsi="Times New Roman" w:cs="Times New Roman"/>
        </w:rPr>
        <w:t xml:space="preserve"> synchronous with volcanism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&lt;EndNote&gt;&lt;Cite&gt;&lt;Author&gt;Corbett&lt;/Author&gt;&lt;Year&gt;2001&lt;/Year&gt;&lt;RecNum&gt;238&lt;/RecNum&gt;&lt;DisplayText&gt;(K. D. Corbett, 2001; Huston and Kamprad, 2001)&lt;/DisplayText&gt;&lt;record&gt;&lt;rec-number&gt;238&lt;/rec-number&gt;&lt;foreign-keys&gt;&lt;key app="EN" db-id="wfv0ff2zhvveeiepdtr5fpxcf2d9szdw0spe" timestamp="1541721367"&gt;238&lt;/key&gt;&lt;/foreign-keys&gt;&lt;ref-type name="Journal Article"&gt;17&lt;/ref-type&gt;&lt;contributors&gt;&lt;authors&gt;&lt;author&gt;Corbett, K. D.&lt;/author&gt;&lt;/authors&gt;&lt;/contributors&gt;&lt;titles&gt;&lt;title&gt;New mapping and interpretations of the Mount Lyell mining district, Tasmania: A large hybrid Cu-Au system with an exhalative Pb-Zn top&lt;/title&gt;&lt;secondary-title&gt;Economic Geology&lt;/secondary-title&gt;&lt;/titles&gt;&lt;periodical&gt;&lt;full-title&gt;Economic Geology&lt;/full-title&gt;&lt;/periodical&gt;&lt;pages&gt;1089-1122, 1554-0774&lt;/pages&gt;&lt;volume&gt;96&lt;/volume&gt;&lt;number&gt;5&lt;/number&gt;&lt;dates&gt;&lt;year&gt;2001&lt;/year&gt;&lt;/dates&gt;&lt;urls&gt;&lt;/urls&gt;&lt;electronic-resource-num&gt;https://doi.org/10.2113/gsecongeo.96.5.1089&lt;/electronic-resource-num&gt;&lt;/record&gt;&lt;/Cite&gt;&lt;Cite&gt;&lt;Author&gt;Huston&lt;/Author&gt;&lt;Year&gt;2001&lt;/Year&gt;&lt;RecNum&gt;382&lt;/RecNum&gt;&lt;record&gt;&lt;rec-number&gt;382&lt;/rec-number&gt;&lt;foreign-keys&gt;&lt;key app="EN" db-id="wfv0ff2zhvveeiepdtr5fpxcf2d9szdw0spe" timestamp="1559709129"&gt;382&lt;/key&gt;&lt;/foreign-keys&gt;&lt;ref-type name="Journal Article"&gt;17&lt;/ref-type&gt;&lt;contributors&gt;&lt;authors&gt;&lt;author&gt;Huston, David L&lt;/author&gt;&lt;author&gt;Kamprad, Julienne&lt;/author&gt;&lt;/authors&gt;&lt;/contributors&gt;&lt;titles&gt;&lt;title&gt;Zonation of alteration facies at Western Tharsis: implications for the genesis of Cu-Au deposits, Mount Lyell field, Western Tasmania&lt;/title&gt;&lt;secondary-title&gt;Economic Geology&lt;/secondary-title&gt;&lt;/titles&gt;&lt;periodical&gt;&lt;full-title&gt;Economic Geology&lt;/full-title&gt;&lt;/periodical&gt;&lt;pages&gt;1123-1132&lt;/pages&gt;&lt;volume&gt;96&lt;/volume&gt;&lt;number&gt;5&lt;/number&gt;&lt;dates&gt;&lt;year&gt;2001&lt;/year&gt;&lt;/dates&gt;&lt;isbn&gt;1554-0774&lt;/isbn&gt;&lt;urls&gt;&lt;/urls&gt;&lt;electronic-resource-num&gt;https://doi.org/10.2113/gsecongeo.96.5.1123&lt;/electronic-resource-num&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(K. D. Corbett, 2001; Huston and Kamprad, 2001)</w:t>
      </w:r>
      <w:r w:rsidRPr="00366648">
        <w:rPr>
          <w:rFonts w:ascii="Times New Roman" w:hAnsi="Times New Roman" w:cs="Times New Roman"/>
        </w:rPr>
        <w:fldChar w:fldCharType="end"/>
      </w:r>
      <w:r w:rsidRPr="00366648">
        <w:rPr>
          <w:rFonts w:ascii="Times New Roman" w:hAnsi="Times New Roman" w:cs="Times New Roman"/>
        </w:rPr>
        <w:t xml:space="preserve">. </w:t>
      </w:r>
    </w:p>
    <w:p w14:paraId="33521E6D" w14:textId="74066285" w:rsidR="00853046" w:rsidRPr="007F6568" w:rsidRDefault="00853046" w:rsidP="007F6568">
      <w:pPr>
        <w:pStyle w:val="Heading3"/>
        <w:spacing w:before="240" w:after="120" w:line="240" w:lineRule="auto"/>
        <w:rPr>
          <w:rFonts w:ascii="Times New Roman" w:hAnsi="Times New Roman" w:cs="Times New Roman"/>
          <w:b/>
          <w:bCs/>
          <w:i w:val="0"/>
          <w:iCs/>
          <w:szCs w:val="22"/>
        </w:rPr>
      </w:pPr>
      <w:r w:rsidRPr="007F6568">
        <w:rPr>
          <w:rFonts w:ascii="Times New Roman" w:hAnsi="Times New Roman" w:cs="Times New Roman"/>
          <w:b/>
          <w:bCs/>
          <w:i w:val="0"/>
          <w:iCs/>
          <w:szCs w:val="22"/>
        </w:rPr>
        <w:t xml:space="preserve">Waste Characteristics </w:t>
      </w:r>
    </w:p>
    <w:p w14:paraId="7065F9F0" w14:textId="6F281443"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 xml:space="preserve">The waste material discharged in the Queen River includes 95 Mt of </w:t>
      </w:r>
      <w:bookmarkStart w:id="1" w:name="_Hlk101322570"/>
      <w:r w:rsidRPr="00366648">
        <w:rPr>
          <w:rFonts w:ascii="Times New Roman" w:hAnsi="Times New Roman" w:cs="Times New Roman"/>
        </w:rPr>
        <w:t xml:space="preserve">tailings, 10 Mt of topsoil, 1.4 Mt of smelter slag and runoff from waste rock </w:t>
      </w:r>
      <w:bookmarkEnd w:id="1"/>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&lt;EndNote&gt;&lt;Cite&gt;&lt;Author&gt;Locher&lt;/Author&gt;&lt;Year&gt;1997&lt;/Year&gt;&lt;RecNum&gt;233&lt;/RecNum&gt;&lt;IDText&gt;Sediment transport in the King River, Tasmania. Mount Lyell Remediation Research and Demonstration Program. Supervising Scientist Report 120. &lt;/IDText&gt;&lt;DisplayText&gt;(Locher,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t xml:space="preserve">. In addition, the high rainfall of the region together with surface and underground waters percolating over </w:t>
      </w:r>
      <w:r>
        <w:rPr>
          <w:rFonts w:ascii="Times New Roman" w:hAnsi="Times New Roman" w:cs="Times New Roman"/>
        </w:rPr>
        <w:t xml:space="preserve">the </w:t>
      </w:r>
      <w:r w:rsidRPr="00366648">
        <w:rPr>
          <w:rFonts w:ascii="Times New Roman" w:hAnsi="Times New Roman" w:cs="Times New Roman"/>
        </w:rPr>
        <w:t xml:space="preserve">exposed surfaces of pyrite contributed to generation of AMD </w:t>
      </w:r>
      <w:r>
        <w:rPr>
          <w:rFonts w:ascii="Times New Roman" w:hAnsi="Times New Roman" w:cs="Times New Roman"/>
        </w:rPr>
        <w:t>at</w:t>
      </w:r>
      <w:r w:rsidRPr="00366648">
        <w:rPr>
          <w:rFonts w:ascii="Times New Roman" w:hAnsi="Times New Roman" w:cs="Times New Roman"/>
        </w:rPr>
        <w:t xml:space="preserve"> the mine site, which w</w:t>
      </w:r>
      <w:r>
        <w:rPr>
          <w:rFonts w:ascii="Times New Roman" w:hAnsi="Times New Roman" w:cs="Times New Roman"/>
        </w:rPr>
        <w:t>as</w:t>
      </w:r>
      <w:r w:rsidRPr="00366648">
        <w:rPr>
          <w:rFonts w:ascii="Times New Roman" w:hAnsi="Times New Roman" w:cs="Times New Roman"/>
        </w:rPr>
        <w:t xml:space="preserve"> pumped into the Queen River. The bulk AMD originated from legacy waste piles with high pyrite concentration</w:t>
      </w:r>
      <w:r>
        <w:rPr>
          <w:rFonts w:ascii="Times New Roman" w:hAnsi="Times New Roman" w:cs="Times New Roman"/>
        </w:rPr>
        <w:t>s</w:t>
      </w:r>
      <w:r w:rsidRPr="00366648">
        <w:rPr>
          <w:rFonts w:ascii="Times New Roman" w:hAnsi="Times New Roman" w:cs="Times New Roman"/>
        </w:rPr>
        <w:t xml:space="preserve"> (&gt;10%), open cuts</w:t>
      </w:r>
      <w:r>
        <w:rPr>
          <w:rFonts w:ascii="Times New Roman" w:hAnsi="Times New Roman" w:cs="Times New Roman"/>
        </w:rPr>
        <w:t>,</w:t>
      </w:r>
      <w:r w:rsidRPr="00366648">
        <w:rPr>
          <w:rFonts w:ascii="Times New Roman" w:hAnsi="Times New Roman" w:cs="Times New Roman"/>
        </w:rPr>
        <w:t xml:space="preserve"> and underground workings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&lt;EndNote&gt;&lt;Cite&gt;&lt;Author&gt;McQuade&lt;/Author&gt;&lt;Year&gt;1995&lt;/Year&gt;&lt;RecNum&gt;333&lt;/RecNum&gt;&lt;DisplayText&gt;(McQuade et al., 1995)&lt;/DisplayText&gt;&lt;record&gt;&lt;rec-number&gt;333&lt;/rec-number&gt;&lt;foreign-keys&gt;&lt;key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(McQuade et al., 1995)</w:t>
      </w:r>
      <w:r w:rsidRPr="00366648">
        <w:rPr>
          <w:rFonts w:ascii="Times New Roman" w:hAnsi="Times New Roman" w:cs="Times New Roman"/>
        </w:rPr>
        <w:fldChar w:fldCharType="end"/>
      </w:r>
      <w:r w:rsidRPr="00366648">
        <w:rPr>
          <w:rFonts w:ascii="Times New Roman" w:hAnsi="Times New Roman" w:cs="Times New Roman"/>
        </w:rPr>
        <w:t>. When mining operations temporarily ceased in 1994</w:t>
      </w:r>
      <w:r>
        <w:rPr>
          <w:rFonts w:ascii="Times New Roman" w:hAnsi="Times New Roman" w:cs="Times New Roman"/>
        </w:rPr>
        <w:t>,</w:t>
      </w:r>
      <w:r w:rsidRPr="00366648">
        <w:rPr>
          <w:rFonts w:ascii="Times New Roman" w:hAnsi="Times New Roman" w:cs="Times New Roman"/>
        </w:rPr>
        <w:t xml:space="preserve"> it was estimated that Cu loads in the effluent water leaving the mine site were in excess of 2000 kg</w:t>
      </w:r>
      <w:r w:rsidR="00D32E5B">
        <w:rPr>
          <w:rFonts w:ascii="Times New Roman" w:hAnsi="Times New Roman" w:cs="Times New Roman"/>
        </w:rPr>
        <w:t>·</w:t>
      </w:r>
      <w:r w:rsidRPr="00366648">
        <w:rPr>
          <w:rFonts w:ascii="Times New Roman" w:hAnsi="Times New Roman" w:cs="Times New Roman"/>
        </w:rPr>
        <w:t>day</w:t>
      </w:r>
      <w:r w:rsidRPr="00366648">
        <w:rPr>
          <w:rFonts w:ascii="Times New Roman" w:hAnsi="Times New Roman" w:cs="Times New Roman"/>
          <w:vertAlign w:val="superscript"/>
        </w:rPr>
        <w:t>-1</w:t>
      </w:r>
      <w:r w:rsidRPr="00366648">
        <w:rPr>
          <w:rFonts w:ascii="Times New Roman" w:hAnsi="Times New Roman" w:cs="Times New Roman"/>
        </w:rPr>
        <w:t xml:space="preserv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&lt;EndNote&gt;&lt;Cite&gt;&lt;Author&gt;McQuade&lt;/Author&gt;&lt;Year&gt;1995&lt;/Year&gt;&lt;RecNum&gt;333&lt;/RecNum&gt;&lt;DisplayText&gt;(McQuade et al., 1995)&lt;/DisplayText&gt;&lt;record&gt;&lt;rec-number&gt;333&lt;/rec-number&gt;&lt;foreign-keys&gt;&lt;key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(McQuade et al., 1995)</w:t>
      </w:r>
      <w:r w:rsidRPr="00366648">
        <w:rPr>
          <w:rFonts w:ascii="Times New Roman" w:hAnsi="Times New Roman" w:cs="Times New Roman"/>
        </w:rPr>
        <w:fldChar w:fldCharType="end"/>
      </w:r>
      <w:r w:rsidRPr="00366648">
        <w:rPr>
          <w:rFonts w:ascii="Times New Roman" w:hAnsi="Times New Roman" w:cs="Times New Roman"/>
        </w:rPr>
        <w:t xml:space="preserve">. </w:t>
      </w:r>
    </w:p>
    <w:p w14:paraId="13325876" w14:textId="103B857E"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During and after min</w:t>
      </w:r>
      <w:r w:rsidR="00D32E5B">
        <w:rPr>
          <w:rFonts w:ascii="Times New Roman" w:hAnsi="Times New Roman" w:cs="Times New Roman"/>
        </w:rPr>
        <w:t>ing</w:t>
      </w:r>
      <w:r w:rsidRPr="00366648">
        <w:rPr>
          <w:rFonts w:ascii="Times New Roman" w:hAnsi="Times New Roman" w:cs="Times New Roman"/>
        </w:rPr>
        <w:t xml:space="preserve"> operations, storm flow events deposited </w:t>
      </w:r>
      <w:r>
        <w:rPr>
          <w:rFonts w:ascii="Times New Roman" w:hAnsi="Times New Roman" w:cs="Times New Roman"/>
        </w:rPr>
        <w:t>a great amount of</w:t>
      </w:r>
      <w:r w:rsidRPr="00366648">
        <w:rPr>
          <w:rFonts w:ascii="Times New Roman" w:hAnsi="Times New Roman" w:cs="Times New Roman"/>
        </w:rPr>
        <w:t xml:space="preserve"> tailings-rich sediment along the banks of the King River and formed a delta at the confluence with Macquarie Harbour (</w:t>
      </w:r>
      <w:r w:rsidRPr="00366648">
        <w:rPr>
          <w:rFonts w:ascii="Times New Roman" w:hAnsi="Times New Roman" w:cs="Times New Roman"/>
        </w:rPr>
        <w:fldChar w:fldCharType="begin"/>
      </w:r>
      <w:r w:rsidRPr="00366648">
        <w:rPr>
          <w:rFonts w:ascii="Times New Roman" w:hAnsi="Times New Roman" w:cs="Times New Roman"/>
        </w:rPr>
        <w:instrText xml:space="preserve"> REF _Ref10473775 \h  \* MERGEFORMAT </w:instrText>
      </w:r>
      <w:r w:rsidRPr="00366648">
        <w:rPr>
          <w:rFonts w:ascii="Times New Roman" w:hAnsi="Times New Roman" w:cs="Times New Roman"/>
        </w:rPr>
      </w:r>
      <w:r w:rsidRPr="00366648">
        <w:rPr>
          <w:rFonts w:ascii="Times New Roman" w:hAnsi="Times New Roman" w:cs="Times New Roman"/>
        </w:rPr>
        <w:fldChar w:fldCharType="separate"/>
      </w:r>
      <w:r w:rsidRPr="00366648">
        <w:rPr>
          <w:rFonts w:ascii="Times New Roman" w:hAnsi="Times New Roman" w:cs="Times New Roman"/>
        </w:rPr>
        <w:t>Fig</w:t>
      </w:r>
      <w:r>
        <w:rPr>
          <w:rFonts w:ascii="Times New Roman" w:hAnsi="Times New Roman" w:cs="Times New Roman"/>
        </w:rPr>
        <w:t>.</w:t>
      </w:r>
      <w:r w:rsidRPr="00366648">
        <w:rPr>
          <w:rFonts w:ascii="Times New Roman" w:hAnsi="Times New Roman" w:cs="Times New Roman"/>
        </w:rPr>
        <w:t xml:space="preserve"> </w:t>
      </w:r>
      <w:r w:rsidRPr="00366648">
        <w:rPr>
          <w:rFonts w:ascii="Times New Roman" w:hAnsi="Times New Roman" w:cs="Times New Roman"/>
          <w:noProof/>
        </w:rPr>
        <w:t>1</w:t>
      </w:r>
      <w:r w:rsidRPr="00366648">
        <w:rPr>
          <w:rFonts w:ascii="Times New Roman" w:hAnsi="Times New Roman" w:cs="Times New Roman"/>
        </w:rPr>
        <w:fldChar w:fldCharType="end"/>
      </w:r>
      <w:r w:rsidRPr="00366648">
        <w:rPr>
          <w:rFonts w:ascii="Times New Roman" w:hAnsi="Times New Roman" w:cs="Times New Roman"/>
        </w:rPr>
        <w:t>). In 1992, the King River was dammed to generate hydroelectric power</w:t>
      </w:r>
      <w:r w:rsidR="00D32E5B">
        <w:rPr>
          <w:rFonts w:ascii="Times New Roman" w:hAnsi="Times New Roman" w:cs="Times New Roman"/>
        </w:rPr>
        <w:t>,</w:t>
      </w:r>
      <w:r w:rsidRPr="00366648">
        <w:rPr>
          <w:rFonts w:ascii="Times New Roman" w:hAnsi="Times New Roman" w:cs="Times New Roman"/>
        </w:rPr>
        <w:t xml:space="preserve"> which has influenced the transport, deposition</w:t>
      </w:r>
      <w:r w:rsidR="00D32E5B">
        <w:rPr>
          <w:rFonts w:ascii="Times New Roman" w:hAnsi="Times New Roman" w:cs="Times New Roman"/>
        </w:rPr>
        <w:t>,</w:t>
      </w:r>
      <w:r w:rsidRPr="00366648">
        <w:rPr>
          <w:rFonts w:ascii="Times New Roman" w:hAnsi="Times New Roman" w:cs="Times New Roman"/>
        </w:rPr>
        <w:t xml:space="preserve"> and remobilisation of tailings in the King River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t xml:space="preserve">. </w:t>
      </w:r>
      <w:r w:rsidRPr="00366648">
        <w:rPr>
          <w:rFonts w:ascii="Times New Roman" w:hAnsi="Times New Roman" w:cs="Times New Roman"/>
        </w:rPr>
        <w:fldChar w:fldCharType="begin"/>
      </w:r>
      <w:r w:rsidRPr="00366648">
        <w:rPr>
          <w:rFonts w:ascii="Times New Roman" w:hAnsi="Times New Roman" w:cs="Times New Roman"/>
        </w:rPr>
        <w:instrText xml:space="preserve"> REF _Ref95357133 \h  \* MERGEFORMAT </w:instrText>
      </w:r>
      <w:r w:rsidRPr="00366648">
        <w:rPr>
          <w:rFonts w:ascii="Times New Roman" w:hAnsi="Times New Roman" w:cs="Times New Roman"/>
        </w:rPr>
      </w:r>
      <w:r w:rsidRPr="00366648">
        <w:rPr>
          <w:rFonts w:ascii="Times New Roman" w:hAnsi="Times New Roman" w:cs="Times New Roman"/>
        </w:rPr>
        <w:fldChar w:fldCharType="separate"/>
      </w:r>
      <w:r w:rsidRPr="00366648">
        <w:rPr>
          <w:rFonts w:ascii="Times New Roman" w:hAnsi="Times New Roman" w:cs="Times New Roman"/>
        </w:rPr>
        <w:t>Supplementa</w:t>
      </w:r>
      <w:r w:rsidR="00D32E5B">
        <w:rPr>
          <w:rFonts w:ascii="Times New Roman" w:hAnsi="Times New Roman" w:cs="Times New Roman"/>
        </w:rPr>
        <w:t>l</w:t>
      </w:r>
      <w:r w:rsidRPr="00366648">
        <w:rPr>
          <w:rFonts w:ascii="Times New Roman" w:hAnsi="Times New Roman" w:cs="Times New Roman"/>
        </w:rPr>
        <w:t xml:space="preserve"> Table </w:t>
      </w:r>
      <w:r>
        <w:rPr>
          <w:rFonts w:ascii="Times New Roman" w:hAnsi="Times New Roman" w:cs="Times New Roman"/>
        </w:rPr>
        <w:t>S-</w:t>
      </w:r>
      <w:r w:rsidRPr="00366648">
        <w:rPr>
          <w:rFonts w:ascii="Times New Roman" w:hAnsi="Times New Roman" w:cs="Times New Roman"/>
          <w:noProof/>
        </w:rPr>
        <w:t>1</w:t>
      </w:r>
      <w:r w:rsidRPr="00366648">
        <w:rPr>
          <w:rFonts w:ascii="Times New Roman" w:hAnsi="Times New Roman" w:cs="Times New Roman"/>
        </w:rPr>
        <w:fldChar w:fldCharType="end"/>
      </w:r>
      <w:r w:rsidRPr="00366648">
        <w:rPr>
          <w:rFonts w:ascii="Times New Roman" w:hAnsi="Times New Roman" w:cs="Times New Roman"/>
        </w:rPr>
        <w:t xml:space="preserve"> summari</w:t>
      </w:r>
      <w:r>
        <w:rPr>
          <w:rFonts w:ascii="Times New Roman" w:hAnsi="Times New Roman" w:cs="Times New Roman"/>
        </w:rPr>
        <w:t>z</w:t>
      </w:r>
      <w:r w:rsidRPr="00366648">
        <w:rPr>
          <w:rFonts w:ascii="Times New Roman" w:hAnsi="Times New Roman" w:cs="Times New Roman"/>
        </w:rPr>
        <w:t xml:space="preserve">es </w:t>
      </w:r>
      <w:r w:rsidR="00D32E5B">
        <w:rPr>
          <w:rFonts w:ascii="Times New Roman" w:hAnsi="Times New Roman" w:cs="Times New Roman"/>
        </w:rPr>
        <w:t xml:space="preserve">the </w:t>
      </w:r>
      <w:r w:rsidRPr="00366648">
        <w:rPr>
          <w:rFonts w:ascii="Times New Roman" w:hAnsi="Times New Roman" w:cs="Times New Roman"/>
        </w:rPr>
        <w:t>events that influenced the Queen and King River regime from the start of min</w:t>
      </w:r>
      <w:r w:rsidR="00D32E5B">
        <w:rPr>
          <w:rFonts w:ascii="Times New Roman" w:hAnsi="Times New Roman" w:cs="Times New Roman"/>
        </w:rPr>
        <w:t>ing</w:t>
      </w:r>
      <w:r w:rsidRPr="00366648">
        <w:rPr>
          <w:rFonts w:ascii="Times New Roman" w:hAnsi="Times New Roman" w:cs="Times New Roman"/>
        </w:rPr>
        <w:t xml:space="preserve"> operations </w:t>
      </w:r>
      <w:r w:rsidRPr="00366648">
        <w:rPr>
          <w:rFonts w:ascii="Times New Roman" w:hAnsi="Times New Roman" w:cs="Times New Roman"/>
        </w:rPr>
        <w:lastRenderedPageBreak/>
        <w:t xml:space="preserve">in 1893 until its closure in 2014. </w:t>
      </w:r>
    </w:p>
    <w:p w14:paraId="5FE65458" w14:textId="57A45C65"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 xml:space="preserve">Environmental controls and regulations were not established in the early days of operation at Mount Lyell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&lt;EndNote&gt;&lt;Cite&gt;&lt;Author&gt;Koehnken&lt;/Author&gt;&lt;Year&gt;1997&lt;/Year&gt;&lt;RecNum&gt;320&lt;/RecNum&gt;&lt;DisplayText&gt;(Koehnken, 1997)&lt;/DisplayText&gt;&lt;record&gt;&lt;rec-number&gt;320&lt;/rec-number&gt;&lt;foreign-keys&gt;&lt;key app="EN" db-id="wfv0ff2zhvveeiepdtr5fpxcf2d9szdw0spe" timestamp="1549590039"&gt;320&lt;/key&gt;&lt;/foreign-keys&gt;&lt;ref-type name="Book"&gt;6&lt;/ref-type&gt;&lt;contributors&gt;&lt;authors&gt;&lt;author&gt;Koehnken, Louis&lt;/author&gt;&lt;/authors&gt;&lt;/contributors&gt;&lt;titles&gt;&lt;title&gt;Mount Lyell remediation: final report&lt;/title&gt;&lt;secondary-title&gt;Mount Lyell Remediation Research and Demonstration Program. Supervising scientist report&lt;/secondary-title&gt;&lt;/titles&gt;&lt;periodical&gt;&lt;full-title&gt;Mount Lyell Remediation Research and Demonstration Program. Supervising Scientist Report&lt;/full-title&gt;&lt;/periodical&gt;&lt;pages&gt;93&lt;/pages&gt;&lt;volume&gt;126&lt;/volume&gt;&lt;dates&gt;&lt;year&gt;1997&lt;/year&gt;&lt;/dates&gt;&lt;urls&gt;&lt;/urls&gt;&lt;/record&gt;&lt;/Cite&gt;&lt;/EndNote&gt;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(Koehnken, 1997)</w:t>
      </w:r>
      <w:r w:rsidRPr="00366648">
        <w:rPr>
          <w:rFonts w:ascii="Times New Roman" w:hAnsi="Times New Roman" w:cs="Times New Roman"/>
        </w:rPr>
        <w:fldChar w:fldCharType="end"/>
      </w:r>
      <w:r w:rsidRPr="00366648">
        <w:rPr>
          <w:rFonts w:ascii="Times New Roman" w:hAnsi="Times New Roman" w:cs="Times New Roman"/>
        </w:rPr>
        <w:t xml:space="preserve">. In 1973, the Environment Protection Act established emission limits for industrial discharges into fresh water in Tasmania but Mount Lyell was issued with a Ministerial Exemption in 1974. This agreement continued until the mine closed in 1994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&lt;EndNote&gt;&lt;Cite&gt;&lt;Author&gt;Koehnken&lt;/Author&gt;&lt;Year&gt;1997&lt;/Year&gt;&lt;RecNum&gt;320&lt;/RecNum&gt;&lt;DisplayText&gt;(Koehnken, 1997)&lt;/DisplayText&gt;&lt;record&gt;&lt;rec-number&gt;320&lt;/rec-number&gt;&lt;foreign-keys&gt;&lt;key app="EN" db-id="wfv0ff2zhvveeiepdtr5fpxcf2d9szdw0spe" timestamp="1549590039"&gt;320&lt;/key&gt;&lt;/foreign-keys&gt;&lt;ref-type name="Book"&gt;6&lt;/ref-type&gt;&lt;contributors&gt;&lt;authors&gt;&lt;author&gt;Koehnken, Louis&lt;/author&gt;&lt;/authors&gt;&lt;/contributors&gt;&lt;titles&gt;&lt;title&gt;Mount Lyell remediation: final report&lt;/title&gt;&lt;secondary-title&gt;Mount Lyell Remediation Research and Demonstration Program. Supervising scientist report&lt;/secondary-title&gt;&lt;/titles&gt;&lt;periodical&gt;&lt;full-title&gt;Mount Lyell Remediation Research and Demonstration Program. Supervising Scientist Report&lt;/full-title&gt;&lt;/periodical&gt;&lt;pages&gt;93&lt;/pages&gt;&lt;volume&gt;126&lt;/volume&gt;&lt;dates&gt;&lt;year&gt;1997&lt;/year&gt;&lt;/dates&gt;&lt;urls&gt;&lt;/urls&gt;&lt;/record&gt;&lt;/Cite&gt;&lt;/EndNote&gt;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(Koehnken, 1997)</w:t>
      </w:r>
      <w:r w:rsidRPr="00366648">
        <w:rPr>
          <w:rFonts w:ascii="Times New Roman" w:hAnsi="Times New Roman" w:cs="Times New Roman"/>
        </w:rPr>
        <w:fldChar w:fldCharType="end"/>
      </w:r>
      <w:r w:rsidRPr="00366648">
        <w:rPr>
          <w:rFonts w:ascii="Times New Roman" w:hAnsi="Times New Roman" w:cs="Times New Roman"/>
        </w:rPr>
        <w:t>. As</w:t>
      </w:r>
      <w:r w:rsidR="00D32E5B">
        <w:rPr>
          <w:rFonts w:ascii="Times New Roman" w:hAnsi="Times New Roman" w:cs="Times New Roman"/>
        </w:rPr>
        <w:t xml:space="preserve"> a</w:t>
      </w:r>
      <w:r w:rsidRPr="00366648">
        <w:rPr>
          <w:rFonts w:ascii="Times New Roman" w:hAnsi="Times New Roman" w:cs="Times New Roman"/>
        </w:rPr>
        <w:t xml:space="preserve"> result, from 1916 to 1994</w:t>
      </w:r>
      <w:r w:rsidR="00D32E5B">
        <w:rPr>
          <w:rFonts w:ascii="Times New Roman" w:hAnsi="Times New Roman" w:cs="Times New Roman"/>
        </w:rPr>
        <w:t>,</w:t>
      </w:r>
      <w:r w:rsidRPr="00366648">
        <w:rPr>
          <w:rFonts w:ascii="Times New Roman" w:hAnsi="Times New Roman" w:cs="Times New Roman"/>
        </w:rPr>
        <w:t xml:space="preserve"> waste material</w:t>
      </w:r>
      <w:r w:rsidR="00D32E5B">
        <w:rPr>
          <w:rFonts w:ascii="Times New Roman" w:hAnsi="Times New Roman" w:cs="Times New Roman"/>
        </w:rPr>
        <w:t>s</w:t>
      </w:r>
      <w:r w:rsidRPr="00366648">
        <w:rPr>
          <w:rFonts w:ascii="Times New Roman" w:hAnsi="Times New Roman" w:cs="Times New Roman"/>
        </w:rPr>
        <w:t xml:space="preserve"> were discharged into Haulage Creek, feeding into the Queen River</w:t>
      </w:r>
      <w:r w:rsidR="00D32E5B">
        <w:rPr>
          <w:rFonts w:ascii="Times New Roman" w:hAnsi="Times New Roman" w:cs="Times New Roman"/>
        </w:rPr>
        <w:t>,</w:t>
      </w:r>
      <w:r w:rsidRPr="00366648">
        <w:rPr>
          <w:rFonts w:ascii="Times New Roman" w:hAnsi="Times New Roman" w:cs="Times New Roman"/>
        </w:rPr>
        <w:t xml:space="preserve"> and ultimately carried down the King River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&lt;EndNote&gt;&lt;Cite&gt;&lt;Author&gt;Locher&lt;/Author&gt;&lt;Year&gt;1997&lt;/Year&gt;&lt;RecNum&gt;233&lt;/RecNum&gt;&lt;IDText&gt;Sediment transport in the King River, Tasmania. Mount Lyell Remediation Research and Demonstration Program. Supervising Scientist Report 120. &lt;/IDText&gt;&lt;DisplayText&gt;(Locher,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t xml:space="preserve">. Riverine disposal ceased in 1995 when CMT constructed the Princess Creek tailings storage facility with a forward projection to contain all the tailings generated for 60 years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&lt;EndNote&gt;&lt;Cite&gt;&lt;Author&gt;Koehnken&lt;/Author&gt;&lt;Year&gt;1997&lt;/Year&gt;&lt;RecNum&gt;320&lt;/RecNum&gt;&lt;DisplayText&gt;(McQuade et al., 1995; Koehnken, 1997)&lt;/DisplayText&gt;&lt;record&gt;&lt;rec-number&gt;320&lt;/rec-number&gt;&lt;foreign-keys&gt;&lt;key app="EN" db-id="wfv0ff2zhvveeiepdtr5fpxcf2d9szdw0spe" timestamp="1549590039"&gt;320&lt;/key&gt;&lt;/foreign-keys&gt;&lt;ref-type name="Book"&gt;6&lt;/ref-type&gt;&lt;contributors&gt;&lt;authors&gt;&lt;author&gt;Koehnken, Louis&lt;/author&gt;&lt;/authors&gt;&lt;/contributors&gt;&lt;titles&gt;&lt;title&gt;Mount Lyell remediation: final report&lt;/title&gt;&lt;secondary-title&gt;Mount Lyell Remediation Research and Demonstration Program. Supervising scientist report&lt;/secondary-title&gt;&lt;/titles&gt;&lt;periodical&gt;&lt;full-title&gt;Mount Lyell Remediation Research and Demonstration Program. Supervising Scientist Report&lt;/full-title&gt;&lt;/periodical&gt;&lt;pages&gt;93&lt;/pages&gt;&lt;volume&gt;126&lt;/volume&gt;&lt;dates&gt;&lt;year&gt;1997&lt;/year&gt;&lt;/dates&gt;&lt;urls&gt;&lt;/urls&gt;&lt;/record&gt;&lt;/Cite&gt;&lt;Cite&gt;&lt;Author&gt;McQuade&lt;/Author&gt;&lt;Year&gt;1995&lt;/Year&gt;&lt;RecNum&gt;333&lt;/RecNum&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(McQuade et al., 1995; Koehnken, 1997)</w:t>
      </w:r>
      <w:r w:rsidRPr="00366648">
        <w:rPr>
          <w:rFonts w:ascii="Times New Roman" w:hAnsi="Times New Roman" w:cs="Times New Roman"/>
        </w:rPr>
        <w:fldChar w:fldCharType="end"/>
      </w:r>
      <w:r w:rsidRPr="00366648">
        <w:rPr>
          <w:rFonts w:ascii="Times New Roman" w:hAnsi="Times New Roman" w:cs="Times New Roman"/>
        </w:rPr>
        <w:t xml:space="preserve">. Despite not being responsible for the environmental damage caused by or resulting from previous operations, as outlined in the Copper Mines of Tasmania Pty Ltd (Agreement) Act 1999, CMT have continued to actively manage AMD from the site to the extent of their current operations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&lt;EndNote&gt;&lt;Cite&gt;&lt;Author&gt;EPA Tasmania&lt;/Author&gt;&lt;Year&gt;2013&lt;/Year&gt;&lt;RecNum&gt;562&lt;/RecNum&gt;&lt;DisplayText&gt;(EPA Tasmania, 2013)&lt;/DisplayText&gt;&lt;record&gt;&lt;rec-number&gt;562&lt;/rec-number&gt;&lt;foreign-keys&gt;&lt;key app="EN" db-id="wfv0ff2zhvveeiepdtr5fpxcf2d9szdw0spe" timestamp="1618928505"&gt;562&lt;/key&gt;&lt;/foreign-keys&gt;&lt;ref-type name="Web Page"&gt;12&lt;/ref-type&gt;&lt;contributors&gt;&lt;authors&gt;&lt;author&gt;EPA Tasmania, &lt;/author&gt;&lt;/authors&gt;&lt;/contributors&gt;&lt;titles&gt;&lt;title&gt;Mt Lyell acid drainage remediation&lt;/title&gt;&lt;/titles&gt;&lt;volume&gt;2021&lt;/volume&gt;&lt;number&gt;21 April &lt;/number&gt;&lt;dates&gt;&lt;year&gt;2013&lt;/year&gt;&lt;/dates&gt;&lt;urls&gt;&lt;related-urls&gt;&lt;url&gt;https://epa.tas.gov.au/epa/water/remediation-programs/mt-lyell-acid-drainage-remediation&lt;/url&gt;&lt;/related-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(EPA Tasmania, 2013)</w:t>
      </w:r>
      <w:r w:rsidRPr="00366648">
        <w:rPr>
          <w:rFonts w:ascii="Times New Roman" w:hAnsi="Times New Roman" w:cs="Times New Roman"/>
        </w:rPr>
        <w:fldChar w:fldCharType="end"/>
      </w:r>
      <w:r w:rsidRPr="00366648">
        <w:rPr>
          <w:rFonts w:ascii="Times New Roman" w:hAnsi="Times New Roman" w:cs="Times New Roman"/>
        </w:rPr>
        <w:t>. CMT are fully compliant with the environmental management of their wastes with regards t</w:t>
      </w:r>
      <w:r w:rsidR="00D32E5B">
        <w:rPr>
          <w:rFonts w:ascii="Times New Roman" w:hAnsi="Times New Roman" w:cs="Times New Roman"/>
        </w:rPr>
        <w:t>o</w:t>
      </w:r>
      <w:r w:rsidRPr="00366648">
        <w:rPr>
          <w:rFonts w:ascii="Times New Roman" w:hAnsi="Times New Roman" w:cs="Times New Roman"/>
        </w:rPr>
        <w:t xml:space="preserve"> Act 1999 and their operations have been highly regulated, operating to best practice as required by their licenses. The AMD for which CMT is currently responsible for is blended with their alkaline tailings in their tailings storage facility.</w:t>
      </w:r>
    </w:p>
    <w:p w14:paraId="014FEA9A" w14:textId="22A6AE18" w:rsidR="00853046" w:rsidRPr="007F6568" w:rsidRDefault="00853046" w:rsidP="007F6568">
      <w:pPr>
        <w:pStyle w:val="Heading3"/>
        <w:spacing w:before="240" w:after="120" w:line="240" w:lineRule="auto"/>
        <w:rPr>
          <w:rFonts w:ascii="Times New Roman" w:hAnsi="Times New Roman" w:cs="Times New Roman"/>
          <w:b/>
          <w:bCs/>
          <w:i w:val="0"/>
          <w:iCs/>
          <w:szCs w:val="22"/>
        </w:rPr>
      </w:pPr>
      <w:r w:rsidRPr="007F6568">
        <w:rPr>
          <w:rFonts w:ascii="Times New Roman" w:hAnsi="Times New Roman" w:cs="Times New Roman"/>
          <w:b/>
          <w:bCs/>
          <w:i w:val="0"/>
          <w:iCs/>
          <w:szCs w:val="22"/>
        </w:rPr>
        <w:t>Environmental Regulations and Exemptions</w:t>
      </w:r>
    </w:p>
    <w:p w14:paraId="54C79063" w14:textId="2E722665" w:rsidR="00853046" w:rsidRPr="00366648" w:rsidRDefault="00853046" w:rsidP="00853046">
      <w:pPr>
        <w:pStyle w:val="Paraotexto"/>
        <w:spacing w:before="0" w:line="240" w:lineRule="auto"/>
        <w:ind w:right="0"/>
        <w:rPr>
          <w:rFonts w:ascii="Times New Roman" w:hAnsi="Times New Roman" w:cs="Times New Roman"/>
          <w:vertAlign w:val="superscript"/>
        </w:rPr>
      </w:pPr>
      <w:r w:rsidRPr="00366648">
        <w:rPr>
          <w:rFonts w:ascii="Times New Roman" w:hAnsi="Times New Roman" w:cs="Times New Roman"/>
        </w:rPr>
        <w:t xml:space="preserve">Queenstown is situated in the physiographic region of Tasmania known as the Western Ranges, where a temperate maritime climate prevails and topographic highs are capped by quartzite and conglomerate units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&lt;EndNote&gt;&lt;Cite&gt;&lt;Author&gt;Corbett&lt;/Author&gt;&lt;Year&gt;1976&lt;/Year&gt;&lt;RecNum&gt;407&lt;/RecNum&gt;&lt;DisplayText&gt;(Corbett, 1976)&lt;/DisplayText&gt;&lt;record&gt;&lt;rec-number&gt;407&lt;/rec-number&gt;&lt;foreign-keys&gt;&lt;key app="EN" db-id="wfv0ff2zhvveeiepdtr5fpxcf2d9szdw0spe" timestamp="1562325240"&gt;407&lt;/key&gt;&lt;/foreign-keys&gt;&lt;ref-type name="Journal Article"&gt;17&lt;/ref-type&gt;&lt;contributors&gt;&lt;authors&gt;&lt;author&gt;Corbett, KD&lt;/author&gt;&lt;/authors&gt;&lt;/contributors&gt;&lt;titles&gt;&lt;title&gt;Notes on the volcanic stratigraphy and Cambro-Ordovician relationships in the Mt Jukes area&lt;/title&gt;&lt;secondary-title&gt;Unpublished Report Department of Mines Tasmania&lt;/secondary-title&gt;&lt;/titles&gt;&lt;periodical&gt;&lt;full-title&gt;Unpublished Report Department of Mines Tasmania&lt;/full-title&gt;&lt;/periodical&gt;&lt;volume&gt;49&lt;/volume&gt;&lt;dates&gt;&lt;year&gt;1976&lt;/year&gt;&lt;/dates&gt;&lt;urls&gt;&lt;/urls&gt;&lt;/record&gt;&lt;/Cite&gt;&lt;/EndNote&gt;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(Corbett, 1976)</w:t>
      </w:r>
      <w:r w:rsidRPr="00366648">
        <w:rPr>
          <w:rFonts w:ascii="Times New Roman" w:hAnsi="Times New Roman" w:cs="Times New Roman"/>
        </w:rPr>
        <w:fldChar w:fldCharType="end"/>
      </w:r>
      <w:r w:rsidRPr="00366648">
        <w:rPr>
          <w:rFonts w:ascii="Times New Roman" w:hAnsi="Times New Roman" w:cs="Times New Roman"/>
        </w:rPr>
        <w:t>. Many of the mountains in this region exhibit relict Quaternary glacial landforms including cirque lakes, moraines</w:t>
      </w:r>
      <w:r w:rsidR="00D32E5B">
        <w:rPr>
          <w:rFonts w:ascii="Times New Roman" w:hAnsi="Times New Roman" w:cs="Times New Roman"/>
        </w:rPr>
        <w:t>,</w:t>
      </w:r>
      <w:r w:rsidRPr="00366648">
        <w:rPr>
          <w:rFonts w:ascii="Times New Roman" w:hAnsi="Times New Roman" w:cs="Times New Roman"/>
        </w:rPr>
        <w:t xml:space="preserve"> and glacial erratics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&lt;EndNote&gt;&lt;Cite&gt;&lt;Author&gt;McQuade&lt;/Author&gt;&lt;Year&gt;1995&lt;/Year&gt;&lt;RecNum&gt;333&lt;/RecNum&gt;&lt;DisplayText&gt;(McQuade et al., 1995)&lt;/DisplayText&gt;&lt;record&gt;&lt;rec-number&gt;333&lt;/rec-number&gt;&lt;foreign-keys&gt;&lt;key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(McQuade et al., 1995)</w:t>
      </w:r>
      <w:r w:rsidRPr="00366648">
        <w:rPr>
          <w:rFonts w:ascii="Times New Roman" w:hAnsi="Times New Roman" w:cs="Times New Roman"/>
        </w:rPr>
        <w:fldChar w:fldCharType="end"/>
      </w:r>
      <w:r w:rsidRPr="00366648">
        <w:rPr>
          <w:rFonts w:ascii="Times New Roman" w:hAnsi="Times New Roman" w:cs="Times New Roman"/>
        </w:rPr>
        <w:t xml:space="preserve">. Queenstown is </w:t>
      </w:r>
      <w:r w:rsidR="00D32E5B">
        <w:rPr>
          <w:rFonts w:ascii="Times New Roman" w:hAnsi="Times New Roman" w:cs="Times New Roman"/>
        </w:rPr>
        <w:t>≈</w:t>
      </w:r>
      <w:r w:rsidRPr="00366648">
        <w:rPr>
          <w:rFonts w:ascii="Times New Roman" w:hAnsi="Times New Roman" w:cs="Times New Roman"/>
        </w:rPr>
        <w:t xml:space="preserve">300 m above sea level and is situated within the King River catchment. The Mount Lyell mine site straddles the divide between the Queen River and the upper King River catchments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&lt;EndNote&gt;&lt;Cite&gt;&lt;Author&gt;Koehnken&lt;/Author&gt;&lt;Year&gt;1997&lt;/Year&gt;&lt;RecNum&gt;320&lt;/RecNum&gt;&lt;DisplayText&gt;(Koehnken, 1997)&lt;/DisplayText&gt;&lt;record&gt;&lt;rec-number&gt;320&lt;/rec-number&gt;&lt;foreign-keys&gt;&lt;key app="EN" db-id="wfv0ff2zhvveeiepdtr5fpxcf2d9szdw0spe" timestamp="1549590039"&gt;320&lt;/key&gt;&lt;/foreign-keys&gt;&lt;ref-type name="Book"&gt;6&lt;/ref-type&gt;&lt;contributors&gt;&lt;authors&gt;&lt;author&gt;Koehnken, Louis&lt;/author&gt;&lt;/authors&gt;&lt;/contributors&gt;&lt;titles&gt;&lt;title&gt;Mount Lyell remediation: final report&lt;/title&gt;&lt;secondary-title&gt;Mount Lyell Remediation Research and Demonstration Program. Supervising scientist report&lt;/secondary-title&gt;&lt;/titles&gt;&lt;periodical&gt;&lt;full-title&gt;Mount Lyell Remediation Research and Demonstration Program. Supervising Scientist Report&lt;/full-title&gt;&lt;/periodical&gt;&lt;pages&gt;93&lt;/pages&gt;&lt;volume&gt;126&lt;/volume&gt;&lt;dates&gt;&lt;year&gt;1997&lt;/year&gt;&lt;/dates&gt;&lt;urls&gt;&lt;/urls&gt;&lt;/record&gt;&lt;/Cite&gt;&lt;/EndNote&gt;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(Koehnken, 1997)</w:t>
      </w:r>
      <w:r w:rsidRPr="00366648">
        <w:rPr>
          <w:rFonts w:ascii="Times New Roman" w:hAnsi="Times New Roman" w:cs="Times New Roman"/>
        </w:rPr>
        <w:fldChar w:fldCharType="end"/>
      </w:r>
      <w:r w:rsidRPr="00366648">
        <w:rPr>
          <w:rFonts w:ascii="Times New Roman" w:hAnsi="Times New Roman" w:cs="Times New Roman"/>
        </w:rPr>
        <w:t xml:space="preserve">. </w:t>
      </w:r>
    </w:p>
    <w:p w14:paraId="06FB0FD8" w14:textId="5F78C416" w:rsidR="00853046" w:rsidRPr="00366648"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The Queen and King Rivers flow south-westward into Macquarie Harbour (</w:t>
      </w:r>
      <w:r w:rsidRPr="00366648">
        <w:rPr>
          <w:rFonts w:ascii="Times New Roman" w:hAnsi="Times New Roman" w:cs="Times New Roman"/>
        </w:rPr>
        <w:fldChar w:fldCharType="begin"/>
      </w:r>
      <w:r w:rsidRPr="00366648">
        <w:rPr>
          <w:rFonts w:ascii="Times New Roman" w:hAnsi="Times New Roman" w:cs="Times New Roman"/>
        </w:rPr>
        <w:instrText xml:space="preserve"> REF _Ref10473775 \h  \* MERGEFORMAT </w:instrText>
      </w:r>
      <w:r w:rsidRPr="00366648">
        <w:rPr>
          <w:rFonts w:ascii="Times New Roman" w:hAnsi="Times New Roman" w:cs="Times New Roman"/>
        </w:rPr>
      </w:r>
      <w:r w:rsidRPr="00366648">
        <w:rPr>
          <w:rFonts w:ascii="Times New Roman" w:hAnsi="Times New Roman" w:cs="Times New Roman"/>
        </w:rPr>
        <w:fldChar w:fldCharType="separate"/>
      </w:r>
      <w:r w:rsidRPr="00366648">
        <w:rPr>
          <w:rFonts w:ascii="Times New Roman" w:hAnsi="Times New Roman" w:cs="Times New Roman"/>
        </w:rPr>
        <w:t>Fig</w:t>
      </w:r>
      <w:r w:rsidR="00D32E5B">
        <w:rPr>
          <w:rFonts w:ascii="Times New Roman" w:hAnsi="Times New Roman" w:cs="Times New Roman"/>
        </w:rPr>
        <w:t>.</w:t>
      </w:r>
      <w:r w:rsidRPr="00366648">
        <w:rPr>
          <w:rFonts w:ascii="Times New Roman" w:hAnsi="Times New Roman" w:cs="Times New Roman"/>
        </w:rPr>
        <w:t xml:space="preserve"> </w:t>
      </w:r>
      <w:r w:rsidRPr="00366648">
        <w:rPr>
          <w:rFonts w:ascii="Times New Roman" w:hAnsi="Times New Roman" w:cs="Times New Roman"/>
          <w:noProof/>
        </w:rPr>
        <w:t>1</w:t>
      </w:r>
      <w:r w:rsidRPr="00366648">
        <w:rPr>
          <w:rFonts w:ascii="Times New Roman" w:hAnsi="Times New Roman" w:cs="Times New Roman"/>
        </w:rPr>
        <w:fldChar w:fldCharType="end"/>
      </w:r>
      <w:r w:rsidRPr="00366648">
        <w:rPr>
          <w:rFonts w:ascii="Times New Roman" w:hAnsi="Times New Roman" w:cs="Times New Roman"/>
        </w:rPr>
        <w:t xml:space="preserve">), which has a surface area of </w:t>
      </w:r>
      <w:r w:rsidR="00D32E5B">
        <w:rPr>
          <w:rFonts w:ascii="Times New Roman" w:hAnsi="Times New Roman" w:cs="Times New Roman"/>
        </w:rPr>
        <w:t>≈</w:t>
      </w:r>
      <w:r w:rsidRPr="00366648">
        <w:rPr>
          <w:rFonts w:ascii="Times New Roman" w:hAnsi="Times New Roman" w:cs="Times New Roman"/>
        </w:rPr>
        <w:t>275 km</w:t>
      </w:r>
      <w:r w:rsidRPr="00366648">
        <w:rPr>
          <w:rFonts w:ascii="Times New Roman" w:hAnsi="Times New Roman" w:cs="Times New Roman"/>
          <w:vertAlign w:val="superscript"/>
        </w:rPr>
        <w:t>2</w:t>
      </w:r>
      <w:r w:rsidRPr="00366648">
        <w:rPr>
          <w:rFonts w:ascii="Times New Roman" w:hAnsi="Times New Roman" w:cs="Times New Roman"/>
        </w:rPr>
        <w:t xml:space="preserve"> and is connected to the ocean by a narrow channel mouth of a few hundred meters known as Hell’s Gates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t xml:space="preserve">. The Queen River catchment is </w:t>
      </w:r>
      <w:r w:rsidR="00D32E5B">
        <w:rPr>
          <w:rFonts w:ascii="Times New Roman" w:hAnsi="Times New Roman" w:cs="Times New Roman"/>
        </w:rPr>
        <w:t>≈</w:t>
      </w:r>
      <w:r w:rsidRPr="00366648">
        <w:rPr>
          <w:rFonts w:ascii="Times New Roman" w:hAnsi="Times New Roman" w:cs="Times New Roman"/>
        </w:rPr>
        <w:t>79 km</w:t>
      </w:r>
      <w:r w:rsidRPr="00366648">
        <w:rPr>
          <w:rFonts w:ascii="Times New Roman" w:hAnsi="Times New Roman" w:cs="Times New Roman"/>
          <w:vertAlign w:val="superscript"/>
        </w:rPr>
        <w:t>2</w:t>
      </w:r>
      <w:r w:rsidRPr="00366648">
        <w:rPr>
          <w:rFonts w:ascii="Times New Roman" w:hAnsi="Times New Roman" w:cs="Times New Roman"/>
        </w:rPr>
        <w:t xml:space="preserve"> and receives drainage from the north and west of Queenstown, as well as the town and Mount Lyell mine site. The Queen River is the only major tributary of the King River and has a steep gradient above the confluence (1:82). The King River catchment is 809 km</w:t>
      </w:r>
      <w:r w:rsidRPr="00366648">
        <w:rPr>
          <w:rFonts w:ascii="Times New Roman" w:hAnsi="Times New Roman" w:cs="Times New Roman"/>
          <w:vertAlign w:val="superscript"/>
        </w:rPr>
        <w:t>2</w:t>
      </w:r>
      <w:r w:rsidRPr="00366648">
        <w:rPr>
          <w:rFonts w:ascii="Times New Roman" w:hAnsi="Times New Roman" w:cs="Times New Roman"/>
        </w:rPr>
        <w:t xml:space="preserve"> with Lake Burbury capturing about 60% of the runoff of the catchment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t>. The mean annual flow of the Queen River is 165 x 10</w:t>
      </w:r>
      <w:r w:rsidRPr="00366648">
        <w:rPr>
          <w:rFonts w:ascii="Times New Roman" w:hAnsi="Times New Roman" w:cs="Times New Roman"/>
          <w:vertAlign w:val="superscript"/>
        </w:rPr>
        <w:t>6</w:t>
      </w:r>
      <w:r w:rsidRPr="00366648">
        <w:rPr>
          <w:rFonts w:ascii="Times New Roman" w:hAnsi="Times New Roman" w:cs="Times New Roman"/>
        </w:rPr>
        <w:t xml:space="preserve"> m</w:t>
      </w:r>
      <w:r w:rsidRPr="00366648">
        <w:rPr>
          <w:rFonts w:ascii="Times New Roman" w:hAnsi="Times New Roman" w:cs="Times New Roman"/>
          <w:vertAlign w:val="superscript"/>
        </w:rPr>
        <w:t>3</w:t>
      </w:r>
      <w:r w:rsidRPr="00366648">
        <w:rPr>
          <w:rFonts w:ascii="Times New Roman" w:hAnsi="Times New Roman" w:cs="Times New Roman"/>
        </w:rPr>
        <w:t xml:space="preserve">, and the King River annual flow is 1.8 </w:t>
      </w:r>
      <w:r w:rsidR="00D32E5B">
        <w:rPr>
          <w:rFonts w:ascii="Times New Roman" w:hAnsi="Times New Roman" w:cs="Times New Roman"/>
        </w:rPr>
        <w:t>×</w:t>
      </w:r>
      <w:r w:rsidRPr="00366648">
        <w:rPr>
          <w:rFonts w:ascii="Times New Roman" w:hAnsi="Times New Roman" w:cs="Times New Roman"/>
        </w:rPr>
        <w:t xml:space="preserve"> 10</w:t>
      </w:r>
      <w:r w:rsidRPr="00366648">
        <w:rPr>
          <w:rFonts w:ascii="Times New Roman" w:hAnsi="Times New Roman" w:cs="Times New Roman"/>
          <w:vertAlign w:val="superscript"/>
        </w:rPr>
        <w:t>9</w:t>
      </w:r>
      <w:r w:rsidRPr="00366648">
        <w:rPr>
          <w:rFonts w:ascii="Times New Roman" w:hAnsi="Times New Roman" w:cs="Times New Roman"/>
        </w:rPr>
        <w:t xml:space="preserve"> m</w:t>
      </w:r>
      <w:r w:rsidRPr="00366648">
        <w:rPr>
          <w:rFonts w:ascii="Times New Roman" w:hAnsi="Times New Roman" w:cs="Times New Roman"/>
          <w:vertAlign w:val="superscript"/>
        </w:rPr>
        <w:t>3</w:t>
      </w:r>
      <w:r w:rsidRPr="00366648">
        <w:rPr>
          <w:rFonts w:ascii="Times New Roman" w:hAnsi="Times New Roman" w:cs="Times New Roman"/>
        </w:rPr>
        <w:t xml:space="preserv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&lt;EndNote&gt;&lt;Cite&gt;&lt;Author&gt;Locher&lt;/Author&gt;&lt;Year&gt;1997&lt;/Year&gt;&lt;RecNum&gt;233&lt;/RecNum&gt;&lt;DisplayText&gt;(Locher,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(Locher, 1997)</w:t>
      </w:r>
      <w:r w:rsidRPr="00366648">
        <w:rPr>
          <w:rFonts w:ascii="Times New Roman" w:hAnsi="Times New Roman" w:cs="Times New Roman"/>
        </w:rPr>
        <w:fldChar w:fldCharType="end"/>
      </w:r>
      <w:r w:rsidRPr="00366648">
        <w:rPr>
          <w:rFonts w:ascii="Times New Roman" w:hAnsi="Times New Roman" w:cs="Times New Roman"/>
        </w:rPr>
        <w:fldChar w:fldCharType="begin"/>
      </w:r>
      <w:r w:rsidRPr="00366648">
        <w:rPr>
          <w:rFonts w:ascii="Times New Roman" w:hAnsi="Times New Roman" w:cs="Times New Roman"/>
        </w:rPr>
        <w:fldChar w:fldCharType="separate"/>
      </w:r>
      <w:r w:rsidRPr="00366648">
        <w:rPr>
          <w:rFonts w:ascii="Times New Roman" w:hAnsi="Times New Roman" w:cs="Times New Roman"/>
        </w:rPr>
        <w:t>(Koehnken, 1996)</w:t>
      </w:r>
      <w:r w:rsidRPr="00366648">
        <w:rPr>
          <w:rFonts w:ascii="Times New Roman" w:hAnsi="Times New Roman" w:cs="Times New Roman"/>
        </w:rPr>
        <w:fldChar w:fldCharType="end"/>
      </w:r>
      <w:r w:rsidRPr="00366648">
        <w:rPr>
          <w:rFonts w:ascii="Times New Roman" w:hAnsi="Times New Roman" w:cs="Times New Roman"/>
        </w:rPr>
        <w:t xml:space="preserve">. </w:t>
      </w:r>
      <w:r w:rsidRPr="00366648">
        <w:rPr>
          <w:rFonts w:ascii="Times New Roman" w:hAnsi="Times New Roman" w:cs="Times New Roman"/>
        </w:rPr>
        <w:fldChar w:fldCharType="begin"/>
      </w:r>
      <w:r w:rsidRPr="00366648">
        <w:rPr>
          <w:rFonts w:ascii="Times New Roman" w:hAnsi="Times New Roman" w:cs="Times New Roman"/>
        </w:rPr>
        <w:instrText xml:space="preserve"> REF _Ref57862399 \h  \* MERGEFORMAT </w:instrText>
      </w:r>
      <w:r w:rsidRPr="00366648">
        <w:rPr>
          <w:rFonts w:ascii="Times New Roman" w:hAnsi="Times New Roman" w:cs="Times New Roman"/>
        </w:rPr>
      </w:r>
      <w:r w:rsidRPr="00366648">
        <w:rPr>
          <w:rFonts w:ascii="Times New Roman" w:hAnsi="Times New Roman" w:cs="Times New Roman"/>
        </w:rPr>
        <w:fldChar w:fldCharType="separate"/>
      </w:r>
      <w:r w:rsidRPr="00366648">
        <w:rPr>
          <w:rFonts w:ascii="Times New Roman" w:hAnsi="Times New Roman" w:cs="Times New Roman"/>
        </w:rPr>
        <w:t xml:space="preserve">Figure </w:t>
      </w:r>
      <w:r w:rsidRPr="00366648">
        <w:rPr>
          <w:rFonts w:ascii="Times New Roman" w:hAnsi="Times New Roman" w:cs="Times New Roman"/>
          <w:noProof/>
        </w:rPr>
        <w:t>2</w:t>
      </w:r>
      <w:r w:rsidRPr="00366648">
        <w:rPr>
          <w:rFonts w:ascii="Times New Roman" w:hAnsi="Times New Roman" w:cs="Times New Roman"/>
        </w:rPr>
        <w:fldChar w:fldCharType="end"/>
      </w:r>
      <w:r w:rsidRPr="00366648">
        <w:rPr>
          <w:rFonts w:ascii="Times New Roman" w:hAnsi="Times New Roman" w:cs="Times New Roman"/>
        </w:rPr>
        <w:t xml:space="preserve"> shows the main tributaries of the segment of the Queen–King River system under investigation in this study. </w:t>
      </w:r>
    </w:p>
    <w:p w14:paraId="3D0470E4" w14:textId="376D0B7A" w:rsidR="0052356A" w:rsidRDefault="00853046" w:rsidP="00853046">
      <w:pPr>
        <w:pStyle w:val="Paraotexto"/>
        <w:spacing w:before="0" w:line="240" w:lineRule="auto"/>
        <w:ind w:right="0"/>
        <w:rPr>
          <w:rFonts w:ascii="Times New Roman" w:hAnsi="Times New Roman" w:cs="Times New Roman"/>
        </w:rPr>
      </w:pPr>
      <w:r w:rsidRPr="00366648">
        <w:rPr>
          <w:rFonts w:ascii="Times New Roman" w:hAnsi="Times New Roman" w:cs="Times New Roman"/>
        </w:rPr>
        <w:t>Queenstown is one of the wettest locations in Tasmania with</w:t>
      </w:r>
      <w:r w:rsidR="00D32E5B">
        <w:rPr>
          <w:rFonts w:ascii="Times New Roman" w:hAnsi="Times New Roman" w:cs="Times New Roman"/>
        </w:rPr>
        <w:t xml:space="preserve"> </w:t>
      </w:r>
      <w:r w:rsidRPr="00366648">
        <w:rPr>
          <w:rFonts w:ascii="Times New Roman" w:hAnsi="Times New Roman" w:cs="Times New Roman"/>
        </w:rPr>
        <w:t xml:space="preserve"> </w:t>
      </w:r>
      <w:r w:rsidR="00D32E5B">
        <w:rPr>
          <w:rFonts w:ascii="Times New Roman" w:hAnsi="Times New Roman" w:cs="Times New Roman"/>
        </w:rPr>
        <w:t xml:space="preserve">an </w:t>
      </w:r>
      <w:r w:rsidRPr="00366648">
        <w:rPr>
          <w:rFonts w:ascii="Times New Roman" w:hAnsi="Times New Roman" w:cs="Times New Roman"/>
        </w:rPr>
        <w:t>average</w:t>
      </w:r>
      <w:r w:rsidR="00D32E5B">
        <w:rPr>
          <w:rFonts w:ascii="Times New Roman" w:hAnsi="Times New Roman" w:cs="Times New Roman"/>
        </w:rPr>
        <w:t xml:space="preserve"> annual</w:t>
      </w:r>
      <w:r w:rsidRPr="00366648">
        <w:rPr>
          <w:rFonts w:ascii="Times New Roman" w:hAnsi="Times New Roman" w:cs="Times New Roman"/>
        </w:rPr>
        <w:t xml:space="preserve"> rainfall of 2408.2 mm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&lt;EndNote&gt;&lt;Cite&gt;&lt;Author&gt;Bureau of Meteorology&lt;/Author&gt;&lt;Year&gt;2021&lt;/Year&gt;&lt;RecNum&gt;400&lt;/RecNum&gt;&lt;DisplayText&gt;(Bureau of Meteorology, 2021)&lt;/DisplayText&gt;&lt;record&gt;&lt;rec-number&gt;400&lt;/rec-number&gt;&lt;foreign-keys&gt;&lt;key app="EN" db-id="wfv0ff2zhvveeiepdtr5fpxcf2d9szdw0spe" timestamp="1561099819"&gt;400&lt;/key&gt;&lt;/foreign-keys&gt;&lt;ref-type name="Web Page"&gt;12&lt;/ref-type&gt;&lt;contributors&gt;&lt;authors&gt;&lt;author&gt;Bureau of Meteorology, &lt;/author&gt;&lt;/authors&gt;&lt;/contributors&gt;&lt;titles&gt;&lt;title&gt;Climate statistics for Australian locations, Queenstown&lt;/title&gt;&lt;/titles&gt;&lt;volume&gt;2021&lt;/volume&gt;&lt;number&gt;6 July &lt;/number&gt;&lt;dates&gt;&lt;year&gt;2021&lt;/year&gt;&lt;/dates&gt;&lt;urls&gt;&lt;related-urls&gt;&lt;url&gt;http://www.bom.gov.au/climate/averages/tables/cw_097034_All.shtml&lt;/url&gt;&lt;/related-urls&gt;&lt;/urls&gt;&lt;/record&gt;&lt;/Cite&gt;&lt;/EndNote&gt;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(Bureau of Meteorology, 2021)</w:t>
      </w:r>
      <w:r w:rsidRPr="00366648">
        <w:rPr>
          <w:rFonts w:ascii="Times New Roman" w:hAnsi="Times New Roman" w:cs="Times New Roman"/>
        </w:rPr>
        <w:fldChar w:fldCharType="end"/>
      </w:r>
      <w:r w:rsidRPr="00366648">
        <w:rPr>
          <w:rFonts w:ascii="Times New Roman" w:hAnsi="Times New Roman" w:cs="Times New Roman"/>
        </w:rPr>
        <w:t xml:space="preserve">. Summers are cool (8.2 to 20.8 °C) with mild winters (12 to 3.2 °C) and light snowfall occurring several times per year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&lt;EndNote&gt;&lt;Cite&gt;&lt;Author&gt;Bureau of Meteorology&lt;/Author&gt;&lt;Year&gt;2021&lt;/Year&gt;&lt;RecNum&gt;400&lt;/RecNum&gt;&lt;DisplayText&gt;(Bureau of Meteorology, 2021)&lt;/DisplayText&gt;&lt;record&gt;&lt;rec-number&gt;400&lt;/rec-number&gt;&lt;foreign-keys&gt;&lt;key app="EN" db-id="wfv0ff2zhvveeiepdtr5fpxcf2d9szdw0spe" timestamp="1561099819"&gt;400&lt;/key&gt;&lt;/foreign-keys&gt;&lt;ref-type name="Web Page"&gt;12&lt;/ref-type&gt;&lt;contributors&gt;&lt;authors&gt;&lt;author&gt;Bureau of Meteorology, &lt;/author&gt;&lt;/authors&gt;&lt;/contributors&gt;&lt;titles&gt;&lt;title&gt;Climate statistics for Australian locations, Queenstown&lt;/title&gt;&lt;/titles&gt;&lt;volume&gt;2021&lt;/volume&gt;&lt;number&gt;6 July &lt;/number&gt;&lt;dates&gt;&lt;year&gt;2021&lt;/year&gt;&lt;/dates&gt;&lt;urls&gt;&lt;related-urls&gt;&lt;url&gt;http://www.bom.gov.au/climate/averages/tables/cw_097034_All.shtml&lt;/url&gt;&lt;/related-urls&gt;&lt;/urls&gt;&lt;/record&gt;&lt;/Cite&gt;&lt;/EndNote&gt;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(Bureau of Meteorology, 2021)</w:t>
      </w:r>
      <w:r w:rsidRPr="00366648">
        <w:rPr>
          <w:rFonts w:ascii="Times New Roman" w:hAnsi="Times New Roman" w:cs="Times New Roman"/>
        </w:rPr>
        <w:fldChar w:fldCharType="end"/>
      </w:r>
      <w:r w:rsidRPr="00366648">
        <w:rPr>
          <w:rFonts w:ascii="Times New Roman" w:hAnsi="Times New Roman" w:cs="Times New Roman"/>
        </w:rPr>
        <w:t xml:space="preserve">. The influence of westerly winds known as the “Roaring Forties” produce west to east variations in cloudiness and rainfall across the state </w:t>
      </w:r>
      <w:r w:rsidRPr="00366648">
        <w:rPr>
          <w:rFonts w:ascii="Times New Roman" w:hAnsi="Times New Roman" w:cs="Times New Roman"/>
        </w:rPr>
        <w:fldChar w:fldCharType="begin"/>
      </w:r>
      <w:r w:rsidR="006B6AC2">
        <w:rPr>
          <w:rFonts w:ascii="Times New Roman" w:hAnsi="Times New Roman" w:cs="Times New Roman"/>
        </w:rPr>
        <w:instrText xml:space="preserve"> ADDIN EN.CITE &lt;EndNote&gt;&lt;Cite&gt;&lt;Author&gt;McQuade&lt;/Author&gt;&lt;Year&gt;1995&lt;/Year&gt;&lt;RecNum&gt;333&lt;/RecNum&gt;&lt;DisplayText&gt;(McQuade et al., 1995)&lt;/DisplayText&gt;&lt;record&gt;&lt;rec-number&gt;333&lt;/rec-number&gt;&lt;foreign-keys&gt;&lt;key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366648">
        <w:rPr>
          <w:rFonts w:ascii="Times New Roman" w:hAnsi="Times New Roman" w:cs="Times New Roman"/>
        </w:rPr>
        <w:fldChar w:fldCharType="separate"/>
      </w:r>
      <w:r w:rsidR="006B6AC2">
        <w:rPr>
          <w:rFonts w:ascii="Times New Roman" w:hAnsi="Times New Roman" w:cs="Times New Roman"/>
          <w:noProof/>
        </w:rPr>
        <w:t>(McQuade et al., 1995)</w:t>
      </w:r>
      <w:r w:rsidRPr="00366648">
        <w:rPr>
          <w:rFonts w:ascii="Times New Roman" w:hAnsi="Times New Roman" w:cs="Times New Roman"/>
        </w:rPr>
        <w:fldChar w:fldCharType="end"/>
      </w:r>
      <w:r w:rsidRPr="00366648">
        <w:rPr>
          <w:rFonts w:ascii="Times New Roman" w:hAnsi="Times New Roman" w:cs="Times New Roman"/>
        </w:rPr>
        <w:t>.</w:t>
      </w:r>
    </w:p>
    <w:p w14:paraId="7500CDEC" w14:textId="77777777" w:rsidR="007F6568" w:rsidRDefault="007F6568" w:rsidP="00853046">
      <w:pPr>
        <w:pStyle w:val="Paraotexto"/>
        <w:spacing w:before="0" w:line="240" w:lineRule="auto"/>
        <w:ind w:right="0"/>
        <w:rPr>
          <w:rFonts w:ascii="Times New Roman" w:hAnsi="Times New Roman" w:cs="Times New Roman"/>
        </w:rPr>
      </w:pPr>
    </w:p>
    <w:p w14:paraId="1184C732" w14:textId="77777777" w:rsidR="007F6568" w:rsidRDefault="007F6568" w:rsidP="00853046">
      <w:pPr>
        <w:pStyle w:val="Paraotexto"/>
        <w:spacing w:before="0" w:line="240" w:lineRule="auto"/>
        <w:ind w:right="0"/>
        <w:rPr>
          <w:rFonts w:ascii="Times New Roman" w:hAnsi="Times New Roman" w:cs="Times New Roman"/>
        </w:rPr>
      </w:pPr>
    </w:p>
    <w:p w14:paraId="61B782BF" w14:textId="77777777" w:rsidR="007F6568" w:rsidRDefault="007F6568" w:rsidP="00853046">
      <w:pPr>
        <w:pStyle w:val="Paraotexto"/>
        <w:spacing w:before="0" w:line="240" w:lineRule="auto"/>
        <w:ind w:right="0"/>
        <w:rPr>
          <w:rFonts w:ascii="Times New Roman" w:hAnsi="Times New Roman" w:cs="Times New Roman"/>
        </w:rPr>
      </w:pPr>
    </w:p>
    <w:p w14:paraId="626314B5" w14:textId="77777777" w:rsidR="007F6568" w:rsidRDefault="007F6568" w:rsidP="00853046">
      <w:pPr>
        <w:pStyle w:val="Paraotexto"/>
        <w:spacing w:before="0" w:line="240" w:lineRule="auto"/>
        <w:ind w:right="0"/>
        <w:rPr>
          <w:rFonts w:ascii="Times New Roman" w:hAnsi="Times New Roman" w:cs="Times New Roman"/>
        </w:rPr>
      </w:pPr>
    </w:p>
    <w:p w14:paraId="280D968F" w14:textId="77777777" w:rsidR="007F6568" w:rsidRDefault="007F6568" w:rsidP="00853046">
      <w:pPr>
        <w:pStyle w:val="Paraotexto"/>
        <w:spacing w:before="0" w:line="240" w:lineRule="auto"/>
        <w:ind w:right="0"/>
        <w:rPr>
          <w:rFonts w:ascii="Times New Roman" w:hAnsi="Times New Roman" w:cs="Times New Roman"/>
        </w:rPr>
      </w:pPr>
    </w:p>
    <w:p w14:paraId="47FE3B2A" w14:textId="77777777" w:rsidR="007F6568" w:rsidRDefault="007F6568" w:rsidP="00853046">
      <w:pPr>
        <w:pStyle w:val="Paraotexto"/>
        <w:spacing w:before="0" w:line="240" w:lineRule="auto"/>
        <w:ind w:right="0"/>
        <w:rPr>
          <w:rFonts w:ascii="Times New Roman" w:hAnsi="Times New Roman" w:cs="Times New Roman"/>
        </w:rPr>
      </w:pPr>
    </w:p>
    <w:p w14:paraId="3C919BAA" w14:textId="77777777" w:rsidR="007F6568" w:rsidRDefault="007F6568" w:rsidP="00853046">
      <w:pPr>
        <w:pStyle w:val="Paraotexto"/>
        <w:spacing w:before="0" w:line="240" w:lineRule="auto"/>
        <w:ind w:right="0"/>
        <w:rPr>
          <w:rFonts w:ascii="Times New Roman" w:hAnsi="Times New Roman" w:cs="Times New Roman"/>
        </w:rPr>
      </w:pPr>
    </w:p>
    <w:p w14:paraId="4D4008E2" w14:textId="77777777" w:rsidR="007F6568" w:rsidRDefault="007F6568" w:rsidP="00853046">
      <w:pPr>
        <w:pStyle w:val="Paraotexto"/>
        <w:spacing w:before="0" w:line="240" w:lineRule="auto"/>
        <w:ind w:right="0"/>
        <w:rPr>
          <w:rFonts w:ascii="Times New Roman" w:hAnsi="Times New Roman" w:cs="Times New Roman"/>
        </w:rPr>
      </w:pPr>
    </w:p>
    <w:p w14:paraId="66680FE0" w14:textId="77777777" w:rsidR="007F6568" w:rsidRDefault="007F6568" w:rsidP="00853046">
      <w:pPr>
        <w:pStyle w:val="Paraotexto"/>
        <w:spacing w:before="0" w:line="240" w:lineRule="auto"/>
        <w:ind w:right="0"/>
        <w:rPr>
          <w:rFonts w:ascii="Times New Roman" w:hAnsi="Times New Roman" w:cs="Times New Roman"/>
        </w:rPr>
      </w:pPr>
    </w:p>
    <w:p w14:paraId="29722CD1" w14:textId="77777777" w:rsidR="007F6568" w:rsidRDefault="007F6568" w:rsidP="00853046">
      <w:pPr>
        <w:pStyle w:val="Paraotexto"/>
        <w:spacing w:before="0" w:line="240" w:lineRule="auto"/>
        <w:ind w:right="0"/>
        <w:rPr>
          <w:rFonts w:ascii="Times New Roman" w:hAnsi="Times New Roman" w:cs="Times New Roman"/>
        </w:rPr>
      </w:pPr>
    </w:p>
    <w:p w14:paraId="27114FB4" w14:textId="77777777" w:rsidR="007F6568" w:rsidRDefault="007F6568" w:rsidP="00853046">
      <w:pPr>
        <w:pStyle w:val="Paraotexto"/>
        <w:spacing w:before="0" w:line="240" w:lineRule="auto"/>
        <w:ind w:right="0"/>
        <w:rPr>
          <w:rFonts w:ascii="Times New Roman" w:hAnsi="Times New Roman" w:cs="Times New Roman"/>
        </w:rPr>
      </w:pPr>
    </w:p>
    <w:p w14:paraId="0D0353DC" w14:textId="77777777" w:rsidR="007F6568" w:rsidRDefault="007F6568" w:rsidP="00853046">
      <w:pPr>
        <w:pStyle w:val="Paraotexto"/>
        <w:spacing w:before="0" w:line="240" w:lineRule="auto"/>
        <w:ind w:right="0"/>
        <w:rPr>
          <w:rFonts w:ascii="Times New Roman" w:hAnsi="Times New Roman" w:cs="Times New Roman"/>
        </w:rPr>
      </w:pPr>
    </w:p>
    <w:p w14:paraId="59C6453B" w14:textId="77777777" w:rsidR="007F6568" w:rsidRDefault="007F6568" w:rsidP="00853046">
      <w:pPr>
        <w:pStyle w:val="Paraotexto"/>
        <w:spacing w:before="0" w:line="240" w:lineRule="auto"/>
        <w:ind w:right="0"/>
        <w:rPr>
          <w:rFonts w:ascii="Times New Roman" w:hAnsi="Times New Roman" w:cs="Times New Roman"/>
        </w:rPr>
      </w:pPr>
    </w:p>
    <w:p w14:paraId="2B8DFAFA" w14:textId="77777777" w:rsidR="007F6568" w:rsidRDefault="007F6568" w:rsidP="00853046">
      <w:pPr>
        <w:pStyle w:val="Paraotexto"/>
        <w:spacing w:before="0" w:line="240" w:lineRule="auto"/>
        <w:ind w:right="0"/>
        <w:rPr>
          <w:rFonts w:ascii="Times New Roman" w:hAnsi="Times New Roman" w:cs="Times New Roman"/>
        </w:rPr>
      </w:pPr>
    </w:p>
    <w:p w14:paraId="3A098057" w14:textId="11DC5056" w:rsidR="00340957" w:rsidRPr="007F6568" w:rsidRDefault="00340957" w:rsidP="007F6568">
      <w:pPr>
        <w:pStyle w:val="Caption"/>
        <w:keepNext/>
        <w:spacing w:before="240" w:after="120" w:line="276" w:lineRule="auto"/>
        <w:rPr>
          <w:rFonts w:ascii="Times New Roman" w:hAnsi="Times New Roman" w:cs="Times New Roman"/>
          <w:i w:val="0"/>
          <w:iCs w:val="0"/>
          <w:sz w:val="22"/>
          <w:szCs w:val="22"/>
        </w:rPr>
      </w:pPr>
      <w:bookmarkStart w:id="2" w:name="_Ref95357133"/>
      <w:r w:rsidRPr="007F6568">
        <w:rPr>
          <w:rFonts w:ascii="Times New Roman" w:hAnsi="Times New Roman" w:cs="Times New Roman"/>
          <w:i w:val="0"/>
          <w:iCs w:val="0"/>
          <w:sz w:val="22"/>
          <w:szCs w:val="22"/>
        </w:rPr>
        <w:t>Supplementa</w:t>
      </w:r>
      <w:r w:rsidR="00921B6E" w:rsidRPr="007F6568">
        <w:rPr>
          <w:rFonts w:ascii="Times New Roman" w:hAnsi="Times New Roman" w:cs="Times New Roman"/>
          <w:i w:val="0"/>
          <w:iCs w:val="0"/>
          <w:sz w:val="22"/>
          <w:szCs w:val="22"/>
        </w:rPr>
        <w:t>l</w:t>
      </w:r>
      <w:r w:rsidRPr="007F6568">
        <w:rPr>
          <w:rFonts w:ascii="Times New Roman" w:hAnsi="Times New Roman" w:cs="Times New Roman"/>
          <w:i w:val="0"/>
          <w:iCs w:val="0"/>
          <w:sz w:val="22"/>
          <w:szCs w:val="22"/>
        </w:rPr>
        <w:t xml:space="preserve"> Table S-</w:t>
      </w:r>
      <w:r w:rsidRPr="007F6568">
        <w:rPr>
          <w:rFonts w:ascii="Times New Roman" w:hAnsi="Times New Roman" w:cs="Times New Roman"/>
          <w:i w:val="0"/>
          <w:iCs w:val="0"/>
          <w:sz w:val="22"/>
          <w:szCs w:val="22"/>
        </w:rPr>
        <w:fldChar w:fldCharType="begin"/>
      </w:r>
      <w:r w:rsidRPr="007F6568">
        <w:rPr>
          <w:rFonts w:ascii="Times New Roman" w:hAnsi="Times New Roman" w:cs="Times New Roman"/>
          <w:i w:val="0"/>
          <w:iCs w:val="0"/>
          <w:sz w:val="22"/>
          <w:szCs w:val="22"/>
        </w:rPr>
        <w:instrText xml:space="preserve"> SEQ Supplementary_Table_ \* ARABIC </w:instrText>
      </w:r>
      <w:r w:rsidRPr="007F6568">
        <w:rPr>
          <w:rFonts w:ascii="Times New Roman" w:hAnsi="Times New Roman" w:cs="Times New Roman"/>
          <w:i w:val="0"/>
          <w:iCs w:val="0"/>
          <w:sz w:val="22"/>
          <w:szCs w:val="22"/>
        </w:rPr>
        <w:fldChar w:fldCharType="separate"/>
      </w:r>
      <w:r w:rsidRPr="007F6568">
        <w:rPr>
          <w:rFonts w:ascii="Times New Roman" w:hAnsi="Times New Roman" w:cs="Times New Roman"/>
          <w:i w:val="0"/>
          <w:iCs w:val="0"/>
          <w:noProof/>
          <w:sz w:val="22"/>
          <w:szCs w:val="22"/>
        </w:rPr>
        <w:t>1</w:t>
      </w:r>
      <w:r w:rsidRPr="007F6568">
        <w:rPr>
          <w:rFonts w:ascii="Times New Roman" w:hAnsi="Times New Roman" w:cs="Times New Roman"/>
          <w:i w:val="0"/>
          <w:iCs w:val="0"/>
          <w:noProof/>
          <w:sz w:val="22"/>
          <w:szCs w:val="22"/>
        </w:rPr>
        <w:fldChar w:fldCharType="end"/>
      </w:r>
      <w:bookmarkEnd w:id="2"/>
      <w:r w:rsidRPr="007F6568">
        <w:rPr>
          <w:rFonts w:ascii="Times New Roman" w:hAnsi="Times New Roman" w:cs="Times New Roman"/>
          <w:i w:val="0"/>
          <w:iCs w:val="0"/>
          <w:noProof/>
          <w:sz w:val="22"/>
          <w:szCs w:val="22"/>
        </w:rPr>
        <w:t>.</w:t>
      </w:r>
      <w:r w:rsidRPr="007F6568">
        <w:rPr>
          <w:rFonts w:ascii="Times New Roman" w:hAnsi="Times New Roman" w:cs="Times New Roman"/>
          <w:i w:val="0"/>
          <w:iCs w:val="0"/>
          <w:sz w:val="22"/>
          <w:szCs w:val="22"/>
        </w:rPr>
        <w:t xml:space="preserve"> Summary of key events in the Mount Lyell region that impacted the Queen–King river system </w:t>
      </w:r>
      <w:r w:rsidRPr="007F6568">
        <w:rPr>
          <w:rFonts w:ascii="Times New Roman" w:hAnsi="Times New Roman" w:cs="Times New Roman"/>
          <w:i w:val="0"/>
          <w:iCs w:val="0"/>
          <w:sz w:val="22"/>
          <w:szCs w:val="22"/>
        </w:rPr>
        <w:fldChar w:fldCharType="begin"/>
      </w:r>
      <w:r w:rsidR="006B6AC2" w:rsidRPr="007F6568">
        <w:rPr>
          <w:rFonts w:ascii="Times New Roman" w:hAnsi="Times New Roman" w:cs="Times New Roman"/>
          <w:i w:val="0"/>
          <w:iCs w:val="0"/>
          <w:sz w:val="22"/>
          <w:szCs w:val="22"/>
        </w:rPr>
        <w:instrText xml:space="preserve"> ADDIN EN.CITE &lt;EndNote&gt;&lt;Cite&gt;&lt;Author&gt;Locher&lt;/Author&gt;&lt;Year&gt;1997&lt;/Year&gt;&lt;RecNum&gt;233&lt;/RecNum&gt;&lt;Prefix&gt;modified after &lt;/Prefix&gt;&lt;DisplayText&gt;(modified after McQuade et al., 1995; Locher, 1997)&lt;/DisplayText&gt;&lt;record&gt;&lt;rec-number&gt;233&lt;/rec-number&gt;&lt;foreign-keys&gt;&lt;key app="EN" db-id="wfv0ff2zhvveeiepdtr5fpxcf2d9szdw0spe" timestamp="1541721367"&gt;233&lt;/key&gt;&lt;/foreign-keys&gt;&lt;ref-type name="Journal Article"&gt;17&lt;/ref-type&gt;&lt;contributors&gt;&lt;authors&gt;&lt;author&gt;Locher, Helen&lt;/author&gt;&lt;/authors&gt;&lt;/contributors&gt;&lt;titles&gt;&lt;title&gt;Sediment transport in the King River, Tasmania. Mount Lyell remediation research and demonstration program. Supervising Scientist Report&lt;/title&gt;&lt;/titles&gt;&lt;pages&gt;124&lt;/pages&gt;&lt;volume&gt;120&lt;/volume&gt;&lt;dates&gt;&lt;year&gt;1997&lt;/year&gt;&lt;/dates&gt;&lt;urls&gt;&lt;/urls&gt;&lt;/record&gt;&lt;/Cite&gt;&lt;Cite&gt;&lt;Author&gt;McQuade&lt;/Author&gt;&lt;Year&gt;1995&lt;/Year&gt;&lt;RecNum&gt;333&lt;/RecNum&gt;&lt;record&gt;&lt;rec-number&gt;333&lt;/rec-number&gt;&lt;foreign-keys&gt;&lt;key app="EN" db-id="wfv0ff2zhvveeiepdtr5fpxcf2d9szdw0spe" timestamp="1551406162"&gt;333&lt;/key&gt;&lt;/foreign-keys&gt;&lt;ref-type name="Report"&gt;27&lt;/ref-type&gt;&lt;contributors&gt;&lt;authors&gt;&lt;author&gt;McQuade, Christopher V&lt;/author&gt;&lt;author&gt;Johnston, John F&lt;/author&gt;&lt;author&gt;Innes, Shelley M&lt;/author&gt;&lt;/authors&gt;&lt;/contributors&gt;&lt;titles&gt;&lt;title&gt;Mount Lyell Remediation: review of historical literature and data on the sources and quality of effluent from the Mount Lyell lease site&lt;/title&gt;&lt;/titles&gt;&lt;pages&gt;78&lt;/pages&gt;&lt;volume&gt;104&lt;/volume&gt;&lt;dates&gt;&lt;year&gt;1995&lt;/year&gt;&lt;/dates&gt;&lt;publisher&gt;Supervising Scientist Report&lt;/publisher&gt;&lt;isbn&gt;0642243034&lt;/isbn&gt;&lt;urls&gt;&lt;/urls&gt;&lt;/record&gt;&lt;/Cite&gt;&lt;/EndNote&gt;</w:instrText>
      </w:r>
      <w:r w:rsidRPr="007F6568">
        <w:rPr>
          <w:rFonts w:ascii="Times New Roman" w:hAnsi="Times New Roman" w:cs="Times New Roman"/>
          <w:i w:val="0"/>
          <w:iCs w:val="0"/>
          <w:sz w:val="22"/>
          <w:szCs w:val="22"/>
        </w:rPr>
        <w:fldChar w:fldCharType="separate"/>
      </w:r>
      <w:r w:rsidR="006B6AC2" w:rsidRPr="007F6568">
        <w:rPr>
          <w:rFonts w:ascii="Times New Roman" w:hAnsi="Times New Roman" w:cs="Times New Roman"/>
          <w:i w:val="0"/>
          <w:iCs w:val="0"/>
          <w:noProof/>
          <w:sz w:val="22"/>
          <w:szCs w:val="22"/>
        </w:rPr>
        <w:t>(modified after McQuade et al., 1995; Locher, 1997)</w:t>
      </w:r>
      <w:r w:rsidRPr="007F6568">
        <w:rPr>
          <w:rFonts w:ascii="Times New Roman" w:hAnsi="Times New Roman" w:cs="Times New Roman"/>
          <w:i w:val="0"/>
          <w:iCs w:val="0"/>
          <w:sz w:val="22"/>
          <w:szCs w:val="22"/>
        </w:rPr>
        <w:fldChar w:fldCharType="end"/>
      </w:r>
      <w:r w:rsidRPr="007F6568">
        <w:rPr>
          <w:rFonts w:ascii="Times New Roman" w:hAnsi="Times New Roman" w:cs="Times New Roman"/>
          <w:i w:val="0"/>
          <w:iCs w:val="0"/>
          <w:sz w:val="22"/>
          <w:szCs w:val="22"/>
        </w:rPr>
        <w:t>.</w:t>
      </w:r>
    </w:p>
    <w:tbl>
      <w:tblPr>
        <w:tblW w:w="8862" w:type="dxa"/>
        <w:tblInd w:w="108" w:type="dxa"/>
        <w:tblLook w:val="04A0" w:firstRow="1" w:lastRow="0" w:firstColumn="1" w:lastColumn="0" w:noHBand="0" w:noVBand="1"/>
      </w:tblPr>
      <w:tblGrid>
        <w:gridCol w:w="960"/>
        <w:gridCol w:w="7680"/>
        <w:gridCol w:w="222"/>
      </w:tblGrid>
      <w:tr w:rsidR="00340957" w:rsidRPr="00340957" w14:paraId="5D78A3CA" w14:textId="77777777" w:rsidTr="003C672D">
        <w:trPr>
          <w:gridAfter w:val="1"/>
          <w:wAfter w:w="222" w:type="dxa"/>
          <w:trHeight w:val="280"/>
        </w:trPr>
        <w:tc>
          <w:tcPr>
            <w:tcW w:w="960" w:type="dxa"/>
            <w:tcBorders>
              <w:top w:val="single" w:sz="4" w:space="0" w:color="auto"/>
              <w:left w:val="nil"/>
              <w:bottom w:val="single" w:sz="4" w:space="0" w:color="auto"/>
              <w:right w:val="nil"/>
            </w:tcBorders>
            <w:shd w:val="clear" w:color="auto" w:fill="auto"/>
            <w:noWrap/>
            <w:hideMark/>
          </w:tcPr>
          <w:p w14:paraId="198D6B64"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bookmarkStart w:id="3" w:name="_Hlk74628141"/>
            <w:r w:rsidRPr="00340957">
              <w:rPr>
                <w:rFonts w:ascii="Times New Roman" w:eastAsia="Times New Roman" w:hAnsi="Times New Roman" w:cs="Times New Roman"/>
                <w:color w:val="000000"/>
                <w:lang w:eastAsia="en-AU"/>
              </w:rPr>
              <w:t xml:space="preserve">Year </w:t>
            </w:r>
          </w:p>
        </w:tc>
        <w:tc>
          <w:tcPr>
            <w:tcW w:w="7680" w:type="dxa"/>
            <w:tcBorders>
              <w:top w:val="single" w:sz="4" w:space="0" w:color="auto"/>
              <w:left w:val="nil"/>
              <w:bottom w:val="single" w:sz="4" w:space="0" w:color="auto"/>
              <w:right w:val="nil"/>
            </w:tcBorders>
            <w:shd w:val="clear" w:color="auto" w:fill="auto"/>
            <w:noWrap/>
            <w:hideMark/>
          </w:tcPr>
          <w:p w14:paraId="615D9060"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 xml:space="preserve">Events </w:t>
            </w:r>
          </w:p>
        </w:tc>
      </w:tr>
      <w:tr w:rsidR="00340957" w:rsidRPr="00340957" w14:paraId="5E1C71B3" w14:textId="77777777" w:rsidTr="00876672">
        <w:trPr>
          <w:gridAfter w:val="1"/>
          <w:wAfter w:w="222" w:type="dxa"/>
          <w:trHeight w:hRule="exact" w:val="340"/>
        </w:trPr>
        <w:tc>
          <w:tcPr>
            <w:tcW w:w="960" w:type="dxa"/>
            <w:tcBorders>
              <w:top w:val="nil"/>
              <w:left w:val="nil"/>
              <w:bottom w:val="nil"/>
              <w:right w:val="nil"/>
            </w:tcBorders>
            <w:shd w:val="clear" w:color="auto" w:fill="auto"/>
            <w:noWrap/>
            <w:vAlign w:val="center"/>
            <w:hideMark/>
          </w:tcPr>
          <w:p w14:paraId="78307251" w14:textId="77777777" w:rsidR="00340957" w:rsidRPr="00340957" w:rsidRDefault="00340957" w:rsidP="00340957">
            <w:pPr>
              <w:spacing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1893</w:t>
            </w:r>
          </w:p>
        </w:tc>
        <w:tc>
          <w:tcPr>
            <w:tcW w:w="7680" w:type="dxa"/>
            <w:tcBorders>
              <w:top w:val="nil"/>
              <w:left w:val="nil"/>
              <w:bottom w:val="nil"/>
              <w:right w:val="nil"/>
            </w:tcBorders>
            <w:shd w:val="clear" w:color="auto" w:fill="auto"/>
            <w:noWrap/>
            <w:vAlign w:val="center"/>
            <w:hideMark/>
          </w:tcPr>
          <w:p w14:paraId="759E89E1"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MLMRC was created with ore shipped to Europe for direct smelting</w:t>
            </w:r>
          </w:p>
        </w:tc>
      </w:tr>
      <w:tr w:rsidR="00340957" w:rsidRPr="00340957" w14:paraId="348A5FC9" w14:textId="77777777" w:rsidTr="00876672">
        <w:trPr>
          <w:gridAfter w:val="1"/>
          <w:wAfter w:w="222" w:type="dxa"/>
          <w:trHeight w:hRule="exact" w:val="340"/>
        </w:trPr>
        <w:tc>
          <w:tcPr>
            <w:tcW w:w="960" w:type="dxa"/>
            <w:tcBorders>
              <w:top w:val="nil"/>
              <w:left w:val="nil"/>
              <w:bottom w:val="nil"/>
              <w:right w:val="nil"/>
            </w:tcBorders>
            <w:shd w:val="clear" w:color="auto" w:fill="auto"/>
            <w:noWrap/>
            <w:vAlign w:val="center"/>
            <w:hideMark/>
          </w:tcPr>
          <w:p w14:paraId="0442CEB3" w14:textId="77777777" w:rsidR="00340957" w:rsidRPr="00340957" w:rsidRDefault="00340957" w:rsidP="00340957">
            <w:pPr>
              <w:spacing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1896</w:t>
            </w:r>
          </w:p>
        </w:tc>
        <w:tc>
          <w:tcPr>
            <w:tcW w:w="7680" w:type="dxa"/>
            <w:tcBorders>
              <w:top w:val="nil"/>
              <w:left w:val="nil"/>
              <w:bottom w:val="nil"/>
              <w:right w:val="nil"/>
            </w:tcBorders>
            <w:shd w:val="clear" w:color="auto" w:fill="auto"/>
            <w:noWrap/>
            <w:vAlign w:val="center"/>
            <w:hideMark/>
          </w:tcPr>
          <w:p w14:paraId="1200675F"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 xml:space="preserve">First furnace for pyritic smelting commissioned in Queenstown </w:t>
            </w:r>
          </w:p>
        </w:tc>
      </w:tr>
      <w:tr w:rsidR="00340957" w:rsidRPr="00340957" w14:paraId="2191B785" w14:textId="77777777" w:rsidTr="00876672">
        <w:trPr>
          <w:gridAfter w:val="1"/>
          <w:wAfter w:w="222" w:type="dxa"/>
          <w:trHeight w:val="397"/>
        </w:trPr>
        <w:tc>
          <w:tcPr>
            <w:tcW w:w="960" w:type="dxa"/>
            <w:tcBorders>
              <w:top w:val="nil"/>
              <w:left w:val="nil"/>
              <w:bottom w:val="nil"/>
              <w:right w:val="nil"/>
            </w:tcBorders>
            <w:shd w:val="clear" w:color="auto" w:fill="auto"/>
            <w:noWrap/>
            <w:vAlign w:val="center"/>
          </w:tcPr>
          <w:p w14:paraId="3B89654E" w14:textId="77777777" w:rsidR="00340957" w:rsidRPr="00340957" w:rsidRDefault="00340957" w:rsidP="00340957">
            <w:pPr>
              <w:spacing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1916</w:t>
            </w:r>
          </w:p>
        </w:tc>
        <w:tc>
          <w:tcPr>
            <w:tcW w:w="7680" w:type="dxa"/>
            <w:tcBorders>
              <w:top w:val="nil"/>
              <w:left w:val="nil"/>
              <w:bottom w:val="nil"/>
              <w:right w:val="nil"/>
            </w:tcBorders>
            <w:shd w:val="clear" w:color="auto" w:fill="auto"/>
            <w:noWrap/>
            <w:vAlign w:val="center"/>
          </w:tcPr>
          <w:p w14:paraId="21003F86"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Grinding and flotation were implemented to process the ore; waste products (tailings, topsoil, smelted slag, and AMD) discharge commenced at Haulage Creek</w:t>
            </w:r>
          </w:p>
        </w:tc>
      </w:tr>
      <w:tr w:rsidR="00340957" w:rsidRPr="00340957" w14:paraId="22CEB1FB" w14:textId="77777777" w:rsidTr="00876672">
        <w:trPr>
          <w:trHeight w:hRule="exact" w:val="340"/>
        </w:trPr>
        <w:tc>
          <w:tcPr>
            <w:tcW w:w="960" w:type="dxa"/>
            <w:tcBorders>
              <w:top w:val="nil"/>
              <w:left w:val="nil"/>
              <w:bottom w:val="nil"/>
              <w:right w:val="nil"/>
            </w:tcBorders>
            <w:shd w:val="clear" w:color="auto" w:fill="auto"/>
            <w:noWrap/>
            <w:vAlign w:val="center"/>
            <w:hideMark/>
          </w:tcPr>
          <w:p w14:paraId="6E3A39DD" w14:textId="77777777" w:rsidR="00340957" w:rsidRPr="00340957" w:rsidRDefault="00340957" w:rsidP="00340957">
            <w:pPr>
              <w:spacing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1992</w:t>
            </w:r>
          </w:p>
        </w:tc>
        <w:tc>
          <w:tcPr>
            <w:tcW w:w="7680" w:type="dxa"/>
            <w:tcBorders>
              <w:top w:val="nil"/>
              <w:left w:val="nil"/>
              <w:bottom w:val="nil"/>
              <w:right w:val="nil"/>
            </w:tcBorders>
            <w:shd w:val="clear" w:color="auto" w:fill="auto"/>
            <w:noWrap/>
            <w:vAlign w:val="center"/>
            <w:hideMark/>
          </w:tcPr>
          <w:p w14:paraId="4ACAB73D"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King River dammed to generate hydroelectric power at the Crotty Dam</w:t>
            </w:r>
          </w:p>
        </w:tc>
        <w:tc>
          <w:tcPr>
            <w:tcW w:w="222" w:type="dxa"/>
            <w:vAlign w:val="center"/>
            <w:hideMark/>
          </w:tcPr>
          <w:p w14:paraId="5DE484FC" w14:textId="77777777" w:rsidR="00340957" w:rsidRPr="00340957" w:rsidRDefault="00340957" w:rsidP="003C672D">
            <w:pPr>
              <w:spacing w:line="276" w:lineRule="auto"/>
              <w:rPr>
                <w:rFonts w:ascii="Times New Roman" w:eastAsia="Times New Roman" w:hAnsi="Times New Roman" w:cs="Times New Roman"/>
                <w:lang w:eastAsia="en-AU"/>
              </w:rPr>
            </w:pPr>
          </w:p>
        </w:tc>
      </w:tr>
      <w:tr w:rsidR="00340957" w:rsidRPr="00340957" w14:paraId="10A5CB1D" w14:textId="77777777" w:rsidTr="00876672">
        <w:trPr>
          <w:trHeight w:hRule="exact" w:val="340"/>
        </w:trPr>
        <w:tc>
          <w:tcPr>
            <w:tcW w:w="960" w:type="dxa"/>
            <w:tcBorders>
              <w:top w:val="nil"/>
              <w:left w:val="nil"/>
              <w:bottom w:val="nil"/>
              <w:right w:val="nil"/>
            </w:tcBorders>
            <w:shd w:val="clear" w:color="auto" w:fill="auto"/>
            <w:noWrap/>
            <w:vAlign w:val="center"/>
            <w:hideMark/>
          </w:tcPr>
          <w:p w14:paraId="6E8EBC61" w14:textId="77777777" w:rsidR="00340957" w:rsidRPr="00340957" w:rsidRDefault="00340957" w:rsidP="00340957">
            <w:pPr>
              <w:spacing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1994</w:t>
            </w:r>
          </w:p>
        </w:tc>
        <w:tc>
          <w:tcPr>
            <w:tcW w:w="7680" w:type="dxa"/>
            <w:tcBorders>
              <w:top w:val="nil"/>
              <w:left w:val="nil"/>
              <w:bottom w:val="nil"/>
              <w:right w:val="nil"/>
            </w:tcBorders>
            <w:shd w:val="clear" w:color="auto" w:fill="auto"/>
            <w:noWrap/>
            <w:vAlign w:val="center"/>
            <w:hideMark/>
          </w:tcPr>
          <w:p w14:paraId="74DDB90A"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Mining operations ceased at Mount Lyell</w:t>
            </w:r>
          </w:p>
        </w:tc>
        <w:tc>
          <w:tcPr>
            <w:tcW w:w="222" w:type="dxa"/>
            <w:vAlign w:val="center"/>
            <w:hideMark/>
          </w:tcPr>
          <w:p w14:paraId="7910B2BC" w14:textId="77777777" w:rsidR="00340957" w:rsidRPr="00340957" w:rsidRDefault="00340957" w:rsidP="003C672D">
            <w:pPr>
              <w:spacing w:line="276" w:lineRule="auto"/>
              <w:rPr>
                <w:rFonts w:ascii="Times New Roman" w:eastAsia="Times New Roman" w:hAnsi="Times New Roman" w:cs="Times New Roman"/>
                <w:lang w:eastAsia="en-AU"/>
              </w:rPr>
            </w:pPr>
          </w:p>
        </w:tc>
      </w:tr>
      <w:tr w:rsidR="00340957" w:rsidRPr="00340957" w14:paraId="14D25D51" w14:textId="77777777" w:rsidTr="00D55A2E">
        <w:trPr>
          <w:trHeight w:hRule="exact" w:val="170"/>
        </w:trPr>
        <w:tc>
          <w:tcPr>
            <w:tcW w:w="960" w:type="dxa"/>
            <w:vMerge w:val="restart"/>
            <w:tcBorders>
              <w:top w:val="nil"/>
              <w:left w:val="nil"/>
              <w:bottom w:val="nil"/>
              <w:right w:val="nil"/>
            </w:tcBorders>
            <w:shd w:val="clear" w:color="auto" w:fill="auto"/>
            <w:noWrap/>
            <w:vAlign w:val="center"/>
            <w:hideMark/>
          </w:tcPr>
          <w:p w14:paraId="436DD1E8" w14:textId="77777777" w:rsidR="00340957" w:rsidRPr="00340957" w:rsidRDefault="00340957" w:rsidP="006647E8">
            <w:pPr>
              <w:spacing w:line="240"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1995</w:t>
            </w:r>
          </w:p>
        </w:tc>
        <w:tc>
          <w:tcPr>
            <w:tcW w:w="7680" w:type="dxa"/>
            <w:vMerge w:val="restart"/>
            <w:tcBorders>
              <w:top w:val="nil"/>
              <w:left w:val="nil"/>
              <w:bottom w:val="nil"/>
              <w:right w:val="nil"/>
            </w:tcBorders>
            <w:shd w:val="clear" w:color="auto" w:fill="auto"/>
            <w:vAlign w:val="center"/>
            <w:hideMark/>
          </w:tcPr>
          <w:p w14:paraId="671A77DD" w14:textId="77777777" w:rsidR="00340957" w:rsidRPr="00340957" w:rsidRDefault="00340957" w:rsidP="006647E8">
            <w:pPr>
              <w:spacing w:after="0" w:line="240"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 xml:space="preserve">Mine reopened with MLMRC taken over by CMT. Riverine tailings disposal ceased after a tailings dam construction. </w:t>
            </w:r>
          </w:p>
        </w:tc>
        <w:tc>
          <w:tcPr>
            <w:tcW w:w="222" w:type="dxa"/>
            <w:vAlign w:val="center"/>
            <w:hideMark/>
          </w:tcPr>
          <w:p w14:paraId="7D75372B" w14:textId="77777777" w:rsidR="00340957" w:rsidRPr="00340957" w:rsidRDefault="00340957" w:rsidP="006647E8">
            <w:pPr>
              <w:spacing w:line="240" w:lineRule="auto"/>
              <w:rPr>
                <w:rFonts w:ascii="Times New Roman" w:eastAsia="Times New Roman" w:hAnsi="Times New Roman" w:cs="Times New Roman"/>
                <w:lang w:eastAsia="en-AU"/>
              </w:rPr>
            </w:pPr>
          </w:p>
        </w:tc>
      </w:tr>
      <w:tr w:rsidR="00340957" w:rsidRPr="00340957" w14:paraId="39B9E694" w14:textId="77777777" w:rsidTr="00876672">
        <w:trPr>
          <w:trHeight w:val="280"/>
        </w:trPr>
        <w:tc>
          <w:tcPr>
            <w:tcW w:w="960" w:type="dxa"/>
            <w:vMerge/>
            <w:tcBorders>
              <w:top w:val="nil"/>
              <w:left w:val="nil"/>
              <w:bottom w:val="nil"/>
              <w:right w:val="nil"/>
            </w:tcBorders>
            <w:vAlign w:val="center"/>
            <w:hideMark/>
          </w:tcPr>
          <w:p w14:paraId="6552A718" w14:textId="77777777" w:rsidR="00340957" w:rsidRPr="00340957" w:rsidRDefault="00340957" w:rsidP="003C672D">
            <w:pPr>
              <w:spacing w:line="276" w:lineRule="auto"/>
              <w:rPr>
                <w:rFonts w:ascii="Times New Roman" w:eastAsia="Times New Roman" w:hAnsi="Times New Roman" w:cs="Times New Roman"/>
                <w:color w:val="000000"/>
                <w:lang w:eastAsia="en-AU"/>
              </w:rPr>
            </w:pPr>
          </w:p>
        </w:tc>
        <w:tc>
          <w:tcPr>
            <w:tcW w:w="7680" w:type="dxa"/>
            <w:vMerge/>
            <w:tcBorders>
              <w:top w:val="nil"/>
              <w:left w:val="nil"/>
              <w:bottom w:val="nil"/>
              <w:right w:val="nil"/>
            </w:tcBorders>
            <w:vAlign w:val="center"/>
            <w:hideMark/>
          </w:tcPr>
          <w:p w14:paraId="2EE1262D"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p>
        </w:tc>
        <w:tc>
          <w:tcPr>
            <w:tcW w:w="222" w:type="dxa"/>
            <w:tcBorders>
              <w:top w:val="nil"/>
              <w:left w:val="nil"/>
              <w:bottom w:val="nil"/>
              <w:right w:val="nil"/>
            </w:tcBorders>
            <w:shd w:val="clear" w:color="auto" w:fill="auto"/>
            <w:noWrap/>
            <w:vAlign w:val="center"/>
            <w:hideMark/>
          </w:tcPr>
          <w:p w14:paraId="0E8259C0" w14:textId="77777777" w:rsidR="00340957" w:rsidRPr="00340957" w:rsidRDefault="00340957" w:rsidP="003C672D">
            <w:pPr>
              <w:spacing w:line="276" w:lineRule="auto"/>
              <w:rPr>
                <w:rFonts w:ascii="Times New Roman" w:eastAsia="Times New Roman" w:hAnsi="Times New Roman" w:cs="Times New Roman"/>
                <w:color w:val="000000"/>
                <w:lang w:eastAsia="en-AU"/>
              </w:rPr>
            </w:pPr>
          </w:p>
        </w:tc>
      </w:tr>
      <w:tr w:rsidR="00340957" w:rsidRPr="00340957" w14:paraId="41706CF9" w14:textId="77777777" w:rsidTr="00876672">
        <w:trPr>
          <w:trHeight w:val="280"/>
        </w:trPr>
        <w:tc>
          <w:tcPr>
            <w:tcW w:w="960" w:type="dxa"/>
            <w:tcBorders>
              <w:top w:val="nil"/>
              <w:left w:val="nil"/>
              <w:bottom w:val="nil"/>
              <w:right w:val="nil"/>
            </w:tcBorders>
            <w:shd w:val="clear" w:color="auto" w:fill="auto"/>
            <w:noWrap/>
            <w:vAlign w:val="center"/>
            <w:hideMark/>
          </w:tcPr>
          <w:p w14:paraId="2BCF8EB6" w14:textId="77777777" w:rsidR="00340957" w:rsidRPr="00340957" w:rsidRDefault="00340957" w:rsidP="00340957">
            <w:pPr>
              <w:spacing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1996</w:t>
            </w:r>
          </w:p>
        </w:tc>
        <w:tc>
          <w:tcPr>
            <w:tcW w:w="7680" w:type="dxa"/>
            <w:tcBorders>
              <w:top w:val="nil"/>
              <w:left w:val="nil"/>
              <w:bottom w:val="nil"/>
              <w:right w:val="nil"/>
            </w:tcBorders>
            <w:shd w:val="clear" w:color="auto" w:fill="auto"/>
            <w:noWrap/>
            <w:vAlign w:val="center"/>
          </w:tcPr>
          <w:p w14:paraId="54A2B8E1"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Construction of the John Butter Power Station ceased flood events in the King River due to regulated water flow for power generation</w:t>
            </w:r>
          </w:p>
        </w:tc>
        <w:tc>
          <w:tcPr>
            <w:tcW w:w="222" w:type="dxa"/>
            <w:vAlign w:val="center"/>
            <w:hideMark/>
          </w:tcPr>
          <w:p w14:paraId="019B64A3" w14:textId="77777777" w:rsidR="00340957" w:rsidRPr="00340957" w:rsidRDefault="00340957" w:rsidP="003C672D">
            <w:pPr>
              <w:spacing w:line="276" w:lineRule="auto"/>
              <w:rPr>
                <w:rFonts w:ascii="Times New Roman" w:eastAsia="Times New Roman" w:hAnsi="Times New Roman" w:cs="Times New Roman"/>
                <w:lang w:eastAsia="en-AU"/>
              </w:rPr>
            </w:pPr>
          </w:p>
        </w:tc>
      </w:tr>
      <w:tr w:rsidR="00340957" w:rsidRPr="00340957" w14:paraId="10156C78" w14:textId="77777777" w:rsidTr="00876672">
        <w:trPr>
          <w:trHeight w:hRule="exact" w:val="340"/>
        </w:trPr>
        <w:tc>
          <w:tcPr>
            <w:tcW w:w="960" w:type="dxa"/>
            <w:tcBorders>
              <w:top w:val="nil"/>
              <w:left w:val="nil"/>
              <w:bottom w:val="nil"/>
              <w:right w:val="nil"/>
            </w:tcBorders>
            <w:shd w:val="clear" w:color="auto" w:fill="auto"/>
            <w:noWrap/>
            <w:vAlign w:val="center"/>
          </w:tcPr>
          <w:p w14:paraId="1111694C"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2014</w:t>
            </w:r>
          </w:p>
        </w:tc>
        <w:tc>
          <w:tcPr>
            <w:tcW w:w="7680" w:type="dxa"/>
            <w:tcBorders>
              <w:top w:val="nil"/>
              <w:left w:val="nil"/>
              <w:bottom w:val="nil"/>
              <w:right w:val="nil"/>
            </w:tcBorders>
            <w:shd w:val="clear" w:color="auto" w:fill="auto"/>
            <w:noWrap/>
            <w:vAlign w:val="center"/>
          </w:tcPr>
          <w:p w14:paraId="64014992"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 xml:space="preserve">CMT was placed on care and maintenance </w:t>
            </w:r>
          </w:p>
        </w:tc>
        <w:tc>
          <w:tcPr>
            <w:tcW w:w="222" w:type="dxa"/>
            <w:vAlign w:val="center"/>
          </w:tcPr>
          <w:p w14:paraId="20705263" w14:textId="77777777" w:rsidR="00340957" w:rsidRPr="00340957" w:rsidRDefault="00340957" w:rsidP="003C672D">
            <w:pPr>
              <w:spacing w:line="276" w:lineRule="auto"/>
              <w:rPr>
                <w:rFonts w:ascii="Times New Roman" w:eastAsia="Times New Roman" w:hAnsi="Times New Roman" w:cs="Times New Roman"/>
                <w:lang w:eastAsia="en-AU"/>
              </w:rPr>
            </w:pPr>
          </w:p>
        </w:tc>
      </w:tr>
      <w:tr w:rsidR="00340957" w:rsidRPr="00340957" w14:paraId="3AC8E232" w14:textId="77777777" w:rsidTr="00876672">
        <w:trPr>
          <w:trHeight w:hRule="exact" w:val="340"/>
        </w:trPr>
        <w:tc>
          <w:tcPr>
            <w:tcW w:w="960" w:type="dxa"/>
            <w:tcBorders>
              <w:top w:val="nil"/>
              <w:left w:val="nil"/>
              <w:bottom w:val="single" w:sz="4" w:space="0" w:color="auto"/>
              <w:right w:val="nil"/>
            </w:tcBorders>
            <w:shd w:val="clear" w:color="auto" w:fill="auto"/>
            <w:noWrap/>
            <w:vAlign w:val="center"/>
          </w:tcPr>
          <w:p w14:paraId="20EEFC88"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2016</w:t>
            </w:r>
          </w:p>
        </w:tc>
        <w:tc>
          <w:tcPr>
            <w:tcW w:w="7680" w:type="dxa"/>
            <w:tcBorders>
              <w:top w:val="nil"/>
              <w:left w:val="nil"/>
              <w:bottom w:val="single" w:sz="4" w:space="0" w:color="auto"/>
              <w:right w:val="nil"/>
            </w:tcBorders>
            <w:shd w:val="clear" w:color="auto" w:fill="auto"/>
            <w:noWrap/>
            <w:vAlign w:val="center"/>
          </w:tcPr>
          <w:p w14:paraId="0B5AA515" w14:textId="77777777" w:rsidR="00340957" w:rsidRPr="00340957" w:rsidRDefault="00340957" w:rsidP="00340957">
            <w:pPr>
              <w:spacing w:after="0" w:line="276" w:lineRule="auto"/>
              <w:rPr>
                <w:rFonts w:ascii="Times New Roman" w:eastAsia="Times New Roman" w:hAnsi="Times New Roman" w:cs="Times New Roman"/>
                <w:color w:val="000000"/>
                <w:lang w:eastAsia="en-AU"/>
              </w:rPr>
            </w:pPr>
            <w:r w:rsidRPr="00340957">
              <w:rPr>
                <w:rFonts w:ascii="Times New Roman" w:eastAsia="Times New Roman" w:hAnsi="Times New Roman" w:cs="Times New Roman"/>
                <w:color w:val="000000"/>
                <w:lang w:eastAsia="en-AU"/>
              </w:rPr>
              <w:t>Flooding of Prince Lyell</w:t>
            </w:r>
          </w:p>
        </w:tc>
        <w:tc>
          <w:tcPr>
            <w:tcW w:w="222" w:type="dxa"/>
            <w:vAlign w:val="center"/>
          </w:tcPr>
          <w:p w14:paraId="2F7BC888" w14:textId="77777777" w:rsidR="00340957" w:rsidRPr="00340957" w:rsidRDefault="00340957" w:rsidP="003C672D">
            <w:pPr>
              <w:spacing w:line="276" w:lineRule="auto"/>
              <w:rPr>
                <w:rFonts w:ascii="Times New Roman" w:eastAsia="Times New Roman" w:hAnsi="Times New Roman" w:cs="Times New Roman"/>
                <w:lang w:eastAsia="en-AU"/>
              </w:rPr>
            </w:pPr>
          </w:p>
        </w:tc>
      </w:tr>
      <w:bookmarkEnd w:id="3"/>
    </w:tbl>
    <w:p w14:paraId="479A7B5E" w14:textId="77777777" w:rsidR="00340957" w:rsidRPr="00F73C08" w:rsidRDefault="00340957" w:rsidP="00340957">
      <w:pPr>
        <w:spacing w:line="276" w:lineRule="auto"/>
        <w:sectPr w:rsidR="00340957" w:rsidRPr="00F73C08" w:rsidSect="00393866">
          <w:pgSz w:w="11906" w:h="16838"/>
          <w:pgMar w:top="1440" w:right="1152" w:bottom="1440" w:left="1152" w:header="706" w:footer="706" w:gutter="0"/>
          <w:cols w:space="708"/>
          <w:docGrid w:linePitch="360"/>
        </w:sectPr>
      </w:pPr>
    </w:p>
    <w:p w14:paraId="0C7BB1DF" w14:textId="6C3843B5" w:rsidR="00340957" w:rsidRPr="00340957" w:rsidRDefault="00340957" w:rsidP="00340957">
      <w:pPr>
        <w:pStyle w:val="Caption"/>
        <w:keepNext/>
        <w:spacing w:line="276" w:lineRule="auto"/>
        <w:rPr>
          <w:rFonts w:ascii="Times New Roman" w:hAnsi="Times New Roman" w:cs="Times New Roman"/>
          <w:i w:val="0"/>
          <w:iCs w:val="0"/>
          <w:sz w:val="22"/>
          <w:szCs w:val="22"/>
        </w:rPr>
      </w:pPr>
      <w:r w:rsidRPr="00340957">
        <w:rPr>
          <w:rFonts w:ascii="Times New Roman" w:hAnsi="Times New Roman" w:cs="Times New Roman"/>
          <w:i w:val="0"/>
          <w:iCs w:val="0"/>
          <w:sz w:val="22"/>
          <w:szCs w:val="22"/>
        </w:rPr>
        <w:t>Supplementa</w:t>
      </w:r>
      <w:r w:rsidR="00921B6E">
        <w:rPr>
          <w:rFonts w:ascii="Times New Roman" w:hAnsi="Times New Roman" w:cs="Times New Roman"/>
          <w:i w:val="0"/>
          <w:iCs w:val="0"/>
          <w:sz w:val="22"/>
          <w:szCs w:val="22"/>
        </w:rPr>
        <w:t>l</w:t>
      </w:r>
      <w:r w:rsidRPr="00340957">
        <w:rPr>
          <w:rFonts w:ascii="Times New Roman" w:hAnsi="Times New Roman" w:cs="Times New Roman"/>
          <w:i w:val="0"/>
          <w:iCs w:val="0"/>
          <w:sz w:val="22"/>
          <w:szCs w:val="22"/>
        </w:rPr>
        <w:t xml:space="preserve"> Table S-</w:t>
      </w:r>
      <w:r w:rsidRPr="00340957">
        <w:rPr>
          <w:rFonts w:ascii="Times New Roman" w:hAnsi="Times New Roman" w:cs="Times New Roman"/>
          <w:i w:val="0"/>
          <w:iCs w:val="0"/>
          <w:sz w:val="22"/>
          <w:szCs w:val="22"/>
        </w:rPr>
        <w:fldChar w:fldCharType="begin"/>
      </w:r>
      <w:r w:rsidRPr="00340957">
        <w:rPr>
          <w:rFonts w:ascii="Times New Roman" w:hAnsi="Times New Roman" w:cs="Times New Roman"/>
          <w:i w:val="0"/>
          <w:iCs w:val="0"/>
          <w:sz w:val="22"/>
          <w:szCs w:val="22"/>
        </w:rPr>
        <w:instrText xml:space="preserve"> SEQ Supplementary_Table_ \* ARABIC </w:instrText>
      </w:r>
      <w:r w:rsidRPr="00340957">
        <w:rPr>
          <w:rFonts w:ascii="Times New Roman" w:hAnsi="Times New Roman" w:cs="Times New Roman"/>
          <w:i w:val="0"/>
          <w:iCs w:val="0"/>
          <w:sz w:val="22"/>
          <w:szCs w:val="22"/>
        </w:rPr>
        <w:fldChar w:fldCharType="separate"/>
      </w:r>
      <w:r w:rsidRPr="00340957">
        <w:rPr>
          <w:rFonts w:ascii="Times New Roman" w:hAnsi="Times New Roman" w:cs="Times New Roman"/>
          <w:i w:val="0"/>
          <w:iCs w:val="0"/>
          <w:noProof/>
          <w:sz w:val="22"/>
          <w:szCs w:val="22"/>
        </w:rPr>
        <w:t>2</w:t>
      </w:r>
      <w:r w:rsidRPr="00340957">
        <w:rPr>
          <w:rFonts w:ascii="Times New Roman" w:hAnsi="Times New Roman" w:cs="Times New Roman"/>
          <w:i w:val="0"/>
          <w:iCs w:val="0"/>
          <w:noProof/>
          <w:sz w:val="22"/>
          <w:szCs w:val="22"/>
        </w:rPr>
        <w:fldChar w:fldCharType="end"/>
      </w:r>
      <w:r w:rsidRPr="00340957">
        <w:rPr>
          <w:rFonts w:ascii="Times New Roman" w:hAnsi="Times New Roman" w:cs="Times New Roman"/>
          <w:i w:val="0"/>
          <w:iCs w:val="0"/>
          <w:noProof/>
          <w:sz w:val="22"/>
          <w:szCs w:val="22"/>
        </w:rPr>
        <w:t>.</w:t>
      </w:r>
      <w:r w:rsidRPr="00340957">
        <w:rPr>
          <w:rFonts w:ascii="Times New Roman" w:hAnsi="Times New Roman" w:cs="Times New Roman"/>
          <w:i w:val="0"/>
          <w:iCs w:val="0"/>
          <w:sz w:val="22"/>
          <w:szCs w:val="22"/>
        </w:rPr>
        <w:t xml:space="preserve"> Water quality measurements at the Queen and King rivers and Macquarie Harbour delta between 2008 and 2021and calculated statistics (abbreviations: HC – Haulage Creek)</w:t>
      </w:r>
    </w:p>
    <w:p w14:paraId="006380FF" w14:textId="77777777" w:rsidR="00340957" w:rsidRDefault="00340957" w:rsidP="00340957">
      <w:pPr>
        <w:pStyle w:val="Caption"/>
        <w:keepNext/>
        <w:spacing w:line="276" w:lineRule="auto"/>
        <w:jc w:val="center"/>
      </w:pPr>
      <w:r>
        <w:rPr>
          <w:noProof/>
          <w:lang w:val="en-IN" w:eastAsia="en-IN"/>
        </w:rPr>
        <w:drawing>
          <wp:inline distT="0" distB="0" distL="0" distR="0" wp14:anchorId="5ADD6D15" wp14:editId="7BAEA8E0">
            <wp:extent cx="8730506" cy="5223753"/>
            <wp:effectExtent l="0" t="0" r="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5"/>
                    <a:stretch>
                      <a:fillRect/>
                    </a:stretch>
                  </pic:blipFill>
                  <pic:spPr>
                    <a:xfrm>
                      <a:off x="0" y="0"/>
                      <a:ext cx="8744950" cy="5232395"/>
                    </a:xfrm>
                    <a:prstGeom prst="rect">
                      <a:avLst/>
                    </a:prstGeom>
                  </pic:spPr>
                </pic:pic>
              </a:graphicData>
            </a:graphic>
          </wp:inline>
        </w:drawing>
      </w:r>
    </w:p>
    <w:p w14:paraId="045866F8" w14:textId="77777777" w:rsidR="00340957" w:rsidRDefault="00340957" w:rsidP="00340957">
      <w:pPr>
        <w:spacing w:line="276" w:lineRule="auto"/>
        <w:jc w:val="center"/>
      </w:pPr>
      <w:r>
        <w:rPr>
          <w:noProof/>
          <w:lang w:val="en-IN" w:eastAsia="en-IN"/>
        </w:rPr>
        <w:drawing>
          <wp:inline distT="0" distB="0" distL="0" distR="0" wp14:anchorId="769188F1" wp14:editId="483F7139">
            <wp:extent cx="8811796" cy="5272391"/>
            <wp:effectExtent l="0" t="0" r="8890" b="508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6"/>
                    <a:stretch>
                      <a:fillRect/>
                    </a:stretch>
                  </pic:blipFill>
                  <pic:spPr>
                    <a:xfrm>
                      <a:off x="0" y="0"/>
                      <a:ext cx="8822940" cy="5279059"/>
                    </a:xfrm>
                    <a:prstGeom prst="rect">
                      <a:avLst/>
                    </a:prstGeom>
                  </pic:spPr>
                </pic:pic>
              </a:graphicData>
            </a:graphic>
          </wp:inline>
        </w:drawing>
      </w:r>
    </w:p>
    <w:p w14:paraId="4E72F1A4" w14:textId="77777777" w:rsidR="00340957" w:rsidRDefault="00340957" w:rsidP="00340957">
      <w:pPr>
        <w:spacing w:line="276" w:lineRule="auto"/>
        <w:jc w:val="center"/>
      </w:pPr>
      <w:r>
        <w:rPr>
          <w:noProof/>
          <w:lang w:val="en-IN" w:eastAsia="en-IN"/>
        </w:rPr>
        <w:drawing>
          <wp:inline distT="0" distB="0" distL="0" distR="0" wp14:anchorId="44E7724C" wp14:editId="7E18983C">
            <wp:extent cx="8860570" cy="5301574"/>
            <wp:effectExtent l="0" t="0" r="0" b="0"/>
            <wp:docPr id="9" name="Picture 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pic:nvPicPr>
                  <pic:blipFill>
                    <a:blip r:embed="rId7"/>
                    <a:stretch>
                      <a:fillRect/>
                    </a:stretch>
                  </pic:blipFill>
                  <pic:spPr>
                    <a:xfrm>
                      <a:off x="0" y="0"/>
                      <a:ext cx="8875244" cy="5310354"/>
                    </a:xfrm>
                    <a:prstGeom prst="rect">
                      <a:avLst/>
                    </a:prstGeom>
                  </pic:spPr>
                </pic:pic>
              </a:graphicData>
            </a:graphic>
          </wp:inline>
        </w:drawing>
      </w:r>
    </w:p>
    <w:p w14:paraId="2AACF59C" w14:textId="77777777" w:rsidR="00340957" w:rsidRPr="008D45F2" w:rsidRDefault="00340957" w:rsidP="00340957">
      <w:pPr>
        <w:tabs>
          <w:tab w:val="left" w:pos="11057"/>
        </w:tabs>
        <w:spacing w:line="276" w:lineRule="auto"/>
        <w:jc w:val="center"/>
      </w:pPr>
      <w:r>
        <w:rPr>
          <w:noProof/>
          <w:lang w:val="en-IN" w:eastAsia="en-IN"/>
        </w:rPr>
        <w:drawing>
          <wp:inline distT="0" distB="0" distL="0" distR="0" wp14:anchorId="109532B5" wp14:editId="46C6F570">
            <wp:extent cx="8795540" cy="5262664"/>
            <wp:effectExtent l="0" t="0" r="5715" b="0"/>
            <wp:docPr id="10" name="Picture 1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medium confidence"/>
                    <pic:cNvPicPr/>
                  </pic:nvPicPr>
                  <pic:blipFill>
                    <a:blip r:embed="rId8"/>
                    <a:stretch>
                      <a:fillRect/>
                    </a:stretch>
                  </pic:blipFill>
                  <pic:spPr>
                    <a:xfrm>
                      <a:off x="0" y="0"/>
                      <a:ext cx="8797136" cy="5263619"/>
                    </a:xfrm>
                    <a:prstGeom prst="rect">
                      <a:avLst/>
                    </a:prstGeom>
                  </pic:spPr>
                </pic:pic>
              </a:graphicData>
            </a:graphic>
          </wp:inline>
        </w:drawing>
      </w:r>
    </w:p>
    <w:p w14:paraId="48572AE0" w14:textId="77777777" w:rsidR="00340957" w:rsidRDefault="00340957" w:rsidP="00340957">
      <w:pPr>
        <w:spacing w:line="276" w:lineRule="auto"/>
        <w:jc w:val="center"/>
        <w:rPr>
          <w:rFonts w:asciiTheme="majorBidi" w:hAnsiTheme="majorBidi" w:cstheme="majorBidi"/>
        </w:rPr>
      </w:pPr>
      <w:r>
        <w:rPr>
          <w:rFonts w:asciiTheme="majorBidi" w:hAnsiTheme="majorBidi" w:cstheme="majorBidi"/>
          <w:noProof/>
          <w:lang w:val="en-IN" w:eastAsia="en-IN"/>
        </w:rPr>
        <w:drawing>
          <wp:inline distT="0" distB="0" distL="0" distR="0" wp14:anchorId="59C29F8E" wp14:editId="1A6FEA92">
            <wp:extent cx="8842329" cy="5290660"/>
            <wp:effectExtent l="0" t="0" r="0" b="5715"/>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9"/>
                    <a:stretch>
                      <a:fillRect/>
                    </a:stretch>
                  </pic:blipFill>
                  <pic:spPr>
                    <a:xfrm>
                      <a:off x="0" y="0"/>
                      <a:ext cx="8842329" cy="5290660"/>
                    </a:xfrm>
                    <a:prstGeom prst="rect">
                      <a:avLst/>
                    </a:prstGeom>
                  </pic:spPr>
                </pic:pic>
              </a:graphicData>
            </a:graphic>
          </wp:inline>
        </w:drawing>
      </w:r>
    </w:p>
    <w:p w14:paraId="5314BEF9" w14:textId="77777777" w:rsidR="00340957" w:rsidRDefault="00340957" w:rsidP="00340957">
      <w:pPr>
        <w:pStyle w:val="Caption"/>
        <w:keepNext/>
        <w:spacing w:line="276" w:lineRule="auto"/>
        <w:jc w:val="center"/>
        <w:sectPr w:rsidR="00340957" w:rsidSect="00393866">
          <w:type w:val="nextColumn"/>
          <w:pgSz w:w="16838" w:h="11906" w:orient="landscape"/>
          <w:pgMar w:top="1440" w:right="1152" w:bottom="1440" w:left="1152" w:header="706" w:footer="706" w:gutter="0"/>
          <w:cols w:space="708"/>
          <w:docGrid w:linePitch="360"/>
        </w:sectPr>
      </w:pPr>
      <w:bookmarkStart w:id="4" w:name="_Ref86445380"/>
    </w:p>
    <w:p w14:paraId="5DEF2A00" w14:textId="734E5523" w:rsidR="00340957" w:rsidRPr="00340957" w:rsidRDefault="00340957" w:rsidP="00340957">
      <w:pPr>
        <w:pStyle w:val="Caption"/>
        <w:keepNext/>
        <w:spacing w:line="276" w:lineRule="auto"/>
        <w:jc w:val="both"/>
        <w:rPr>
          <w:rFonts w:ascii="Times New Roman" w:hAnsi="Times New Roman" w:cs="Times New Roman"/>
          <w:i w:val="0"/>
          <w:iCs w:val="0"/>
          <w:sz w:val="22"/>
          <w:szCs w:val="22"/>
        </w:rPr>
      </w:pPr>
      <w:r w:rsidRPr="00340957">
        <w:rPr>
          <w:rFonts w:ascii="Times New Roman" w:hAnsi="Times New Roman" w:cs="Times New Roman"/>
          <w:i w:val="0"/>
          <w:iCs w:val="0"/>
          <w:sz w:val="22"/>
          <w:szCs w:val="22"/>
        </w:rPr>
        <w:t>Supplementa</w:t>
      </w:r>
      <w:r>
        <w:rPr>
          <w:rFonts w:ascii="Times New Roman" w:hAnsi="Times New Roman" w:cs="Times New Roman"/>
          <w:i w:val="0"/>
          <w:iCs w:val="0"/>
          <w:sz w:val="22"/>
          <w:szCs w:val="22"/>
        </w:rPr>
        <w:t>l</w:t>
      </w:r>
      <w:r w:rsidRPr="00340957">
        <w:rPr>
          <w:rFonts w:ascii="Times New Roman" w:hAnsi="Times New Roman" w:cs="Times New Roman"/>
          <w:i w:val="0"/>
          <w:iCs w:val="0"/>
          <w:sz w:val="22"/>
          <w:szCs w:val="22"/>
        </w:rPr>
        <w:t xml:space="preserve"> Table</w:t>
      </w:r>
      <w:r w:rsidR="00921B6E">
        <w:rPr>
          <w:rFonts w:ascii="Times New Roman" w:hAnsi="Times New Roman" w:cs="Times New Roman"/>
          <w:i w:val="0"/>
          <w:iCs w:val="0"/>
          <w:sz w:val="22"/>
          <w:szCs w:val="22"/>
        </w:rPr>
        <w:t xml:space="preserve"> </w:t>
      </w:r>
      <w:r w:rsidRPr="00340957">
        <w:rPr>
          <w:rFonts w:ascii="Times New Roman" w:hAnsi="Times New Roman" w:cs="Times New Roman"/>
          <w:i w:val="0"/>
          <w:iCs w:val="0"/>
          <w:sz w:val="22"/>
          <w:szCs w:val="22"/>
        </w:rPr>
        <w:t>S-</w:t>
      </w:r>
      <w:r w:rsidRPr="00340957">
        <w:rPr>
          <w:rFonts w:ascii="Times New Roman" w:hAnsi="Times New Roman" w:cs="Times New Roman"/>
          <w:i w:val="0"/>
          <w:iCs w:val="0"/>
          <w:sz w:val="22"/>
          <w:szCs w:val="22"/>
        </w:rPr>
        <w:fldChar w:fldCharType="begin"/>
      </w:r>
      <w:r w:rsidRPr="00340957">
        <w:rPr>
          <w:rFonts w:ascii="Times New Roman" w:hAnsi="Times New Roman" w:cs="Times New Roman"/>
          <w:i w:val="0"/>
          <w:iCs w:val="0"/>
          <w:sz w:val="22"/>
          <w:szCs w:val="22"/>
        </w:rPr>
        <w:instrText xml:space="preserve"> SEQ Supplementary_Table_ \* ARABIC </w:instrText>
      </w:r>
      <w:r w:rsidRPr="00340957">
        <w:rPr>
          <w:rFonts w:ascii="Times New Roman" w:hAnsi="Times New Roman" w:cs="Times New Roman"/>
          <w:i w:val="0"/>
          <w:iCs w:val="0"/>
          <w:sz w:val="22"/>
          <w:szCs w:val="22"/>
        </w:rPr>
        <w:fldChar w:fldCharType="separate"/>
      </w:r>
      <w:r w:rsidRPr="00340957">
        <w:rPr>
          <w:rFonts w:ascii="Times New Roman" w:hAnsi="Times New Roman" w:cs="Times New Roman"/>
          <w:i w:val="0"/>
          <w:iCs w:val="0"/>
          <w:noProof/>
          <w:sz w:val="22"/>
          <w:szCs w:val="22"/>
        </w:rPr>
        <w:t>3</w:t>
      </w:r>
      <w:r w:rsidRPr="00340957">
        <w:rPr>
          <w:rFonts w:ascii="Times New Roman" w:hAnsi="Times New Roman" w:cs="Times New Roman"/>
          <w:i w:val="0"/>
          <w:iCs w:val="0"/>
          <w:noProof/>
          <w:sz w:val="22"/>
          <w:szCs w:val="22"/>
        </w:rPr>
        <w:fldChar w:fldCharType="end"/>
      </w:r>
      <w:bookmarkEnd w:id="4"/>
      <w:r w:rsidRPr="00340957">
        <w:rPr>
          <w:rFonts w:ascii="Times New Roman" w:hAnsi="Times New Roman" w:cs="Times New Roman"/>
          <w:i w:val="0"/>
          <w:iCs w:val="0"/>
          <w:noProof/>
          <w:sz w:val="22"/>
          <w:szCs w:val="22"/>
        </w:rPr>
        <w:t>.</w:t>
      </w:r>
      <w:r w:rsidRPr="00340957">
        <w:rPr>
          <w:rFonts w:ascii="Times New Roman" w:hAnsi="Times New Roman" w:cs="Times New Roman"/>
          <w:i w:val="0"/>
          <w:iCs w:val="0"/>
          <w:sz w:val="22"/>
          <w:szCs w:val="22"/>
        </w:rPr>
        <w:t xml:space="preserve"> Recommended water quality guidelines for pH, EC, and metal(loid)s in </w:t>
      </w:r>
      <w:proofErr w:type="gramStart"/>
      <w:r w:rsidRPr="00340957">
        <w:rPr>
          <w:rFonts w:ascii="Times New Roman" w:hAnsi="Times New Roman" w:cs="Times New Roman"/>
          <w:i w:val="0"/>
          <w:iCs w:val="0"/>
          <w:sz w:val="22"/>
          <w:szCs w:val="22"/>
        </w:rPr>
        <w:t>Australia</w:t>
      </w:r>
      <w:proofErr w:type="gramEnd"/>
    </w:p>
    <w:tbl>
      <w:tblPr>
        <w:tblW w:w="7081" w:type="dxa"/>
        <w:jc w:val="center"/>
        <w:tblLook w:val="04A0" w:firstRow="1" w:lastRow="0" w:firstColumn="1" w:lastColumn="0" w:noHBand="0" w:noVBand="1"/>
      </w:tblPr>
      <w:tblGrid>
        <w:gridCol w:w="987"/>
        <w:gridCol w:w="236"/>
        <w:gridCol w:w="666"/>
        <w:gridCol w:w="673"/>
        <w:gridCol w:w="257"/>
        <w:gridCol w:w="666"/>
        <w:gridCol w:w="673"/>
        <w:gridCol w:w="257"/>
        <w:gridCol w:w="641"/>
        <w:gridCol w:w="536"/>
        <w:gridCol w:w="825"/>
        <w:gridCol w:w="444"/>
        <w:gridCol w:w="684"/>
      </w:tblGrid>
      <w:tr w:rsidR="00340957" w:rsidRPr="00411854" w14:paraId="46AD0B87" w14:textId="77777777" w:rsidTr="00F22B8A">
        <w:trPr>
          <w:trHeight w:hRule="exact" w:val="284"/>
          <w:jc w:val="center"/>
        </w:trPr>
        <w:tc>
          <w:tcPr>
            <w:tcW w:w="902" w:type="dxa"/>
            <w:vMerge w:val="restart"/>
            <w:tcBorders>
              <w:top w:val="single" w:sz="12" w:space="0" w:color="auto"/>
              <w:left w:val="nil"/>
              <w:bottom w:val="single" w:sz="4" w:space="0" w:color="000000"/>
              <w:right w:val="nil"/>
            </w:tcBorders>
            <w:shd w:val="clear" w:color="auto" w:fill="auto"/>
            <w:vAlign w:val="center"/>
            <w:hideMark/>
          </w:tcPr>
          <w:p w14:paraId="3B2B3025" w14:textId="77777777" w:rsidR="00340957" w:rsidRPr="00F64D0D" w:rsidRDefault="00340957" w:rsidP="000757E2">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 xml:space="preserve">Water Guidelines </w:t>
            </w:r>
          </w:p>
        </w:tc>
        <w:tc>
          <w:tcPr>
            <w:tcW w:w="236" w:type="dxa"/>
            <w:tcBorders>
              <w:top w:val="single" w:sz="12" w:space="0" w:color="auto"/>
              <w:left w:val="nil"/>
              <w:bottom w:val="nil"/>
              <w:right w:val="nil"/>
            </w:tcBorders>
            <w:shd w:val="clear" w:color="auto" w:fill="auto"/>
            <w:noWrap/>
            <w:hideMark/>
          </w:tcPr>
          <w:p w14:paraId="02E2D5BC" w14:textId="77777777" w:rsidR="00340957" w:rsidRPr="00F64D0D" w:rsidRDefault="00340957" w:rsidP="00F22B8A">
            <w:pPr>
              <w:spacing w:after="0" w:line="276" w:lineRule="auto"/>
              <w:jc w:val="center"/>
              <w:rPr>
                <w:rFonts w:eastAsia="Times New Roman" w:cs="Times New Roman"/>
                <w:color w:val="000000"/>
                <w:sz w:val="18"/>
                <w:szCs w:val="18"/>
                <w:lang w:bidi="th-TH"/>
              </w:rPr>
            </w:pPr>
          </w:p>
        </w:tc>
        <w:tc>
          <w:tcPr>
            <w:tcW w:w="1241" w:type="dxa"/>
            <w:gridSpan w:val="2"/>
            <w:tcBorders>
              <w:top w:val="single" w:sz="12" w:space="0" w:color="auto"/>
              <w:left w:val="nil"/>
              <w:bottom w:val="single" w:sz="4" w:space="0" w:color="auto"/>
              <w:right w:val="nil"/>
            </w:tcBorders>
            <w:shd w:val="clear" w:color="auto" w:fill="auto"/>
            <w:noWrap/>
            <w:vAlign w:val="center"/>
            <w:hideMark/>
          </w:tcPr>
          <w:p w14:paraId="532E3C0D" w14:textId="77777777" w:rsidR="00340957" w:rsidRPr="00245964" w:rsidRDefault="00340957" w:rsidP="00F22B8A">
            <w:pPr>
              <w:spacing w:after="0" w:line="276" w:lineRule="auto"/>
              <w:jc w:val="center"/>
              <w:rPr>
                <w:rFonts w:eastAsia="Times New Roman" w:cs="Times New Roman"/>
                <w:color w:val="000000"/>
                <w:sz w:val="18"/>
                <w:szCs w:val="18"/>
                <w:lang w:bidi="th-TH"/>
              </w:rPr>
            </w:pPr>
            <w:r w:rsidRPr="00245964">
              <w:rPr>
                <w:rFonts w:eastAsia="Times New Roman" w:cs="Times New Roman"/>
                <w:color w:val="000000"/>
                <w:sz w:val="18"/>
                <w:szCs w:val="18"/>
                <w:lang w:bidi="th-TH"/>
              </w:rPr>
              <w:t>pH</w:t>
            </w:r>
          </w:p>
        </w:tc>
        <w:tc>
          <w:tcPr>
            <w:tcW w:w="253" w:type="dxa"/>
            <w:tcBorders>
              <w:top w:val="single" w:sz="12" w:space="0" w:color="auto"/>
              <w:left w:val="nil"/>
              <w:bottom w:val="nil"/>
              <w:right w:val="nil"/>
            </w:tcBorders>
            <w:shd w:val="clear" w:color="auto" w:fill="auto"/>
            <w:noWrap/>
            <w:vAlign w:val="center"/>
            <w:hideMark/>
          </w:tcPr>
          <w:p w14:paraId="2FC2A5C1" w14:textId="77777777" w:rsidR="00340957" w:rsidRPr="00245964" w:rsidRDefault="00340957" w:rsidP="00F22B8A">
            <w:pPr>
              <w:spacing w:after="0" w:line="276" w:lineRule="auto"/>
              <w:jc w:val="center"/>
              <w:rPr>
                <w:rFonts w:eastAsia="Times New Roman" w:cs="Times New Roman"/>
                <w:color w:val="000000"/>
                <w:sz w:val="18"/>
                <w:szCs w:val="18"/>
                <w:lang w:bidi="th-TH"/>
              </w:rPr>
            </w:pPr>
            <w:r w:rsidRPr="00245964">
              <w:rPr>
                <w:rFonts w:eastAsia="Times New Roman" w:cs="Times New Roman"/>
                <w:color w:val="000000"/>
                <w:sz w:val="18"/>
                <w:szCs w:val="18"/>
                <w:lang w:bidi="th-TH"/>
              </w:rPr>
              <w:t> </w:t>
            </w:r>
          </w:p>
        </w:tc>
        <w:tc>
          <w:tcPr>
            <w:tcW w:w="1241" w:type="dxa"/>
            <w:gridSpan w:val="2"/>
            <w:tcBorders>
              <w:top w:val="single" w:sz="12" w:space="0" w:color="auto"/>
              <w:left w:val="nil"/>
              <w:bottom w:val="single" w:sz="4" w:space="0" w:color="auto"/>
              <w:right w:val="nil"/>
            </w:tcBorders>
            <w:shd w:val="clear" w:color="auto" w:fill="auto"/>
            <w:noWrap/>
            <w:vAlign w:val="center"/>
            <w:hideMark/>
          </w:tcPr>
          <w:p w14:paraId="595D9E3A" w14:textId="77777777" w:rsidR="00340957" w:rsidRPr="00245964" w:rsidRDefault="00340957" w:rsidP="00F22B8A">
            <w:pPr>
              <w:spacing w:after="0" w:line="276" w:lineRule="auto"/>
              <w:jc w:val="center"/>
              <w:rPr>
                <w:rFonts w:eastAsia="Times New Roman" w:cs="Times New Roman"/>
                <w:color w:val="000000"/>
                <w:sz w:val="18"/>
                <w:szCs w:val="18"/>
                <w:lang w:bidi="th-TH"/>
              </w:rPr>
            </w:pPr>
            <w:r w:rsidRPr="00245964">
              <w:rPr>
                <w:rFonts w:eastAsia="Times New Roman" w:cs="Times New Roman"/>
                <w:color w:val="000000"/>
                <w:sz w:val="18"/>
                <w:szCs w:val="18"/>
                <w:lang w:bidi="th-TH"/>
              </w:rPr>
              <w:t xml:space="preserve">EC </w:t>
            </w:r>
            <w:r w:rsidRPr="00245964">
              <w:rPr>
                <w:rFonts w:asciiTheme="majorBidi" w:eastAsia="Times New Roman" w:hAnsiTheme="majorBidi" w:cstheme="majorBidi"/>
                <w:sz w:val="18"/>
                <w:szCs w:val="18"/>
                <w:lang w:eastAsia="en-AU" w:bidi="th-TH"/>
              </w:rPr>
              <w:t>(mS/cm)</w:t>
            </w:r>
          </w:p>
        </w:tc>
        <w:tc>
          <w:tcPr>
            <w:tcW w:w="253" w:type="dxa"/>
            <w:tcBorders>
              <w:top w:val="single" w:sz="12" w:space="0" w:color="auto"/>
              <w:left w:val="nil"/>
              <w:bottom w:val="nil"/>
              <w:right w:val="nil"/>
            </w:tcBorders>
            <w:shd w:val="clear" w:color="auto" w:fill="auto"/>
            <w:noWrap/>
            <w:vAlign w:val="center"/>
            <w:hideMark/>
          </w:tcPr>
          <w:p w14:paraId="778BEAFD" w14:textId="77777777" w:rsidR="00340957" w:rsidRPr="00245964" w:rsidRDefault="00340957" w:rsidP="00F22B8A">
            <w:pPr>
              <w:spacing w:after="0" w:line="276" w:lineRule="auto"/>
              <w:jc w:val="center"/>
              <w:rPr>
                <w:rFonts w:eastAsia="Times New Roman" w:cs="Times New Roman"/>
                <w:color w:val="000000"/>
                <w:sz w:val="18"/>
                <w:szCs w:val="18"/>
                <w:lang w:bidi="th-TH"/>
              </w:rPr>
            </w:pPr>
            <w:r w:rsidRPr="00245964">
              <w:rPr>
                <w:rFonts w:eastAsia="Times New Roman" w:cs="Times New Roman"/>
                <w:color w:val="000000"/>
                <w:sz w:val="18"/>
                <w:szCs w:val="18"/>
                <w:lang w:bidi="th-TH"/>
              </w:rPr>
              <w:t> </w:t>
            </w:r>
          </w:p>
        </w:tc>
        <w:tc>
          <w:tcPr>
            <w:tcW w:w="2955" w:type="dxa"/>
            <w:gridSpan w:val="5"/>
            <w:tcBorders>
              <w:top w:val="single" w:sz="12" w:space="0" w:color="auto"/>
              <w:left w:val="nil"/>
              <w:bottom w:val="single" w:sz="4" w:space="0" w:color="auto"/>
              <w:right w:val="nil"/>
            </w:tcBorders>
            <w:shd w:val="clear" w:color="auto" w:fill="auto"/>
            <w:noWrap/>
            <w:vAlign w:val="center"/>
            <w:hideMark/>
          </w:tcPr>
          <w:p w14:paraId="4DC2D688" w14:textId="77777777" w:rsidR="00340957" w:rsidRPr="00245964" w:rsidRDefault="00340957" w:rsidP="00F22B8A">
            <w:pPr>
              <w:spacing w:after="0" w:line="276" w:lineRule="auto"/>
              <w:jc w:val="center"/>
              <w:rPr>
                <w:rFonts w:eastAsia="Times New Roman" w:cs="Times New Roman"/>
                <w:color w:val="000000"/>
                <w:sz w:val="18"/>
                <w:szCs w:val="18"/>
                <w:lang w:bidi="th-TH"/>
              </w:rPr>
            </w:pPr>
            <w:r w:rsidRPr="00245964">
              <w:rPr>
                <w:rFonts w:eastAsia="Times New Roman" w:cs="Times New Roman"/>
                <w:color w:val="000000"/>
                <w:sz w:val="18"/>
                <w:szCs w:val="18"/>
                <w:lang w:bidi="th-TH"/>
              </w:rPr>
              <w:t>Metal(loid)s (</w:t>
            </w:r>
            <w:r w:rsidRPr="00245964">
              <w:rPr>
                <w:rFonts w:asciiTheme="majorBidi" w:eastAsia="Times New Roman" w:hAnsiTheme="majorBidi" w:cstheme="majorBidi"/>
                <w:sz w:val="18"/>
                <w:szCs w:val="18"/>
                <w:lang w:eastAsia="en-AU" w:bidi="th-TH"/>
              </w:rPr>
              <w:t>mg·L</w:t>
            </w:r>
            <w:r w:rsidRPr="00245964">
              <w:rPr>
                <w:rFonts w:asciiTheme="majorBidi" w:eastAsia="Times New Roman" w:hAnsiTheme="majorBidi" w:cstheme="majorBidi"/>
                <w:sz w:val="18"/>
                <w:szCs w:val="18"/>
                <w:vertAlign w:val="superscript"/>
                <w:lang w:eastAsia="en-AU" w:bidi="th-TH"/>
              </w:rPr>
              <w:t>-1</w:t>
            </w:r>
            <w:r w:rsidRPr="00245964">
              <w:rPr>
                <w:rFonts w:asciiTheme="majorBidi" w:eastAsia="Times New Roman" w:hAnsiTheme="majorBidi" w:cstheme="majorBidi"/>
                <w:sz w:val="18"/>
                <w:szCs w:val="18"/>
                <w:lang w:eastAsia="en-AU" w:bidi="th-TH"/>
              </w:rPr>
              <w:t>)</w:t>
            </w:r>
          </w:p>
        </w:tc>
      </w:tr>
      <w:tr w:rsidR="00340957" w:rsidRPr="00411854" w14:paraId="5FF60D25" w14:textId="77777777" w:rsidTr="00F22B8A">
        <w:trPr>
          <w:trHeight w:hRule="exact" w:val="227"/>
          <w:jc w:val="center"/>
        </w:trPr>
        <w:tc>
          <w:tcPr>
            <w:tcW w:w="902" w:type="dxa"/>
            <w:vMerge/>
            <w:tcBorders>
              <w:top w:val="single" w:sz="4" w:space="0" w:color="auto"/>
              <w:left w:val="nil"/>
              <w:bottom w:val="single" w:sz="4" w:space="0" w:color="000000"/>
              <w:right w:val="nil"/>
            </w:tcBorders>
            <w:vAlign w:val="center"/>
            <w:hideMark/>
          </w:tcPr>
          <w:p w14:paraId="77A01800"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236" w:type="dxa"/>
            <w:tcBorders>
              <w:top w:val="nil"/>
              <w:left w:val="nil"/>
              <w:bottom w:val="nil"/>
              <w:right w:val="nil"/>
            </w:tcBorders>
            <w:shd w:val="clear" w:color="auto" w:fill="auto"/>
            <w:noWrap/>
            <w:vAlign w:val="bottom"/>
            <w:hideMark/>
          </w:tcPr>
          <w:p w14:paraId="53C5AFA9" w14:textId="77777777" w:rsidR="00340957" w:rsidRPr="00F64D0D" w:rsidRDefault="00340957" w:rsidP="00F22B8A">
            <w:pPr>
              <w:spacing w:after="0" w:line="276" w:lineRule="auto"/>
              <w:jc w:val="center"/>
              <w:rPr>
                <w:rFonts w:eastAsia="Times New Roman" w:cs="Times New Roman"/>
                <w:color w:val="000000"/>
                <w:sz w:val="18"/>
                <w:szCs w:val="18"/>
                <w:lang w:bidi="th-TH"/>
              </w:rPr>
            </w:pPr>
          </w:p>
        </w:tc>
        <w:tc>
          <w:tcPr>
            <w:tcW w:w="618" w:type="dxa"/>
            <w:vMerge w:val="restart"/>
            <w:tcBorders>
              <w:top w:val="nil"/>
              <w:left w:val="nil"/>
              <w:bottom w:val="single" w:sz="4" w:space="0" w:color="000000"/>
              <w:right w:val="nil"/>
            </w:tcBorders>
            <w:shd w:val="clear" w:color="auto" w:fill="auto"/>
            <w:vAlign w:val="center"/>
            <w:hideMark/>
          </w:tcPr>
          <w:p w14:paraId="61F0C361"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Lower limit</w:t>
            </w:r>
          </w:p>
        </w:tc>
        <w:tc>
          <w:tcPr>
            <w:tcW w:w="623" w:type="dxa"/>
            <w:vMerge w:val="restart"/>
            <w:tcBorders>
              <w:top w:val="nil"/>
              <w:left w:val="nil"/>
              <w:bottom w:val="single" w:sz="4" w:space="0" w:color="000000"/>
              <w:right w:val="nil"/>
            </w:tcBorders>
            <w:shd w:val="clear" w:color="auto" w:fill="auto"/>
            <w:vAlign w:val="center"/>
            <w:hideMark/>
          </w:tcPr>
          <w:p w14:paraId="6C844A09"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Upper limit</w:t>
            </w:r>
          </w:p>
        </w:tc>
        <w:tc>
          <w:tcPr>
            <w:tcW w:w="253" w:type="dxa"/>
            <w:tcBorders>
              <w:top w:val="nil"/>
              <w:left w:val="nil"/>
              <w:bottom w:val="nil"/>
              <w:right w:val="nil"/>
            </w:tcBorders>
            <w:shd w:val="clear" w:color="auto" w:fill="auto"/>
            <w:noWrap/>
            <w:vAlign w:val="center"/>
            <w:hideMark/>
          </w:tcPr>
          <w:p w14:paraId="2A192765" w14:textId="77777777" w:rsidR="00340957" w:rsidRPr="00F64D0D" w:rsidRDefault="00340957" w:rsidP="00F22B8A">
            <w:pPr>
              <w:spacing w:after="0" w:line="240" w:lineRule="auto"/>
              <w:jc w:val="center"/>
              <w:rPr>
                <w:rFonts w:eastAsia="Times New Roman" w:cs="Times New Roman"/>
                <w:color w:val="000000"/>
                <w:sz w:val="18"/>
                <w:szCs w:val="18"/>
                <w:lang w:bidi="th-TH"/>
              </w:rPr>
            </w:pPr>
          </w:p>
        </w:tc>
        <w:tc>
          <w:tcPr>
            <w:tcW w:w="618" w:type="dxa"/>
            <w:vMerge w:val="restart"/>
            <w:tcBorders>
              <w:top w:val="nil"/>
              <w:left w:val="nil"/>
              <w:bottom w:val="single" w:sz="4" w:space="0" w:color="000000"/>
              <w:right w:val="nil"/>
            </w:tcBorders>
            <w:shd w:val="clear" w:color="auto" w:fill="auto"/>
            <w:vAlign w:val="center"/>
            <w:hideMark/>
          </w:tcPr>
          <w:p w14:paraId="2209055E"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Lower limit</w:t>
            </w:r>
          </w:p>
        </w:tc>
        <w:tc>
          <w:tcPr>
            <w:tcW w:w="623" w:type="dxa"/>
            <w:vMerge w:val="restart"/>
            <w:tcBorders>
              <w:top w:val="nil"/>
              <w:left w:val="nil"/>
              <w:bottom w:val="single" w:sz="4" w:space="0" w:color="000000"/>
              <w:right w:val="nil"/>
            </w:tcBorders>
            <w:shd w:val="clear" w:color="auto" w:fill="auto"/>
            <w:vAlign w:val="center"/>
            <w:hideMark/>
          </w:tcPr>
          <w:p w14:paraId="4F1F990D"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Upper limit</w:t>
            </w:r>
          </w:p>
        </w:tc>
        <w:tc>
          <w:tcPr>
            <w:tcW w:w="253" w:type="dxa"/>
            <w:tcBorders>
              <w:top w:val="nil"/>
              <w:left w:val="nil"/>
              <w:bottom w:val="nil"/>
              <w:right w:val="nil"/>
            </w:tcBorders>
            <w:shd w:val="clear" w:color="auto" w:fill="auto"/>
            <w:noWrap/>
            <w:vAlign w:val="center"/>
            <w:hideMark/>
          </w:tcPr>
          <w:p w14:paraId="0A3F6084" w14:textId="77777777" w:rsidR="00340957" w:rsidRPr="00F64D0D" w:rsidRDefault="00340957" w:rsidP="00F22B8A">
            <w:pPr>
              <w:spacing w:after="0" w:line="240" w:lineRule="auto"/>
              <w:jc w:val="center"/>
              <w:rPr>
                <w:rFonts w:eastAsia="Times New Roman" w:cs="Times New Roman"/>
                <w:color w:val="000000"/>
                <w:sz w:val="18"/>
                <w:szCs w:val="18"/>
                <w:lang w:bidi="th-TH"/>
              </w:rPr>
            </w:pPr>
          </w:p>
        </w:tc>
        <w:tc>
          <w:tcPr>
            <w:tcW w:w="641" w:type="dxa"/>
            <w:vMerge w:val="restart"/>
            <w:tcBorders>
              <w:top w:val="nil"/>
              <w:left w:val="nil"/>
              <w:bottom w:val="single" w:sz="4" w:space="0" w:color="000000"/>
              <w:right w:val="nil"/>
            </w:tcBorders>
            <w:shd w:val="clear" w:color="auto" w:fill="auto"/>
            <w:vAlign w:val="center"/>
            <w:hideMark/>
          </w:tcPr>
          <w:p w14:paraId="3C6664CC"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Al</w:t>
            </w:r>
          </w:p>
        </w:tc>
        <w:tc>
          <w:tcPr>
            <w:tcW w:w="386" w:type="dxa"/>
            <w:vMerge w:val="restart"/>
            <w:tcBorders>
              <w:top w:val="nil"/>
              <w:left w:val="nil"/>
              <w:bottom w:val="single" w:sz="4" w:space="0" w:color="000000"/>
              <w:right w:val="nil"/>
            </w:tcBorders>
            <w:shd w:val="clear" w:color="auto" w:fill="auto"/>
            <w:noWrap/>
            <w:vAlign w:val="center"/>
            <w:hideMark/>
          </w:tcPr>
          <w:p w14:paraId="3F35AC78"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Co</w:t>
            </w:r>
          </w:p>
        </w:tc>
        <w:tc>
          <w:tcPr>
            <w:tcW w:w="825" w:type="dxa"/>
            <w:vMerge w:val="restart"/>
            <w:tcBorders>
              <w:top w:val="nil"/>
              <w:left w:val="nil"/>
              <w:bottom w:val="single" w:sz="4" w:space="0" w:color="000000"/>
              <w:right w:val="nil"/>
            </w:tcBorders>
            <w:shd w:val="clear" w:color="auto" w:fill="auto"/>
            <w:noWrap/>
            <w:vAlign w:val="center"/>
            <w:hideMark/>
          </w:tcPr>
          <w:p w14:paraId="09264094"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Cu</w:t>
            </w:r>
          </w:p>
        </w:tc>
        <w:tc>
          <w:tcPr>
            <w:tcW w:w="419" w:type="dxa"/>
            <w:vMerge w:val="restart"/>
            <w:tcBorders>
              <w:top w:val="nil"/>
              <w:left w:val="nil"/>
              <w:bottom w:val="single" w:sz="4" w:space="0" w:color="000000"/>
              <w:right w:val="nil"/>
            </w:tcBorders>
            <w:shd w:val="clear" w:color="auto" w:fill="auto"/>
            <w:noWrap/>
            <w:vAlign w:val="center"/>
            <w:hideMark/>
          </w:tcPr>
          <w:p w14:paraId="1B881E19"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Fe</w:t>
            </w:r>
          </w:p>
        </w:tc>
        <w:tc>
          <w:tcPr>
            <w:tcW w:w="684" w:type="dxa"/>
            <w:vMerge w:val="restart"/>
            <w:tcBorders>
              <w:top w:val="nil"/>
              <w:left w:val="nil"/>
              <w:bottom w:val="single" w:sz="4" w:space="0" w:color="000000"/>
              <w:right w:val="nil"/>
            </w:tcBorders>
            <w:shd w:val="clear" w:color="auto" w:fill="auto"/>
            <w:noWrap/>
            <w:vAlign w:val="center"/>
            <w:hideMark/>
          </w:tcPr>
          <w:p w14:paraId="4FF75EA0" w14:textId="77777777" w:rsidR="00340957" w:rsidRPr="00F64D0D" w:rsidRDefault="00340957" w:rsidP="00F22B8A">
            <w:pPr>
              <w:spacing w:after="0" w:line="240"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Zn</w:t>
            </w:r>
          </w:p>
        </w:tc>
      </w:tr>
      <w:tr w:rsidR="00340957" w:rsidRPr="00411854" w14:paraId="54236CD6" w14:textId="77777777" w:rsidTr="003C672D">
        <w:trPr>
          <w:trHeight w:val="200"/>
          <w:jc w:val="center"/>
        </w:trPr>
        <w:tc>
          <w:tcPr>
            <w:tcW w:w="902" w:type="dxa"/>
            <w:vMerge/>
            <w:tcBorders>
              <w:top w:val="single" w:sz="4" w:space="0" w:color="auto"/>
              <w:left w:val="nil"/>
              <w:bottom w:val="single" w:sz="4" w:space="0" w:color="000000"/>
              <w:right w:val="nil"/>
            </w:tcBorders>
            <w:vAlign w:val="center"/>
            <w:hideMark/>
          </w:tcPr>
          <w:p w14:paraId="7D63294B"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236" w:type="dxa"/>
            <w:tcBorders>
              <w:top w:val="nil"/>
              <w:left w:val="nil"/>
              <w:bottom w:val="nil"/>
              <w:right w:val="nil"/>
            </w:tcBorders>
            <w:shd w:val="clear" w:color="auto" w:fill="auto"/>
            <w:noWrap/>
            <w:hideMark/>
          </w:tcPr>
          <w:p w14:paraId="60340ED1" w14:textId="77777777" w:rsidR="00340957" w:rsidRPr="00F64D0D" w:rsidRDefault="00340957" w:rsidP="00F22B8A">
            <w:pPr>
              <w:spacing w:after="0" w:line="276" w:lineRule="auto"/>
              <w:jc w:val="center"/>
              <w:rPr>
                <w:rFonts w:eastAsia="Times New Roman" w:cs="Times New Roman"/>
                <w:color w:val="000000"/>
                <w:sz w:val="18"/>
                <w:szCs w:val="18"/>
                <w:lang w:bidi="th-TH"/>
              </w:rPr>
            </w:pPr>
          </w:p>
        </w:tc>
        <w:tc>
          <w:tcPr>
            <w:tcW w:w="618" w:type="dxa"/>
            <w:vMerge/>
            <w:tcBorders>
              <w:top w:val="nil"/>
              <w:left w:val="nil"/>
              <w:bottom w:val="single" w:sz="4" w:space="0" w:color="000000"/>
              <w:right w:val="nil"/>
            </w:tcBorders>
            <w:vAlign w:val="center"/>
            <w:hideMark/>
          </w:tcPr>
          <w:p w14:paraId="48294968"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623" w:type="dxa"/>
            <w:vMerge/>
            <w:tcBorders>
              <w:top w:val="nil"/>
              <w:left w:val="nil"/>
              <w:bottom w:val="single" w:sz="4" w:space="0" w:color="000000"/>
              <w:right w:val="nil"/>
            </w:tcBorders>
            <w:vAlign w:val="center"/>
            <w:hideMark/>
          </w:tcPr>
          <w:p w14:paraId="72F200AE"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253" w:type="dxa"/>
            <w:tcBorders>
              <w:top w:val="nil"/>
              <w:left w:val="nil"/>
              <w:bottom w:val="nil"/>
              <w:right w:val="nil"/>
            </w:tcBorders>
            <w:shd w:val="clear" w:color="auto" w:fill="auto"/>
            <w:noWrap/>
            <w:vAlign w:val="center"/>
            <w:hideMark/>
          </w:tcPr>
          <w:p w14:paraId="4911149D" w14:textId="77777777" w:rsidR="00340957" w:rsidRPr="00F64D0D" w:rsidRDefault="00340957" w:rsidP="00F22B8A">
            <w:pPr>
              <w:spacing w:after="0" w:line="276" w:lineRule="auto"/>
              <w:jc w:val="center"/>
              <w:rPr>
                <w:rFonts w:ascii="Times New Roman" w:eastAsia="Times New Roman" w:hAnsi="Times New Roman" w:cs="Times New Roman"/>
                <w:sz w:val="18"/>
                <w:szCs w:val="18"/>
                <w:lang w:bidi="th-TH"/>
              </w:rPr>
            </w:pPr>
          </w:p>
        </w:tc>
        <w:tc>
          <w:tcPr>
            <w:tcW w:w="618" w:type="dxa"/>
            <w:vMerge/>
            <w:tcBorders>
              <w:top w:val="nil"/>
              <w:left w:val="nil"/>
              <w:bottom w:val="single" w:sz="4" w:space="0" w:color="000000"/>
              <w:right w:val="nil"/>
            </w:tcBorders>
            <w:vAlign w:val="center"/>
            <w:hideMark/>
          </w:tcPr>
          <w:p w14:paraId="2F509930"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623" w:type="dxa"/>
            <w:vMerge/>
            <w:tcBorders>
              <w:top w:val="nil"/>
              <w:left w:val="nil"/>
              <w:bottom w:val="single" w:sz="4" w:space="0" w:color="000000"/>
              <w:right w:val="nil"/>
            </w:tcBorders>
            <w:vAlign w:val="center"/>
            <w:hideMark/>
          </w:tcPr>
          <w:p w14:paraId="42118B39"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253" w:type="dxa"/>
            <w:tcBorders>
              <w:top w:val="nil"/>
              <w:left w:val="nil"/>
              <w:bottom w:val="nil"/>
              <w:right w:val="nil"/>
            </w:tcBorders>
            <w:shd w:val="clear" w:color="auto" w:fill="auto"/>
            <w:noWrap/>
            <w:vAlign w:val="center"/>
            <w:hideMark/>
          </w:tcPr>
          <w:p w14:paraId="3616D9CE" w14:textId="77777777" w:rsidR="00340957" w:rsidRPr="00F64D0D" w:rsidRDefault="00340957" w:rsidP="00F22B8A">
            <w:pPr>
              <w:spacing w:after="0" w:line="276" w:lineRule="auto"/>
              <w:jc w:val="center"/>
              <w:rPr>
                <w:rFonts w:ascii="Times New Roman" w:eastAsia="Times New Roman" w:hAnsi="Times New Roman" w:cs="Times New Roman"/>
                <w:sz w:val="18"/>
                <w:szCs w:val="18"/>
                <w:lang w:bidi="th-TH"/>
              </w:rPr>
            </w:pPr>
          </w:p>
        </w:tc>
        <w:tc>
          <w:tcPr>
            <w:tcW w:w="641" w:type="dxa"/>
            <w:vMerge/>
            <w:tcBorders>
              <w:top w:val="nil"/>
              <w:left w:val="nil"/>
              <w:bottom w:val="single" w:sz="4" w:space="0" w:color="000000"/>
              <w:right w:val="nil"/>
            </w:tcBorders>
            <w:vAlign w:val="center"/>
            <w:hideMark/>
          </w:tcPr>
          <w:p w14:paraId="25AE9458"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386" w:type="dxa"/>
            <w:vMerge/>
            <w:tcBorders>
              <w:top w:val="nil"/>
              <w:left w:val="nil"/>
              <w:bottom w:val="single" w:sz="4" w:space="0" w:color="000000"/>
              <w:right w:val="nil"/>
            </w:tcBorders>
            <w:vAlign w:val="center"/>
            <w:hideMark/>
          </w:tcPr>
          <w:p w14:paraId="357DCC03"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825" w:type="dxa"/>
            <w:vMerge/>
            <w:tcBorders>
              <w:top w:val="nil"/>
              <w:left w:val="nil"/>
              <w:bottom w:val="single" w:sz="4" w:space="0" w:color="000000"/>
              <w:right w:val="nil"/>
            </w:tcBorders>
            <w:vAlign w:val="center"/>
            <w:hideMark/>
          </w:tcPr>
          <w:p w14:paraId="360852FA"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419" w:type="dxa"/>
            <w:vMerge/>
            <w:tcBorders>
              <w:top w:val="nil"/>
              <w:left w:val="nil"/>
              <w:bottom w:val="single" w:sz="4" w:space="0" w:color="000000"/>
              <w:right w:val="nil"/>
            </w:tcBorders>
            <w:vAlign w:val="center"/>
            <w:hideMark/>
          </w:tcPr>
          <w:p w14:paraId="78640A06"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684" w:type="dxa"/>
            <w:vMerge/>
            <w:tcBorders>
              <w:top w:val="nil"/>
              <w:left w:val="nil"/>
              <w:bottom w:val="single" w:sz="4" w:space="0" w:color="000000"/>
              <w:right w:val="nil"/>
            </w:tcBorders>
            <w:vAlign w:val="center"/>
            <w:hideMark/>
          </w:tcPr>
          <w:p w14:paraId="30E173C7" w14:textId="77777777" w:rsidR="00340957" w:rsidRPr="00F64D0D" w:rsidRDefault="00340957" w:rsidP="00F22B8A">
            <w:pPr>
              <w:spacing w:after="0" w:line="276" w:lineRule="auto"/>
              <w:rPr>
                <w:rFonts w:eastAsia="Times New Roman" w:cs="Times New Roman"/>
                <w:color w:val="000000"/>
                <w:sz w:val="18"/>
                <w:szCs w:val="18"/>
                <w:lang w:bidi="th-TH"/>
              </w:rPr>
            </w:pPr>
          </w:p>
        </w:tc>
      </w:tr>
      <w:tr w:rsidR="00340957" w:rsidRPr="00411854" w14:paraId="0E816FF5" w14:textId="77777777" w:rsidTr="00F22B8A">
        <w:trPr>
          <w:trHeight w:hRule="exact" w:val="227"/>
          <w:jc w:val="center"/>
        </w:trPr>
        <w:tc>
          <w:tcPr>
            <w:tcW w:w="902" w:type="dxa"/>
            <w:vMerge/>
            <w:tcBorders>
              <w:top w:val="single" w:sz="4" w:space="0" w:color="auto"/>
              <w:left w:val="nil"/>
              <w:bottom w:val="single" w:sz="12" w:space="0" w:color="auto"/>
              <w:right w:val="nil"/>
            </w:tcBorders>
            <w:vAlign w:val="center"/>
            <w:hideMark/>
          </w:tcPr>
          <w:p w14:paraId="6E133BE2" w14:textId="77777777" w:rsidR="00340957" w:rsidRPr="00F64D0D" w:rsidRDefault="00340957" w:rsidP="00F22B8A">
            <w:pPr>
              <w:spacing w:after="0" w:line="276" w:lineRule="auto"/>
              <w:rPr>
                <w:rFonts w:eastAsia="Times New Roman" w:cs="Times New Roman"/>
                <w:color w:val="000000"/>
                <w:sz w:val="18"/>
                <w:szCs w:val="18"/>
                <w:lang w:bidi="th-TH"/>
              </w:rPr>
            </w:pPr>
          </w:p>
        </w:tc>
        <w:tc>
          <w:tcPr>
            <w:tcW w:w="236" w:type="dxa"/>
            <w:tcBorders>
              <w:top w:val="nil"/>
              <w:left w:val="nil"/>
              <w:bottom w:val="single" w:sz="12" w:space="0" w:color="auto"/>
              <w:right w:val="nil"/>
            </w:tcBorders>
            <w:shd w:val="clear" w:color="auto" w:fill="auto"/>
            <w:noWrap/>
            <w:hideMark/>
          </w:tcPr>
          <w:p w14:paraId="72ED4DC0" w14:textId="77777777" w:rsidR="00340957" w:rsidRPr="00F64D0D" w:rsidRDefault="00340957" w:rsidP="00F22B8A">
            <w:pPr>
              <w:spacing w:after="0" w:line="276" w:lineRule="auto"/>
              <w:jc w:val="center"/>
              <w:rPr>
                <w:rFonts w:ascii="Times New Roman" w:eastAsia="Times New Roman" w:hAnsi="Times New Roman" w:cs="Times New Roman"/>
                <w:sz w:val="18"/>
                <w:szCs w:val="18"/>
                <w:lang w:bidi="th-TH"/>
              </w:rPr>
            </w:pPr>
          </w:p>
        </w:tc>
        <w:tc>
          <w:tcPr>
            <w:tcW w:w="618" w:type="dxa"/>
            <w:tcBorders>
              <w:top w:val="nil"/>
              <w:left w:val="nil"/>
              <w:bottom w:val="single" w:sz="12" w:space="0" w:color="auto"/>
              <w:right w:val="nil"/>
            </w:tcBorders>
            <w:shd w:val="clear" w:color="auto" w:fill="auto"/>
            <w:noWrap/>
            <w:vAlign w:val="center"/>
            <w:hideMark/>
          </w:tcPr>
          <w:p w14:paraId="14CCBA4F"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6.5</w:t>
            </w:r>
          </w:p>
        </w:tc>
        <w:tc>
          <w:tcPr>
            <w:tcW w:w="623" w:type="dxa"/>
            <w:tcBorders>
              <w:top w:val="nil"/>
              <w:left w:val="nil"/>
              <w:bottom w:val="single" w:sz="12" w:space="0" w:color="auto"/>
              <w:right w:val="nil"/>
            </w:tcBorders>
            <w:shd w:val="clear" w:color="auto" w:fill="auto"/>
            <w:noWrap/>
            <w:vAlign w:val="center"/>
            <w:hideMark/>
          </w:tcPr>
          <w:p w14:paraId="0D143069"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8</w:t>
            </w:r>
          </w:p>
        </w:tc>
        <w:tc>
          <w:tcPr>
            <w:tcW w:w="253" w:type="dxa"/>
            <w:tcBorders>
              <w:top w:val="nil"/>
              <w:left w:val="nil"/>
              <w:bottom w:val="single" w:sz="12" w:space="0" w:color="auto"/>
              <w:right w:val="nil"/>
            </w:tcBorders>
            <w:shd w:val="clear" w:color="auto" w:fill="auto"/>
            <w:noWrap/>
            <w:vAlign w:val="center"/>
            <w:hideMark/>
          </w:tcPr>
          <w:p w14:paraId="5A91D91A"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 </w:t>
            </w:r>
          </w:p>
        </w:tc>
        <w:tc>
          <w:tcPr>
            <w:tcW w:w="618" w:type="dxa"/>
            <w:tcBorders>
              <w:top w:val="nil"/>
              <w:left w:val="nil"/>
              <w:bottom w:val="single" w:sz="12" w:space="0" w:color="auto"/>
              <w:right w:val="nil"/>
            </w:tcBorders>
            <w:shd w:val="clear" w:color="auto" w:fill="auto"/>
            <w:noWrap/>
            <w:vAlign w:val="center"/>
            <w:hideMark/>
          </w:tcPr>
          <w:p w14:paraId="284293B0"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0.125</w:t>
            </w:r>
          </w:p>
        </w:tc>
        <w:tc>
          <w:tcPr>
            <w:tcW w:w="623" w:type="dxa"/>
            <w:tcBorders>
              <w:top w:val="nil"/>
              <w:left w:val="nil"/>
              <w:bottom w:val="single" w:sz="12" w:space="0" w:color="auto"/>
              <w:right w:val="nil"/>
            </w:tcBorders>
            <w:shd w:val="clear" w:color="auto" w:fill="auto"/>
            <w:noWrap/>
            <w:vAlign w:val="center"/>
            <w:hideMark/>
          </w:tcPr>
          <w:p w14:paraId="1D28873A"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2.2</w:t>
            </w:r>
          </w:p>
        </w:tc>
        <w:tc>
          <w:tcPr>
            <w:tcW w:w="253" w:type="dxa"/>
            <w:tcBorders>
              <w:top w:val="nil"/>
              <w:left w:val="nil"/>
              <w:bottom w:val="single" w:sz="12" w:space="0" w:color="auto"/>
              <w:right w:val="nil"/>
            </w:tcBorders>
            <w:shd w:val="clear" w:color="auto" w:fill="auto"/>
            <w:noWrap/>
            <w:vAlign w:val="center"/>
            <w:hideMark/>
          </w:tcPr>
          <w:p w14:paraId="36D89011"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 </w:t>
            </w:r>
          </w:p>
        </w:tc>
        <w:tc>
          <w:tcPr>
            <w:tcW w:w="641" w:type="dxa"/>
            <w:tcBorders>
              <w:top w:val="nil"/>
              <w:left w:val="nil"/>
              <w:bottom w:val="single" w:sz="12" w:space="0" w:color="auto"/>
              <w:right w:val="nil"/>
            </w:tcBorders>
            <w:shd w:val="clear" w:color="auto" w:fill="auto"/>
            <w:noWrap/>
            <w:vAlign w:val="center"/>
            <w:hideMark/>
          </w:tcPr>
          <w:p w14:paraId="2D1BA768"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0.08</w:t>
            </w:r>
          </w:p>
        </w:tc>
        <w:tc>
          <w:tcPr>
            <w:tcW w:w="386" w:type="dxa"/>
            <w:tcBorders>
              <w:top w:val="nil"/>
              <w:left w:val="nil"/>
              <w:bottom w:val="single" w:sz="12" w:space="0" w:color="auto"/>
              <w:right w:val="nil"/>
            </w:tcBorders>
            <w:shd w:val="clear" w:color="auto" w:fill="auto"/>
            <w:noWrap/>
            <w:vAlign w:val="center"/>
            <w:hideMark/>
          </w:tcPr>
          <w:p w14:paraId="18F20259"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0.05</w:t>
            </w:r>
          </w:p>
        </w:tc>
        <w:tc>
          <w:tcPr>
            <w:tcW w:w="825" w:type="dxa"/>
            <w:tcBorders>
              <w:top w:val="nil"/>
              <w:left w:val="nil"/>
              <w:bottom w:val="single" w:sz="12" w:space="0" w:color="auto"/>
              <w:right w:val="nil"/>
            </w:tcBorders>
            <w:shd w:val="clear" w:color="auto" w:fill="auto"/>
            <w:noWrap/>
            <w:vAlign w:val="center"/>
            <w:hideMark/>
          </w:tcPr>
          <w:p w14:paraId="1750C157"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0.0018</w:t>
            </w:r>
          </w:p>
        </w:tc>
        <w:tc>
          <w:tcPr>
            <w:tcW w:w="419" w:type="dxa"/>
            <w:tcBorders>
              <w:top w:val="nil"/>
              <w:left w:val="nil"/>
              <w:bottom w:val="single" w:sz="12" w:space="0" w:color="auto"/>
              <w:right w:val="nil"/>
            </w:tcBorders>
            <w:shd w:val="clear" w:color="auto" w:fill="auto"/>
            <w:noWrap/>
            <w:vAlign w:val="center"/>
            <w:hideMark/>
          </w:tcPr>
          <w:p w14:paraId="1015D224"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0.2</w:t>
            </w:r>
          </w:p>
        </w:tc>
        <w:tc>
          <w:tcPr>
            <w:tcW w:w="684" w:type="dxa"/>
            <w:tcBorders>
              <w:top w:val="nil"/>
              <w:left w:val="nil"/>
              <w:bottom w:val="single" w:sz="12" w:space="0" w:color="auto"/>
              <w:right w:val="nil"/>
            </w:tcBorders>
            <w:shd w:val="clear" w:color="auto" w:fill="auto"/>
            <w:noWrap/>
            <w:vAlign w:val="center"/>
            <w:hideMark/>
          </w:tcPr>
          <w:p w14:paraId="302B7703" w14:textId="77777777" w:rsidR="00340957" w:rsidRPr="00F64D0D" w:rsidRDefault="00340957" w:rsidP="00F22B8A">
            <w:pPr>
              <w:spacing w:after="0" w:line="276" w:lineRule="auto"/>
              <w:jc w:val="center"/>
              <w:rPr>
                <w:rFonts w:eastAsia="Times New Roman" w:cs="Times New Roman"/>
                <w:color w:val="000000"/>
                <w:sz w:val="18"/>
                <w:szCs w:val="18"/>
                <w:lang w:bidi="th-TH"/>
              </w:rPr>
            </w:pPr>
            <w:r w:rsidRPr="00F64D0D">
              <w:rPr>
                <w:rFonts w:eastAsia="Times New Roman" w:cs="Times New Roman"/>
                <w:color w:val="000000"/>
                <w:sz w:val="18"/>
                <w:szCs w:val="18"/>
                <w:lang w:bidi="th-TH"/>
              </w:rPr>
              <w:t>0.015</w:t>
            </w:r>
          </w:p>
        </w:tc>
      </w:tr>
    </w:tbl>
    <w:p w14:paraId="16B0B085" w14:textId="77777777" w:rsidR="00340957" w:rsidRDefault="00340957" w:rsidP="00340957">
      <w:pPr>
        <w:spacing w:line="276" w:lineRule="auto"/>
        <w:jc w:val="center"/>
        <w:rPr>
          <w:rFonts w:asciiTheme="majorBidi" w:hAnsiTheme="majorBidi" w:cstheme="majorBidi"/>
          <w:noProof/>
        </w:rPr>
      </w:pPr>
    </w:p>
    <w:p w14:paraId="13709FBB" w14:textId="3B66B5C5" w:rsidR="00340957" w:rsidRPr="00340957" w:rsidRDefault="00340957" w:rsidP="00340957">
      <w:pPr>
        <w:pStyle w:val="Caption"/>
        <w:keepNext/>
        <w:spacing w:before="240" w:after="120" w:line="276" w:lineRule="auto"/>
        <w:rPr>
          <w:rFonts w:ascii="Times New Roman" w:hAnsi="Times New Roman" w:cs="Times New Roman"/>
          <w:i w:val="0"/>
          <w:iCs w:val="0"/>
          <w:sz w:val="22"/>
          <w:szCs w:val="22"/>
        </w:rPr>
      </w:pPr>
      <w:bookmarkStart w:id="5" w:name="_Ref95433610"/>
      <w:r w:rsidRPr="00340957">
        <w:rPr>
          <w:rFonts w:ascii="Times New Roman" w:hAnsi="Times New Roman" w:cs="Times New Roman"/>
          <w:i w:val="0"/>
          <w:iCs w:val="0"/>
          <w:sz w:val="22"/>
          <w:szCs w:val="22"/>
        </w:rPr>
        <w:t>Supplementa</w:t>
      </w:r>
      <w:r>
        <w:rPr>
          <w:rFonts w:ascii="Times New Roman" w:hAnsi="Times New Roman" w:cs="Times New Roman"/>
          <w:i w:val="0"/>
          <w:iCs w:val="0"/>
          <w:sz w:val="22"/>
          <w:szCs w:val="22"/>
        </w:rPr>
        <w:t>l</w:t>
      </w:r>
      <w:r w:rsidRPr="00340957">
        <w:rPr>
          <w:rFonts w:ascii="Times New Roman" w:hAnsi="Times New Roman" w:cs="Times New Roman"/>
          <w:i w:val="0"/>
          <w:iCs w:val="0"/>
          <w:sz w:val="22"/>
          <w:szCs w:val="22"/>
        </w:rPr>
        <w:t xml:space="preserve"> Table S-</w:t>
      </w:r>
      <w:r w:rsidRPr="00340957">
        <w:rPr>
          <w:rFonts w:ascii="Times New Roman" w:hAnsi="Times New Roman" w:cs="Times New Roman"/>
          <w:i w:val="0"/>
          <w:iCs w:val="0"/>
          <w:sz w:val="22"/>
          <w:szCs w:val="22"/>
        </w:rPr>
        <w:fldChar w:fldCharType="begin"/>
      </w:r>
      <w:r w:rsidRPr="00340957">
        <w:rPr>
          <w:rFonts w:ascii="Times New Roman" w:hAnsi="Times New Roman" w:cs="Times New Roman"/>
          <w:i w:val="0"/>
          <w:iCs w:val="0"/>
          <w:sz w:val="22"/>
          <w:szCs w:val="22"/>
        </w:rPr>
        <w:instrText xml:space="preserve"> SEQ Supplementary_Table_ \* ARABIC </w:instrText>
      </w:r>
      <w:r w:rsidRPr="00340957">
        <w:rPr>
          <w:rFonts w:ascii="Times New Roman" w:hAnsi="Times New Roman" w:cs="Times New Roman"/>
          <w:i w:val="0"/>
          <w:iCs w:val="0"/>
          <w:sz w:val="22"/>
          <w:szCs w:val="22"/>
        </w:rPr>
        <w:fldChar w:fldCharType="separate"/>
      </w:r>
      <w:r w:rsidRPr="00340957">
        <w:rPr>
          <w:rFonts w:ascii="Times New Roman" w:hAnsi="Times New Roman" w:cs="Times New Roman"/>
          <w:i w:val="0"/>
          <w:iCs w:val="0"/>
          <w:noProof/>
          <w:sz w:val="22"/>
          <w:szCs w:val="22"/>
        </w:rPr>
        <w:t>4</w:t>
      </w:r>
      <w:r w:rsidRPr="00340957">
        <w:rPr>
          <w:rFonts w:ascii="Times New Roman" w:hAnsi="Times New Roman" w:cs="Times New Roman"/>
          <w:i w:val="0"/>
          <w:iCs w:val="0"/>
          <w:sz w:val="22"/>
          <w:szCs w:val="22"/>
        </w:rPr>
        <w:fldChar w:fldCharType="end"/>
      </w:r>
      <w:bookmarkEnd w:id="5"/>
      <w:r w:rsidRPr="00340957">
        <w:rPr>
          <w:rFonts w:ascii="Times New Roman" w:hAnsi="Times New Roman" w:cs="Times New Roman"/>
          <w:i w:val="0"/>
          <w:iCs w:val="0"/>
          <w:sz w:val="22"/>
          <w:szCs w:val="22"/>
        </w:rPr>
        <w:t>. Base metal(loid) measured in sediments in 2018 by pXRF in mg·kg</w:t>
      </w:r>
      <w:r w:rsidRPr="00340957">
        <w:rPr>
          <w:rFonts w:ascii="Times New Roman" w:hAnsi="Times New Roman" w:cs="Times New Roman"/>
          <w:i w:val="0"/>
          <w:iCs w:val="0"/>
          <w:sz w:val="22"/>
          <w:szCs w:val="22"/>
          <w:vertAlign w:val="superscript"/>
        </w:rPr>
        <w:t>-1</w:t>
      </w:r>
      <w:r w:rsidRPr="00340957">
        <w:rPr>
          <w:rFonts w:ascii="Times New Roman" w:hAnsi="Times New Roman" w:cs="Times New Roman"/>
          <w:i w:val="0"/>
          <w:iCs w:val="0"/>
          <w:sz w:val="22"/>
          <w:szCs w:val="22"/>
        </w:rPr>
        <w:t xml:space="preserve">and S measured by Elemental Analyser in wt% statistics (abbreviations: HC – Haulage Creek; BDL – below detection limits) </w:t>
      </w:r>
    </w:p>
    <w:p w14:paraId="62AC925D" w14:textId="4320F10B" w:rsidR="00340957" w:rsidRPr="00340957" w:rsidRDefault="00340957" w:rsidP="00340957">
      <w:pPr>
        <w:spacing w:line="276" w:lineRule="auto"/>
        <w:jc w:val="center"/>
        <w:rPr>
          <w:rFonts w:ascii="Times New Roman" w:hAnsi="Times New Roman" w:cs="Times New Roman"/>
        </w:rPr>
      </w:pPr>
      <w:r w:rsidRPr="00340957">
        <w:rPr>
          <w:rFonts w:ascii="Times New Roman" w:hAnsi="Times New Roman" w:cs="Times New Roman"/>
          <w:noProof/>
          <w:lang w:val="en-IN" w:eastAsia="en-IN"/>
        </w:rPr>
        <w:drawing>
          <wp:inline distT="0" distB="0" distL="0" distR="0" wp14:anchorId="5286B0AA" wp14:editId="14344A7E">
            <wp:extent cx="4718556" cy="1582289"/>
            <wp:effectExtent l="0" t="0" r="0" b="0"/>
            <wp:docPr id="8" name="Picture 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pic:nvPicPr>
                  <pic:blipFill>
                    <a:blip r:embed="rId10"/>
                    <a:stretch>
                      <a:fillRect/>
                    </a:stretch>
                  </pic:blipFill>
                  <pic:spPr>
                    <a:xfrm>
                      <a:off x="0" y="0"/>
                      <a:ext cx="4718556" cy="1582289"/>
                    </a:xfrm>
                    <a:prstGeom prst="rect">
                      <a:avLst/>
                    </a:prstGeom>
                  </pic:spPr>
                </pic:pic>
              </a:graphicData>
            </a:graphic>
          </wp:inline>
        </w:drawing>
      </w:r>
    </w:p>
    <w:p w14:paraId="1177D3ED" w14:textId="0485F50D" w:rsidR="00340957" w:rsidRPr="00340957" w:rsidRDefault="00340957" w:rsidP="00340957">
      <w:pPr>
        <w:pStyle w:val="Caption"/>
        <w:keepNext/>
        <w:spacing w:before="240" w:after="120" w:line="276" w:lineRule="auto"/>
        <w:rPr>
          <w:rFonts w:ascii="Times New Roman" w:hAnsi="Times New Roman" w:cs="Times New Roman"/>
          <w:i w:val="0"/>
          <w:iCs w:val="0"/>
          <w:sz w:val="22"/>
          <w:szCs w:val="22"/>
        </w:rPr>
      </w:pPr>
      <w:bookmarkStart w:id="6" w:name="_Ref95360160"/>
      <w:r w:rsidRPr="00340957">
        <w:rPr>
          <w:rFonts w:ascii="Times New Roman" w:hAnsi="Times New Roman" w:cs="Times New Roman"/>
          <w:i w:val="0"/>
          <w:iCs w:val="0"/>
          <w:sz w:val="22"/>
          <w:szCs w:val="22"/>
        </w:rPr>
        <w:t>Supplemental Table S-</w:t>
      </w:r>
      <w:r w:rsidRPr="00340957">
        <w:rPr>
          <w:rFonts w:ascii="Times New Roman" w:hAnsi="Times New Roman" w:cs="Times New Roman"/>
          <w:i w:val="0"/>
          <w:iCs w:val="0"/>
          <w:sz w:val="22"/>
          <w:szCs w:val="22"/>
        </w:rPr>
        <w:fldChar w:fldCharType="begin"/>
      </w:r>
      <w:r w:rsidRPr="00340957">
        <w:rPr>
          <w:rFonts w:ascii="Times New Roman" w:hAnsi="Times New Roman" w:cs="Times New Roman"/>
          <w:i w:val="0"/>
          <w:iCs w:val="0"/>
          <w:sz w:val="22"/>
          <w:szCs w:val="22"/>
        </w:rPr>
        <w:instrText xml:space="preserve"> SEQ Supplementary_Table_ \* ARABIC </w:instrText>
      </w:r>
      <w:r w:rsidRPr="00340957">
        <w:rPr>
          <w:rFonts w:ascii="Times New Roman" w:hAnsi="Times New Roman" w:cs="Times New Roman"/>
          <w:i w:val="0"/>
          <w:iCs w:val="0"/>
          <w:sz w:val="22"/>
          <w:szCs w:val="22"/>
        </w:rPr>
        <w:fldChar w:fldCharType="separate"/>
      </w:r>
      <w:r w:rsidRPr="00340957">
        <w:rPr>
          <w:rFonts w:ascii="Times New Roman" w:hAnsi="Times New Roman" w:cs="Times New Roman"/>
          <w:i w:val="0"/>
          <w:iCs w:val="0"/>
          <w:noProof/>
          <w:sz w:val="22"/>
          <w:szCs w:val="22"/>
        </w:rPr>
        <w:t>5</w:t>
      </w:r>
      <w:r w:rsidRPr="00340957">
        <w:rPr>
          <w:rFonts w:ascii="Times New Roman" w:hAnsi="Times New Roman" w:cs="Times New Roman"/>
          <w:i w:val="0"/>
          <w:iCs w:val="0"/>
          <w:noProof/>
          <w:sz w:val="22"/>
          <w:szCs w:val="22"/>
        </w:rPr>
        <w:fldChar w:fldCharType="end"/>
      </w:r>
      <w:bookmarkEnd w:id="6"/>
      <w:r w:rsidRPr="00340957">
        <w:rPr>
          <w:rFonts w:ascii="Times New Roman" w:hAnsi="Times New Roman" w:cs="Times New Roman"/>
          <w:i w:val="0"/>
          <w:iCs w:val="0"/>
          <w:noProof/>
          <w:sz w:val="22"/>
          <w:szCs w:val="22"/>
        </w:rPr>
        <w:t>.</w:t>
      </w:r>
      <w:r w:rsidRPr="00340957">
        <w:rPr>
          <w:rFonts w:ascii="Times New Roman" w:hAnsi="Times New Roman" w:cs="Times New Roman"/>
          <w:i w:val="0"/>
          <w:iCs w:val="0"/>
          <w:sz w:val="22"/>
          <w:szCs w:val="22"/>
        </w:rPr>
        <w:t xml:space="preserve"> Recommended sediment quality guidelines in Australia</w:t>
      </w:r>
    </w:p>
    <w:tbl>
      <w:tblPr>
        <w:tblpPr w:leftFromText="180" w:rightFromText="180" w:vertAnchor="text" w:tblpXSpec="center" w:tblpY="1"/>
        <w:tblOverlap w:val="never"/>
        <w:tblW w:w="6563" w:type="dxa"/>
        <w:tblLook w:val="04A0" w:firstRow="1" w:lastRow="0" w:firstColumn="1" w:lastColumn="0" w:noHBand="0" w:noVBand="1"/>
      </w:tblPr>
      <w:tblGrid>
        <w:gridCol w:w="1083"/>
        <w:gridCol w:w="271"/>
        <w:gridCol w:w="637"/>
        <w:gridCol w:w="637"/>
        <w:gridCol w:w="261"/>
        <w:gridCol w:w="637"/>
        <w:gridCol w:w="637"/>
        <w:gridCol w:w="261"/>
        <w:gridCol w:w="637"/>
        <w:gridCol w:w="637"/>
        <w:gridCol w:w="261"/>
        <w:gridCol w:w="637"/>
        <w:gridCol w:w="637"/>
      </w:tblGrid>
      <w:tr w:rsidR="00340957" w:rsidRPr="00340957" w14:paraId="75B90A39" w14:textId="77777777" w:rsidTr="00245964">
        <w:trPr>
          <w:trHeight w:hRule="exact" w:val="284"/>
        </w:trPr>
        <w:tc>
          <w:tcPr>
            <w:tcW w:w="902" w:type="dxa"/>
            <w:vMerge w:val="restart"/>
            <w:tcBorders>
              <w:top w:val="single" w:sz="12" w:space="0" w:color="auto"/>
              <w:left w:val="nil"/>
              <w:bottom w:val="single" w:sz="4" w:space="0" w:color="000000"/>
              <w:right w:val="nil"/>
            </w:tcBorders>
            <w:shd w:val="clear" w:color="auto" w:fill="auto"/>
            <w:vAlign w:val="center"/>
            <w:hideMark/>
          </w:tcPr>
          <w:p w14:paraId="3D09F248" w14:textId="77777777" w:rsidR="00340957" w:rsidRPr="00245964" w:rsidRDefault="00340957" w:rsidP="003C672D">
            <w:pPr>
              <w:spacing w:line="276" w:lineRule="auto"/>
              <w:jc w:val="center"/>
              <w:rPr>
                <w:rFonts w:ascii="Times New Roman" w:eastAsia="Times New Roman" w:hAnsi="Times New Roman" w:cs="Times New Roman"/>
                <w:color w:val="000000"/>
                <w:sz w:val="20"/>
                <w:szCs w:val="20"/>
                <w:lang w:bidi="th-TH"/>
              </w:rPr>
            </w:pPr>
            <w:r w:rsidRPr="00245964">
              <w:rPr>
                <w:rFonts w:ascii="Times New Roman" w:eastAsia="Times New Roman" w:hAnsi="Times New Roman" w:cs="Times New Roman"/>
                <w:color w:val="000000"/>
                <w:sz w:val="20"/>
                <w:szCs w:val="20"/>
                <w:lang w:bidi="th-TH"/>
              </w:rPr>
              <w:t xml:space="preserve">Sediment Guidelines </w:t>
            </w:r>
          </w:p>
        </w:tc>
        <w:tc>
          <w:tcPr>
            <w:tcW w:w="262" w:type="dxa"/>
            <w:tcBorders>
              <w:top w:val="single" w:sz="12" w:space="0" w:color="auto"/>
              <w:left w:val="nil"/>
              <w:bottom w:val="nil"/>
              <w:right w:val="nil"/>
            </w:tcBorders>
            <w:shd w:val="clear" w:color="auto" w:fill="auto"/>
            <w:noWrap/>
            <w:hideMark/>
          </w:tcPr>
          <w:p w14:paraId="41A07D10" w14:textId="77777777" w:rsidR="00340957" w:rsidRPr="00340957" w:rsidRDefault="00340957" w:rsidP="003C672D">
            <w:pPr>
              <w:spacing w:line="276" w:lineRule="auto"/>
              <w:rPr>
                <w:rFonts w:ascii="Times New Roman" w:eastAsia="Times New Roman" w:hAnsi="Times New Roman" w:cs="Times New Roman"/>
                <w:color w:val="000000"/>
                <w:lang w:bidi="th-TH"/>
              </w:rPr>
            </w:pPr>
            <w:r w:rsidRPr="00340957">
              <w:rPr>
                <w:rFonts w:ascii="Times New Roman" w:eastAsia="Times New Roman" w:hAnsi="Times New Roman" w:cs="Times New Roman"/>
                <w:color w:val="000000"/>
                <w:lang w:bidi="th-TH"/>
              </w:rPr>
              <w:t> </w:t>
            </w:r>
          </w:p>
        </w:tc>
        <w:tc>
          <w:tcPr>
            <w:tcW w:w="1160" w:type="dxa"/>
            <w:gridSpan w:val="2"/>
            <w:tcBorders>
              <w:top w:val="single" w:sz="12" w:space="0" w:color="auto"/>
              <w:left w:val="nil"/>
              <w:bottom w:val="single" w:sz="4" w:space="0" w:color="auto"/>
              <w:right w:val="nil"/>
            </w:tcBorders>
            <w:shd w:val="clear" w:color="auto" w:fill="auto"/>
            <w:noWrap/>
            <w:vAlign w:val="center"/>
            <w:hideMark/>
          </w:tcPr>
          <w:p w14:paraId="44EA9E89"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As (mg·</w:t>
            </w:r>
            <w:proofErr w:type="gramStart"/>
            <w:r w:rsidRPr="00245964">
              <w:rPr>
                <w:rFonts w:ascii="Times New Roman" w:eastAsia="Times New Roman" w:hAnsi="Times New Roman" w:cs="Times New Roman"/>
                <w:color w:val="000000"/>
                <w:sz w:val="18"/>
                <w:szCs w:val="18"/>
                <w:lang w:bidi="th-TH"/>
              </w:rPr>
              <w:t>kg</w:t>
            </w:r>
            <w:r w:rsidRPr="00245964">
              <w:rPr>
                <w:rFonts w:ascii="Times New Roman" w:eastAsia="Times New Roman" w:hAnsi="Times New Roman" w:cs="Times New Roman"/>
                <w:color w:val="000000"/>
                <w:sz w:val="18"/>
                <w:szCs w:val="18"/>
                <w:vertAlign w:val="superscript"/>
                <w:lang w:bidi="th-TH"/>
              </w:rPr>
              <w:t>-1</w:t>
            </w:r>
            <w:proofErr w:type="gramEnd"/>
            <w:r w:rsidRPr="00245964">
              <w:rPr>
                <w:rFonts w:ascii="Times New Roman" w:eastAsia="Times New Roman" w:hAnsi="Times New Roman" w:cs="Times New Roman"/>
                <w:color w:val="000000"/>
                <w:sz w:val="18"/>
                <w:szCs w:val="18"/>
                <w:lang w:bidi="th-TH"/>
              </w:rPr>
              <w:t>)</w:t>
            </w:r>
          </w:p>
        </w:tc>
        <w:tc>
          <w:tcPr>
            <w:tcW w:w="253" w:type="dxa"/>
            <w:tcBorders>
              <w:top w:val="single" w:sz="12" w:space="0" w:color="auto"/>
              <w:left w:val="nil"/>
              <w:bottom w:val="nil"/>
              <w:right w:val="nil"/>
            </w:tcBorders>
            <w:shd w:val="clear" w:color="auto" w:fill="auto"/>
            <w:noWrap/>
            <w:vAlign w:val="center"/>
            <w:hideMark/>
          </w:tcPr>
          <w:p w14:paraId="77D0D1CC"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 </w:t>
            </w:r>
          </w:p>
        </w:tc>
        <w:tc>
          <w:tcPr>
            <w:tcW w:w="1160" w:type="dxa"/>
            <w:gridSpan w:val="2"/>
            <w:tcBorders>
              <w:top w:val="single" w:sz="12" w:space="0" w:color="auto"/>
              <w:left w:val="nil"/>
              <w:bottom w:val="single" w:sz="4" w:space="0" w:color="auto"/>
              <w:right w:val="nil"/>
            </w:tcBorders>
            <w:shd w:val="clear" w:color="auto" w:fill="auto"/>
            <w:noWrap/>
            <w:vAlign w:val="center"/>
            <w:hideMark/>
          </w:tcPr>
          <w:p w14:paraId="210D6BC2"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Cu (mg·</w:t>
            </w:r>
            <w:proofErr w:type="gramStart"/>
            <w:r w:rsidRPr="00245964">
              <w:rPr>
                <w:rFonts w:ascii="Times New Roman" w:eastAsia="Times New Roman" w:hAnsi="Times New Roman" w:cs="Times New Roman"/>
                <w:color w:val="000000"/>
                <w:sz w:val="18"/>
                <w:szCs w:val="18"/>
                <w:lang w:bidi="th-TH"/>
              </w:rPr>
              <w:t>kg</w:t>
            </w:r>
            <w:r w:rsidRPr="00245964">
              <w:rPr>
                <w:rFonts w:ascii="Times New Roman" w:eastAsia="Times New Roman" w:hAnsi="Times New Roman" w:cs="Times New Roman"/>
                <w:color w:val="000000"/>
                <w:sz w:val="18"/>
                <w:szCs w:val="18"/>
                <w:vertAlign w:val="superscript"/>
                <w:lang w:bidi="th-TH"/>
              </w:rPr>
              <w:t>-1</w:t>
            </w:r>
            <w:proofErr w:type="gramEnd"/>
            <w:r w:rsidRPr="00245964">
              <w:rPr>
                <w:rFonts w:ascii="Times New Roman" w:eastAsia="Times New Roman" w:hAnsi="Times New Roman" w:cs="Times New Roman"/>
                <w:color w:val="000000"/>
                <w:sz w:val="18"/>
                <w:szCs w:val="18"/>
                <w:lang w:bidi="th-TH"/>
              </w:rPr>
              <w:t>)</w:t>
            </w:r>
          </w:p>
        </w:tc>
        <w:tc>
          <w:tcPr>
            <w:tcW w:w="253" w:type="dxa"/>
            <w:tcBorders>
              <w:top w:val="single" w:sz="12" w:space="0" w:color="auto"/>
              <w:left w:val="nil"/>
              <w:bottom w:val="nil"/>
              <w:right w:val="nil"/>
            </w:tcBorders>
            <w:shd w:val="clear" w:color="auto" w:fill="auto"/>
            <w:noWrap/>
            <w:vAlign w:val="center"/>
            <w:hideMark/>
          </w:tcPr>
          <w:p w14:paraId="1AEBB3A4"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 </w:t>
            </w:r>
          </w:p>
        </w:tc>
        <w:tc>
          <w:tcPr>
            <w:tcW w:w="1160" w:type="dxa"/>
            <w:gridSpan w:val="2"/>
            <w:tcBorders>
              <w:top w:val="single" w:sz="12" w:space="0" w:color="auto"/>
              <w:left w:val="nil"/>
              <w:bottom w:val="single" w:sz="4" w:space="0" w:color="auto"/>
              <w:right w:val="nil"/>
            </w:tcBorders>
            <w:shd w:val="clear" w:color="auto" w:fill="auto"/>
            <w:noWrap/>
            <w:vAlign w:val="center"/>
            <w:hideMark/>
          </w:tcPr>
          <w:p w14:paraId="5F575CF7"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Zn (mg·</w:t>
            </w:r>
            <w:proofErr w:type="gramStart"/>
            <w:r w:rsidRPr="00245964">
              <w:rPr>
                <w:rFonts w:ascii="Times New Roman" w:eastAsia="Times New Roman" w:hAnsi="Times New Roman" w:cs="Times New Roman"/>
                <w:color w:val="000000"/>
                <w:sz w:val="18"/>
                <w:szCs w:val="18"/>
                <w:lang w:bidi="th-TH"/>
              </w:rPr>
              <w:t>kg</w:t>
            </w:r>
            <w:r w:rsidRPr="00245964">
              <w:rPr>
                <w:rFonts w:ascii="Times New Roman" w:eastAsia="Times New Roman" w:hAnsi="Times New Roman" w:cs="Times New Roman"/>
                <w:color w:val="000000"/>
                <w:sz w:val="18"/>
                <w:szCs w:val="18"/>
                <w:vertAlign w:val="superscript"/>
                <w:lang w:bidi="th-TH"/>
              </w:rPr>
              <w:t>-1</w:t>
            </w:r>
            <w:proofErr w:type="gramEnd"/>
            <w:r w:rsidRPr="00245964">
              <w:rPr>
                <w:rFonts w:ascii="Times New Roman" w:eastAsia="Times New Roman" w:hAnsi="Times New Roman" w:cs="Times New Roman"/>
                <w:color w:val="000000"/>
                <w:sz w:val="18"/>
                <w:szCs w:val="18"/>
                <w:lang w:bidi="th-TH"/>
              </w:rPr>
              <w:t>)</w:t>
            </w:r>
          </w:p>
        </w:tc>
        <w:tc>
          <w:tcPr>
            <w:tcW w:w="253" w:type="dxa"/>
            <w:tcBorders>
              <w:top w:val="single" w:sz="12" w:space="0" w:color="auto"/>
              <w:left w:val="nil"/>
              <w:bottom w:val="nil"/>
              <w:right w:val="nil"/>
            </w:tcBorders>
            <w:shd w:val="clear" w:color="auto" w:fill="auto"/>
            <w:noWrap/>
            <w:vAlign w:val="center"/>
            <w:hideMark/>
          </w:tcPr>
          <w:p w14:paraId="35964706"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 </w:t>
            </w:r>
          </w:p>
        </w:tc>
        <w:tc>
          <w:tcPr>
            <w:tcW w:w="1160" w:type="dxa"/>
            <w:gridSpan w:val="2"/>
            <w:tcBorders>
              <w:top w:val="single" w:sz="12" w:space="0" w:color="auto"/>
              <w:left w:val="nil"/>
              <w:bottom w:val="single" w:sz="4" w:space="0" w:color="auto"/>
              <w:right w:val="nil"/>
            </w:tcBorders>
            <w:shd w:val="clear" w:color="auto" w:fill="auto"/>
            <w:noWrap/>
            <w:vAlign w:val="center"/>
            <w:hideMark/>
          </w:tcPr>
          <w:p w14:paraId="612F7C1B"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Pb (mg·</w:t>
            </w:r>
            <w:proofErr w:type="gramStart"/>
            <w:r w:rsidRPr="00245964">
              <w:rPr>
                <w:rFonts w:ascii="Times New Roman" w:eastAsia="Times New Roman" w:hAnsi="Times New Roman" w:cs="Times New Roman"/>
                <w:color w:val="000000"/>
                <w:sz w:val="18"/>
                <w:szCs w:val="18"/>
                <w:lang w:bidi="th-TH"/>
              </w:rPr>
              <w:t>kg</w:t>
            </w:r>
            <w:r w:rsidRPr="00245964">
              <w:rPr>
                <w:rFonts w:ascii="Times New Roman" w:eastAsia="Times New Roman" w:hAnsi="Times New Roman" w:cs="Times New Roman"/>
                <w:color w:val="000000"/>
                <w:sz w:val="18"/>
                <w:szCs w:val="18"/>
                <w:vertAlign w:val="superscript"/>
                <w:lang w:bidi="th-TH"/>
              </w:rPr>
              <w:t>-1</w:t>
            </w:r>
            <w:proofErr w:type="gramEnd"/>
            <w:r w:rsidRPr="00245964">
              <w:rPr>
                <w:rFonts w:ascii="Times New Roman" w:eastAsia="Times New Roman" w:hAnsi="Times New Roman" w:cs="Times New Roman"/>
                <w:color w:val="000000"/>
                <w:sz w:val="18"/>
                <w:szCs w:val="18"/>
                <w:lang w:bidi="th-TH"/>
              </w:rPr>
              <w:t>)</w:t>
            </w:r>
          </w:p>
        </w:tc>
      </w:tr>
      <w:tr w:rsidR="00340957" w:rsidRPr="00340957" w14:paraId="195AAA98" w14:textId="77777777" w:rsidTr="00245964">
        <w:trPr>
          <w:trHeight w:hRule="exact" w:val="227"/>
        </w:trPr>
        <w:tc>
          <w:tcPr>
            <w:tcW w:w="902" w:type="dxa"/>
            <w:vMerge/>
            <w:tcBorders>
              <w:top w:val="single" w:sz="4" w:space="0" w:color="auto"/>
              <w:left w:val="nil"/>
              <w:bottom w:val="single" w:sz="4" w:space="0" w:color="000000"/>
              <w:right w:val="nil"/>
            </w:tcBorders>
            <w:vAlign w:val="center"/>
            <w:hideMark/>
          </w:tcPr>
          <w:p w14:paraId="56CA148E" w14:textId="77777777" w:rsidR="00340957" w:rsidRPr="00340957" w:rsidRDefault="00340957" w:rsidP="003C672D">
            <w:pPr>
              <w:spacing w:line="276" w:lineRule="auto"/>
              <w:rPr>
                <w:rFonts w:ascii="Times New Roman" w:eastAsia="Times New Roman" w:hAnsi="Times New Roman" w:cs="Times New Roman"/>
                <w:color w:val="000000"/>
                <w:lang w:bidi="th-TH"/>
              </w:rPr>
            </w:pPr>
          </w:p>
        </w:tc>
        <w:tc>
          <w:tcPr>
            <w:tcW w:w="262" w:type="dxa"/>
            <w:tcBorders>
              <w:top w:val="nil"/>
              <w:left w:val="nil"/>
              <w:bottom w:val="nil"/>
              <w:right w:val="nil"/>
            </w:tcBorders>
            <w:shd w:val="clear" w:color="auto" w:fill="auto"/>
            <w:vAlign w:val="center"/>
            <w:hideMark/>
          </w:tcPr>
          <w:p w14:paraId="21838280" w14:textId="77777777" w:rsidR="00340957" w:rsidRPr="00340957" w:rsidRDefault="00340957" w:rsidP="003C672D">
            <w:pPr>
              <w:spacing w:line="276" w:lineRule="auto"/>
              <w:jc w:val="center"/>
              <w:rPr>
                <w:rFonts w:ascii="Times New Roman" w:eastAsia="Times New Roman" w:hAnsi="Times New Roman" w:cs="Times New Roman"/>
                <w:color w:val="000000"/>
                <w:lang w:bidi="th-TH"/>
              </w:rPr>
            </w:pPr>
          </w:p>
        </w:tc>
        <w:tc>
          <w:tcPr>
            <w:tcW w:w="580" w:type="dxa"/>
            <w:vMerge w:val="restart"/>
            <w:tcBorders>
              <w:top w:val="single" w:sz="4" w:space="0" w:color="auto"/>
              <w:left w:val="nil"/>
              <w:bottom w:val="nil"/>
              <w:right w:val="nil"/>
            </w:tcBorders>
            <w:shd w:val="clear" w:color="auto" w:fill="auto"/>
            <w:vAlign w:val="center"/>
            <w:hideMark/>
          </w:tcPr>
          <w:p w14:paraId="4D322617"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low</w:t>
            </w:r>
          </w:p>
        </w:tc>
        <w:tc>
          <w:tcPr>
            <w:tcW w:w="580" w:type="dxa"/>
            <w:vMerge w:val="restart"/>
            <w:tcBorders>
              <w:top w:val="single" w:sz="4" w:space="0" w:color="auto"/>
              <w:left w:val="nil"/>
              <w:bottom w:val="nil"/>
              <w:right w:val="nil"/>
            </w:tcBorders>
            <w:shd w:val="clear" w:color="auto" w:fill="auto"/>
            <w:vAlign w:val="center"/>
            <w:hideMark/>
          </w:tcPr>
          <w:p w14:paraId="17EC2609"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high</w:t>
            </w:r>
          </w:p>
        </w:tc>
        <w:tc>
          <w:tcPr>
            <w:tcW w:w="253" w:type="dxa"/>
            <w:tcBorders>
              <w:top w:val="nil"/>
              <w:left w:val="nil"/>
              <w:bottom w:val="nil"/>
              <w:right w:val="nil"/>
            </w:tcBorders>
            <w:shd w:val="clear" w:color="auto" w:fill="auto"/>
            <w:vAlign w:val="center"/>
            <w:hideMark/>
          </w:tcPr>
          <w:p w14:paraId="597BED67"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p>
        </w:tc>
        <w:tc>
          <w:tcPr>
            <w:tcW w:w="580" w:type="dxa"/>
            <w:vMerge w:val="restart"/>
            <w:tcBorders>
              <w:top w:val="single" w:sz="4" w:space="0" w:color="auto"/>
              <w:left w:val="nil"/>
              <w:bottom w:val="nil"/>
              <w:right w:val="nil"/>
            </w:tcBorders>
            <w:shd w:val="clear" w:color="auto" w:fill="auto"/>
            <w:vAlign w:val="center"/>
            <w:hideMark/>
          </w:tcPr>
          <w:p w14:paraId="024F62DC"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low</w:t>
            </w:r>
          </w:p>
        </w:tc>
        <w:tc>
          <w:tcPr>
            <w:tcW w:w="580" w:type="dxa"/>
            <w:vMerge w:val="restart"/>
            <w:tcBorders>
              <w:top w:val="single" w:sz="4" w:space="0" w:color="auto"/>
              <w:left w:val="nil"/>
              <w:bottom w:val="nil"/>
              <w:right w:val="nil"/>
            </w:tcBorders>
            <w:shd w:val="clear" w:color="auto" w:fill="auto"/>
            <w:vAlign w:val="center"/>
            <w:hideMark/>
          </w:tcPr>
          <w:p w14:paraId="3A904E9D"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high</w:t>
            </w:r>
          </w:p>
        </w:tc>
        <w:tc>
          <w:tcPr>
            <w:tcW w:w="253" w:type="dxa"/>
            <w:tcBorders>
              <w:top w:val="nil"/>
              <w:left w:val="nil"/>
              <w:bottom w:val="nil"/>
              <w:right w:val="nil"/>
            </w:tcBorders>
            <w:shd w:val="clear" w:color="auto" w:fill="auto"/>
            <w:vAlign w:val="center"/>
            <w:hideMark/>
          </w:tcPr>
          <w:p w14:paraId="4D24BBD2"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p>
        </w:tc>
        <w:tc>
          <w:tcPr>
            <w:tcW w:w="580" w:type="dxa"/>
            <w:vMerge w:val="restart"/>
            <w:tcBorders>
              <w:top w:val="single" w:sz="4" w:space="0" w:color="auto"/>
              <w:left w:val="nil"/>
              <w:bottom w:val="nil"/>
              <w:right w:val="nil"/>
            </w:tcBorders>
            <w:shd w:val="clear" w:color="auto" w:fill="auto"/>
            <w:vAlign w:val="center"/>
            <w:hideMark/>
          </w:tcPr>
          <w:p w14:paraId="15464F84"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low</w:t>
            </w:r>
          </w:p>
        </w:tc>
        <w:tc>
          <w:tcPr>
            <w:tcW w:w="580" w:type="dxa"/>
            <w:vMerge w:val="restart"/>
            <w:tcBorders>
              <w:top w:val="single" w:sz="4" w:space="0" w:color="auto"/>
              <w:left w:val="nil"/>
              <w:bottom w:val="nil"/>
              <w:right w:val="nil"/>
            </w:tcBorders>
            <w:shd w:val="clear" w:color="auto" w:fill="auto"/>
            <w:vAlign w:val="center"/>
            <w:hideMark/>
          </w:tcPr>
          <w:p w14:paraId="456547D4"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high</w:t>
            </w:r>
          </w:p>
        </w:tc>
        <w:tc>
          <w:tcPr>
            <w:tcW w:w="253" w:type="dxa"/>
            <w:tcBorders>
              <w:top w:val="nil"/>
              <w:left w:val="nil"/>
              <w:bottom w:val="nil"/>
              <w:right w:val="nil"/>
            </w:tcBorders>
            <w:shd w:val="clear" w:color="auto" w:fill="auto"/>
            <w:vAlign w:val="center"/>
            <w:hideMark/>
          </w:tcPr>
          <w:p w14:paraId="598177CA"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p>
        </w:tc>
        <w:tc>
          <w:tcPr>
            <w:tcW w:w="580" w:type="dxa"/>
            <w:vMerge w:val="restart"/>
            <w:tcBorders>
              <w:top w:val="single" w:sz="4" w:space="0" w:color="auto"/>
              <w:left w:val="nil"/>
              <w:bottom w:val="nil"/>
              <w:right w:val="nil"/>
            </w:tcBorders>
            <w:shd w:val="clear" w:color="auto" w:fill="auto"/>
            <w:vAlign w:val="center"/>
            <w:hideMark/>
          </w:tcPr>
          <w:p w14:paraId="56DD702D"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low</w:t>
            </w:r>
          </w:p>
        </w:tc>
        <w:tc>
          <w:tcPr>
            <w:tcW w:w="580" w:type="dxa"/>
            <w:vMerge w:val="restart"/>
            <w:tcBorders>
              <w:top w:val="single" w:sz="4" w:space="0" w:color="auto"/>
              <w:left w:val="nil"/>
              <w:bottom w:val="nil"/>
              <w:right w:val="nil"/>
            </w:tcBorders>
            <w:shd w:val="clear" w:color="auto" w:fill="auto"/>
            <w:vAlign w:val="center"/>
            <w:hideMark/>
          </w:tcPr>
          <w:p w14:paraId="0825487D" w14:textId="77777777" w:rsidR="00340957" w:rsidRPr="00245964" w:rsidRDefault="00340957" w:rsidP="00F22B8A">
            <w:pPr>
              <w:spacing w:after="0" w:line="240"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ISQG high</w:t>
            </w:r>
          </w:p>
        </w:tc>
      </w:tr>
      <w:tr w:rsidR="00340957" w:rsidRPr="00340957" w14:paraId="2E949530" w14:textId="77777777" w:rsidTr="00F64D0D">
        <w:trPr>
          <w:trHeight w:hRule="exact" w:val="284"/>
        </w:trPr>
        <w:tc>
          <w:tcPr>
            <w:tcW w:w="902" w:type="dxa"/>
            <w:vMerge/>
            <w:tcBorders>
              <w:top w:val="single" w:sz="4" w:space="0" w:color="auto"/>
              <w:left w:val="nil"/>
              <w:bottom w:val="single" w:sz="4" w:space="0" w:color="000000"/>
              <w:right w:val="nil"/>
            </w:tcBorders>
            <w:vAlign w:val="center"/>
            <w:hideMark/>
          </w:tcPr>
          <w:p w14:paraId="464F5220" w14:textId="77777777" w:rsidR="00340957" w:rsidRPr="00340957" w:rsidRDefault="00340957" w:rsidP="003C672D">
            <w:pPr>
              <w:spacing w:line="276" w:lineRule="auto"/>
              <w:rPr>
                <w:rFonts w:ascii="Times New Roman" w:eastAsia="Times New Roman" w:hAnsi="Times New Roman" w:cs="Times New Roman"/>
                <w:color w:val="000000"/>
                <w:lang w:bidi="th-TH"/>
              </w:rPr>
            </w:pPr>
          </w:p>
        </w:tc>
        <w:tc>
          <w:tcPr>
            <w:tcW w:w="262" w:type="dxa"/>
            <w:tcBorders>
              <w:top w:val="nil"/>
              <w:left w:val="nil"/>
              <w:bottom w:val="nil"/>
              <w:right w:val="nil"/>
            </w:tcBorders>
            <w:shd w:val="clear" w:color="auto" w:fill="auto"/>
            <w:vAlign w:val="center"/>
            <w:hideMark/>
          </w:tcPr>
          <w:p w14:paraId="6C0E6559" w14:textId="77777777" w:rsidR="00340957" w:rsidRPr="00340957" w:rsidRDefault="00340957" w:rsidP="003C672D">
            <w:pPr>
              <w:spacing w:line="276" w:lineRule="auto"/>
              <w:jc w:val="center"/>
              <w:rPr>
                <w:rFonts w:ascii="Times New Roman" w:eastAsia="Times New Roman" w:hAnsi="Times New Roman" w:cs="Times New Roman"/>
                <w:color w:val="000000"/>
                <w:lang w:bidi="th-TH"/>
              </w:rPr>
            </w:pPr>
          </w:p>
        </w:tc>
        <w:tc>
          <w:tcPr>
            <w:tcW w:w="580" w:type="dxa"/>
            <w:vMerge/>
            <w:tcBorders>
              <w:top w:val="nil"/>
              <w:left w:val="nil"/>
              <w:bottom w:val="single" w:sz="4" w:space="0" w:color="auto"/>
              <w:right w:val="nil"/>
            </w:tcBorders>
            <w:vAlign w:val="center"/>
            <w:hideMark/>
          </w:tcPr>
          <w:p w14:paraId="7F52EB5C"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580" w:type="dxa"/>
            <w:vMerge/>
            <w:tcBorders>
              <w:top w:val="nil"/>
              <w:left w:val="nil"/>
              <w:bottom w:val="single" w:sz="4" w:space="0" w:color="auto"/>
              <w:right w:val="nil"/>
            </w:tcBorders>
            <w:vAlign w:val="center"/>
            <w:hideMark/>
          </w:tcPr>
          <w:p w14:paraId="2B1C1525"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253" w:type="dxa"/>
            <w:tcBorders>
              <w:top w:val="nil"/>
              <w:left w:val="nil"/>
              <w:bottom w:val="nil"/>
              <w:right w:val="nil"/>
            </w:tcBorders>
            <w:shd w:val="clear" w:color="auto" w:fill="auto"/>
            <w:vAlign w:val="center"/>
            <w:hideMark/>
          </w:tcPr>
          <w:p w14:paraId="6F63F57E" w14:textId="77777777" w:rsidR="00340957" w:rsidRPr="00245964" w:rsidRDefault="00340957" w:rsidP="003C672D">
            <w:pPr>
              <w:spacing w:line="276" w:lineRule="auto"/>
              <w:jc w:val="center"/>
              <w:rPr>
                <w:rFonts w:ascii="Times New Roman" w:eastAsia="Times New Roman" w:hAnsi="Times New Roman" w:cs="Times New Roman"/>
                <w:sz w:val="18"/>
                <w:szCs w:val="18"/>
                <w:lang w:bidi="th-TH"/>
              </w:rPr>
            </w:pPr>
          </w:p>
        </w:tc>
        <w:tc>
          <w:tcPr>
            <w:tcW w:w="580" w:type="dxa"/>
            <w:vMerge/>
            <w:tcBorders>
              <w:top w:val="nil"/>
              <w:left w:val="nil"/>
              <w:bottom w:val="single" w:sz="4" w:space="0" w:color="auto"/>
              <w:right w:val="nil"/>
            </w:tcBorders>
            <w:vAlign w:val="center"/>
            <w:hideMark/>
          </w:tcPr>
          <w:p w14:paraId="68CDE6CC"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580" w:type="dxa"/>
            <w:vMerge/>
            <w:tcBorders>
              <w:top w:val="nil"/>
              <w:left w:val="nil"/>
              <w:bottom w:val="single" w:sz="4" w:space="0" w:color="auto"/>
              <w:right w:val="nil"/>
            </w:tcBorders>
            <w:vAlign w:val="center"/>
            <w:hideMark/>
          </w:tcPr>
          <w:p w14:paraId="3E1BFC0C"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253" w:type="dxa"/>
            <w:tcBorders>
              <w:top w:val="nil"/>
              <w:left w:val="nil"/>
              <w:bottom w:val="nil"/>
              <w:right w:val="nil"/>
            </w:tcBorders>
            <w:shd w:val="clear" w:color="auto" w:fill="auto"/>
            <w:vAlign w:val="center"/>
            <w:hideMark/>
          </w:tcPr>
          <w:p w14:paraId="52A12D54" w14:textId="77777777" w:rsidR="00340957" w:rsidRPr="00245964" w:rsidRDefault="00340957" w:rsidP="003C672D">
            <w:pPr>
              <w:spacing w:line="276" w:lineRule="auto"/>
              <w:jc w:val="center"/>
              <w:rPr>
                <w:rFonts w:ascii="Times New Roman" w:eastAsia="Times New Roman" w:hAnsi="Times New Roman" w:cs="Times New Roman"/>
                <w:sz w:val="18"/>
                <w:szCs w:val="18"/>
                <w:lang w:bidi="th-TH"/>
              </w:rPr>
            </w:pPr>
          </w:p>
        </w:tc>
        <w:tc>
          <w:tcPr>
            <w:tcW w:w="580" w:type="dxa"/>
            <w:vMerge/>
            <w:tcBorders>
              <w:top w:val="nil"/>
              <w:left w:val="nil"/>
              <w:bottom w:val="single" w:sz="4" w:space="0" w:color="auto"/>
              <w:right w:val="nil"/>
            </w:tcBorders>
            <w:vAlign w:val="center"/>
            <w:hideMark/>
          </w:tcPr>
          <w:p w14:paraId="0C54C89C"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580" w:type="dxa"/>
            <w:vMerge/>
            <w:tcBorders>
              <w:top w:val="nil"/>
              <w:left w:val="nil"/>
              <w:bottom w:val="single" w:sz="4" w:space="0" w:color="auto"/>
              <w:right w:val="nil"/>
            </w:tcBorders>
            <w:vAlign w:val="center"/>
            <w:hideMark/>
          </w:tcPr>
          <w:p w14:paraId="2BA0BB06"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253" w:type="dxa"/>
            <w:tcBorders>
              <w:top w:val="nil"/>
              <w:left w:val="nil"/>
              <w:bottom w:val="nil"/>
              <w:right w:val="nil"/>
            </w:tcBorders>
            <w:shd w:val="clear" w:color="auto" w:fill="auto"/>
            <w:vAlign w:val="center"/>
            <w:hideMark/>
          </w:tcPr>
          <w:p w14:paraId="5033B16A" w14:textId="77777777" w:rsidR="00340957" w:rsidRPr="00245964" w:rsidRDefault="00340957" w:rsidP="003C672D">
            <w:pPr>
              <w:spacing w:line="276" w:lineRule="auto"/>
              <w:jc w:val="center"/>
              <w:rPr>
                <w:rFonts w:ascii="Times New Roman" w:eastAsia="Times New Roman" w:hAnsi="Times New Roman" w:cs="Times New Roman"/>
                <w:sz w:val="18"/>
                <w:szCs w:val="18"/>
                <w:lang w:bidi="th-TH"/>
              </w:rPr>
            </w:pPr>
          </w:p>
        </w:tc>
        <w:tc>
          <w:tcPr>
            <w:tcW w:w="580" w:type="dxa"/>
            <w:vMerge/>
            <w:tcBorders>
              <w:top w:val="nil"/>
              <w:left w:val="nil"/>
              <w:bottom w:val="single" w:sz="4" w:space="0" w:color="auto"/>
              <w:right w:val="nil"/>
            </w:tcBorders>
            <w:vAlign w:val="center"/>
            <w:hideMark/>
          </w:tcPr>
          <w:p w14:paraId="6A2A2059"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c>
          <w:tcPr>
            <w:tcW w:w="580" w:type="dxa"/>
            <w:vMerge/>
            <w:tcBorders>
              <w:top w:val="nil"/>
              <w:left w:val="nil"/>
              <w:bottom w:val="single" w:sz="4" w:space="0" w:color="auto"/>
              <w:right w:val="nil"/>
            </w:tcBorders>
            <w:vAlign w:val="center"/>
            <w:hideMark/>
          </w:tcPr>
          <w:p w14:paraId="6D27E54C" w14:textId="77777777" w:rsidR="00340957" w:rsidRPr="00245964" w:rsidRDefault="00340957" w:rsidP="003C672D">
            <w:pPr>
              <w:spacing w:line="276" w:lineRule="auto"/>
              <w:rPr>
                <w:rFonts w:ascii="Times New Roman" w:eastAsia="Times New Roman" w:hAnsi="Times New Roman" w:cs="Times New Roman"/>
                <w:color w:val="000000"/>
                <w:sz w:val="18"/>
                <w:szCs w:val="18"/>
                <w:lang w:bidi="th-TH"/>
              </w:rPr>
            </w:pPr>
          </w:p>
        </w:tc>
      </w:tr>
      <w:tr w:rsidR="00340957" w:rsidRPr="00340957" w14:paraId="29B57FCA" w14:textId="77777777" w:rsidTr="00245964">
        <w:trPr>
          <w:trHeight w:hRule="exact" w:val="284"/>
        </w:trPr>
        <w:tc>
          <w:tcPr>
            <w:tcW w:w="902" w:type="dxa"/>
            <w:vMerge/>
            <w:tcBorders>
              <w:top w:val="single" w:sz="4" w:space="0" w:color="auto"/>
              <w:left w:val="nil"/>
              <w:bottom w:val="single" w:sz="12" w:space="0" w:color="auto"/>
              <w:right w:val="nil"/>
            </w:tcBorders>
            <w:vAlign w:val="center"/>
            <w:hideMark/>
          </w:tcPr>
          <w:p w14:paraId="152C2097" w14:textId="77777777" w:rsidR="00340957" w:rsidRPr="00340957" w:rsidRDefault="00340957" w:rsidP="003C672D">
            <w:pPr>
              <w:spacing w:line="276" w:lineRule="auto"/>
              <w:rPr>
                <w:rFonts w:ascii="Times New Roman" w:eastAsia="Times New Roman" w:hAnsi="Times New Roman" w:cs="Times New Roman"/>
                <w:color w:val="000000"/>
                <w:lang w:bidi="th-TH"/>
              </w:rPr>
            </w:pPr>
          </w:p>
        </w:tc>
        <w:tc>
          <w:tcPr>
            <w:tcW w:w="262" w:type="dxa"/>
            <w:tcBorders>
              <w:top w:val="nil"/>
              <w:left w:val="nil"/>
              <w:bottom w:val="single" w:sz="12" w:space="0" w:color="auto"/>
              <w:right w:val="nil"/>
            </w:tcBorders>
            <w:shd w:val="clear" w:color="auto" w:fill="auto"/>
            <w:vAlign w:val="center"/>
            <w:hideMark/>
          </w:tcPr>
          <w:p w14:paraId="58EB05A3" w14:textId="77777777" w:rsidR="00340957" w:rsidRPr="00340957" w:rsidRDefault="00340957" w:rsidP="003C672D">
            <w:pPr>
              <w:spacing w:line="276" w:lineRule="auto"/>
              <w:jc w:val="center"/>
              <w:rPr>
                <w:rFonts w:ascii="Times New Roman" w:eastAsia="Times New Roman" w:hAnsi="Times New Roman" w:cs="Times New Roman"/>
                <w:color w:val="000000"/>
                <w:lang w:bidi="th-TH"/>
              </w:rPr>
            </w:pPr>
            <w:r w:rsidRPr="00340957">
              <w:rPr>
                <w:rFonts w:ascii="Times New Roman" w:eastAsia="Times New Roman" w:hAnsi="Times New Roman" w:cs="Times New Roman"/>
                <w:color w:val="000000"/>
                <w:lang w:bidi="th-TH"/>
              </w:rPr>
              <w:t> </w:t>
            </w:r>
          </w:p>
        </w:tc>
        <w:tc>
          <w:tcPr>
            <w:tcW w:w="580" w:type="dxa"/>
            <w:tcBorders>
              <w:top w:val="single" w:sz="4" w:space="0" w:color="auto"/>
              <w:left w:val="nil"/>
              <w:bottom w:val="single" w:sz="12" w:space="0" w:color="auto"/>
              <w:right w:val="nil"/>
            </w:tcBorders>
            <w:shd w:val="clear" w:color="auto" w:fill="auto"/>
            <w:noWrap/>
            <w:vAlign w:val="center"/>
            <w:hideMark/>
          </w:tcPr>
          <w:p w14:paraId="4B4434AD"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20</w:t>
            </w:r>
          </w:p>
        </w:tc>
        <w:tc>
          <w:tcPr>
            <w:tcW w:w="580" w:type="dxa"/>
            <w:tcBorders>
              <w:top w:val="single" w:sz="4" w:space="0" w:color="auto"/>
              <w:left w:val="nil"/>
              <w:bottom w:val="single" w:sz="12" w:space="0" w:color="auto"/>
              <w:right w:val="nil"/>
            </w:tcBorders>
            <w:shd w:val="clear" w:color="auto" w:fill="auto"/>
            <w:noWrap/>
            <w:vAlign w:val="center"/>
            <w:hideMark/>
          </w:tcPr>
          <w:p w14:paraId="12A5B15C"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70</w:t>
            </w:r>
          </w:p>
        </w:tc>
        <w:tc>
          <w:tcPr>
            <w:tcW w:w="253" w:type="dxa"/>
            <w:tcBorders>
              <w:top w:val="nil"/>
              <w:left w:val="nil"/>
              <w:bottom w:val="single" w:sz="12" w:space="0" w:color="auto"/>
              <w:right w:val="nil"/>
            </w:tcBorders>
            <w:shd w:val="clear" w:color="auto" w:fill="auto"/>
            <w:noWrap/>
            <w:vAlign w:val="center"/>
            <w:hideMark/>
          </w:tcPr>
          <w:p w14:paraId="7991C819"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 </w:t>
            </w:r>
          </w:p>
        </w:tc>
        <w:tc>
          <w:tcPr>
            <w:tcW w:w="580" w:type="dxa"/>
            <w:tcBorders>
              <w:top w:val="single" w:sz="4" w:space="0" w:color="auto"/>
              <w:left w:val="nil"/>
              <w:bottom w:val="single" w:sz="12" w:space="0" w:color="auto"/>
              <w:right w:val="nil"/>
            </w:tcBorders>
            <w:shd w:val="clear" w:color="auto" w:fill="auto"/>
            <w:noWrap/>
            <w:vAlign w:val="center"/>
            <w:hideMark/>
          </w:tcPr>
          <w:p w14:paraId="68B65154"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65</w:t>
            </w:r>
          </w:p>
        </w:tc>
        <w:tc>
          <w:tcPr>
            <w:tcW w:w="580" w:type="dxa"/>
            <w:tcBorders>
              <w:top w:val="single" w:sz="4" w:space="0" w:color="auto"/>
              <w:left w:val="nil"/>
              <w:bottom w:val="single" w:sz="12" w:space="0" w:color="auto"/>
              <w:right w:val="nil"/>
            </w:tcBorders>
            <w:shd w:val="clear" w:color="auto" w:fill="auto"/>
            <w:noWrap/>
            <w:vAlign w:val="center"/>
            <w:hideMark/>
          </w:tcPr>
          <w:p w14:paraId="355AF33C"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270</w:t>
            </w:r>
          </w:p>
        </w:tc>
        <w:tc>
          <w:tcPr>
            <w:tcW w:w="253" w:type="dxa"/>
            <w:tcBorders>
              <w:top w:val="nil"/>
              <w:left w:val="nil"/>
              <w:bottom w:val="single" w:sz="12" w:space="0" w:color="auto"/>
              <w:right w:val="nil"/>
            </w:tcBorders>
            <w:shd w:val="clear" w:color="auto" w:fill="auto"/>
            <w:noWrap/>
            <w:vAlign w:val="center"/>
            <w:hideMark/>
          </w:tcPr>
          <w:p w14:paraId="7D3217F7"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 </w:t>
            </w:r>
          </w:p>
        </w:tc>
        <w:tc>
          <w:tcPr>
            <w:tcW w:w="580" w:type="dxa"/>
            <w:tcBorders>
              <w:top w:val="single" w:sz="4" w:space="0" w:color="auto"/>
              <w:left w:val="nil"/>
              <w:bottom w:val="single" w:sz="12" w:space="0" w:color="auto"/>
              <w:right w:val="nil"/>
            </w:tcBorders>
            <w:shd w:val="clear" w:color="auto" w:fill="auto"/>
            <w:noWrap/>
            <w:vAlign w:val="center"/>
            <w:hideMark/>
          </w:tcPr>
          <w:p w14:paraId="05CE5067"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200</w:t>
            </w:r>
          </w:p>
        </w:tc>
        <w:tc>
          <w:tcPr>
            <w:tcW w:w="580" w:type="dxa"/>
            <w:tcBorders>
              <w:top w:val="single" w:sz="4" w:space="0" w:color="auto"/>
              <w:left w:val="nil"/>
              <w:bottom w:val="single" w:sz="12" w:space="0" w:color="auto"/>
              <w:right w:val="nil"/>
            </w:tcBorders>
            <w:shd w:val="clear" w:color="auto" w:fill="auto"/>
            <w:noWrap/>
            <w:vAlign w:val="center"/>
            <w:hideMark/>
          </w:tcPr>
          <w:p w14:paraId="56EF21A9"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410</w:t>
            </w:r>
          </w:p>
        </w:tc>
        <w:tc>
          <w:tcPr>
            <w:tcW w:w="253" w:type="dxa"/>
            <w:tcBorders>
              <w:top w:val="nil"/>
              <w:left w:val="nil"/>
              <w:bottom w:val="single" w:sz="12" w:space="0" w:color="auto"/>
              <w:right w:val="nil"/>
            </w:tcBorders>
            <w:shd w:val="clear" w:color="auto" w:fill="auto"/>
            <w:noWrap/>
            <w:vAlign w:val="center"/>
            <w:hideMark/>
          </w:tcPr>
          <w:p w14:paraId="2EEB2A9C"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 </w:t>
            </w:r>
          </w:p>
        </w:tc>
        <w:tc>
          <w:tcPr>
            <w:tcW w:w="580" w:type="dxa"/>
            <w:tcBorders>
              <w:top w:val="single" w:sz="4" w:space="0" w:color="auto"/>
              <w:left w:val="nil"/>
              <w:bottom w:val="single" w:sz="12" w:space="0" w:color="auto"/>
              <w:right w:val="nil"/>
            </w:tcBorders>
            <w:shd w:val="clear" w:color="auto" w:fill="auto"/>
            <w:noWrap/>
            <w:vAlign w:val="center"/>
            <w:hideMark/>
          </w:tcPr>
          <w:p w14:paraId="0ECE70D3"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50</w:t>
            </w:r>
          </w:p>
        </w:tc>
        <w:tc>
          <w:tcPr>
            <w:tcW w:w="580" w:type="dxa"/>
            <w:tcBorders>
              <w:top w:val="single" w:sz="4" w:space="0" w:color="auto"/>
              <w:left w:val="nil"/>
              <w:bottom w:val="single" w:sz="12" w:space="0" w:color="auto"/>
              <w:right w:val="nil"/>
            </w:tcBorders>
            <w:shd w:val="clear" w:color="auto" w:fill="auto"/>
            <w:noWrap/>
            <w:vAlign w:val="center"/>
            <w:hideMark/>
          </w:tcPr>
          <w:p w14:paraId="20CB1370" w14:textId="77777777" w:rsidR="00340957" w:rsidRPr="00245964" w:rsidRDefault="00340957" w:rsidP="003C672D">
            <w:pPr>
              <w:spacing w:line="276" w:lineRule="auto"/>
              <w:jc w:val="center"/>
              <w:rPr>
                <w:rFonts w:ascii="Times New Roman" w:eastAsia="Times New Roman" w:hAnsi="Times New Roman" w:cs="Times New Roman"/>
                <w:color w:val="000000"/>
                <w:sz w:val="18"/>
                <w:szCs w:val="18"/>
                <w:lang w:bidi="th-TH"/>
              </w:rPr>
            </w:pPr>
            <w:r w:rsidRPr="00245964">
              <w:rPr>
                <w:rFonts w:ascii="Times New Roman" w:eastAsia="Times New Roman" w:hAnsi="Times New Roman" w:cs="Times New Roman"/>
                <w:color w:val="000000"/>
                <w:sz w:val="18"/>
                <w:szCs w:val="18"/>
                <w:lang w:bidi="th-TH"/>
              </w:rPr>
              <w:t>220</w:t>
            </w:r>
          </w:p>
        </w:tc>
      </w:tr>
    </w:tbl>
    <w:p w14:paraId="32F42287" w14:textId="77777777" w:rsidR="00340957" w:rsidRPr="00340957" w:rsidRDefault="00340957" w:rsidP="00340957">
      <w:pPr>
        <w:spacing w:line="276" w:lineRule="auto"/>
        <w:jc w:val="both"/>
        <w:rPr>
          <w:rFonts w:ascii="Times New Roman" w:hAnsi="Times New Roman" w:cs="Times New Roman"/>
        </w:rPr>
      </w:pPr>
      <w:r w:rsidRPr="00340957">
        <w:rPr>
          <w:rFonts w:ascii="Times New Roman" w:hAnsi="Times New Roman" w:cs="Times New Roman"/>
        </w:rPr>
        <w:br w:type="textWrapping" w:clear="all"/>
      </w:r>
    </w:p>
    <w:p w14:paraId="4F62C709" w14:textId="77777777" w:rsidR="00340957" w:rsidRDefault="00340957" w:rsidP="00853046">
      <w:pPr>
        <w:pStyle w:val="Paraotexto"/>
        <w:spacing w:before="0" w:line="240" w:lineRule="auto"/>
        <w:ind w:right="0"/>
        <w:rPr>
          <w:rFonts w:ascii="Times New Roman" w:hAnsi="Times New Roman" w:cs="Times New Roman"/>
        </w:rPr>
      </w:pPr>
    </w:p>
    <w:p w14:paraId="073F6113" w14:textId="77777777" w:rsidR="00340957" w:rsidRDefault="00340957" w:rsidP="00340957">
      <w:pPr>
        <w:pStyle w:val="Heading1"/>
        <w:spacing w:line="276" w:lineRule="auto"/>
        <w:ind w:left="432" w:hanging="432"/>
        <w:jc w:val="center"/>
      </w:pPr>
      <w:r>
        <w:rPr>
          <w:noProof/>
          <w:lang w:val="en-IN" w:eastAsia="en-IN"/>
        </w:rPr>
        <w:drawing>
          <wp:inline distT="0" distB="0" distL="0" distR="0" wp14:anchorId="1B0B8757" wp14:editId="2453DE43">
            <wp:extent cx="4974336" cy="7457095"/>
            <wp:effectExtent l="0" t="0" r="0" b="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11"/>
                    <a:stretch>
                      <a:fillRect/>
                    </a:stretch>
                  </pic:blipFill>
                  <pic:spPr>
                    <a:xfrm>
                      <a:off x="0" y="0"/>
                      <a:ext cx="4999648" cy="7495040"/>
                    </a:xfrm>
                    <a:prstGeom prst="rect">
                      <a:avLst/>
                    </a:prstGeom>
                  </pic:spPr>
                </pic:pic>
              </a:graphicData>
            </a:graphic>
          </wp:inline>
        </w:drawing>
      </w:r>
    </w:p>
    <w:p w14:paraId="257BD79E" w14:textId="6F21ACDC" w:rsidR="00340957" w:rsidRPr="00921B6E" w:rsidRDefault="00340957" w:rsidP="00340957">
      <w:pPr>
        <w:pStyle w:val="Caption"/>
        <w:rPr>
          <w:rFonts w:ascii="Times New Roman" w:hAnsi="Times New Roman" w:cs="Times New Roman"/>
          <w:i w:val="0"/>
          <w:iCs w:val="0"/>
          <w:sz w:val="22"/>
          <w:szCs w:val="22"/>
        </w:rPr>
      </w:pPr>
      <w:r w:rsidRPr="00921B6E">
        <w:rPr>
          <w:rFonts w:ascii="Times New Roman" w:hAnsi="Times New Roman" w:cs="Times New Roman"/>
          <w:i w:val="0"/>
          <w:iCs w:val="0"/>
          <w:sz w:val="22"/>
          <w:szCs w:val="22"/>
        </w:rPr>
        <w:t>Supplementa</w:t>
      </w:r>
      <w:r w:rsidR="00921B6E">
        <w:rPr>
          <w:rFonts w:ascii="Times New Roman" w:hAnsi="Times New Roman" w:cs="Times New Roman"/>
          <w:i w:val="0"/>
          <w:iCs w:val="0"/>
          <w:sz w:val="22"/>
          <w:szCs w:val="22"/>
        </w:rPr>
        <w:t>l</w:t>
      </w:r>
      <w:r w:rsidRPr="00921B6E">
        <w:rPr>
          <w:rFonts w:ascii="Times New Roman" w:hAnsi="Times New Roman" w:cs="Times New Roman"/>
          <w:i w:val="0"/>
          <w:iCs w:val="0"/>
          <w:sz w:val="22"/>
          <w:szCs w:val="22"/>
        </w:rPr>
        <w:t xml:space="preserve"> Figure </w:t>
      </w:r>
      <w:r w:rsidRPr="00921B6E">
        <w:rPr>
          <w:rFonts w:ascii="Times New Roman" w:hAnsi="Times New Roman" w:cs="Times New Roman"/>
          <w:i w:val="0"/>
          <w:iCs w:val="0"/>
          <w:sz w:val="22"/>
          <w:szCs w:val="22"/>
        </w:rPr>
        <w:fldChar w:fldCharType="begin"/>
      </w:r>
      <w:r w:rsidRPr="00921B6E">
        <w:rPr>
          <w:rFonts w:ascii="Times New Roman" w:hAnsi="Times New Roman" w:cs="Times New Roman"/>
          <w:i w:val="0"/>
          <w:iCs w:val="0"/>
          <w:sz w:val="22"/>
          <w:szCs w:val="22"/>
        </w:rPr>
        <w:instrText xml:space="preserve"> SEQ Supplementary_Figure_ \* ARABIC </w:instrText>
      </w:r>
      <w:r w:rsidRPr="00921B6E">
        <w:rPr>
          <w:rFonts w:ascii="Times New Roman" w:hAnsi="Times New Roman" w:cs="Times New Roman"/>
          <w:i w:val="0"/>
          <w:iCs w:val="0"/>
          <w:sz w:val="22"/>
          <w:szCs w:val="22"/>
        </w:rPr>
        <w:fldChar w:fldCharType="separate"/>
      </w:r>
      <w:r w:rsidRPr="00921B6E">
        <w:rPr>
          <w:rFonts w:ascii="Times New Roman" w:hAnsi="Times New Roman" w:cs="Times New Roman"/>
          <w:i w:val="0"/>
          <w:iCs w:val="0"/>
          <w:noProof/>
          <w:sz w:val="22"/>
          <w:szCs w:val="22"/>
        </w:rPr>
        <w:t>1</w:t>
      </w:r>
      <w:r w:rsidRPr="00921B6E">
        <w:rPr>
          <w:rFonts w:ascii="Times New Roman" w:hAnsi="Times New Roman" w:cs="Times New Roman"/>
          <w:i w:val="0"/>
          <w:iCs w:val="0"/>
          <w:noProof/>
          <w:sz w:val="22"/>
          <w:szCs w:val="22"/>
        </w:rPr>
        <w:fldChar w:fldCharType="end"/>
      </w:r>
      <w:r w:rsidRPr="00921B6E">
        <w:rPr>
          <w:rFonts w:ascii="Times New Roman" w:hAnsi="Times New Roman" w:cs="Times New Roman"/>
          <w:i w:val="0"/>
          <w:iCs w:val="0"/>
          <w:sz w:val="22"/>
          <w:szCs w:val="22"/>
        </w:rPr>
        <w:t xml:space="preserve"> – Geologic map of the Mount Lyell mines area </w:t>
      </w:r>
      <w:r w:rsidRPr="00921B6E">
        <w:rPr>
          <w:rFonts w:ascii="Times New Roman" w:hAnsi="Times New Roman" w:cs="Times New Roman"/>
          <w:i w:val="0"/>
          <w:iCs w:val="0"/>
          <w:sz w:val="22"/>
          <w:szCs w:val="22"/>
        </w:rPr>
        <w:fldChar w:fldCharType="begin"/>
      </w:r>
      <w:r w:rsidR="006B6AC2">
        <w:rPr>
          <w:rFonts w:ascii="Times New Roman" w:hAnsi="Times New Roman" w:cs="Times New Roman"/>
          <w:i w:val="0"/>
          <w:iCs w:val="0"/>
          <w:sz w:val="22"/>
          <w:szCs w:val="22"/>
        </w:rPr>
        <w:instrText xml:space="preserve"> ADDIN EN.CITE &lt;EndNote&gt;&lt;Cite&gt;&lt;Author&gt;Corbett&lt;/Author&gt;&lt;Year&gt;2001&lt;/Year&gt;&lt;RecNum&gt;238&lt;/RecNum&gt;&lt;DisplayText&gt;(K. D. Corbett, 2001)&lt;/DisplayText&gt;&lt;record&gt;&lt;rec-number&gt;238&lt;/rec-number&gt;&lt;foreign-keys&gt;&lt;key app="EN" db-id="wfv0ff2zhvveeiepdtr5fpxcf2d9szdw0spe" timestamp="1541721367"&gt;238&lt;/key&gt;&lt;/foreign-keys&gt;&lt;ref-type name="Journal Article"&gt;17&lt;/ref-type&gt;&lt;contributors&gt;&lt;authors&gt;&lt;author&gt;Corbett, K. D.&lt;/author&gt;&lt;/authors&gt;&lt;/contributors&gt;&lt;titles&gt;&lt;title&gt;New mapping and interpretations of the Mount Lyell mining district, Tasmania: A large hybrid Cu-Au system with an exhalative Pb-Zn top&lt;/title&gt;&lt;secondary-title&gt;Economic Geology&lt;/secondary-title&gt;&lt;/titles&gt;&lt;periodical&gt;&lt;full-title&gt;Economic Geology&lt;/full-title&gt;&lt;/periodical&gt;&lt;pages&gt;1089-1122, 1554-0774&lt;/pages&gt;&lt;volume&gt;96&lt;/volume&gt;&lt;number&gt;5&lt;/number&gt;&lt;dates&gt;&lt;year&gt;2001&lt;/year&gt;&lt;/dates&gt;&lt;urls&gt;&lt;/urls&gt;&lt;electronic-resource-num&gt;https://doi.org/10.2113/gsecongeo.96.5.1089&lt;/electronic-resource-num&gt;&lt;/record&gt;&lt;/Cite&gt;&lt;/EndNote&gt;</w:instrText>
      </w:r>
      <w:r w:rsidRPr="00921B6E">
        <w:rPr>
          <w:rFonts w:ascii="Times New Roman" w:hAnsi="Times New Roman" w:cs="Times New Roman"/>
          <w:i w:val="0"/>
          <w:iCs w:val="0"/>
          <w:sz w:val="22"/>
          <w:szCs w:val="22"/>
        </w:rPr>
        <w:fldChar w:fldCharType="separate"/>
      </w:r>
      <w:r w:rsidR="006B6AC2">
        <w:rPr>
          <w:rFonts w:ascii="Times New Roman" w:hAnsi="Times New Roman" w:cs="Times New Roman"/>
          <w:i w:val="0"/>
          <w:iCs w:val="0"/>
          <w:noProof/>
          <w:sz w:val="22"/>
          <w:szCs w:val="22"/>
        </w:rPr>
        <w:t>(K. D. Corbett, 2001)</w:t>
      </w:r>
      <w:r w:rsidRPr="00921B6E">
        <w:rPr>
          <w:rFonts w:ascii="Times New Roman" w:hAnsi="Times New Roman" w:cs="Times New Roman"/>
          <w:i w:val="0"/>
          <w:iCs w:val="0"/>
          <w:sz w:val="22"/>
          <w:szCs w:val="22"/>
        </w:rPr>
        <w:fldChar w:fldCharType="end"/>
      </w:r>
    </w:p>
    <w:p w14:paraId="15CE01B2" w14:textId="77777777" w:rsidR="00921B6E" w:rsidRDefault="00921B6E" w:rsidP="00921B6E">
      <w:pPr>
        <w:pStyle w:val="Paraotexto"/>
        <w:keepNext/>
        <w:spacing w:line="276" w:lineRule="auto"/>
        <w:ind w:firstLine="0"/>
        <w:jc w:val="center"/>
      </w:pPr>
      <w:r>
        <w:rPr>
          <w:rFonts w:cstheme="majorBidi"/>
          <w:noProof/>
          <w:lang w:val="en-IN" w:eastAsia="en-IN"/>
        </w:rPr>
        <w:drawing>
          <wp:inline distT="0" distB="0" distL="0" distR="0" wp14:anchorId="43BD2F87" wp14:editId="4BD52B7A">
            <wp:extent cx="3690257" cy="1602737"/>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12"/>
                    <a:srcRect l="-455" t="-1925" r="-2740" b="-2309"/>
                    <a:stretch/>
                  </pic:blipFill>
                  <pic:spPr bwMode="auto">
                    <a:xfrm>
                      <a:off x="0" y="0"/>
                      <a:ext cx="3744285" cy="1626202"/>
                    </a:xfrm>
                    <a:prstGeom prst="rect">
                      <a:avLst/>
                    </a:prstGeom>
                    <a:ln>
                      <a:noFill/>
                    </a:ln>
                    <a:extLst>
                      <a:ext uri="{53640926-AAD7-44D8-BBD7-CCE9431645EC}">
                        <a14:shadowObscured xmlns:a14="http://schemas.microsoft.com/office/drawing/2010/main"/>
                      </a:ext>
                    </a:extLst>
                  </pic:spPr>
                </pic:pic>
              </a:graphicData>
            </a:graphic>
          </wp:inline>
        </w:drawing>
      </w:r>
    </w:p>
    <w:p w14:paraId="1B23B400" w14:textId="29A9D49D" w:rsidR="00921B6E" w:rsidRPr="00921B6E" w:rsidRDefault="00921B6E" w:rsidP="00921B6E">
      <w:pPr>
        <w:pStyle w:val="Caption"/>
        <w:jc w:val="both"/>
        <w:rPr>
          <w:rFonts w:ascii="Times New Roman" w:hAnsi="Times New Roman" w:cs="Times New Roman"/>
          <w:i w:val="0"/>
          <w:iCs w:val="0"/>
          <w:sz w:val="22"/>
          <w:szCs w:val="22"/>
        </w:rPr>
      </w:pPr>
      <w:bookmarkStart w:id="7" w:name="_Ref128398034"/>
      <w:r w:rsidRPr="00921B6E">
        <w:rPr>
          <w:rFonts w:ascii="Times New Roman" w:hAnsi="Times New Roman" w:cs="Times New Roman"/>
          <w:i w:val="0"/>
          <w:iCs w:val="0"/>
          <w:sz w:val="22"/>
          <w:szCs w:val="22"/>
        </w:rPr>
        <w:t>Supplementa</w:t>
      </w:r>
      <w:r>
        <w:rPr>
          <w:rFonts w:ascii="Times New Roman" w:hAnsi="Times New Roman" w:cs="Times New Roman"/>
          <w:i w:val="0"/>
          <w:iCs w:val="0"/>
          <w:sz w:val="22"/>
          <w:szCs w:val="22"/>
        </w:rPr>
        <w:t>l</w:t>
      </w:r>
      <w:r w:rsidRPr="00921B6E">
        <w:rPr>
          <w:rFonts w:ascii="Times New Roman" w:hAnsi="Times New Roman" w:cs="Times New Roman"/>
          <w:i w:val="0"/>
          <w:iCs w:val="0"/>
          <w:sz w:val="22"/>
          <w:szCs w:val="22"/>
        </w:rPr>
        <w:t xml:space="preserve"> Figure </w:t>
      </w:r>
      <w:r w:rsidRPr="00921B6E">
        <w:rPr>
          <w:rFonts w:ascii="Times New Roman" w:hAnsi="Times New Roman" w:cs="Times New Roman"/>
          <w:i w:val="0"/>
          <w:iCs w:val="0"/>
          <w:sz w:val="22"/>
          <w:szCs w:val="22"/>
        </w:rPr>
        <w:fldChar w:fldCharType="begin"/>
      </w:r>
      <w:r w:rsidRPr="00921B6E">
        <w:rPr>
          <w:rFonts w:ascii="Times New Roman" w:hAnsi="Times New Roman" w:cs="Times New Roman"/>
          <w:i w:val="0"/>
          <w:iCs w:val="0"/>
          <w:sz w:val="22"/>
          <w:szCs w:val="22"/>
        </w:rPr>
        <w:instrText xml:space="preserve"> SEQ Supplementary_Figure_ \* ARABIC </w:instrText>
      </w:r>
      <w:r w:rsidRPr="00921B6E">
        <w:rPr>
          <w:rFonts w:ascii="Times New Roman" w:hAnsi="Times New Roman" w:cs="Times New Roman"/>
          <w:i w:val="0"/>
          <w:iCs w:val="0"/>
          <w:sz w:val="22"/>
          <w:szCs w:val="22"/>
        </w:rPr>
        <w:fldChar w:fldCharType="separate"/>
      </w:r>
      <w:r w:rsidRPr="00921B6E">
        <w:rPr>
          <w:rFonts w:ascii="Times New Roman" w:hAnsi="Times New Roman" w:cs="Times New Roman"/>
          <w:i w:val="0"/>
          <w:iCs w:val="0"/>
          <w:noProof/>
          <w:sz w:val="22"/>
          <w:szCs w:val="22"/>
        </w:rPr>
        <w:t>2</w:t>
      </w:r>
      <w:r w:rsidRPr="00921B6E">
        <w:rPr>
          <w:rFonts w:ascii="Times New Roman" w:hAnsi="Times New Roman" w:cs="Times New Roman"/>
          <w:i w:val="0"/>
          <w:iCs w:val="0"/>
          <w:noProof/>
          <w:sz w:val="22"/>
          <w:szCs w:val="22"/>
        </w:rPr>
        <w:fldChar w:fldCharType="end"/>
      </w:r>
      <w:bookmarkEnd w:id="7"/>
      <w:r>
        <w:rPr>
          <w:rFonts w:ascii="Times New Roman" w:hAnsi="Times New Roman" w:cs="Times New Roman"/>
          <w:i w:val="0"/>
          <w:iCs w:val="0"/>
          <w:noProof/>
          <w:sz w:val="22"/>
          <w:szCs w:val="22"/>
        </w:rPr>
        <w:t>.</w:t>
      </w:r>
      <w:r w:rsidRPr="00921B6E">
        <w:rPr>
          <w:rFonts w:ascii="Times New Roman" w:hAnsi="Times New Roman" w:cs="Times New Roman"/>
          <w:i w:val="0"/>
          <w:iCs w:val="0"/>
          <w:sz w:val="22"/>
          <w:szCs w:val="22"/>
        </w:rPr>
        <w:t xml:space="preserve"> August rainfall (prior to sampling) at Queenstown for each year and correlation between rainfall X dissolved metals.</w:t>
      </w:r>
    </w:p>
    <w:p w14:paraId="0C416C27" w14:textId="77777777" w:rsidR="00921B6E" w:rsidRPr="00921B6E" w:rsidRDefault="00921B6E" w:rsidP="00921B6E">
      <w:pPr>
        <w:rPr>
          <w:lang w:val="en-AU" w:eastAsia="zh-CN"/>
        </w:rPr>
      </w:pPr>
    </w:p>
    <w:p w14:paraId="3FC158C8" w14:textId="41047B28" w:rsidR="006B6AC2" w:rsidRPr="00780F90" w:rsidRDefault="00780F90" w:rsidP="00780F90">
      <w:pPr>
        <w:pStyle w:val="Paraotexto"/>
        <w:spacing w:before="0" w:line="240" w:lineRule="auto"/>
        <w:ind w:right="0" w:firstLine="0"/>
        <w:rPr>
          <w:rFonts w:ascii="Times New Roman" w:hAnsi="Times New Roman" w:cs="Times New Roman"/>
          <w:b/>
          <w:bCs/>
        </w:rPr>
      </w:pPr>
      <w:r w:rsidRPr="00780F90">
        <w:rPr>
          <w:rFonts w:ascii="Times New Roman" w:hAnsi="Times New Roman" w:cs="Times New Roman"/>
          <w:b/>
          <w:bCs/>
        </w:rPr>
        <w:t xml:space="preserve">References </w:t>
      </w:r>
    </w:p>
    <w:p w14:paraId="4A863176" w14:textId="77777777" w:rsidR="006B6AC2" w:rsidRDefault="006B6AC2" w:rsidP="00853046">
      <w:pPr>
        <w:pStyle w:val="Paraotexto"/>
        <w:spacing w:before="0" w:line="240" w:lineRule="auto"/>
        <w:ind w:right="0"/>
        <w:rPr>
          <w:rFonts w:ascii="Times New Roman" w:hAnsi="Times New Roman" w:cs="Times New Roman"/>
        </w:rPr>
      </w:pPr>
    </w:p>
    <w:p w14:paraId="486F64DB" w14:textId="3A7ED43C" w:rsidR="006B6AC2" w:rsidRPr="006B6AC2" w:rsidRDefault="006B6AC2" w:rsidP="006B6AC2">
      <w:pPr>
        <w:pStyle w:val="EndNoteBibliography"/>
        <w:spacing w:after="0"/>
        <w:ind w:left="720" w:hanging="720"/>
      </w:pPr>
      <w:r>
        <w:fldChar w:fldCharType="begin"/>
      </w:r>
      <w:r>
        <w:instrText xml:space="preserve"> ADDIN EN.REFLIST </w:instrText>
      </w:r>
      <w:r>
        <w:fldChar w:fldCharType="separate"/>
      </w:r>
      <w:r w:rsidRPr="006B6AC2">
        <w:t xml:space="preserve">Australian Broadcasting Corporation, 2014, Mount Lyell copper mine: Look back at key dates in the history of Australia's oldest mining field, </w:t>
      </w:r>
      <w:hyperlink r:id="rId13" w:history="1">
        <w:r w:rsidRPr="006B6AC2">
          <w:rPr>
            <w:rStyle w:val="Hyperlink"/>
          </w:rPr>
          <w:t>https://www.abc.net.au/news/2014-07-09/mount-lyell-timeline/5581684</w:t>
        </w:r>
      </w:hyperlink>
      <w:r w:rsidRPr="006B6AC2">
        <w:t>, Accessed 16 April 2021,</w:t>
      </w:r>
    </w:p>
    <w:p w14:paraId="2F741415" w14:textId="74E97D40" w:rsidR="006B6AC2" w:rsidRPr="006B6AC2" w:rsidRDefault="006B6AC2" w:rsidP="006B6AC2">
      <w:pPr>
        <w:pStyle w:val="EndNoteBibliography"/>
        <w:spacing w:after="0"/>
        <w:ind w:left="720" w:hanging="720"/>
      </w:pPr>
      <w:r w:rsidRPr="006B6AC2">
        <w:t xml:space="preserve">Bureau of Meteorology, 2021, Climate statistics for Australian locations, Queenstown, </w:t>
      </w:r>
      <w:hyperlink r:id="rId14" w:history="1">
        <w:r w:rsidRPr="006B6AC2">
          <w:rPr>
            <w:rStyle w:val="Hyperlink"/>
          </w:rPr>
          <w:t>http://www.bom.gov.au/climate/averages/tables/cw_097034_All.shtml</w:t>
        </w:r>
      </w:hyperlink>
      <w:r w:rsidRPr="006B6AC2">
        <w:t>, Accessed 6 July 2021,</w:t>
      </w:r>
    </w:p>
    <w:p w14:paraId="78C25CFC" w14:textId="77777777" w:rsidR="006B6AC2" w:rsidRPr="006B6AC2" w:rsidRDefault="006B6AC2" w:rsidP="006B6AC2">
      <w:pPr>
        <w:pStyle w:val="EndNoteBibliography"/>
        <w:spacing w:after="0"/>
        <w:ind w:left="720" w:hanging="720"/>
      </w:pPr>
      <w:r w:rsidRPr="006B6AC2">
        <w:t xml:space="preserve">Corbett, K., 1976, Notes on the volcanic stratigraphy and Cambro-Ordovician relationships in the Mt Jukes area: Unpublished Report Department of Mines Tasmania, v. 49. </w:t>
      </w:r>
    </w:p>
    <w:p w14:paraId="0AAEFFDC" w14:textId="77777777" w:rsidR="006B6AC2" w:rsidRPr="006B6AC2" w:rsidRDefault="006B6AC2" w:rsidP="006B6AC2">
      <w:pPr>
        <w:pStyle w:val="EndNoteBibliography"/>
        <w:spacing w:after="0"/>
        <w:ind w:left="720" w:hanging="720"/>
      </w:pPr>
      <w:r w:rsidRPr="006B6AC2">
        <w:t>Corbett, K. D., 2001, The geology of the Mount Lyell mines area, Tasmania: a re-interpretation based on studies at Lyell Comstock, North Lyell and the Iron Blow area. Research master thesis, University of Tasmania 72 p.</w:t>
      </w:r>
    </w:p>
    <w:p w14:paraId="3F77234C" w14:textId="21F9C751" w:rsidR="006B6AC2" w:rsidRPr="006B6AC2" w:rsidRDefault="006B6AC2" w:rsidP="006B6AC2">
      <w:pPr>
        <w:pStyle w:val="EndNoteBibliography"/>
        <w:spacing w:after="0"/>
        <w:ind w:left="720" w:hanging="720"/>
      </w:pPr>
      <w:r w:rsidRPr="006B6AC2">
        <w:t xml:space="preserve">Corbett, K. D., 2001, New mapping and interpretations of the Mount Lyell mining district, Tasmania: A large hybrid Cu-Au system with an exhalative Pb-Zn top: Economic Geology, v. 96, no. 5, p. 1089-1122, 1554-0774. </w:t>
      </w:r>
      <w:hyperlink r:id="rId15" w:history="1">
        <w:r w:rsidRPr="006B6AC2">
          <w:rPr>
            <w:rStyle w:val="Hyperlink"/>
          </w:rPr>
          <w:t>https://doi.org/10.2113/gsecongeo.96.5.1089</w:t>
        </w:r>
      </w:hyperlink>
    </w:p>
    <w:p w14:paraId="71955A5F" w14:textId="63F1F18C" w:rsidR="006B6AC2" w:rsidRPr="006B6AC2" w:rsidRDefault="006B6AC2" w:rsidP="006B6AC2">
      <w:pPr>
        <w:pStyle w:val="EndNoteBibliography"/>
        <w:spacing w:after="0"/>
        <w:ind w:left="720" w:hanging="720"/>
      </w:pPr>
      <w:r w:rsidRPr="006B6AC2">
        <w:t xml:space="preserve">EPA Tasmania, 2013, Mt Lyell acid drainage remediation, </w:t>
      </w:r>
      <w:hyperlink r:id="rId16" w:history="1">
        <w:r w:rsidRPr="006B6AC2">
          <w:rPr>
            <w:rStyle w:val="Hyperlink"/>
          </w:rPr>
          <w:t>https://epa.tas.gov.au/epa/water/remediation-programs/mt-lyell-acid-drainage-remediation</w:t>
        </w:r>
      </w:hyperlink>
      <w:r w:rsidRPr="006B6AC2">
        <w:t>, Accessed 21 April 2021,</w:t>
      </w:r>
    </w:p>
    <w:p w14:paraId="6F5D191F" w14:textId="7CF96BF0" w:rsidR="006B6AC2" w:rsidRPr="006B6AC2" w:rsidRDefault="006B6AC2" w:rsidP="006B6AC2">
      <w:pPr>
        <w:pStyle w:val="EndNoteBibliography"/>
        <w:spacing w:after="0"/>
        <w:ind w:left="720" w:hanging="720"/>
      </w:pPr>
      <w:r w:rsidRPr="006B6AC2">
        <w:t xml:space="preserve">Huston, D. L., and Kamprad, J., 2001, Zonation of alteration facies at Western Tharsis: implications for the genesis of Cu-Au deposits, Mount Lyell field, Western Tasmania: Economic Geology, v. 96, no. 5, p. 1123-1132. </w:t>
      </w:r>
      <w:hyperlink r:id="rId17" w:history="1">
        <w:r w:rsidRPr="006B6AC2">
          <w:rPr>
            <w:rStyle w:val="Hyperlink"/>
          </w:rPr>
          <w:t>https://doi.org/10.2113/gsecongeo.96.5.1123</w:t>
        </w:r>
      </w:hyperlink>
    </w:p>
    <w:p w14:paraId="11A1FC05" w14:textId="77777777" w:rsidR="006B6AC2" w:rsidRPr="006B6AC2" w:rsidRDefault="006B6AC2" w:rsidP="006B6AC2">
      <w:pPr>
        <w:pStyle w:val="EndNoteBibliography"/>
        <w:spacing w:after="0"/>
        <w:ind w:left="720" w:hanging="720"/>
      </w:pPr>
      <w:r w:rsidRPr="006B6AC2">
        <w:t>Koehnken, L., 1997, Mount Lyell remediation: final report, Mount Lyell Remediation Research and Demonstration Program. Supervising scientist report,  v. 126, 93 p.</w:t>
      </w:r>
    </w:p>
    <w:p w14:paraId="0A9B90F4" w14:textId="77777777" w:rsidR="006B6AC2" w:rsidRPr="006B6AC2" w:rsidRDefault="006B6AC2" w:rsidP="006B6AC2">
      <w:pPr>
        <w:pStyle w:val="EndNoteBibliography"/>
        <w:spacing w:after="0"/>
        <w:ind w:left="720" w:hanging="720"/>
      </w:pPr>
      <w:r w:rsidRPr="006B6AC2">
        <w:t xml:space="preserve">Locher, H., 1997, Sediment transport in the King River, Tasmania. Mount Lyell remediation research and demonstration program. Supervising Scientist Report, v. 120, p. 124. </w:t>
      </w:r>
    </w:p>
    <w:p w14:paraId="6499E152" w14:textId="77777777" w:rsidR="006B6AC2" w:rsidRPr="006B6AC2" w:rsidRDefault="006B6AC2" w:rsidP="006B6AC2">
      <w:pPr>
        <w:pStyle w:val="EndNoteBibliography"/>
        <w:spacing w:after="0"/>
        <w:ind w:left="720" w:hanging="720"/>
      </w:pPr>
      <w:r w:rsidRPr="006B6AC2">
        <w:t xml:space="preserve">McQuade, C. V., Johnston, J. F., and Innes, S. M., 1995, Mount Lyell Remediation: review of historical literature and data on the sources and quality of effluent from the Mount Lyell lease site: Supervising Scientist Report, 0642243034. v. 104, p. 78. </w:t>
      </w:r>
    </w:p>
    <w:p w14:paraId="274FFC2D" w14:textId="77777777" w:rsidR="006B6AC2" w:rsidRPr="006B6AC2" w:rsidRDefault="006B6AC2" w:rsidP="006B6AC2">
      <w:pPr>
        <w:pStyle w:val="EndNoteBibliography"/>
        <w:spacing w:after="0"/>
        <w:ind w:left="720" w:hanging="720"/>
      </w:pPr>
      <w:r w:rsidRPr="006B6AC2">
        <w:t>Seymour, D., Green, G., and Calver, C., 2006, The geology and mineral deposits of Tasmania: a summary, Tasmanian Department of Infrastructure, Energy and Resources,  v. 72, 32 p.</w:t>
      </w:r>
    </w:p>
    <w:p w14:paraId="32507DDF" w14:textId="089D1E3E" w:rsidR="006B6AC2" w:rsidRPr="006B6AC2" w:rsidRDefault="006B6AC2" w:rsidP="006B6AC2">
      <w:pPr>
        <w:pStyle w:val="EndNoteBibliography"/>
        <w:spacing w:after="0"/>
        <w:ind w:left="720" w:hanging="720"/>
      </w:pPr>
      <w:r w:rsidRPr="006B6AC2">
        <w:t xml:space="preserve">Solomon, M., Vokes, F., and Walshe, J., 1987, Chemical remobilization of volcanic-hosted sulphide deposits at Rosebery and Mt. Lyell, Tasmania: Ore Geology Reviews, v. 2, no. 1-3, p. 173-190. </w:t>
      </w:r>
      <w:hyperlink r:id="rId18" w:history="1">
        <w:r w:rsidRPr="006B6AC2">
          <w:rPr>
            <w:rStyle w:val="Hyperlink"/>
          </w:rPr>
          <w:t>https://doi.org/10.1016/0169-1368(87)90027-8</w:t>
        </w:r>
      </w:hyperlink>
    </w:p>
    <w:p w14:paraId="6608599A" w14:textId="5758E52B" w:rsidR="00340957" w:rsidRPr="00853046" w:rsidRDefault="006B6AC2" w:rsidP="006647E8">
      <w:pPr>
        <w:pStyle w:val="EndNoteBibliography"/>
        <w:ind w:left="720" w:hanging="720"/>
      </w:pPr>
      <w:r w:rsidRPr="006B6AC2">
        <w:t xml:space="preserve">Walshe, J., and Solomon, M., 1981, An investigation into the environment of formation of the volcanic-hosted Mt. Lyell copper deposits using geology, mineralogy, stable isotopes, and a six-component chlorite solid solution model: Economic Geology, v. 76, no. 2, p. 246-284. </w:t>
      </w:r>
      <w:r>
        <w:fldChar w:fldCharType="end"/>
      </w:r>
    </w:p>
    <w:sectPr w:rsidR="00340957" w:rsidRPr="00853046" w:rsidSect="003938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Geology Copy year+autho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v0ff2zhvveeiepdtr5fpxcf2d9szdw0spe&quot;&gt;My EndNote Library Sibele 27-06-23&lt;record-ids&gt;&lt;item&gt;233&lt;/item&gt;&lt;item&gt;238&lt;/item&gt;&lt;item&gt;320&lt;/item&gt;&lt;item&gt;333&lt;/item&gt;&lt;item&gt;381&lt;/item&gt;&lt;item&gt;382&lt;/item&gt;&lt;item&gt;384&lt;/item&gt;&lt;item&gt;386&lt;/item&gt;&lt;item&gt;400&lt;/item&gt;&lt;item&gt;407&lt;/item&gt;&lt;item&gt;495&lt;/item&gt;&lt;item&gt;561&lt;/item&gt;&lt;item&gt;562&lt;/item&gt;&lt;/record-ids&gt;&lt;/item&gt;&lt;/Libraries&gt;"/>
  </w:docVars>
  <w:rsids>
    <w:rsidRoot w:val="00853046"/>
    <w:rsid w:val="000757E2"/>
    <w:rsid w:val="001651D7"/>
    <w:rsid w:val="00245964"/>
    <w:rsid w:val="003058CA"/>
    <w:rsid w:val="00340957"/>
    <w:rsid w:val="00393866"/>
    <w:rsid w:val="0052356A"/>
    <w:rsid w:val="006647E8"/>
    <w:rsid w:val="006B6AC2"/>
    <w:rsid w:val="00780F90"/>
    <w:rsid w:val="007A2F0D"/>
    <w:rsid w:val="007F6568"/>
    <w:rsid w:val="00853046"/>
    <w:rsid w:val="00876672"/>
    <w:rsid w:val="00921B6E"/>
    <w:rsid w:val="00BC444E"/>
    <w:rsid w:val="00D32E5B"/>
    <w:rsid w:val="00D55A2E"/>
    <w:rsid w:val="00F22B8A"/>
    <w:rsid w:val="00F40559"/>
    <w:rsid w:val="00F64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3C64"/>
  <w15:chartTrackingRefBased/>
  <w15:docId w15:val="{CBF515AD-9F97-42EB-8CB0-1739F72A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046"/>
    <w:pPr>
      <w:keepNext/>
      <w:keepLines/>
      <w:spacing w:before="240" w:after="240" w:line="286" w:lineRule="auto"/>
      <w:outlineLvl w:val="0"/>
    </w:pPr>
    <w:rPr>
      <w:rFonts w:asciiTheme="majorBidi" w:eastAsiaTheme="majorEastAsia" w:hAnsiTheme="majorBidi" w:cstheme="majorBidi"/>
      <w:b/>
      <w:kern w:val="0"/>
      <w:sz w:val="24"/>
      <w:szCs w:val="32"/>
      <w:lang w:val="en-AU" w:eastAsia="zh-CN"/>
      <w14:ligatures w14:val="none"/>
    </w:rPr>
  </w:style>
  <w:style w:type="paragraph" w:styleId="Heading3">
    <w:name w:val="heading 3"/>
    <w:basedOn w:val="Normal"/>
    <w:next w:val="Normal"/>
    <w:link w:val="Heading3Char"/>
    <w:uiPriority w:val="9"/>
    <w:unhideWhenUsed/>
    <w:qFormat/>
    <w:rsid w:val="00853046"/>
    <w:pPr>
      <w:keepNext/>
      <w:keepLines/>
      <w:spacing w:before="120" w:after="0" w:line="286" w:lineRule="auto"/>
      <w:outlineLvl w:val="2"/>
    </w:pPr>
    <w:rPr>
      <w:rFonts w:asciiTheme="majorBidi" w:eastAsiaTheme="majorEastAsia" w:hAnsiTheme="majorBidi" w:cstheme="majorBidi"/>
      <w:i/>
      <w:kern w:val="0"/>
      <w:szCs w:val="24"/>
      <w:lang w:val="en-AU"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046"/>
    <w:rPr>
      <w:rFonts w:asciiTheme="majorBidi" w:eastAsiaTheme="majorEastAsia" w:hAnsiTheme="majorBidi" w:cstheme="majorBidi"/>
      <w:b/>
      <w:kern w:val="0"/>
      <w:sz w:val="24"/>
      <w:szCs w:val="32"/>
      <w:lang w:val="en-AU" w:eastAsia="zh-CN"/>
      <w14:ligatures w14:val="none"/>
    </w:rPr>
  </w:style>
  <w:style w:type="character" w:customStyle="1" w:styleId="Heading3Char">
    <w:name w:val="Heading 3 Char"/>
    <w:basedOn w:val="DefaultParagraphFont"/>
    <w:link w:val="Heading3"/>
    <w:uiPriority w:val="9"/>
    <w:rsid w:val="00853046"/>
    <w:rPr>
      <w:rFonts w:asciiTheme="majorBidi" w:eastAsiaTheme="majorEastAsia" w:hAnsiTheme="majorBidi" w:cstheme="majorBidi"/>
      <w:i/>
      <w:kern w:val="0"/>
      <w:szCs w:val="24"/>
      <w:lang w:val="en-AU" w:eastAsia="zh-CN"/>
      <w14:ligatures w14:val="none"/>
    </w:rPr>
  </w:style>
  <w:style w:type="paragraph" w:customStyle="1" w:styleId="Paraotexto">
    <w:name w:val="Para o texto"/>
    <w:basedOn w:val="Normal"/>
    <w:link w:val="ParaotextoChar"/>
    <w:qFormat/>
    <w:rsid w:val="00853046"/>
    <w:pPr>
      <w:widowControl w:val="0"/>
      <w:spacing w:before="120" w:after="0" w:line="286" w:lineRule="auto"/>
      <w:ind w:right="-45" w:firstLine="720"/>
      <w:jc w:val="both"/>
    </w:pPr>
    <w:rPr>
      <w:rFonts w:asciiTheme="majorBidi" w:eastAsiaTheme="minorEastAsia" w:hAnsiTheme="majorBidi" w:cs="Calibri"/>
      <w:kern w:val="0"/>
      <w:lang w:val="en-AU" w:eastAsia="zh-CN"/>
      <w14:ligatures w14:val="none"/>
    </w:rPr>
  </w:style>
  <w:style w:type="character" w:customStyle="1" w:styleId="ParaotextoChar">
    <w:name w:val="Para o texto Char"/>
    <w:basedOn w:val="DefaultParagraphFont"/>
    <w:link w:val="Paraotexto"/>
    <w:rsid w:val="00853046"/>
    <w:rPr>
      <w:rFonts w:asciiTheme="majorBidi" w:eastAsiaTheme="minorEastAsia" w:hAnsiTheme="majorBidi" w:cs="Calibri"/>
      <w:kern w:val="0"/>
      <w:lang w:val="en-AU" w:eastAsia="zh-CN"/>
      <w14:ligatures w14:val="none"/>
    </w:rPr>
  </w:style>
  <w:style w:type="paragraph" w:styleId="Caption">
    <w:name w:val="caption"/>
    <w:basedOn w:val="Normal"/>
    <w:next w:val="Normal"/>
    <w:uiPriority w:val="35"/>
    <w:unhideWhenUsed/>
    <w:qFormat/>
    <w:rsid w:val="00340957"/>
    <w:pPr>
      <w:spacing w:after="200" w:line="240" w:lineRule="auto"/>
    </w:pPr>
    <w:rPr>
      <w:rFonts w:ascii="Calibri" w:eastAsiaTheme="minorEastAsia" w:hAnsi="Calibri" w:cs="Calibri"/>
      <w:i/>
      <w:iCs/>
      <w:color w:val="44546A" w:themeColor="text2"/>
      <w:kern w:val="0"/>
      <w:sz w:val="18"/>
      <w:szCs w:val="18"/>
      <w:lang w:val="en-AU" w:eastAsia="zh-CN"/>
      <w14:ligatures w14:val="none"/>
    </w:rPr>
  </w:style>
  <w:style w:type="paragraph" w:customStyle="1" w:styleId="EndNoteBibliographyTitle">
    <w:name w:val="EndNote Bibliography Title"/>
    <w:basedOn w:val="Normal"/>
    <w:link w:val="EndNoteBibliographyTitleChar"/>
    <w:rsid w:val="006B6AC2"/>
    <w:pPr>
      <w:spacing w:after="0"/>
      <w:jc w:val="center"/>
    </w:pPr>
    <w:rPr>
      <w:rFonts w:ascii="Times New Roman" w:hAnsi="Times New Roman" w:cs="Times New Roman"/>
      <w:noProof/>
    </w:rPr>
  </w:style>
  <w:style w:type="character" w:customStyle="1" w:styleId="EndNoteBibliographyTitleChar">
    <w:name w:val="EndNote Bibliography Title Char"/>
    <w:basedOn w:val="ParaotextoChar"/>
    <w:link w:val="EndNoteBibliographyTitle"/>
    <w:rsid w:val="006B6AC2"/>
    <w:rPr>
      <w:rFonts w:ascii="Times New Roman" w:eastAsiaTheme="minorEastAsia" w:hAnsi="Times New Roman" w:cs="Times New Roman"/>
      <w:noProof/>
      <w:kern w:val="0"/>
      <w:lang w:val="en-AU" w:eastAsia="zh-CN"/>
      <w14:ligatures w14:val="none"/>
    </w:rPr>
  </w:style>
  <w:style w:type="paragraph" w:customStyle="1" w:styleId="EndNoteBibliography">
    <w:name w:val="EndNote Bibliography"/>
    <w:basedOn w:val="Normal"/>
    <w:link w:val="EndNoteBibliographyChar"/>
    <w:rsid w:val="006B6AC2"/>
    <w:pPr>
      <w:spacing w:line="240" w:lineRule="auto"/>
      <w:jc w:val="both"/>
    </w:pPr>
    <w:rPr>
      <w:rFonts w:ascii="Times New Roman" w:hAnsi="Times New Roman" w:cs="Times New Roman"/>
      <w:noProof/>
    </w:rPr>
  </w:style>
  <w:style w:type="character" w:customStyle="1" w:styleId="EndNoteBibliographyChar">
    <w:name w:val="EndNote Bibliography Char"/>
    <w:basedOn w:val="ParaotextoChar"/>
    <w:link w:val="EndNoteBibliography"/>
    <w:rsid w:val="006B6AC2"/>
    <w:rPr>
      <w:rFonts w:ascii="Times New Roman" w:eastAsiaTheme="minorEastAsia" w:hAnsi="Times New Roman" w:cs="Times New Roman"/>
      <w:noProof/>
      <w:kern w:val="0"/>
      <w:lang w:val="en-AU" w:eastAsia="zh-CN"/>
      <w14:ligatures w14:val="none"/>
    </w:rPr>
  </w:style>
  <w:style w:type="character" w:styleId="Hyperlink">
    <w:name w:val="Hyperlink"/>
    <w:basedOn w:val="DefaultParagraphFont"/>
    <w:uiPriority w:val="99"/>
    <w:unhideWhenUsed/>
    <w:rsid w:val="006B6AC2"/>
    <w:rPr>
      <w:color w:val="0563C1" w:themeColor="hyperlink"/>
      <w:u w:val="single"/>
    </w:rPr>
  </w:style>
  <w:style w:type="character" w:styleId="UnresolvedMention">
    <w:name w:val="Unresolved Mention"/>
    <w:basedOn w:val="DefaultParagraphFont"/>
    <w:uiPriority w:val="99"/>
    <w:semiHidden/>
    <w:unhideWhenUsed/>
    <w:rsid w:val="006B6AC2"/>
    <w:rPr>
      <w:color w:val="605E5C"/>
      <w:shd w:val="clear" w:color="auto" w:fill="E1DFDD"/>
    </w:rPr>
  </w:style>
  <w:style w:type="paragraph" w:styleId="ListParagraph">
    <w:name w:val="List Paragraph"/>
    <w:basedOn w:val="Normal"/>
    <w:uiPriority w:val="34"/>
    <w:qFormat/>
    <w:rsid w:val="00F64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abc.net.au/news/2014-07-09/mount-lyell-timeline/5581684" TargetMode="External"/><Relationship Id="rId18" Type="http://schemas.openxmlformats.org/officeDocument/2006/relationships/hyperlink" Target="https://doi.org/10.1016/0169-1368(87)90027-8"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doi.org/10.2113/gsecongeo.96.5.1123" TargetMode="External"/><Relationship Id="rId2" Type="http://schemas.openxmlformats.org/officeDocument/2006/relationships/styles" Target="styles.xml"/><Relationship Id="rId16" Type="http://schemas.openxmlformats.org/officeDocument/2006/relationships/hyperlink" Target="https://epa.tas.gov.au/epa/water/remediation-programs/mt-lyell-acid-drainage-remedi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doi.org/10.2113/gsecongeo.96.5.1089"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bom.gov.au/climate/averages/tables/cw_097034_Al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79B93-77A4-49BB-BBCB-CDCFB4B1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11</Pages>
  <Words>6129</Words>
  <Characters>34937</Characters>
  <Application>Microsoft Office Word</Application>
  <DocSecurity>0</DocSecurity>
  <Lines>291</Lines>
  <Paragraphs>81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Supplementary Information </vt:lpstr>
      <vt:lpstr>        Mining Operations </vt:lpstr>
      <vt:lpstr>        Geology and Mineralisation </vt:lpstr>
      <vt:lpstr>        Waste Characteristics </vt:lpstr>
      <vt:lpstr>        Environmental Regulations and Exemptions</vt:lpstr>
      <vt:lpstr>/</vt:lpstr>
    </vt:vector>
  </TitlesOfParts>
  <Company/>
  <LinksUpToDate>false</LinksUpToDate>
  <CharactersWithSpaces>40985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Kleinmann</dc:creator>
  <cp:keywords/>
  <dc:description/>
  <cp:lastModifiedBy>Sibele do Nascimento</cp:lastModifiedBy>
  <cp:revision>15</cp:revision>
  <dcterms:created xsi:type="dcterms:W3CDTF">2023-03-08T22:24:00Z</dcterms:created>
  <dcterms:modified xsi:type="dcterms:W3CDTF">2023-07-14T00:12:00Z</dcterms:modified>
</cp:coreProperties>
</file>