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646FC" w14:textId="3BAAA36F" w:rsidR="00E33411" w:rsidRPr="00C07485" w:rsidRDefault="00E33411" w:rsidP="00C07485">
      <w:pPr>
        <w:autoSpaceDE w:val="0"/>
        <w:autoSpaceDN w:val="0"/>
        <w:adjustRightInd w:val="0"/>
        <w:spacing w:after="0" w:line="240" w:lineRule="auto"/>
        <w:jc w:val="both"/>
        <w:rPr>
          <w:rFonts w:ascii="NimbusRomNo9L-Regu" w:hAnsi="NimbusRomNo9L-Regu" w:cs="NimbusRomNo9L-Regu"/>
          <w:sz w:val="20"/>
          <w:szCs w:val="20"/>
        </w:rPr>
      </w:pPr>
      <w:r w:rsidRPr="00C07485">
        <w:rPr>
          <w:rFonts w:ascii="NimbusSanL-Bold" w:hAnsi="NimbusSanL-Bold" w:cs="NimbusSanL-Bold"/>
          <w:b/>
          <w:bCs/>
          <w:sz w:val="27"/>
          <w:szCs w:val="27"/>
        </w:rPr>
        <w:t>Supplementary Materials</w:t>
      </w:r>
    </w:p>
    <w:p w14:paraId="14E949F5" w14:textId="77777777" w:rsidR="00C07485" w:rsidRDefault="00C07485" w:rsidP="00C07485">
      <w:pPr>
        <w:autoSpaceDE w:val="0"/>
        <w:autoSpaceDN w:val="0"/>
        <w:adjustRightInd w:val="0"/>
        <w:spacing w:after="0" w:line="240" w:lineRule="auto"/>
        <w:jc w:val="both"/>
        <w:rPr>
          <w:rFonts w:ascii="NimbusRomNo9L-Regu" w:hAnsi="NimbusRomNo9L-Regu" w:cs="NimbusRomNo9L-Regu"/>
          <w:sz w:val="20"/>
          <w:szCs w:val="20"/>
        </w:rPr>
      </w:pPr>
    </w:p>
    <w:p w14:paraId="79DD5C78" w14:textId="5C8BD289" w:rsidR="00DD23A0" w:rsidRPr="00C07485" w:rsidRDefault="00DE2F93" w:rsidP="00C07485">
      <w:pPr>
        <w:autoSpaceDE w:val="0"/>
        <w:autoSpaceDN w:val="0"/>
        <w:adjustRightInd w:val="0"/>
        <w:spacing w:after="0" w:line="276" w:lineRule="auto"/>
        <w:jc w:val="both"/>
        <w:rPr>
          <w:rFonts w:ascii="NimbusRomNo9L-Regu" w:hAnsi="NimbusRomNo9L-Regu" w:cs="NimbusRomNo9L-Regu"/>
          <w:sz w:val="20"/>
          <w:szCs w:val="20"/>
        </w:rPr>
      </w:pPr>
      <w:r w:rsidRPr="00C07485">
        <w:rPr>
          <w:rFonts w:ascii="NimbusRomNo9L-Regu" w:hAnsi="NimbusRomNo9L-Regu" w:cs="NimbusRomNo9L-Regu"/>
          <w:sz w:val="20"/>
          <w:szCs w:val="20"/>
        </w:rPr>
        <w:t>To increase the confidence in predicting tissue strain in living subjects, w</w:t>
      </w:r>
      <w:r w:rsidR="001E786F" w:rsidRPr="00C07485">
        <w:rPr>
          <w:rFonts w:ascii="NimbusRomNo9L-Regu" w:hAnsi="NimbusRomNo9L-Regu" w:cs="NimbusRomNo9L-Regu"/>
          <w:sz w:val="20"/>
          <w:szCs w:val="20"/>
        </w:rPr>
        <w:t>e compared the</w:t>
      </w:r>
      <w:r w:rsidR="007463F8" w:rsidRPr="00C07485">
        <w:rPr>
          <w:rFonts w:ascii="NimbusRomNo9L-Regu" w:hAnsi="NimbusRomNo9L-Regu" w:cs="NimbusRomNo9L-Regu"/>
          <w:sz w:val="20"/>
          <w:szCs w:val="20"/>
        </w:rPr>
        <w:t xml:space="preserve"> KTH FE </w:t>
      </w:r>
      <w:r w:rsidR="001E786F" w:rsidRPr="00C07485">
        <w:rPr>
          <w:rFonts w:ascii="NimbusRomNo9L-Regu" w:hAnsi="NimbusRomNo9L-Regu" w:cs="NimbusRomNo9L-Regu"/>
          <w:sz w:val="20"/>
          <w:szCs w:val="20"/>
        </w:rPr>
        <w:t xml:space="preserve">model </w:t>
      </w:r>
      <w:r w:rsidRPr="00C07485">
        <w:rPr>
          <w:rFonts w:ascii="NimbusRomNo9L-Regu" w:hAnsi="NimbusRomNo9L-Regu" w:cs="NimbusRomNo9L-Regu"/>
          <w:sz w:val="20"/>
          <w:szCs w:val="20"/>
        </w:rPr>
        <w:t xml:space="preserve">displacement and </w:t>
      </w:r>
      <w:r w:rsidR="001E786F" w:rsidRPr="00C07485">
        <w:rPr>
          <w:rFonts w:ascii="NimbusRomNo9L-Regu" w:hAnsi="NimbusRomNo9L-Regu" w:cs="NimbusRomNo9L-Regu"/>
          <w:sz w:val="20"/>
          <w:szCs w:val="20"/>
        </w:rPr>
        <w:t xml:space="preserve">strain predictions </w:t>
      </w:r>
      <w:r w:rsidR="007463F8" w:rsidRPr="00C07485">
        <w:rPr>
          <w:rFonts w:ascii="NimbusRomNo9L-Regu" w:hAnsi="NimbusRomNo9L-Regu" w:cs="NimbusRomNo9L-Regu"/>
          <w:sz w:val="20"/>
          <w:szCs w:val="20"/>
        </w:rPr>
        <w:t>to experimental</w:t>
      </w:r>
      <w:r w:rsidR="001E786F" w:rsidRPr="00C07485">
        <w:rPr>
          <w:rFonts w:ascii="NimbusRomNo9L-Regu" w:hAnsi="NimbusRomNo9L-Regu" w:cs="NimbusRomNo9L-Regu"/>
          <w:sz w:val="20"/>
          <w:szCs w:val="20"/>
        </w:rPr>
        <w:t xml:space="preserve"> </w:t>
      </w:r>
      <w:r w:rsidRPr="00C07485">
        <w:rPr>
          <w:rFonts w:ascii="NimbusRomNo9L-Regu" w:hAnsi="NimbusRomNo9L-Regu" w:cs="NimbusRomNo9L-Regu"/>
          <w:sz w:val="20"/>
          <w:szCs w:val="20"/>
        </w:rPr>
        <w:t xml:space="preserve">displacements and </w:t>
      </w:r>
      <w:r w:rsidR="001E786F" w:rsidRPr="00C07485">
        <w:rPr>
          <w:rFonts w:ascii="NimbusRomNo9L-Regu" w:hAnsi="NimbusRomNo9L-Regu" w:cs="NimbusRomNo9L-Regu"/>
          <w:sz w:val="20"/>
          <w:szCs w:val="20"/>
        </w:rPr>
        <w:t xml:space="preserve">strains measured </w:t>
      </w:r>
      <w:r w:rsidR="007463F8" w:rsidRPr="00C07485">
        <w:rPr>
          <w:rFonts w:ascii="NimbusRomNo9L-Regu" w:hAnsi="NimbusRomNo9L-Regu" w:cs="NimbusRomNo9L-Regu"/>
          <w:sz w:val="20"/>
          <w:szCs w:val="20"/>
        </w:rPr>
        <w:t>in</w:t>
      </w:r>
      <w:r w:rsidRPr="00C07485">
        <w:rPr>
          <w:rFonts w:ascii="NimbusRomNo9L-Regu" w:hAnsi="NimbusRomNo9L-Regu" w:cs="NimbusRomNo9L-Regu"/>
          <w:sz w:val="20"/>
          <w:szCs w:val="20"/>
        </w:rPr>
        <w:t xml:space="preserve"> a human volunteer</w:t>
      </w:r>
      <w:r w:rsidR="007463F8" w:rsidRPr="00C07485">
        <w:rPr>
          <w:rFonts w:ascii="NimbusRomNo9L-Regu" w:hAnsi="NimbusRomNo9L-Regu" w:cs="NimbusRomNo9L-Regu"/>
          <w:sz w:val="20"/>
          <w:szCs w:val="20"/>
        </w:rPr>
        <w:t xml:space="preserve"> </w:t>
      </w:r>
      <w:r w:rsidR="00D137A6" w:rsidRPr="00C07485">
        <w:rPr>
          <w:rFonts w:ascii="NimbusRomNo9L-Regu" w:hAnsi="NimbusRomNo9L-Regu" w:cs="NimbusRomNo9L-Regu"/>
          <w:sz w:val="20"/>
          <w:szCs w:val="20"/>
        </w:rPr>
        <w:t xml:space="preserve">using tagged MRI during mild frontal impact </w:t>
      </w:r>
      <w:r w:rsidR="00D137A6" w:rsidRPr="00C07485">
        <w:rPr>
          <w:rFonts w:ascii="NimbusRomNo9L-Regu" w:hAnsi="NimbusRomNo9L-Regu" w:cs="NimbusRomNo9L-Regu"/>
          <w:sz w:val="20"/>
          <w:szCs w:val="20"/>
        </w:rPr>
        <w:fldChar w:fldCharType="begin" w:fldLock="1"/>
      </w:r>
      <w:r w:rsidR="00A939C1" w:rsidRPr="00C07485">
        <w:rPr>
          <w:rFonts w:ascii="NimbusRomNo9L-Regu" w:hAnsi="NimbusRomNo9L-Regu" w:cs="NimbusRomNo9L-Regu"/>
          <w:sz w:val="20"/>
          <w:szCs w:val="20"/>
        </w:rPr>
        <w:instrText>ADDIN CSL_CITATION {"citationItems":[{"id":"ITEM-1","itemData":{"DOI":"10.1098/rsif.2010.0210","ISBN":"1742-5662 (Electronic)\\r1742-5662 (Linking)","ISSN":"17425662","PMID":"20504801","abstract":"This study describes the measurement of fields of relative displacement between the brain and the skull in vivo by tagged magnetic resonance imaging and digital image analysis. Motion of the brain relative to the skull occurs during normal activity, but if the head undergoes high accelerations, the resulting large and rapid deformation of neuronal and axonal tissue can lead to long-term disability or death. Mathematical modelling and computer simulation of acceleration-induced traumatic brain injury promise to illuminate the mechanisms of axonal and neuronal pathology, but numerical studies require knowledge of boundary conditions at the brain-skull interface, material properties and experimental data for validation. The current study provides a dense set of displacement measurements in the human brain during mild frontal skull impact constrained to the sagittal plane. Although head motion is dominated by translation, these data show that the brain rotates relative to the skull. For these mild events, characterized by linear decelerations near 1.5g (g = 9.81 m s⁻²) and angular accelerations of 120-140 rad s⁻², relative brain-skull displacements of 2-3 mm are typical; regions of smaller displacements reflect the tethering effects of brain-skull connections. Strain fields exhibit significant areas with maximal principal strains of 5 per cent or greater. These displacement and strain fields illuminate the skull-brain boundary conditions, and can be used to validate simulations of brain biomechanics.","author":[{"dropping-particle":"","family":"Feng","given":"Y.","non-dropping-particle":"","parse-names":false,"suffix":""},{"dropping-particle":"","family":"Abney","given":"T. M.","non-dropping-particle":"","parse-names":false,"suffix":""},{"dropping-particle":"","family":"Okamoto","given":"R. J.","non-dropping-particle":"","parse-names":false,"suffix":""},{"dropping-particle":"","family":"Pless","given":"R. B.","non-dropping-particle":"","parse-names":false,"suffix":""},{"dropping-particle":"","family":"Genin","given":"G. M.","non-dropping-particle":"","parse-names":false,"suffix":""},{"dropping-particle":"V.","family":"Bayly","given":"P.","non-dropping-particle":"","parse-names":false,"suffix":""}],"container-title":"Journal of the Royal Society Interface","id":"ITEM-1","issue":"53","issued":{"date-parts":[["2010"]]},"page":"1677-1688","title":"Relative brain displacement and deformation during constrained mild frontal head impact","type":"article-journal","volume":"7"},"uris":["http://www.mendeley.com/documents/?uuid=fe497f4c-c0c0-4b9f-b685-7761559bb740"]}],"mendeley":{"formattedCitation":"(Feng et al. 2010)","plainTextFormattedCitation":"(Feng et al. 2010)","previouslyFormattedCitation":"(Feng et al. 2010)"},"properties":{"noteIndex":0},"schema":"https://github.com/citation-style-language/schema/raw/master/csl-citation.json"}</w:instrText>
      </w:r>
      <w:r w:rsidR="00D137A6" w:rsidRPr="00C07485">
        <w:rPr>
          <w:rFonts w:ascii="NimbusRomNo9L-Regu" w:hAnsi="NimbusRomNo9L-Regu" w:cs="NimbusRomNo9L-Regu"/>
          <w:sz w:val="20"/>
          <w:szCs w:val="20"/>
        </w:rPr>
        <w:fldChar w:fldCharType="separate"/>
      </w:r>
      <w:r w:rsidR="00D137A6" w:rsidRPr="00C07485">
        <w:rPr>
          <w:rFonts w:ascii="NimbusRomNo9L-Regu" w:hAnsi="NimbusRomNo9L-Regu" w:cs="NimbusRomNo9L-Regu"/>
          <w:noProof/>
          <w:sz w:val="20"/>
          <w:szCs w:val="20"/>
        </w:rPr>
        <w:t>(Feng et al. 2010)</w:t>
      </w:r>
      <w:r w:rsidR="00D137A6" w:rsidRPr="00C07485">
        <w:rPr>
          <w:rFonts w:ascii="NimbusRomNo9L-Regu" w:hAnsi="NimbusRomNo9L-Regu" w:cs="NimbusRomNo9L-Regu"/>
          <w:sz w:val="20"/>
          <w:szCs w:val="20"/>
        </w:rPr>
        <w:fldChar w:fldCharType="end"/>
      </w:r>
      <w:r w:rsidR="00D137A6" w:rsidRPr="00C07485">
        <w:rPr>
          <w:rFonts w:ascii="NimbusRomNo9L-Regu" w:hAnsi="NimbusRomNo9L-Regu" w:cs="NimbusRomNo9L-Regu"/>
          <w:sz w:val="20"/>
          <w:szCs w:val="20"/>
        </w:rPr>
        <w:t xml:space="preserve">. </w:t>
      </w:r>
      <w:r w:rsidR="00A939C1" w:rsidRPr="00C07485">
        <w:rPr>
          <w:rFonts w:ascii="NimbusRomNo9L-Regu" w:hAnsi="NimbusRomNo9L-Regu" w:cs="NimbusRomNo9L-Regu"/>
          <w:sz w:val="20"/>
          <w:szCs w:val="20"/>
        </w:rPr>
        <w:t xml:space="preserve">In the experiments by Feng and coworkers </w:t>
      </w:r>
      <w:r w:rsidR="00A939C1" w:rsidRPr="00C07485">
        <w:rPr>
          <w:rFonts w:ascii="NimbusRomNo9L-Regu" w:hAnsi="NimbusRomNo9L-Regu" w:cs="NimbusRomNo9L-Regu"/>
          <w:sz w:val="20"/>
          <w:szCs w:val="20"/>
        </w:rPr>
        <w:fldChar w:fldCharType="begin" w:fldLock="1"/>
      </w:r>
      <w:r w:rsidR="00A47ADC" w:rsidRPr="00C07485">
        <w:rPr>
          <w:rFonts w:ascii="NimbusRomNo9L-Regu" w:hAnsi="NimbusRomNo9L-Regu" w:cs="NimbusRomNo9L-Regu"/>
          <w:sz w:val="20"/>
          <w:szCs w:val="20"/>
        </w:rPr>
        <w:instrText>ADDIN CSL_CITATION {"citationItems":[{"id":"ITEM-1","itemData":{"DOI":"10.1098/rsif.2010.0210","ISBN":"1742-5662 (Electronic)\\r1742-5662 (Linking)","ISSN":"17425662","PMID":"20504801","abstract":"This study describes the measurement of fields of relative displacement between the brain and the skull in vivo by tagged magnetic resonance imaging and digital image analysis. Motion of the brain relative to the skull occurs during normal activity, but if the head undergoes high accelerations, the resulting large and rapid deformation of neuronal and axonal tissue can lead to long-term disability or death. Mathematical modelling and computer simulation of acceleration-induced traumatic brain injury promise to illuminate the mechanisms of axonal and neuronal pathology, but numerical studies require knowledge of boundary conditions at the brain-skull interface, material properties and experimental data for validation. The current study provides a dense set of displacement measurements in the human brain during mild frontal skull impact constrained to the sagittal plane. Although head motion is dominated by translation, these data show that the brain rotates relative to the skull. For these mild events, characterized by linear decelerations near 1.5g (g = 9.81 m s⁻²) and angular accelerations of 120-140 rad s⁻², relative brain-skull displacements of 2-3 mm are typical; regions of smaller displacements reflect the tethering effects of brain-skull connections. Strain fields exhibit significant areas with maximal principal strains of 5 per cent or greater. These displacement and strain fields illuminate the skull-brain boundary conditions, and can be used to validate simulations of brain biomechanics.","author":[{"dropping-particle":"","family":"Feng","given":"Y.","non-dropping-particle":"","parse-names":false,"suffix":""},{"dropping-particle":"","family":"Abney","given":"T. M.","non-dropping-particle":"","parse-names":false,"suffix":""},{"dropping-particle":"","family":"Okamoto","given":"R. J.","non-dropping-particle":"","parse-names":false,"suffix":""},{"dropping-particle":"","family":"Pless","given":"R. B.","non-dropping-particle":"","parse-names":false,"suffix":""},{"dropping-particle":"","family":"Genin","given":"G. M.","non-dropping-particle":"","parse-names":false,"suffix":""},{"dropping-particle":"V.","family":"Bayly","given":"P.","non-dropping-particle":"","parse-names":false,"suffix":""}],"container-title":"Journal of the Royal Society Interface","id":"ITEM-1","issue":"53","issued":{"date-parts":[["2010"]]},"page":"1677-1688","title":"Relative brain displacement and deformation during constrained mild frontal head impact","type":"article-journal","volume":"7"},"uris":["http://www.mendeley.com/documents/?uuid=fe497f4c-c0c0-4b9f-b685-7761559bb740"]}],"mendeley":{"formattedCitation":"(Feng et al. 2010)","plainTextFormattedCitation":"(Feng et al. 2010)","previouslyFormattedCitation":"(Feng et al. 2010)"},"properties":{"noteIndex":0},"schema":"https://github.com/citation-style-language/schema/raw/master/csl-citation.json"}</w:instrText>
      </w:r>
      <w:r w:rsidR="00A939C1" w:rsidRPr="00C07485">
        <w:rPr>
          <w:rFonts w:ascii="NimbusRomNo9L-Regu" w:hAnsi="NimbusRomNo9L-Regu" w:cs="NimbusRomNo9L-Regu"/>
          <w:sz w:val="20"/>
          <w:szCs w:val="20"/>
        </w:rPr>
        <w:fldChar w:fldCharType="separate"/>
      </w:r>
      <w:r w:rsidR="00A939C1" w:rsidRPr="00C07485">
        <w:rPr>
          <w:rFonts w:ascii="NimbusRomNo9L-Regu" w:hAnsi="NimbusRomNo9L-Regu" w:cs="NimbusRomNo9L-Regu"/>
          <w:noProof/>
          <w:sz w:val="20"/>
          <w:szCs w:val="20"/>
        </w:rPr>
        <w:t>(Feng et al. 2010)</w:t>
      </w:r>
      <w:r w:rsidR="00A939C1" w:rsidRPr="00C07485">
        <w:rPr>
          <w:rFonts w:ascii="NimbusRomNo9L-Regu" w:hAnsi="NimbusRomNo9L-Regu" w:cs="NimbusRomNo9L-Regu"/>
          <w:sz w:val="20"/>
          <w:szCs w:val="20"/>
        </w:rPr>
        <w:fldChar w:fldCharType="end"/>
      </w:r>
      <w:r w:rsidR="00A939C1" w:rsidRPr="00C07485">
        <w:rPr>
          <w:rFonts w:ascii="NimbusRomNo9L-Regu" w:hAnsi="NimbusRomNo9L-Regu" w:cs="NimbusRomNo9L-Regu"/>
          <w:sz w:val="20"/>
          <w:szCs w:val="20"/>
        </w:rPr>
        <w:t xml:space="preserve">, a mild angular deceleration of the head of a volunteer was generated using a device which rotated about a pivot allowing constrained motion in the anterior-posterior direction. </w:t>
      </w:r>
      <w:r w:rsidR="005254A3" w:rsidRPr="00C07485">
        <w:rPr>
          <w:rFonts w:ascii="NimbusRomNo9L-Regu" w:hAnsi="NimbusRomNo9L-Regu" w:cs="NimbusRomNo9L-Regu"/>
          <w:sz w:val="20"/>
          <w:szCs w:val="20"/>
        </w:rPr>
        <w:t>I</w:t>
      </w:r>
      <w:r w:rsidR="00A939C1" w:rsidRPr="00C07485">
        <w:rPr>
          <w:rFonts w:ascii="NimbusRomNo9L-Regu" w:hAnsi="NimbusRomNo9L-Regu" w:cs="NimbusRomNo9L-Regu"/>
          <w:sz w:val="20"/>
          <w:szCs w:val="20"/>
        </w:rPr>
        <w:t>n the device</w:t>
      </w:r>
      <w:r w:rsidR="005254A3" w:rsidRPr="00C07485">
        <w:rPr>
          <w:rFonts w:ascii="NimbusRomNo9L-Regu" w:hAnsi="NimbusRomNo9L-Regu" w:cs="NimbusRomNo9L-Regu"/>
          <w:sz w:val="20"/>
          <w:szCs w:val="20"/>
        </w:rPr>
        <w:t>, a frame holding the head</w:t>
      </w:r>
      <w:r w:rsidR="00A939C1" w:rsidRPr="00C07485">
        <w:rPr>
          <w:rFonts w:ascii="NimbusRomNo9L-Regu" w:hAnsi="NimbusRomNo9L-Regu" w:cs="NimbusRomNo9L-Regu"/>
          <w:sz w:val="20"/>
          <w:szCs w:val="20"/>
        </w:rPr>
        <w:t xml:space="preserve"> dropped approximately 2 cm and hit a rubber stop. To reproduce the experimental set-up with the FE head model, the skull was assumed to be a rigid-body to which the experimental skull rigid-body motion was applied. Estimated skull-brain relative displacement from the FE simulations in the sagittal plane was directly compared to experiments (Figure S1a). </w:t>
      </w:r>
    </w:p>
    <w:p w14:paraId="4FF7674F" w14:textId="77777777" w:rsidR="00DD23A0" w:rsidRPr="00C07485" w:rsidRDefault="00DD23A0" w:rsidP="00C07485">
      <w:pPr>
        <w:autoSpaceDE w:val="0"/>
        <w:autoSpaceDN w:val="0"/>
        <w:adjustRightInd w:val="0"/>
        <w:spacing w:after="0" w:line="276" w:lineRule="auto"/>
        <w:jc w:val="both"/>
        <w:rPr>
          <w:rFonts w:ascii="NimbusRomNo9L-Regu" w:hAnsi="NimbusRomNo9L-Regu" w:cs="NimbusRomNo9L-Regu"/>
          <w:sz w:val="20"/>
          <w:szCs w:val="20"/>
        </w:rPr>
      </w:pPr>
    </w:p>
    <w:p w14:paraId="3EE0F7B9" w14:textId="46026AD3" w:rsidR="00DD23A0" w:rsidRPr="00C07485" w:rsidRDefault="00A47ADC" w:rsidP="00C07485">
      <w:pPr>
        <w:autoSpaceDE w:val="0"/>
        <w:autoSpaceDN w:val="0"/>
        <w:adjustRightInd w:val="0"/>
        <w:spacing w:after="0" w:line="276" w:lineRule="auto"/>
        <w:jc w:val="both"/>
        <w:rPr>
          <w:rFonts w:ascii="NimbusRomNo9L-Regu" w:hAnsi="NimbusRomNo9L-Regu" w:cs="NimbusRomNo9L-Regu"/>
          <w:sz w:val="20"/>
          <w:szCs w:val="20"/>
        </w:rPr>
      </w:pPr>
      <w:r w:rsidRPr="00C07485">
        <w:rPr>
          <w:rFonts w:ascii="NimbusRomNo9L-Regu" w:hAnsi="NimbusRomNo9L-Regu" w:cs="NimbusRomNo9L-Regu"/>
          <w:sz w:val="20"/>
          <w:szCs w:val="20"/>
        </w:rPr>
        <w:t>Experimental maximum principal strain was calculated from the m</w:t>
      </w:r>
      <w:r w:rsidR="00DD23A0" w:rsidRPr="00C07485">
        <w:rPr>
          <w:rFonts w:ascii="NimbusRomNo9L-Regu" w:hAnsi="NimbusRomNo9L-Regu" w:cs="NimbusRomNo9L-Regu"/>
          <w:sz w:val="20"/>
          <w:szCs w:val="20"/>
        </w:rPr>
        <w:t xml:space="preserve">easured displacement field </w:t>
      </w:r>
      <w:r w:rsidRPr="00C07485">
        <w:rPr>
          <w:rFonts w:ascii="NimbusRomNo9L-Regu" w:hAnsi="NimbusRomNo9L-Regu" w:cs="NimbusRomNo9L-Regu"/>
          <w:sz w:val="20"/>
          <w:szCs w:val="20"/>
        </w:rPr>
        <w:t xml:space="preserve">using </w:t>
      </w:r>
      <w:proofErr w:type="spellStart"/>
      <w:r w:rsidRPr="00C07485">
        <w:rPr>
          <w:rFonts w:ascii="NimbusRomNo9L-Regu" w:hAnsi="NimbusRomNo9L-Regu" w:cs="NimbusRomNo9L-Regu"/>
          <w:sz w:val="20"/>
          <w:szCs w:val="20"/>
        </w:rPr>
        <w:t>Delunay</w:t>
      </w:r>
      <w:proofErr w:type="spellEnd"/>
      <w:r w:rsidRPr="00C07485">
        <w:rPr>
          <w:rFonts w:ascii="NimbusRomNo9L-Regu" w:hAnsi="NimbusRomNo9L-Regu" w:cs="NimbusRomNo9L-Regu"/>
          <w:sz w:val="20"/>
          <w:szCs w:val="20"/>
        </w:rPr>
        <w:t xml:space="preserve"> triang</w:t>
      </w:r>
      <w:r w:rsidR="00DD23A0" w:rsidRPr="00C07485">
        <w:rPr>
          <w:rFonts w:ascii="NimbusRomNo9L-Regu" w:hAnsi="NimbusRomNo9L-Regu" w:cs="NimbusRomNo9L-Regu"/>
          <w:sz w:val="20"/>
          <w:szCs w:val="20"/>
        </w:rPr>
        <w:t>ulation</w:t>
      </w:r>
      <w:r w:rsidRPr="00C07485">
        <w:rPr>
          <w:rFonts w:ascii="NimbusRomNo9L-Regu" w:hAnsi="NimbusRomNo9L-Regu" w:cs="NimbusRomNo9L-Regu"/>
          <w:sz w:val="20"/>
          <w:szCs w:val="20"/>
        </w:rPr>
        <w:t xml:space="preserve"> of the grid points corresponding to the intersection of the tagged MRI lines followed by a least square identification of the gradient of deformation F for each triangle </w:t>
      </w:r>
      <w:r w:rsidRPr="00C07485">
        <w:rPr>
          <w:rFonts w:ascii="NimbusRomNo9L-Regu" w:hAnsi="NimbusRomNo9L-Regu" w:cs="NimbusRomNo9L-Regu"/>
          <w:sz w:val="20"/>
          <w:szCs w:val="20"/>
        </w:rPr>
        <w:fldChar w:fldCharType="begin" w:fldLock="1"/>
      </w:r>
      <w:r w:rsidRPr="00C07485">
        <w:rPr>
          <w:rFonts w:ascii="NimbusRomNo9L-Regu" w:hAnsi="NimbusRomNo9L-Regu" w:cs="NimbusRomNo9L-Regu"/>
          <w:sz w:val="20"/>
          <w:szCs w:val="20"/>
        </w:rPr>
        <w:instrText>ADDIN CSL_CITATION {"citationItems":[{"id":"ITEM-1","itemData":{"DOI":"10.1098/rsif.2010.0210","ISBN":"1742-5662 (Electronic)\\r1742-5662 (Linking)","ISSN":"17425662","PMID":"20504801","abstract":"This study describes the measurement of fields of relative displacement between the brain and the skull in vivo by tagged magnetic resonance imaging and digital image analysis. Motion of the brain relative to the skull occurs during normal activity, but if the head undergoes high accelerations, the resulting large and rapid deformation of neuronal and axonal tissue can lead to long-term disability or death. Mathematical modelling and computer simulation of acceleration-induced traumatic brain injury promise to illuminate the mechanisms of axonal and neuronal pathology, but numerical studies require knowledge of boundary conditions at the brain-skull interface, material properties and experimental data for validation. The current study provides a dense set of displacement measurements in the human brain during mild frontal skull impact constrained to the sagittal plane. Although head motion is dominated by translation, these data show that the brain rotates relative to the skull. For these mild events, characterized by linear decelerations near 1.5g (g = 9.81 m s⁻²) and angular accelerations of 120-140 rad s⁻², relative brain-skull displacements of 2-3 mm are typical; regions of smaller displacements reflect the tethering effects of brain-skull connections. Strain fields exhibit significant areas with maximal principal strains of 5 per cent or greater. These displacement and strain fields illuminate the skull-brain boundary conditions, and can be used to validate simulations of brain biomechanics.","author":[{"dropping-particle":"","family":"Feng","given":"Y.","non-dropping-particle":"","parse-names":false,"suffix":""},{"dropping-particle":"","family":"Abney","given":"T. M.","non-dropping-particle":"","parse-names":false,"suffix":""},{"dropping-particle":"","family":"Okamoto","given":"R. J.","non-dropping-particle":"","parse-names":false,"suffix":""},{"dropping-particle":"","family":"Pless","given":"R. B.","non-dropping-particle":"","parse-names":false,"suffix":""},{"dropping-particle":"","family":"Genin","given":"G. M.","non-dropping-particle":"","parse-names":false,"suffix":""},{"dropping-particle":"V.","family":"Bayly","given":"P.","non-dropping-particle":"","parse-names":false,"suffix":""}],"container-title":"Journal of the Royal Society Interface","id":"ITEM-1","issue":"53","issued":{"date-parts":[["2010"]]},"page":"1677-1688","title":"Relative brain displacement and deformation during constrained mild frontal head impact","type":"article-journal","volume":"7"},"uris":["http://www.mendeley.com/documents/?uuid=fe497f4c-c0c0-4b9f-b685-7761559bb740"]}],"mendeley":{"formattedCitation":"(Feng et al. 2010)","plainTextFormattedCitation":"(Feng et al. 2010)"},"properties":{"noteIndex":0},"schema":"https://github.com/citation-style-language/schema/raw/master/csl-citation.json"}</w:instrText>
      </w:r>
      <w:r w:rsidRPr="00C07485">
        <w:rPr>
          <w:rFonts w:ascii="NimbusRomNo9L-Regu" w:hAnsi="NimbusRomNo9L-Regu" w:cs="NimbusRomNo9L-Regu"/>
          <w:sz w:val="20"/>
          <w:szCs w:val="20"/>
        </w:rPr>
        <w:fldChar w:fldCharType="separate"/>
      </w:r>
      <w:r w:rsidRPr="00C07485">
        <w:rPr>
          <w:rFonts w:ascii="NimbusRomNo9L-Regu" w:hAnsi="NimbusRomNo9L-Regu" w:cs="NimbusRomNo9L-Regu"/>
          <w:noProof/>
          <w:sz w:val="20"/>
          <w:szCs w:val="20"/>
        </w:rPr>
        <w:t>(Feng et al. 2010)</w:t>
      </w:r>
      <w:r w:rsidRPr="00C07485">
        <w:rPr>
          <w:rFonts w:ascii="NimbusRomNo9L-Regu" w:hAnsi="NimbusRomNo9L-Regu" w:cs="NimbusRomNo9L-Regu"/>
          <w:sz w:val="20"/>
          <w:szCs w:val="20"/>
        </w:rPr>
        <w:fldChar w:fldCharType="end"/>
      </w:r>
      <w:r w:rsidRPr="00C07485">
        <w:rPr>
          <w:rFonts w:ascii="NimbusRomNo9L-Regu" w:hAnsi="NimbusRomNo9L-Regu" w:cs="NimbusRomNo9L-Regu"/>
          <w:sz w:val="20"/>
          <w:szCs w:val="20"/>
        </w:rPr>
        <w:t>.</w:t>
      </w:r>
      <w:r w:rsidR="00DD23A0" w:rsidRPr="00C07485">
        <w:rPr>
          <w:rFonts w:ascii="NimbusRomNo9L-Regu" w:hAnsi="NimbusRomNo9L-Regu" w:cs="NimbusRomNo9L-Regu"/>
          <w:sz w:val="20"/>
          <w:szCs w:val="20"/>
        </w:rPr>
        <w:t xml:space="preserve"> </w:t>
      </w:r>
      <w:r w:rsidR="009635BF" w:rsidRPr="00C07485">
        <w:rPr>
          <w:rFonts w:ascii="NimbusRomNo9L-Regu" w:hAnsi="NimbusRomNo9L-Regu" w:cs="NimbusRomNo9L-Regu"/>
          <w:sz w:val="20"/>
          <w:szCs w:val="20"/>
        </w:rPr>
        <w:t>To summarize</w:t>
      </w:r>
      <w:r w:rsidR="00DD23A0" w:rsidRPr="00C07485">
        <w:rPr>
          <w:rFonts w:ascii="NimbusRomNo9L-Regu" w:hAnsi="NimbusRomNo9L-Regu" w:cs="NimbusRomNo9L-Regu"/>
          <w:sz w:val="20"/>
          <w:szCs w:val="20"/>
        </w:rPr>
        <w:t xml:space="preserve">, intersection points in reference (pre-impact) and deformed (post-impact) configurations were used to generate a mesh of triangular elements (Figures S1b top).  </w:t>
      </w:r>
      <w:r w:rsidR="00230B5C" w:rsidRPr="00C07485">
        <w:rPr>
          <w:rFonts w:ascii="NimbusRomNo9L-Regu" w:hAnsi="NimbusRomNo9L-Regu" w:cs="NimbusRomNo9L-Regu"/>
          <w:sz w:val="20"/>
          <w:szCs w:val="20"/>
        </w:rPr>
        <w:t>We obtained t</w:t>
      </w:r>
      <w:r w:rsidR="00DD23A0" w:rsidRPr="00C07485">
        <w:rPr>
          <w:rFonts w:ascii="NimbusRomNo9L-Regu" w:hAnsi="NimbusRomNo9L-Regu" w:cs="NimbusRomNo9L-Regu"/>
          <w:sz w:val="20"/>
          <w:szCs w:val="20"/>
        </w:rPr>
        <w:t xml:space="preserve">he deformation gradient tensor, </w:t>
      </w:r>
      <w:r w:rsidR="00DD23A0" w:rsidRPr="00C07485">
        <w:rPr>
          <w:rFonts w:ascii="NimbusRomNo9L-Regu" w:hAnsi="NimbusRomNo9L-Regu" w:cs="NimbusRomNo9L-Regu"/>
          <w:b/>
          <w:sz w:val="20"/>
          <w:szCs w:val="20"/>
        </w:rPr>
        <w:t>F</w:t>
      </w:r>
      <w:r w:rsidR="00DD23A0" w:rsidRPr="00C07485">
        <w:rPr>
          <w:rFonts w:ascii="NimbusRomNo9L-Regu" w:hAnsi="NimbusRomNo9L-Regu" w:cs="NimbusRomNo9L-Regu"/>
          <w:sz w:val="20"/>
          <w:szCs w:val="20"/>
        </w:rPr>
        <w:t>, by fitting the equation:</w:t>
      </w:r>
    </w:p>
    <w:p w14:paraId="556E8BCB" w14:textId="77777777" w:rsidR="00DD23A0" w:rsidRPr="00C07485" w:rsidRDefault="00DD23A0" w:rsidP="00C07485">
      <w:pPr>
        <w:autoSpaceDE w:val="0"/>
        <w:autoSpaceDN w:val="0"/>
        <w:adjustRightInd w:val="0"/>
        <w:spacing w:after="0" w:line="276" w:lineRule="auto"/>
        <w:jc w:val="both"/>
        <w:rPr>
          <w:rFonts w:ascii="NimbusRomNo9L-Regu" w:hAnsi="NimbusRomNo9L-Regu" w:cs="NimbusRomNo9L-Regu"/>
          <w:sz w:val="20"/>
          <w:szCs w:val="20"/>
        </w:rPr>
      </w:pPr>
    </w:p>
    <w:p w14:paraId="4BE2965E" w14:textId="39D9A337" w:rsidR="00DD23A0" w:rsidRPr="00C07485" w:rsidRDefault="00DD23A0" w:rsidP="00C07485">
      <w:pPr>
        <w:autoSpaceDE w:val="0"/>
        <w:autoSpaceDN w:val="0"/>
        <w:adjustRightInd w:val="0"/>
        <w:spacing w:after="0" w:line="276" w:lineRule="auto"/>
        <w:jc w:val="both"/>
        <w:rPr>
          <w:rFonts w:ascii="NimbusRomNo9L-Regu" w:hAnsi="NimbusRomNo9L-Regu" w:cs="NimbusRomNo9L-Regu"/>
          <w:sz w:val="20"/>
          <w:szCs w:val="20"/>
        </w:rPr>
      </w:pPr>
      <m:oMathPara>
        <m:oMath>
          <m:r>
            <w:rPr>
              <w:rFonts w:ascii="Cambria Math" w:hAnsi="Cambria Math" w:cs="NimbusRomNo9L-Regu"/>
              <w:sz w:val="20"/>
              <w:szCs w:val="20"/>
            </w:rPr>
            <m:t>d</m:t>
          </m:r>
          <m:sSub>
            <m:sSubPr>
              <m:ctrlPr>
                <w:rPr>
                  <w:rFonts w:ascii="Cambria Math" w:hAnsi="Cambria Math" w:cs="NimbusRomNo9L-Regu"/>
                  <w:b/>
                  <w:i/>
                  <w:sz w:val="20"/>
                  <w:szCs w:val="20"/>
                </w:rPr>
              </m:ctrlPr>
            </m:sSubPr>
            <m:e>
              <m:r>
                <m:rPr>
                  <m:sty m:val="bi"/>
                </m:rPr>
                <w:rPr>
                  <w:rFonts w:ascii="Cambria Math" w:hAnsi="Cambria Math" w:cs="NimbusRomNo9L-Regu"/>
                  <w:sz w:val="20"/>
                  <w:szCs w:val="20"/>
                </w:rPr>
                <m:t>x</m:t>
              </m:r>
            </m:e>
            <m:sub>
              <m:r>
                <m:rPr>
                  <m:sty m:val="bi"/>
                </m:rPr>
                <w:rPr>
                  <w:rFonts w:ascii="Cambria Math" w:hAnsi="Cambria Math" w:cs="NimbusRomNo9L-Regu"/>
                  <w:sz w:val="20"/>
                  <w:szCs w:val="20"/>
                </w:rPr>
                <m:t>i</m:t>
              </m:r>
            </m:sub>
          </m:sSub>
          <m:r>
            <w:rPr>
              <w:rFonts w:ascii="Cambria Math" w:hAnsi="Cambria Math" w:cs="NimbusRomNo9L-Regu"/>
              <w:sz w:val="20"/>
              <w:szCs w:val="20"/>
            </w:rPr>
            <m:t>=</m:t>
          </m:r>
          <m:r>
            <m:rPr>
              <m:sty m:val="bi"/>
            </m:rPr>
            <w:rPr>
              <w:rFonts w:ascii="Cambria Math" w:hAnsi="Cambria Math" w:cs="NimbusRomNo9L-Regu"/>
              <w:sz w:val="20"/>
              <w:szCs w:val="20"/>
            </w:rPr>
            <m:t>F</m:t>
          </m:r>
          <m:r>
            <w:rPr>
              <w:rFonts w:ascii="Cambria Math" w:hAnsi="Cambria Math" w:cs="NimbusRomNo9L-Regu"/>
              <w:sz w:val="20"/>
              <w:szCs w:val="20"/>
            </w:rPr>
            <m:t>d</m:t>
          </m:r>
          <m:sSub>
            <m:sSubPr>
              <m:ctrlPr>
                <w:rPr>
                  <w:rFonts w:ascii="Cambria Math" w:hAnsi="Cambria Math" w:cs="NimbusRomNo9L-Regu"/>
                  <w:b/>
                  <w:i/>
                  <w:sz w:val="20"/>
                  <w:szCs w:val="20"/>
                </w:rPr>
              </m:ctrlPr>
            </m:sSubPr>
            <m:e>
              <m:r>
                <m:rPr>
                  <m:sty m:val="bi"/>
                </m:rPr>
                <w:rPr>
                  <w:rFonts w:ascii="Cambria Math" w:hAnsi="Cambria Math" w:cs="NimbusRomNo9L-Regu"/>
                  <w:sz w:val="20"/>
                  <w:szCs w:val="20"/>
                </w:rPr>
                <m:t>X</m:t>
              </m:r>
            </m:e>
            <m:sub>
              <m:r>
                <m:rPr>
                  <m:sty m:val="bi"/>
                </m:rPr>
                <w:rPr>
                  <w:rFonts w:ascii="Cambria Math" w:hAnsi="Cambria Math" w:cs="NimbusRomNo9L-Regu"/>
                  <w:sz w:val="20"/>
                  <w:szCs w:val="20"/>
                </w:rPr>
                <m:t>i</m:t>
              </m:r>
            </m:sub>
          </m:sSub>
          <m:r>
            <w:rPr>
              <w:rFonts w:ascii="Cambria Math" w:hAnsi="Cambria Math" w:cs="NimbusRomNo9L-Regu"/>
              <w:sz w:val="20"/>
              <w:szCs w:val="20"/>
            </w:rPr>
            <m:t xml:space="preserve">     i=1,2,3</m:t>
          </m:r>
        </m:oMath>
      </m:oMathPara>
    </w:p>
    <w:p w14:paraId="07168725" w14:textId="77777777" w:rsidR="00DD23A0" w:rsidRPr="00C07485" w:rsidRDefault="00DD23A0" w:rsidP="00C07485">
      <w:pPr>
        <w:autoSpaceDE w:val="0"/>
        <w:autoSpaceDN w:val="0"/>
        <w:adjustRightInd w:val="0"/>
        <w:spacing w:after="0" w:line="276" w:lineRule="auto"/>
        <w:jc w:val="both"/>
        <w:rPr>
          <w:rFonts w:ascii="NimbusRomNo9L-Regu" w:hAnsi="NimbusRomNo9L-Regu" w:cs="NimbusRomNo9L-Regu"/>
          <w:sz w:val="20"/>
          <w:szCs w:val="20"/>
        </w:rPr>
      </w:pPr>
    </w:p>
    <w:p w14:paraId="18433F82" w14:textId="6AE5D0AD" w:rsidR="00DD23A0" w:rsidRPr="00C07485" w:rsidRDefault="00DD23A0" w:rsidP="00C07485">
      <w:pPr>
        <w:autoSpaceDE w:val="0"/>
        <w:autoSpaceDN w:val="0"/>
        <w:adjustRightInd w:val="0"/>
        <w:spacing w:after="0" w:line="276" w:lineRule="auto"/>
        <w:jc w:val="both"/>
        <w:rPr>
          <w:rFonts w:ascii="NimbusRomNo9L-Regu" w:hAnsi="NimbusRomNo9L-Regu" w:cs="NimbusRomNo9L-Regu"/>
          <w:sz w:val="20"/>
          <w:szCs w:val="20"/>
        </w:rPr>
      </w:pPr>
      <w:proofErr w:type="gramStart"/>
      <w:r w:rsidRPr="00C07485">
        <w:rPr>
          <w:rFonts w:ascii="NimbusRomNo9L-Regu" w:hAnsi="NimbusRomNo9L-Regu" w:cs="NimbusRomNo9L-Regu"/>
          <w:sz w:val="20"/>
          <w:szCs w:val="20"/>
        </w:rPr>
        <w:t>where</w:t>
      </w:r>
      <w:proofErr w:type="gramEnd"/>
      <w:r w:rsidRPr="00C07485">
        <w:rPr>
          <w:rFonts w:ascii="NimbusRomNo9L-Regu" w:hAnsi="NimbusRomNo9L-Regu" w:cs="NimbusRomNo9L-Regu"/>
          <w:sz w:val="20"/>
          <w:szCs w:val="20"/>
        </w:rPr>
        <w:t xml:space="preserve"> </w:t>
      </w:r>
      <m:oMath>
        <m:r>
          <w:rPr>
            <w:rFonts w:ascii="Cambria Math" w:hAnsi="Cambria Math" w:cs="NimbusRomNo9L-Regu"/>
            <w:sz w:val="20"/>
            <w:szCs w:val="20"/>
          </w:rPr>
          <m:t>d</m:t>
        </m:r>
        <m:sSub>
          <m:sSubPr>
            <m:ctrlPr>
              <w:rPr>
                <w:rFonts w:ascii="Cambria Math" w:hAnsi="Cambria Math" w:cs="NimbusRomNo9L-Regu"/>
                <w:b/>
                <w:i/>
                <w:sz w:val="20"/>
                <w:szCs w:val="20"/>
              </w:rPr>
            </m:ctrlPr>
          </m:sSubPr>
          <m:e>
            <m:r>
              <m:rPr>
                <m:sty m:val="bi"/>
              </m:rPr>
              <w:rPr>
                <w:rFonts w:ascii="Cambria Math" w:hAnsi="Cambria Math" w:cs="NimbusRomNo9L-Regu"/>
                <w:sz w:val="20"/>
                <w:szCs w:val="20"/>
              </w:rPr>
              <m:t>X</m:t>
            </m:r>
          </m:e>
          <m:sub>
            <m:r>
              <m:rPr>
                <m:sty m:val="bi"/>
              </m:rPr>
              <w:rPr>
                <w:rFonts w:ascii="Cambria Math" w:hAnsi="Cambria Math" w:cs="NimbusRomNo9L-Regu"/>
                <w:sz w:val="20"/>
                <w:szCs w:val="20"/>
              </w:rPr>
              <m:t>i</m:t>
            </m:r>
          </m:sub>
        </m:sSub>
      </m:oMath>
      <w:r w:rsidRPr="00C07485">
        <w:rPr>
          <w:rFonts w:ascii="NimbusRomNo9L-Regu" w:hAnsi="NimbusRomNo9L-Regu" w:cs="NimbusRomNo9L-Regu"/>
          <w:sz w:val="20"/>
          <w:szCs w:val="20"/>
        </w:rPr>
        <w:t xml:space="preserve"> is a vector from one triangle vertex to another in the reference configuration, and </w:t>
      </w:r>
      <m:oMath>
        <m:r>
          <w:rPr>
            <w:rFonts w:ascii="Cambria Math" w:hAnsi="Cambria Math" w:cs="NimbusRomNo9L-Regu"/>
            <w:sz w:val="20"/>
            <w:szCs w:val="20"/>
          </w:rPr>
          <m:t>d</m:t>
        </m:r>
        <m:sSub>
          <m:sSubPr>
            <m:ctrlPr>
              <w:rPr>
                <w:rFonts w:ascii="Cambria Math" w:hAnsi="Cambria Math" w:cs="NimbusRomNo9L-Regu"/>
                <w:b/>
                <w:i/>
                <w:sz w:val="20"/>
                <w:szCs w:val="20"/>
              </w:rPr>
            </m:ctrlPr>
          </m:sSubPr>
          <m:e>
            <m:r>
              <m:rPr>
                <m:sty m:val="bi"/>
              </m:rPr>
              <w:rPr>
                <w:rFonts w:ascii="Cambria Math" w:hAnsi="Cambria Math" w:cs="NimbusRomNo9L-Regu"/>
                <w:sz w:val="20"/>
                <w:szCs w:val="20"/>
              </w:rPr>
              <m:t>x</m:t>
            </m:r>
          </m:e>
          <m:sub>
            <m:r>
              <m:rPr>
                <m:sty m:val="bi"/>
              </m:rPr>
              <w:rPr>
                <w:rFonts w:ascii="Cambria Math" w:hAnsi="Cambria Math" w:cs="NimbusRomNo9L-Regu"/>
                <w:sz w:val="20"/>
                <w:szCs w:val="20"/>
              </w:rPr>
              <m:t>i</m:t>
            </m:r>
          </m:sub>
        </m:sSub>
      </m:oMath>
      <w:r w:rsidRPr="00C07485">
        <w:rPr>
          <w:rFonts w:ascii="NimbusRomNo9L-Regu" w:hAnsi="NimbusRomNo9L-Regu" w:cs="NimbusRomNo9L-Regu"/>
          <w:b/>
          <w:sz w:val="20"/>
          <w:szCs w:val="20"/>
        </w:rPr>
        <w:t xml:space="preserve"> </w:t>
      </w:r>
      <w:r w:rsidRPr="00C07485">
        <w:rPr>
          <w:rFonts w:ascii="NimbusRomNo9L-Regu" w:hAnsi="NimbusRomNo9L-Regu" w:cs="NimbusRomNo9L-Regu"/>
          <w:sz w:val="20"/>
          <w:szCs w:val="20"/>
        </w:rPr>
        <w:t xml:space="preserve">is that same segment in the deformed configuration.  </w:t>
      </w:r>
      <w:r w:rsidR="00230B5C" w:rsidRPr="00C07485">
        <w:rPr>
          <w:rFonts w:ascii="NimbusRomNo9L-Regu" w:hAnsi="NimbusRomNo9L-Regu" w:cs="NimbusRomNo9L-Regu"/>
          <w:sz w:val="20"/>
          <w:szCs w:val="20"/>
        </w:rPr>
        <w:t>We calculated t</w:t>
      </w:r>
      <w:r w:rsidRPr="00C07485">
        <w:rPr>
          <w:rFonts w:ascii="NimbusRomNo9L-Regu" w:hAnsi="NimbusRomNo9L-Regu" w:cs="NimbusRomNo9L-Regu"/>
          <w:sz w:val="20"/>
          <w:szCs w:val="20"/>
        </w:rPr>
        <w:t xml:space="preserve">he </w:t>
      </w:r>
      <w:proofErr w:type="spellStart"/>
      <w:r w:rsidRPr="00C07485">
        <w:rPr>
          <w:rFonts w:ascii="NimbusRomNo9L-Regu" w:hAnsi="NimbusRomNo9L-Regu" w:cs="NimbusRomNo9L-Regu"/>
          <w:sz w:val="20"/>
          <w:szCs w:val="20"/>
        </w:rPr>
        <w:t>Lagrangian</w:t>
      </w:r>
      <w:proofErr w:type="spellEnd"/>
      <w:r w:rsidRPr="00C07485">
        <w:rPr>
          <w:rFonts w:ascii="NimbusRomNo9L-Regu" w:hAnsi="NimbusRomNo9L-Regu" w:cs="NimbusRomNo9L-Regu"/>
          <w:sz w:val="20"/>
          <w:szCs w:val="20"/>
        </w:rPr>
        <w:t xml:space="preserve"> strain tensor, </w:t>
      </w:r>
      <w:r w:rsidRPr="00C07485">
        <w:rPr>
          <w:rFonts w:ascii="NimbusRomNo9L-Regu" w:hAnsi="NimbusRomNo9L-Regu" w:cs="NimbusRomNo9L-Regu"/>
          <w:b/>
          <w:sz w:val="20"/>
          <w:szCs w:val="20"/>
        </w:rPr>
        <w:t>E</w:t>
      </w:r>
      <w:r w:rsidRPr="00C07485">
        <w:rPr>
          <w:rFonts w:ascii="NimbusRomNo9L-Regu" w:hAnsi="NimbusRomNo9L-Regu" w:cs="NimbusRomNo9L-Regu"/>
          <w:sz w:val="20"/>
          <w:szCs w:val="20"/>
        </w:rPr>
        <w:t xml:space="preserve">, </w:t>
      </w:r>
      <w:r w:rsidR="002F5F85" w:rsidRPr="00C07485">
        <w:rPr>
          <w:rFonts w:ascii="NimbusRomNo9L-Regu" w:hAnsi="NimbusRomNo9L-Regu" w:cs="NimbusRomNo9L-Regu"/>
          <w:sz w:val="20"/>
          <w:szCs w:val="20"/>
        </w:rPr>
        <w:t xml:space="preserve">from </w:t>
      </w:r>
      <w:r w:rsidR="002F5F85" w:rsidRPr="00C07485">
        <w:rPr>
          <w:rFonts w:ascii="NimbusRomNo9L-Regu" w:hAnsi="NimbusRomNo9L-Regu" w:cs="NimbusRomNo9L-Regu"/>
          <w:b/>
          <w:sz w:val="20"/>
          <w:szCs w:val="20"/>
        </w:rPr>
        <w:t>F</w:t>
      </w:r>
      <w:r w:rsidR="002F5F85" w:rsidRPr="00C07485">
        <w:rPr>
          <w:rFonts w:ascii="NimbusRomNo9L-Regu" w:hAnsi="NimbusRomNo9L-Regu" w:cs="NimbusRomNo9L-Regu"/>
          <w:sz w:val="20"/>
          <w:szCs w:val="20"/>
        </w:rPr>
        <w:t xml:space="preserve"> as following:</w:t>
      </w:r>
    </w:p>
    <w:p w14:paraId="1B8EC66B" w14:textId="77777777" w:rsidR="00FC4346" w:rsidRPr="00C07485" w:rsidRDefault="00FC4346" w:rsidP="00C07485">
      <w:pPr>
        <w:autoSpaceDE w:val="0"/>
        <w:autoSpaceDN w:val="0"/>
        <w:adjustRightInd w:val="0"/>
        <w:spacing w:after="0" w:line="276" w:lineRule="auto"/>
        <w:jc w:val="both"/>
        <w:rPr>
          <w:rFonts w:ascii="NimbusRomNo9L-Regu" w:hAnsi="NimbusRomNo9L-Regu" w:cs="NimbusRomNo9L-Regu"/>
          <w:sz w:val="20"/>
          <w:szCs w:val="20"/>
        </w:rPr>
      </w:pPr>
    </w:p>
    <w:p w14:paraId="0E670EA8" w14:textId="7C03BE31" w:rsidR="002F5F85" w:rsidRPr="00C07485" w:rsidRDefault="002F5F85" w:rsidP="00C07485">
      <w:pPr>
        <w:autoSpaceDE w:val="0"/>
        <w:autoSpaceDN w:val="0"/>
        <w:adjustRightInd w:val="0"/>
        <w:spacing w:after="0" w:line="276" w:lineRule="auto"/>
        <w:jc w:val="both"/>
        <w:rPr>
          <w:rFonts w:ascii="NimbusRomNo9L-Regu" w:hAnsi="NimbusRomNo9L-Regu" w:cs="NimbusRomNo9L-Regu"/>
          <w:sz w:val="20"/>
          <w:szCs w:val="20"/>
        </w:rPr>
      </w:pPr>
      <m:oMathPara>
        <m:oMath>
          <m:r>
            <m:rPr>
              <m:sty m:val="bi"/>
            </m:rPr>
            <w:rPr>
              <w:rFonts w:ascii="Cambria Math" w:hAnsi="Cambria Math" w:cs="NimbusRomNo9L-Regu"/>
              <w:sz w:val="20"/>
              <w:szCs w:val="20"/>
            </w:rPr>
            <m:t>E</m:t>
          </m:r>
          <m:r>
            <w:rPr>
              <w:rFonts w:ascii="Cambria Math" w:hAnsi="Cambria Math" w:cs="NimbusRomNo9L-Regu"/>
              <w:sz w:val="20"/>
              <w:szCs w:val="20"/>
            </w:rPr>
            <m:t>=</m:t>
          </m:r>
          <m:f>
            <m:fPr>
              <m:ctrlPr>
                <w:rPr>
                  <w:rFonts w:ascii="Cambria Math" w:hAnsi="Cambria Math" w:cs="NimbusRomNo9L-Regu"/>
                  <w:i/>
                  <w:sz w:val="20"/>
                  <w:szCs w:val="20"/>
                </w:rPr>
              </m:ctrlPr>
            </m:fPr>
            <m:num>
              <m:r>
                <w:rPr>
                  <w:rFonts w:ascii="Cambria Math" w:hAnsi="Cambria Math" w:cs="NimbusRomNo9L-Regu"/>
                  <w:sz w:val="20"/>
                  <w:szCs w:val="20"/>
                </w:rPr>
                <m:t>1</m:t>
              </m:r>
            </m:num>
            <m:den>
              <m:r>
                <w:rPr>
                  <w:rFonts w:ascii="Cambria Math" w:hAnsi="Cambria Math" w:cs="NimbusRomNo9L-Regu"/>
                  <w:sz w:val="20"/>
                  <w:szCs w:val="20"/>
                </w:rPr>
                <m:t>2</m:t>
              </m:r>
            </m:den>
          </m:f>
          <m:r>
            <w:rPr>
              <w:rFonts w:ascii="Cambria Math" w:hAnsi="Cambria Math" w:cs="NimbusRomNo9L-Regu"/>
              <w:sz w:val="20"/>
              <w:szCs w:val="20"/>
            </w:rPr>
            <m:t>(</m:t>
          </m:r>
          <m:sSup>
            <m:sSupPr>
              <m:ctrlPr>
                <w:rPr>
                  <w:rFonts w:ascii="Cambria Math" w:hAnsi="Cambria Math" w:cs="NimbusRomNo9L-Regu"/>
                  <w:b/>
                  <w:i/>
                  <w:sz w:val="20"/>
                  <w:szCs w:val="20"/>
                </w:rPr>
              </m:ctrlPr>
            </m:sSupPr>
            <m:e>
              <m:r>
                <m:rPr>
                  <m:sty m:val="bi"/>
                </m:rPr>
                <w:rPr>
                  <w:rFonts w:ascii="Cambria Math" w:hAnsi="Cambria Math" w:cs="NimbusRomNo9L-Regu"/>
                  <w:sz w:val="20"/>
                  <w:szCs w:val="20"/>
                </w:rPr>
                <m:t>F</m:t>
              </m:r>
            </m:e>
            <m:sup>
              <m:r>
                <m:rPr>
                  <m:sty m:val="bi"/>
                </m:rPr>
                <w:rPr>
                  <w:rFonts w:ascii="Cambria Math" w:hAnsi="Cambria Math" w:cs="NimbusRomNo9L-Regu"/>
                  <w:sz w:val="20"/>
                  <w:szCs w:val="20"/>
                </w:rPr>
                <m:t>T</m:t>
              </m:r>
            </m:sup>
          </m:sSup>
          <m:r>
            <m:rPr>
              <m:sty m:val="bi"/>
            </m:rPr>
            <w:rPr>
              <w:rFonts w:ascii="Cambria Math" w:hAnsi="Cambria Math" w:cs="NimbusRomNo9L-Regu"/>
              <w:sz w:val="20"/>
              <w:szCs w:val="20"/>
            </w:rPr>
            <m:t>F</m:t>
          </m:r>
          <m:r>
            <w:rPr>
              <w:rFonts w:ascii="Cambria Math" w:hAnsi="Cambria Math" w:cs="NimbusRomNo9L-Regu"/>
              <w:sz w:val="20"/>
              <w:szCs w:val="20"/>
            </w:rPr>
            <m:t>-</m:t>
          </m:r>
          <m:r>
            <m:rPr>
              <m:sty m:val="bi"/>
            </m:rPr>
            <w:rPr>
              <w:rFonts w:ascii="Cambria Math" w:hAnsi="Cambria Math" w:cs="NimbusRomNo9L-Regu"/>
              <w:sz w:val="20"/>
              <w:szCs w:val="20"/>
            </w:rPr>
            <m:t>I</m:t>
          </m:r>
          <m:r>
            <w:rPr>
              <w:rFonts w:ascii="Cambria Math" w:hAnsi="Cambria Math" w:cs="NimbusRomNo9L-Regu"/>
              <w:sz w:val="20"/>
              <w:szCs w:val="20"/>
            </w:rPr>
            <m:t>)</m:t>
          </m:r>
        </m:oMath>
      </m:oMathPara>
    </w:p>
    <w:p w14:paraId="1E84D05F" w14:textId="77777777" w:rsidR="00FC4346" w:rsidRPr="00C07485" w:rsidRDefault="00FC4346" w:rsidP="00C07485">
      <w:pPr>
        <w:autoSpaceDE w:val="0"/>
        <w:autoSpaceDN w:val="0"/>
        <w:adjustRightInd w:val="0"/>
        <w:spacing w:after="0" w:line="276" w:lineRule="auto"/>
        <w:jc w:val="both"/>
        <w:rPr>
          <w:rFonts w:ascii="NimbusRomNo9L-Regu" w:hAnsi="NimbusRomNo9L-Regu" w:cs="NimbusRomNo9L-Regu"/>
          <w:sz w:val="20"/>
          <w:szCs w:val="20"/>
        </w:rPr>
      </w:pPr>
    </w:p>
    <w:p w14:paraId="653C4589" w14:textId="2962F77C" w:rsidR="00FC4346" w:rsidRDefault="00230B5C" w:rsidP="00C07485">
      <w:pPr>
        <w:autoSpaceDE w:val="0"/>
        <w:autoSpaceDN w:val="0"/>
        <w:adjustRightInd w:val="0"/>
        <w:spacing w:after="0" w:line="276" w:lineRule="auto"/>
        <w:jc w:val="both"/>
        <w:rPr>
          <w:rFonts w:ascii="NimbusRomNo9L-Regu" w:hAnsi="NimbusRomNo9L-Regu" w:cs="NimbusRomNo9L-Regu"/>
          <w:sz w:val="20"/>
          <w:szCs w:val="20"/>
        </w:rPr>
      </w:pPr>
      <w:r w:rsidRPr="00C07485">
        <w:rPr>
          <w:rFonts w:ascii="NimbusRomNo9L-Regu" w:hAnsi="NimbusRomNo9L-Regu" w:cs="NimbusRomNo9L-Regu"/>
          <w:sz w:val="20"/>
          <w:szCs w:val="20"/>
        </w:rPr>
        <w:t>T</w:t>
      </w:r>
      <w:r w:rsidR="002F5F85" w:rsidRPr="00C07485">
        <w:rPr>
          <w:rFonts w:ascii="NimbusRomNo9L-Regu" w:hAnsi="NimbusRomNo9L-Regu" w:cs="NimbusRomNo9L-Regu"/>
          <w:sz w:val="20"/>
          <w:szCs w:val="20"/>
        </w:rPr>
        <w:t>he Green-Lagrange maximum principal strain was calculated</w:t>
      </w:r>
      <w:r w:rsidRPr="00C07485">
        <w:rPr>
          <w:rFonts w:ascii="NimbusRomNo9L-Regu" w:hAnsi="NimbusRomNo9L-Regu" w:cs="NimbusRomNo9L-Regu"/>
          <w:sz w:val="20"/>
          <w:szCs w:val="20"/>
        </w:rPr>
        <w:t xml:space="preserve"> as the biggest eigenvalue of </w:t>
      </w:r>
      <w:r w:rsidRPr="00C07485">
        <w:rPr>
          <w:rFonts w:ascii="NimbusRomNo9L-Regu" w:hAnsi="NimbusRomNo9L-Regu" w:cs="NimbusRomNo9L-Regu"/>
          <w:b/>
          <w:sz w:val="20"/>
          <w:szCs w:val="20"/>
        </w:rPr>
        <w:t>E</w:t>
      </w:r>
      <w:r w:rsidR="002F5F85" w:rsidRPr="00C07485">
        <w:rPr>
          <w:rFonts w:ascii="NimbusRomNo9L-Regu" w:hAnsi="NimbusRomNo9L-Regu" w:cs="NimbusRomNo9L-Regu"/>
          <w:sz w:val="20"/>
          <w:szCs w:val="20"/>
        </w:rPr>
        <w:t>. In Figure S1b w</w:t>
      </w:r>
      <w:r w:rsidR="00A47ADC" w:rsidRPr="00C07485">
        <w:rPr>
          <w:rFonts w:ascii="NimbusRomNo9L-Regu" w:hAnsi="NimbusRomNo9L-Regu" w:cs="NimbusRomNo9L-Regu"/>
          <w:sz w:val="20"/>
          <w:szCs w:val="20"/>
        </w:rPr>
        <w:t xml:space="preserve">e colored the face for each triangle in the mesh with the maximum principal Green-Lagrange strain </w:t>
      </w:r>
      <w:r w:rsidR="00E6045B" w:rsidRPr="00C07485">
        <w:rPr>
          <w:rFonts w:ascii="NimbusRomNo9L-Regu" w:hAnsi="NimbusRomNo9L-Regu" w:cs="NimbusRomNo9L-Regu"/>
          <w:sz w:val="20"/>
          <w:szCs w:val="20"/>
        </w:rPr>
        <w:t xml:space="preserve">at </w:t>
      </w:r>
      <w:r w:rsidR="00A47ADC" w:rsidRPr="00C07485">
        <w:rPr>
          <w:rFonts w:ascii="NimbusRomNo9L-Regu" w:hAnsi="NimbusRomNo9L-Regu" w:cs="NimbusRomNo9L-Regu"/>
          <w:sz w:val="20"/>
          <w:szCs w:val="20"/>
        </w:rPr>
        <w:t>39.2, 44.8, 50.4,</w:t>
      </w:r>
      <w:r w:rsidR="00E6045B" w:rsidRPr="00C07485">
        <w:rPr>
          <w:rFonts w:ascii="NimbusRomNo9L-Regu" w:hAnsi="NimbusRomNo9L-Regu" w:cs="NimbusRomNo9L-Regu"/>
          <w:sz w:val="20"/>
          <w:szCs w:val="20"/>
        </w:rPr>
        <w:t xml:space="preserve"> 56.0 and 61.6 </w:t>
      </w:r>
      <w:proofErr w:type="spellStart"/>
      <w:r w:rsidR="00E6045B" w:rsidRPr="00C07485">
        <w:rPr>
          <w:rFonts w:ascii="NimbusRomNo9L-Regu" w:hAnsi="NimbusRomNo9L-Regu" w:cs="NimbusRomNo9L-Regu"/>
          <w:sz w:val="20"/>
          <w:szCs w:val="20"/>
        </w:rPr>
        <w:t>ms</w:t>
      </w:r>
      <w:proofErr w:type="spellEnd"/>
      <w:r w:rsidR="00E6045B" w:rsidRPr="00C07485">
        <w:rPr>
          <w:rFonts w:ascii="NimbusRomNo9L-Regu" w:hAnsi="NimbusRomNo9L-Regu" w:cs="NimbusRomNo9L-Regu"/>
          <w:sz w:val="20"/>
          <w:szCs w:val="20"/>
        </w:rPr>
        <w:t xml:space="preserve"> (Figure S1b)</w:t>
      </w:r>
      <w:r w:rsidR="00A47ADC" w:rsidRPr="00C07485">
        <w:rPr>
          <w:rFonts w:ascii="NimbusRomNo9L-Regu" w:hAnsi="NimbusRomNo9L-Regu" w:cs="NimbusRomNo9L-Regu"/>
          <w:sz w:val="20"/>
          <w:szCs w:val="20"/>
        </w:rPr>
        <w:t>.</w:t>
      </w:r>
    </w:p>
    <w:p w14:paraId="717055BD" w14:textId="77777777" w:rsidR="00C07485" w:rsidRPr="00C07485" w:rsidRDefault="00C07485" w:rsidP="00C07485">
      <w:pPr>
        <w:autoSpaceDE w:val="0"/>
        <w:autoSpaceDN w:val="0"/>
        <w:adjustRightInd w:val="0"/>
        <w:spacing w:after="0" w:line="276" w:lineRule="auto"/>
        <w:jc w:val="both"/>
        <w:rPr>
          <w:rFonts w:ascii="NimbusRomNo9L-Regu" w:hAnsi="NimbusRomNo9L-Regu" w:cs="NimbusRomNo9L-Regu"/>
          <w:sz w:val="20"/>
          <w:szCs w:val="20"/>
        </w:rPr>
      </w:pPr>
    </w:p>
    <w:p w14:paraId="4E2EA74A" w14:textId="5BAE9226" w:rsidR="00FC4346" w:rsidRPr="00C07485" w:rsidRDefault="00A47ADC" w:rsidP="00C07485">
      <w:pPr>
        <w:autoSpaceDE w:val="0"/>
        <w:autoSpaceDN w:val="0"/>
        <w:adjustRightInd w:val="0"/>
        <w:spacing w:after="0" w:line="276" w:lineRule="auto"/>
        <w:jc w:val="both"/>
        <w:rPr>
          <w:rFonts w:ascii="NimbusRomNo9L-Regu" w:hAnsi="NimbusRomNo9L-Regu" w:cs="NimbusRomNo9L-Regu"/>
          <w:sz w:val="20"/>
          <w:szCs w:val="20"/>
        </w:rPr>
      </w:pPr>
      <w:r w:rsidRPr="00C07485">
        <w:rPr>
          <w:rFonts w:ascii="NimbusRomNo9L-Regu" w:hAnsi="NimbusRomNo9L-Regu" w:cs="NimbusRomNo9L-Regu"/>
          <w:sz w:val="20"/>
          <w:szCs w:val="20"/>
        </w:rPr>
        <w:t xml:space="preserve"> As it can be seen from Figure S1</w:t>
      </w:r>
      <w:r w:rsidR="00E6045B" w:rsidRPr="00C07485">
        <w:rPr>
          <w:rFonts w:ascii="NimbusRomNo9L-Regu" w:hAnsi="NimbusRomNo9L-Regu" w:cs="NimbusRomNo9L-Regu"/>
          <w:sz w:val="20"/>
          <w:szCs w:val="20"/>
        </w:rPr>
        <w:t>a</w:t>
      </w:r>
      <w:r w:rsidRPr="00C07485">
        <w:rPr>
          <w:rFonts w:ascii="NimbusRomNo9L-Regu" w:hAnsi="NimbusRomNo9L-Regu" w:cs="NimbusRomNo9L-Regu"/>
          <w:sz w:val="20"/>
          <w:szCs w:val="20"/>
        </w:rPr>
        <w:t xml:space="preserve">, the KTH </w:t>
      </w:r>
      <w:r w:rsidR="00E6045B" w:rsidRPr="00C07485">
        <w:rPr>
          <w:rFonts w:ascii="NimbusRomNo9L-Regu" w:hAnsi="NimbusRomNo9L-Regu" w:cs="NimbusRomNo9L-Regu"/>
          <w:sz w:val="20"/>
          <w:szCs w:val="20"/>
        </w:rPr>
        <w:t>model tended to underestimate</w:t>
      </w:r>
      <w:r w:rsidRPr="00C07485">
        <w:rPr>
          <w:rFonts w:ascii="NimbusRomNo9L-Regu" w:hAnsi="NimbusRomNo9L-Regu" w:cs="NimbusRomNo9L-Regu"/>
          <w:sz w:val="20"/>
          <w:szCs w:val="20"/>
        </w:rPr>
        <w:t xml:space="preserve"> the magnitude of displacement seen in the experiment. While measured displacement reached almost 3mm, the maximum predicted displacemen</w:t>
      </w:r>
      <w:r w:rsidR="00E6045B" w:rsidRPr="00C07485">
        <w:rPr>
          <w:rFonts w:ascii="NimbusRomNo9L-Regu" w:hAnsi="NimbusRomNo9L-Regu" w:cs="NimbusRomNo9L-Regu"/>
          <w:sz w:val="20"/>
          <w:szCs w:val="20"/>
        </w:rPr>
        <w:t xml:space="preserve">t was around 2 mm. </w:t>
      </w:r>
      <w:r w:rsidR="00FC4346" w:rsidRPr="00C07485">
        <w:rPr>
          <w:rFonts w:ascii="NimbusRomNo9L-Regu" w:hAnsi="NimbusRomNo9L-Regu" w:cs="NimbusRomNo9L-Regu"/>
          <w:sz w:val="20"/>
          <w:szCs w:val="20"/>
        </w:rPr>
        <w:t xml:space="preserve">Relative skull-brain displacement </w:t>
      </w:r>
      <w:r w:rsidR="00954E10" w:rsidRPr="00C07485">
        <w:rPr>
          <w:rFonts w:ascii="NimbusRomNo9L-Regu" w:hAnsi="NimbusRomNo9L-Regu" w:cs="NimbusRomNo9L-Regu"/>
          <w:sz w:val="20"/>
          <w:szCs w:val="20"/>
        </w:rPr>
        <w:t xml:space="preserve">peak </w:t>
      </w:r>
      <w:r w:rsidR="00FC4346" w:rsidRPr="00C07485">
        <w:rPr>
          <w:rFonts w:ascii="NimbusRomNo9L-Regu" w:hAnsi="NimbusRomNo9L-Regu" w:cs="NimbusRomNo9L-Regu"/>
          <w:sz w:val="20"/>
          <w:szCs w:val="20"/>
        </w:rPr>
        <w:t>errors were on average 1 mm or less. The</w:t>
      </w:r>
      <w:r w:rsidR="00E6045B" w:rsidRPr="00C07485">
        <w:rPr>
          <w:rFonts w:ascii="NimbusRomNo9L-Regu" w:hAnsi="NimbusRomNo9L-Regu" w:cs="NimbusRomNo9L-Regu"/>
          <w:sz w:val="20"/>
          <w:szCs w:val="20"/>
        </w:rPr>
        <w:t xml:space="preserve"> FE model</w:t>
      </w:r>
      <w:r w:rsidRPr="00C07485">
        <w:rPr>
          <w:rFonts w:ascii="NimbusRomNo9L-Regu" w:hAnsi="NimbusRomNo9L-Regu" w:cs="NimbusRomNo9L-Regu"/>
          <w:sz w:val="20"/>
          <w:szCs w:val="20"/>
        </w:rPr>
        <w:t xml:space="preserve"> </w:t>
      </w:r>
      <w:r w:rsidR="009635BF" w:rsidRPr="00C07485">
        <w:rPr>
          <w:rFonts w:ascii="NimbusRomNo9L-Regu" w:hAnsi="NimbusRomNo9L-Regu" w:cs="NimbusRomNo9L-Regu"/>
          <w:sz w:val="20"/>
          <w:szCs w:val="20"/>
        </w:rPr>
        <w:t>correctly localized the motion</w:t>
      </w:r>
      <w:r w:rsidRPr="00C07485">
        <w:rPr>
          <w:rFonts w:ascii="NimbusRomNo9L-Regu" w:hAnsi="NimbusRomNo9L-Regu" w:cs="NimbusRomNo9L-Regu"/>
          <w:sz w:val="20"/>
          <w:szCs w:val="20"/>
        </w:rPr>
        <w:t>: the biggest displacement was found in the parietal lobe of the brain, peaked around 40-50</w:t>
      </w:r>
      <w:r w:rsidR="00E6045B" w:rsidRPr="00C07485">
        <w:rPr>
          <w:rFonts w:ascii="NimbusRomNo9L-Regu" w:hAnsi="NimbusRomNo9L-Regu" w:cs="NimbusRomNo9L-Regu"/>
          <w:sz w:val="20"/>
          <w:szCs w:val="20"/>
        </w:rPr>
        <w:t xml:space="preserve"> </w:t>
      </w:r>
      <w:proofErr w:type="spellStart"/>
      <w:r w:rsidR="00E6045B" w:rsidRPr="00C07485">
        <w:rPr>
          <w:rFonts w:ascii="NimbusRomNo9L-Regu" w:hAnsi="NimbusRomNo9L-Regu" w:cs="NimbusRomNo9L-Regu"/>
          <w:sz w:val="20"/>
          <w:szCs w:val="20"/>
        </w:rPr>
        <w:t>ms</w:t>
      </w:r>
      <w:proofErr w:type="spellEnd"/>
      <w:r w:rsidR="00E6045B" w:rsidRPr="00C07485">
        <w:rPr>
          <w:rFonts w:ascii="NimbusRomNo9L-Regu" w:hAnsi="NimbusRomNo9L-Regu" w:cs="NimbusRomNo9L-Regu"/>
          <w:sz w:val="20"/>
          <w:szCs w:val="20"/>
        </w:rPr>
        <w:t xml:space="preserve"> and successively decreased</w:t>
      </w:r>
      <w:r w:rsidR="00FC4346" w:rsidRPr="00C07485">
        <w:rPr>
          <w:rFonts w:ascii="NimbusRomNo9L-Regu" w:hAnsi="NimbusRomNo9L-Regu" w:cs="NimbusRomNo9L-Regu"/>
          <w:sz w:val="20"/>
          <w:szCs w:val="20"/>
        </w:rPr>
        <w:t xml:space="preserve"> (Figure S1a)</w:t>
      </w:r>
      <w:r w:rsidR="00E6045B" w:rsidRPr="00C07485">
        <w:rPr>
          <w:rFonts w:ascii="NimbusRomNo9L-Regu" w:hAnsi="NimbusRomNo9L-Regu" w:cs="NimbusRomNo9L-Regu"/>
          <w:sz w:val="20"/>
          <w:szCs w:val="20"/>
        </w:rPr>
        <w:t xml:space="preserve">. </w:t>
      </w:r>
      <w:r w:rsidR="00C07485" w:rsidRPr="00C07485">
        <w:rPr>
          <w:rFonts w:ascii="NimbusRomNo9L-Regu" w:hAnsi="NimbusRomNo9L-Regu" w:cs="NimbusRomNo9L-Regu"/>
          <w:sz w:val="20"/>
          <w:szCs w:val="20"/>
        </w:rPr>
        <w:t>A similar pattern can be seen for the predictions of maximum principal strain (Figure S1b): the KTH model tended to underestimate the magnitude of strain, with average peak errors of 37%. However, the simulated FE model strain was largest in the frontal/parietal lobe and the skull base, which was in agreement with the in vivo experiment.</w:t>
      </w:r>
      <w:bookmarkStart w:id="0" w:name="_GoBack"/>
      <w:bookmarkEnd w:id="0"/>
    </w:p>
    <w:p w14:paraId="59C0BE0B" w14:textId="1BA8D50B" w:rsidR="00E33411" w:rsidRPr="00C07485" w:rsidRDefault="00224DE6" w:rsidP="00C07485">
      <w:pPr>
        <w:autoSpaceDE w:val="0"/>
        <w:autoSpaceDN w:val="0"/>
        <w:adjustRightInd w:val="0"/>
        <w:spacing w:after="0" w:line="240" w:lineRule="auto"/>
        <w:jc w:val="both"/>
        <w:rPr>
          <w:rFonts w:ascii="NimbusRomNo9L-Regu" w:hAnsi="NimbusRomNo9L-Regu" w:cs="NimbusRomNo9L-Regu"/>
          <w:sz w:val="20"/>
          <w:szCs w:val="20"/>
        </w:rPr>
      </w:pPr>
      <w:r w:rsidRPr="00C07485">
        <w:rPr>
          <w:rFonts w:ascii="NimbusRomNo9L-Regu" w:hAnsi="NimbusRomNo9L-Regu" w:cs="NimbusRomNo9L-Regu"/>
          <w:noProof/>
          <w:sz w:val="20"/>
          <w:szCs w:val="20"/>
        </w:rPr>
        <w:lastRenderedPageBreak/>
        <w:drawing>
          <wp:inline distT="0" distB="0" distL="0" distR="0" wp14:anchorId="3701BB26" wp14:editId="5A0BCCCD">
            <wp:extent cx="5731510" cy="574802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1.png"/>
                    <pic:cNvPicPr/>
                  </pic:nvPicPr>
                  <pic:blipFill>
                    <a:blip r:embed="rId6">
                      <a:extLst>
                        <a:ext uri="{28A0092B-C50C-407E-A947-70E740481C1C}">
                          <a14:useLocalDpi xmlns:a14="http://schemas.microsoft.com/office/drawing/2010/main" val="0"/>
                        </a:ext>
                      </a:extLst>
                    </a:blip>
                    <a:stretch>
                      <a:fillRect/>
                    </a:stretch>
                  </pic:blipFill>
                  <pic:spPr>
                    <a:xfrm>
                      <a:off x="0" y="0"/>
                      <a:ext cx="5731510" cy="5748020"/>
                    </a:xfrm>
                    <a:prstGeom prst="rect">
                      <a:avLst/>
                    </a:prstGeom>
                  </pic:spPr>
                </pic:pic>
              </a:graphicData>
            </a:graphic>
          </wp:inline>
        </w:drawing>
      </w:r>
    </w:p>
    <w:p w14:paraId="19C09AC1" w14:textId="03DEB670" w:rsidR="00FC4346" w:rsidRPr="00C07485" w:rsidRDefault="00E6045B" w:rsidP="00C07485">
      <w:pPr>
        <w:autoSpaceDE w:val="0"/>
        <w:autoSpaceDN w:val="0"/>
        <w:adjustRightInd w:val="0"/>
        <w:spacing w:after="0" w:line="240" w:lineRule="auto"/>
        <w:jc w:val="both"/>
        <w:rPr>
          <w:rFonts w:ascii="NimbusRomNo9L-Regu" w:hAnsi="NimbusRomNo9L-Regu" w:cs="NimbusRomNo9L-Regu"/>
          <w:b/>
          <w:i/>
          <w:sz w:val="20"/>
          <w:szCs w:val="20"/>
        </w:rPr>
      </w:pPr>
      <w:r w:rsidRPr="00C07485">
        <w:rPr>
          <w:rFonts w:ascii="NimbusRomNo9L-Regu" w:hAnsi="NimbusRomNo9L-Regu" w:cs="NimbusRomNo9L-Regu"/>
          <w:b/>
          <w:i/>
          <w:sz w:val="20"/>
          <w:szCs w:val="20"/>
        </w:rPr>
        <w:t xml:space="preserve">Figure S1: </w:t>
      </w:r>
      <w:r w:rsidR="004A33BB" w:rsidRPr="00C07485">
        <w:rPr>
          <w:rFonts w:ascii="NimbusRomNo9L-Regu" w:hAnsi="NimbusRomNo9L-Regu" w:cs="NimbusRomNo9L-Regu"/>
          <w:i/>
          <w:sz w:val="20"/>
          <w:szCs w:val="20"/>
        </w:rPr>
        <w:t xml:space="preserve">Model prediction of skull-brain relative displacement and brain strain compared to a human volunteer experiment.  In the experiment, kinematics of a mild frontal impact were generated using a pivot device while displacement and strain were measured using tagged MRI. The KTH FE model tended to underestimate the magnitudes of displacement and strain but correctly localized them, spatially and temporally. </w:t>
      </w:r>
      <w:r w:rsidR="004A33BB" w:rsidRPr="00C07485">
        <w:rPr>
          <w:rFonts w:ascii="NimbusRomNo9L-Regu" w:hAnsi="NimbusRomNo9L-Regu" w:cs="NimbusRomNo9L-Regu"/>
          <w:b/>
          <w:i/>
          <w:sz w:val="20"/>
          <w:szCs w:val="20"/>
        </w:rPr>
        <w:t xml:space="preserve"> </w:t>
      </w:r>
    </w:p>
    <w:sectPr w:rsidR="00FC4346" w:rsidRPr="00C07485" w:rsidSect="00C07485">
      <w:pgSz w:w="11906" w:h="16838"/>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163756" w16cid:durableId="1E1DB82A"/>
  <w16cid:commentId w16cid:paraId="5BA0E4FD" w16cid:durableId="1E29447B"/>
  <w16cid:commentId w16cid:paraId="4A7B5357" w16cid:durableId="1E1DB5F6"/>
  <w16cid:commentId w16cid:paraId="20446767" w16cid:durableId="1E29447D"/>
  <w16cid:commentId w16cid:paraId="694DD222" w16cid:durableId="1E2D9331"/>
  <w16cid:commentId w16cid:paraId="530C8C47" w16cid:durableId="1E2D93E6"/>
  <w16cid:commentId w16cid:paraId="79E4269E" w16cid:durableId="1E297AE4"/>
  <w16cid:commentId w16cid:paraId="5AF4B8EA" w16cid:durableId="1E1DB929"/>
  <w16cid:commentId w16cid:paraId="7575746A" w16cid:durableId="1E29744A"/>
  <w16cid:commentId w16cid:paraId="1329A41F" w16cid:durableId="1E2D9797"/>
  <w16cid:commentId w16cid:paraId="78390B31" w16cid:durableId="1E1DB58F"/>
  <w16cid:commentId w16cid:paraId="30EB33A2" w16cid:durableId="1E298029"/>
  <w16cid:commentId w16cid:paraId="173A1AE3" w16cid:durableId="1E1DBC2F"/>
  <w16cid:commentId w16cid:paraId="41296126" w16cid:durableId="1E2D8D90"/>
  <w16cid:commentId w16cid:paraId="15AE66EA" w16cid:durableId="1E1DBDB9"/>
  <w16cid:commentId w16cid:paraId="68013190" w16cid:durableId="1E2D8D92"/>
  <w16cid:commentId w16cid:paraId="579015E6" w16cid:durableId="1E2D924E"/>
  <w16cid:commentId w16cid:paraId="0FBEEF3F" w16cid:durableId="1E1DBE71"/>
  <w16cid:commentId w16cid:paraId="34406447" w16cid:durableId="1E297C0E"/>
  <w16cid:commentId w16cid:paraId="645F9670" w16cid:durableId="1E2D9647"/>
  <w16cid:commentId w16cid:paraId="671290F2" w16cid:durableId="1E2D9685"/>
  <w16cid:commentId w16cid:paraId="274110A8" w16cid:durableId="1E2D96B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imbusRomNo9L-Regu">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NimbusSanL-Bold">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679A6"/>
    <w:multiLevelType w:val="hybridMultilevel"/>
    <w:tmpl w:val="CDC22966"/>
    <w:lvl w:ilvl="0" w:tplc="4A528466">
      <w:start w:val="6"/>
      <w:numFmt w:val="bullet"/>
      <w:lvlText w:val=""/>
      <w:lvlJc w:val="left"/>
      <w:pPr>
        <w:ind w:left="473" w:hanging="360"/>
      </w:pPr>
      <w:rPr>
        <w:rFonts w:ascii="Symbol" w:eastAsia="Times New Roman" w:hAnsi="Symbol" w:cs="NimbusRomNo9L-Regu"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 w15:restartNumberingAfterBreak="0">
    <w:nsid w:val="13AE3EBA"/>
    <w:multiLevelType w:val="hybridMultilevel"/>
    <w:tmpl w:val="92D2EC64"/>
    <w:lvl w:ilvl="0" w:tplc="320A075C">
      <w:numFmt w:val="bullet"/>
      <w:lvlText w:val="-"/>
      <w:lvlJc w:val="left"/>
      <w:pPr>
        <w:ind w:left="407" w:hanging="360"/>
      </w:pPr>
      <w:rPr>
        <w:rFonts w:ascii="Calibri" w:eastAsia="Times New Roman" w:hAnsi="Calibri" w:cs="Calibri" w:hint="default"/>
      </w:rPr>
    </w:lvl>
    <w:lvl w:ilvl="1" w:tplc="04090003" w:tentative="1">
      <w:start w:val="1"/>
      <w:numFmt w:val="bullet"/>
      <w:lvlText w:val="o"/>
      <w:lvlJc w:val="left"/>
      <w:pPr>
        <w:ind w:left="1127" w:hanging="360"/>
      </w:pPr>
      <w:rPr>
        <w:rFonts w:ascii="Courier New" w:hAnsi="Courier New" w:cs="Courier New" w:hint="default"/>
      </w:rPr>
    </w:lvl>
    <w:lvl w:ilvl="2" w:tplc="04090005" w:tentative="1">
      <w:start w:val="1"/>
      <w:numFmt w:val="bullet"/>
      <w:lvlText w:val=""/>
      <w:lvlJc w:val="left"/>
      <w:pPr>
        <w:ind w:left="1847" w:hanging="360"/>
      </w:pPr>
      <w:rPr>
        <w:rFonts w:ascii="Wingdings" w:hAnsi="Wingdings" w:hint="default"/>
      </w:rPr>
    </w:lvl>
    <w:lvl w:ilvl="3" w:tplc="04090001" w:tentative="1">
      <w:start w:val="1"/>
      <w:numFmt w:val="bullet"/>
      <w:lvlText w:val=""/>
      <w:lvlJc w:val="left"/>
      <w:pPr>
        <w:ind w:left="2567" w:hanging="360"/>
      </w:pPr>
      <w:rPr>
        <w:rFonts w:ascii="Symbol" w:hAnsi="Symbol" w:hint="default"/>
      </w:rPr>
    </w:lvl>
    <w:lvl w:ilvl="4" w:tplc="04090003" w:tentative="1">
      <w:start w:val="1"/>
      <w:numFmt w:val="bullet"/>
      <w:lvlText w:val="o"/>
      <w:lvlJc w:val="left"/>
      <w:pPr>
        <w:ind w:left="3287" w:hanging="360"/>
      </w:pPr>
      <w:rPr>
        <w:rFonts w:ascii="Courier New" w:hAnsi="Courier New" w:cs="Courier New" w:hint="default"/>
      </w:rPr>
    </w:lvl>
    <w:lvl w:ilvl="5" w:tplc="04090005" w:tentative="1">
      <w:start w:val="1"/>
      <w:numFmt w:val="bullet"/>
      <w:lvlText w:val=""/>
      <w:lvlJc w:val="left"/>
      <w:pPr>
        <w:ind w:left="4007" w:hanging="360"/>
      </w:pPr>
      <w:rPr>
        <w:rFonts w:ascii="Wingdings" w:hAnsi="Wingdings" w:hint="default"/>
      </w:rPr>
    </w:lvl>
    <w:lvl w:ilvl="6" w:tplc="04090001" w:tentative="1">
      <w:start w:val="1"/>
      <w:numFmt w:val="bullet"/>
      <w:lvlText w:val=""/>
      <w:lvlJc w:val="left"/>
      <w:pPr>
        <w:ind w:left="4727" w:hanging="360"/>
      </w:pPr>
      <w:rPr>
        <w:rFonts w:ascii="Symbol" w:hAnsi="Symbol" w:hint="default"/>
      </w:rPr>
    </w:lvl>
    <w:lvl w:ilvl="7" w:tplc="04090003" w:tentative="1">
      <w:start w:val="1"/>
      <w:numFmt w:val="bullet"/>
      <w:lvlText w:val="o"/>
      <w:lvlJc w:val="left"/>
      <w:pPr>
        <w:ind w:left="5447" w:hanging="360"/>
      </w:pPr>
      <w:rPr>
        <w:rFonts w:ascii="Courier New" w:hAnsi="Courier New" w:cs="Courier New" w:hint="default"/>
      </w:rPr>
    </w:lvl>
    <w:lvl w:ilvl="8" w:tplc="04090005" w:tentative="1">
      <w:start w:val="1"/>
      <w:numFmt w:val="bullet"/>
      <w:lvlText w:val=""/>
      <w:lvlJc w:val="left"/>
      <w:pPr>
        <w:ind w:left="6167" w:hanging="360"/>
      </w:pPr>
      <w:rPr>
        <w:rFonts w:ascii="Wingdings" w:hAnsi="Wingdings" w:hint="default"/>
      </w:rPr>
    </w:lvl>
  </w:abstractNum>
  <w:abstractNum w:abstractNumId="2" w15:restartNumberingAfterBreak="0">
    <w:nsid w:val="423E0F73"/>
    <w:multiLevelType w:val="hybridMultilevel"/>
    <w:tmpl w:val="1A2C4A6E"/>
    <w:lvl w:ilvl="0" w:tplc="0562E5F8">
      <w:numFmt w:val="bullet"/>
      <w:lvlText w:val=""/>
      <w:lvlJc w:val="left"/>
      <w:pPr>
        <w:ind w:left="720" w:hanging="360"/>
      </w:pPr>
      <w:rPr>
        <w:rFonts w:ascii="Symbol" w:eastAsia="Times New Roman" w:hAnsi="Symbol" w:cs="NimbusRomNo9L-Regu"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C5D0844-B379-4273-809E-8B4D147E8972}"/>
    <w:docVar w:name="dgnword-eventsink" w:val="1411183126816"/>
    <w:docVar w:name="dgnword-lastRevisionsView" w:val="0"/>
  </w:docVars>
  <w:rsids>
    <w:rsidRoot w:val="00C57A6F"/>
    <w:rsid w:val="000042E4"/>
    <w:rsid w:val="000132BA"/>
    <w:rsid w:val="000160A7"/>
    <w:rsid w:val="000272B6"/>
    <w:rsid w:val="00037002"/>
    <w:rsid w:val="000407C8"/>
    <w:rsid w:val="00040ECA"/>
    <w:rsid w:val="000450F7"/>
    <w:rsid w:val="0004657D"/>
    <w:rsid w:val="00047147"/>
    <w:rsid w:val="00072749"/>
    <w:rsid w:val="00077428"/>
    <w:rsid w:val="0008134B"/>
    <w:rsid w:val="00083123"/>
    <w:rsid w:val="000948E7"/>
    <w:rsid w:val="000A0A5F"/>
    <w:rsid w:val="000B1D4A"/>
    <w:rsid w:val="000C7EBF"/>
    <w:rsid w:val="000D0A7D"/>
    <w:rsid w:val="000D5A38"/>
    <w:rsid w:val="000D6114"/>
    <w:rsid w:val="000E585B"/>
    <w:rsid w:val="000F0CEF"/>
    <w:rsid w:val="000F5E48"/>
    <w:rsid w:val="001204BF"/>
    <w:rsid w:val="00122910"/>
    <w:rsid w:val="00123884"/>
    <w:rsid w:val="00130DEB"/>
    <w:rsid w:val="00134335"/>
    <w:rsid w:val="00136E7A"/>
    <w:rsid w:val="0014682C"/>
    <w:rsid w:val="0015553B"/>
    <w:rsid w:val="001576DE"/>
    <w:rsid w:val="001609EB"/>
    <w:rsid w:val="00165695"/>
    <w:rsid w:val="00165FC2"/>
    <w:rsid w:val="00167158"/>
    <w:rsid w:val="00171769"/>
    <w:rsid w:val="0018518F"/>
    <w:rsid w:val="00185689"/>
    <w:rsid w:val="00186775"/>
    <w:rsid w:val="00190DA7"/>
    <w:rsid w:val="0019697D"/>
    <w:rsid w:val="001A0FA0"/>
    <w:rsid w:val="001A21E6"/>
    <w:rsid w:val="001A359B"/>
    <w:rsid w:val="001A4089"/>
    <w:rsid w:val="001B370C"/>
    <w:rsid w:val="001C6B2F"/>
    <w:rsid w:val="001D0DEA"/>
    <w:rsid w:val="001D5138"/>
    <w:rsid w:val="001E0100"/>
    <w:rsid w:val="001E3CBC"/>
    <w:rsid w:val="001E3D8A"/>
    <w:rsid w:val="001E786F"/>
    <w:rsid w:val="001F0B2C"/>
    <w:rsid w:val="001F1F9B"/>
    <w:rsid w:val="001F574C"/>
    <w:rsid w:val="00201101"/>
    <w:rsid w:val="00201EA3"/>
    <w:rsid w:val="0021279E"/>
    <w:rsid w:val="00220907"/>
    <w:rsid w:val="0022359A"/>
    <w:rsid w:val="00224DE6"/>
    <w:rsid w:val="00226202"/>
    <w:rsid w:val="00230B5C"/>
    <w:rsid w:val="00233C16"/>
    <w:rsid w:val="00236454"/>
    <w:rsid w:val="00241071"/>
    <w:rsid w:val="00243E15"/>
    <w:rsid w:val="0024597B"/>
    <w:rsid w:val="00245CA2"/>
    <w:rsid w:val="00251529"/>
    <w:rsid w:val="00253357"/>
    <w:rsid w:val="00255F0C"/>
    <w:rsid w:val="00256FAC"/>
    <w:rsid w:val="002626B3"/>
    <w:rsid w:val="00263D93"/>
    <w:rsid w:val="00264526"/>
    <w:rsid w:val="002646E6"/>
    <w:rsid w:val="002710E7"/>
    <w:rsid w:val="0027535F"/>
    <w:rsid w:val="00275DC8"/>
    <w:rsid w:val="00291A42"/>
    <w:rsid w:val="00291DD9"/>
    <w:rsid w:val="00292000"/>
    <w:rsid w:val="00294FC5"/>
    <w:rsid w:val="00297183"/>
    <w:rsid w:val="002A0D12"/>
    <w:rsid w:val="002B13FA"/>
    <w:rsid w:val="002B3933"/>
    <w:rsid w:val="002C3979"/>
    <w:rsid w:val="002C4446"/>
    <w:rsid w:val="002C4FC2"/>
    <w:rsid w:val="002C64F9"/>
    <w:rsid w:val="002D4D4B"/>
    <w:rsid w:val="002D6C3C"/>
    <w:rsid w:val="002D7603"/>
    <w:rsid w:val="002E673F"/>
    <w:rsid w:val="002F5F85"/>
    <w:rsid w:val="002F7D51"/>
    <w:rsid w:val="0030141B"/>
    <w:rsid w:val="00305894"/>
    <w:rsid w:val="00306548"/>
    <w:rsid w:val="00312319"/>
    <w:rsid w:val="00312E10"/>
    <w:rsid w:val="00314B5C"/>
    <w:rsid w:val="00331CF6"/>
    <w:rsid w:val="003425A1"/>
    <w:rsid w:val="00344A4F"/>
    <w:rsid w:val="0034575F"/>
    <w:rsid w:val="00350929"/>
    <w:rsid w:val="00351E52"/>
    <w:rsid w:val="003678AE"/>
    <w:rsid w:val="003750B9"/>
    <w:rsid w:val="003836DF"/>
    <w:rsid w:val="00392AF1"/>
    <w:rsid w:val="003930D9"/>
    <w:rsid w:val="003940C6"/>
    <w:rsid w:val="003A7F26"/>
    <w:rsid w:val="003B513D"/>
    <w:rsid w:val="003B5590"/>
    <w:rsid w:val="003C62EE"/>
    <w:rsid w:val="003C6F02"/>
    <w:rsid w:val="003D01A5"/>
    <w:rsid w:val="003D1EDB"/>
    <w:rsid w:val="003E6802"/>
    <w:rsid w:val="003F470C"/>
    <w:rsid w:val="00403626"/>
    <w:rsid w:val="0041138E"/>
    <w:rsid w:val="00427278"/>
    <w:rsid w:val="004279E3"/>
    <w:rsid w:val="004368C0"/>
    <w:rsid w:val="00441B48"/>
    <w:rsid w:val="00453912"/>
    <w:rsid w:val="00460A7E"/>
    <w:rsid w:val="004814C7"/>
    <w:rsid w:val="004840FC"/>
    <w:rsid w:val="00486166"/>
    <w:rsid w:val="0048754E"/>
    <w:rsid w:val="00492BBF"/>
    <w:rsid w:val="004965A0"/>
    <w:rsid w:val="00496E7F"/>
    <w:rsid w:val="00497CD2"/>
    <w:rsid w:val="004A3084"/>
    <w:rsid w:val="004A33BB"/>
    <w:rsid w:val="004A4E8C"/>
    <w:rsid w:val="004B019B"/>
    <w:rsid w:val="004B2581"/>
    <w:rsid w:val="004B261C"/>
    <w:rsid w:val="004B35CE"/>
    <w:rsid w:val="004C581B"/>
    <w:rsid w:val="004C64CF"/>
    <w:rsid w:val="004D00B0"/>
    <w:rsid w:val="004D6F92"/>
    <w:rsid w:val="004D763B"/>
    <w:rsid w:val="004E0030"/>
    <w:rsid w:val="004E57D9"/>
    <w:rsid w:val="004E5BE3"/>
    <w:rsid w:val="004F0DD9"/>
    <w:rsid w:val="00500D39"/>
    <w:rsid w:val="00501B2A"/>
    <w:rsid w:val="005041A7"/>
    <w:rsid w:val="00522A6E"/>
    <w:rsid w:val="00523CDC"/>
    <w:rsid w:val="00524C0F"/>
    <w:rsid w:val="005254A3"/>
    <w:rsid w:val="00526576"/>
    <w:rsid w:val="005324F5"/>
    <w:rsid w:val="0053714E"/>
    <w:rsid w:val="00552FA0"/>
    <w:rsid w:val="0055404D"/>
    <w:rsid w:val="00554C8F"/>
    <w:rsid w:val="00556489"/>
    <w:rsid w:val="005675C0"/>
    <w:rsid w:val="00570E9B"/>
    <w:rsid w:val="00585E2C"/>
    <w:rsid w:val="00590DA7"/>
    <w:rsid w:val="00592355"/>
    <w:rsid w:val="00596927"/>
    <w:rsid w:val="00597B40"/>
    <w:rsid w:val="005A098C"/>
    <w:rsid w:val="005A372F"/>
    <w:rsid w:val="005A3DBB"/>
    <w:rsid w:val="005A5A8E"/>
    <w:rsid w:val="005B398B"/>
    <w:rsid w:val="005B5579"/>
    <w:rsid w:val="005B5886"/>
    <w:rsid w:val="005C32DD"/>
    <w:rsid w:val="005C6D70"/>
    <w:rsid w:val="005F19C4"/>
    <w:rsid w:val="005F4E4F"/>
    <w:rsid w:val="005F6D67"/>
    <w:rsid w:val="00602BDC"/>
    <w:rsid w:val="00606319"/>
    <w:rsid w:val="0061253E"/>
    <w:rsid w:val="00613370"/>
    <w:rsid w:val="0061584D"/>
    <w:rsid w:val="006263F8"/>
    <w:rsid w:val="0062773A"/>
    <w:rsid w:val="00627FFE"/>
    <w:rsid w:val="00631FA7"/>
    <w:rsid w:val="0063258B"/>
    <w:rsid w:val="00632A96"/>
    <w:rsid w:val="0063596F"/>
    <w:rsid w:val="00636B3C"/>
    <w:rsid w:val="00640E4A"/>
    <w:rsid w:val="00653AB2"/>
    <w:rsid w:val="00653D54"/>
    <w:rsid w:val="00654038"/>
    <w:rsid w:val="00661FD2"/>
    <w:rsid w:val="00680439"/>
    <w:rsid w:val="00682629"/>
    <w:rsid w:val="00683036"/>
    <w:rsid w:val="0068346F"/>
    <w:rsid w:val="0068424F"/>
    <w:rsid w:val="00693663"/>
    <w:rsid w:val="006967DF"/>
    <w:rsid w:val="006A1914"/>
    <w:rsid w:val="006B4E9A"/>
    <w:rsid w:val="006B7C17"/>
    <w:rsid w:val="006C087B"/>
    <w:rsid w:val="006C1DC9"/>
    <w:rsid w:val="006C1FA8"/>
    <w:rsid w:val="006C6D04"/>
    <w:rsid w:val="006C73A2"/>
    <w:rsid w:val="006D044D"/>
    <w:rsid w:val="006D1B5F"/>
    <w:rsid w:val="006F553E"/>
    <w:rsid w:val="007028FD"/>
    <w:rsid w:val="00710FA6"/>
    <w:rsid w:val="00711015"/>
    <w:rsid w:val="00711B60"/>
    <w:rsid w:val="00712CCD"/>
    <w:rsid w:val="007149F8"/>
    <w:rsid w:val="007265FC"/>
    <w:rsid w:val="00730E00"/>
    <w:rsid w:val="007434B7"/>
    <w:rsid w:val="007463F8"/>
    <w:rsid w:val="00750BB1"/>
    <w:rsid w:val="00750D15"/>
    <w:rsid w:val="007526E8"/>
    <w:rsid w:val="00761431"/>
    <w:rsid w:val="0076151C"/>
    <w:rsid w:val="007652DE"/>
    <w:rsid w:val="007673EE"/>
    <w:rsid w:val="0077035C"/>
    <w:rsid w:val="00770693"/>
    <w:rsid w:val="00773E4E"/>
    <w:rsid w:val="007764DB"/>
    <w:rsid w:val="00781C1B"/>
    <w:rsid w:val="00783CF8"/>
    <w:rsid w:val="00784CC3"/>
    <w:rsid w:val="0078504E"/>
    <w:rsid w:val="00785605"/>
    <w:rsid w:val="007901C5"/>
    <w:rsid w:val="007910D2"/>
    <w:rsid w:val="00791DBC"/>
    <w:rsid w:val="00796FF4"/>
    <w:rsid w:val="007A4137"/>
    <w:rsid w:val="007B0505"/>
    <w:rsid w:val="007C22C2"/>
    <w:rsid w:val="007C22E8"/>
    <w:rsid w:val="007D121F"/>
    <w:rsid w:val="007D1E93"/>
    <w:rsid w:val="007D4717"/>
    <w:rsid w:val="007D5727"/>
    <w:rsid w:val="007E01FD"/>
    <w:rsid w:val="007E10D4"/>
    <w:rsid w:val="007E6878"/>
    <w:rsid w:val="007F0CDD"/>
    <w:rsid w:val="00803B2F"/>
    <w:rsid w:val="00804344"/>
    <w:rsid w:val="00814351"/>
    <w:rsid w:val="00814E06"/>
    <w:rsid w:val="008158C5"/>
    <w:rsid w:val="008203DC"/>
    <w:rsid w:val="00821310"/>
    <w:rsid w:val="00821598"/>
    <w:rsid w:val="00821E46"/>
    <w:rsid w:val="00826318"/>
    <w:rsid w:val="00826704"/>
    <w:rsid w:val="00844BFE"/>
    <w:rsid w:val="00855D0E"/>
    <w:rsid w:val="008609A7"/>
    <w:rsid w:val="00861A75"/>
    <w:rsid w:val="00864BF2"/>
    <w:rsid w:val="008809EB"/>
    <w:rsid w:val="00891360"/>
    <w:rsid w:val="00894103"/>
    <w:rsid w:val="008A7E86"/>
    <w:rsid w:val="008B0BD9"/>
    <w:rsid w:val="008B12A1"/>
    <w:rsid w:val="008B23E7"/>
    <w:rsid w:val="008C29BA"/>
    <w:rsid w:val="008C766E"/>
    <w:rsid w:val="008D3D85"/>
    <w:rsid w:val="008E5283"/>
    <w:rsid w:val="009001D5"/>
    <w:rsid w:val="00931F02"/>
    <w:rsid w:val="009357A9"/>
    <w:rsid w:val="009361CF"/>
    <w:rsid w:val="00945E39"/>
    <w:rsid w:val="00954E10"/>
    <w:rsid w:val="00956460"/>
    <w:rsid w:val="00962B0B"/>
    <w:rsid w:val="009635BF"/>
    <w:rsid w:val="00963617"/>
    <w:rsid w:val="00964C9B"/>
    <w:rsid w:val="00966019"/>
    <w:rsid w:val="00973603"/>
    <w:rsid w:val="009812C5"/>
    <w:rsid w:val="00983A28"/>
    <w:rsid w:val="00987F66"/>
    <w:rsid w:val="00993F2A"/>
    <w:rsid w:val="00997B63"/>
    <w:rsid w:val="00997B66"/>
    <w:rsid w:val="009A377B"/>
    <w:rsid w:val="009F111E"/>
    <w:rsid w:val="009F233D"/>
    <w:rsid w:val="009F3CC2"/>
    <w:rsid w:val="009F6038"/>
    <w:rsid w:val="009F6087"/>
    <w:rsid w:val="00A00A9D"/>
    <w:rsid w:val="00A01FFE"/>
    <w:rsid w:val="00A02976"/>
    <w:rsid w:val="00A13D1A"/>
    <w:rsid w:val="00A304C7"/>
    <w:rsid w:val="00A30692"/>
    <w:rsid w:val="00A342CC"/>
    <w:rsid w:val="00A35721"/>
    <w:rsid w:val="00A365AE"/>
    <w:rsid w:val="00A3693D"/>
    <w:rsid w:val="00A400EC"/>
    <w:rsid w:val="00A47ADC"/>
    <w:rsid w:val="00A50FED"/>
    <w:rsid w:val="00A605A0"/>
    <w:rsid w:val="00A63846"/>
    <w:rsid w:val="00A64E63"/>
    <w:rsid w:val="00A705BB"/>
    <w:rsid w:val="00A74632"/>
    <w:rsid w:val="00A76822"/>
    <w:rsid w:val="00A82FA9"/>
    <w:rsid w:val="00A851C4"/>
    <w:rsid w:val="00A869E8"/>
    <w:rsid w:val="00A87C3D"/>
    <w:rsid w:val="00A90CF9"/>
    <w:rsid w:val="00A92F38"/>
    <w:rsid w:val="00A933D0"/>
    <w:rsid w:val="00A939C1"/>
    <w:rsid w:val="00A94716"/>
    <w:rsid w:val="00A9631C"/>
    <w:rsid w:val="00AB7809"/>
    <w:rsid w:val="00AB7967"/>
    <w:rsid w:val="00AC1684"/>
    <w:rsid w:val="00AC591E"/>
    <w:rsid w:val="00AD0BB3"/>
    <w:rsid w:val="00AD3341"/>
    <w:rsid w:val="00AD49ED"/>
    <w:rsid w:val="00AD7037"/>
    <w:rsid w:val="00AF1143"/>
    <w:rsid w:val="00AF49F7"/>
    <w:rsid w:val="00B01C90"/>
    <w:rsid w:val="00B05753"/>
    <w:rsid w:val="00B1112B"/>
    <w:rsid w:val="00B1194D"/>
    <w:rsid w:val="00B159C8"/>
    <w:rsid w:val="00B20192"/>
    <w:rsid w:val="00B2090C"/>
    <w:rsid w:val="00B23BCB"/>
    <w:rsid w:val="00B40709"/>
    <w:rsid w:val="00B43CA7"/>
    <w:rsid w:val="00B47B7B"/>
    <w:rsid w:val="00B51554"/>
    <w:rsid w:val="00B60C56"/>
    <w:rsid w:val="00B6425F"/>
    <w:rsid w:val="00B65E91"/>
    <w:rsid w:val="00B6661F"/>
    <w:rsid w:val="00B7520B"/>
    <w:rsid w:val="00B769D7"/>
    <w:rsid w:val="00B8476B"/>
    <w:rsid w:val="00B9596F"/>
    <w:rsid w:val="00B977ED"/>
    <w:rsid w:val="00BB7053"/>
    <w:rsid w:val="00BC6F0C"/>
    <w:rsid w:val="00BD044B"/>
    <w:rsid w:val="00BD0C1D"/>
    <w:rsid w:val="00BD36C8"/>
    <w:rsid w:val="00BD433F"/>
    <w:rsid w:val="00BD5B5B"/>
    <w:rsid w:val="00BD74C0"/>
    <w:rsid w:val="00BE18C5"/>
    <w:rsid w:val="00BE3B43"/>
    <w:rsid w:val="00BF0ED1"/>
    <w:rsid w:val="00BF2A8B"/>
    <w:rsid w:val="00BF64D4"/>
    <w:rsid w:val="00C07485"/>
    <w:rsid w:val="00C11418"/>
    <w:rsid w:val="00C12C23"/>
    <w:rsid w:val="00C136AF"/>
    <w:rsid w:val="00C157C5"/>
    <w:rsid w:val="00C2128C"/>
    <w:rsid w:val="00C22A1C"/>
    <w:rsid w:val="00C255D9"/>
    <w:rsid w:val="00C30213"/>
    <w:rsid w:val="00C3149D"/>
    <w:rsid w:val="00C47A98"/>
    <w:rsid w:val="00C54795"/>
    <w:rsid w:val="00C55712"/>
    <w:rsid w:val="00C57A6F"/>
    <w:rsid w:val="00C60439"/>
    <w:rsid w:val="00C619B7"/>
    <w:rsid w:val="00C63609"/>
    <w:rsid w:val="00C64B56"/>
    <w:rsid w:val="00C70106"/>
    <w:rsid w:val="00C70206"/>
    <w:rsid w:val="00C71B72"/>
    <w:rsid w:val="00C73ECC"/>
    <w:rsid w:val="00C74E5E"/>
    <w:rsid w:val="00C80423"/>
    <w:rsid w:val="00C90369"/>
    <w:rsid w:val="00C908CA"/>
    <w:rsid w:val="00CB1189"/>
    <w:rsid w:val="00CB5B11"/>
    <w:rsid w:val="00CB65CA"/>
    <w:rsid w:val="00CB6B6C"/>
    <w:rsid w:val="00CC188F"/>
    <w:rsid w:val="00CC2FC7"/>
    <w:rsid w:val="00CD78C7"/>
    <w:rsid w:val="00CE5447"/>
    <w:rsid w:val="00CE575F"/>
    <w:rsid w:val="00CE7417"/>
    <w:rsid w:val="00CF1C05"/>
    <w:rsid w:val="00D05A4B"/>
    <w:rsid w:val="00D10019"/>
    <w:rsid w:val="00D137A6"/>
    <w:rsid w:val="00D140E4"/>
    <w:rsid w:val="00D15232"/>
    <w:rsid w:val="00D210EB"/>
    <w:rsid w:val="00D30020"/>
    <w:rsid w:val="00D31D23"/>
    <w:rsid w:val="00D35A09"/>
    <w:rsid w:val="00D404B6"/>
    <w:rsid w:val="00D42BF8"/>
    <w:rsid w:val="00D45499"/>
    <w:rsid w:val="00D54FBF"/>
    <w:rsid w:val="00D7121A"/>
    <w:rsid w:val="00D7230F"/>
    <w:rsid w:val="00D734E1"/>
    <w:rsid w:val="00D74800"/>
    <w:rsid w:val="00D75E90"/>
    <w:rsid w:val="00D8317B"/>
    <w:rsid w:val="00D84CA0"/>
    <w:rsid w:val="00D914B3"/>
    <w:rsid w:val="00D91787"/>
    <w:rsid w:val="00D92790"/>
    <w:rsid w:val="00DA2B99"/>
    <w:rsid w:val="00DA3E15"/>
    <w:rsid w:val="00DB14A2"/>
    <w:rsid w:val="00DB16C2"/>
    <w:rsid w:val="00DB5714"/>
    <w:rsid w:val="00DC0C4C"/>
    <w:rsid w:val="00DC7615"/>
    <w:rsid w:val="00DC7C16"/>
    <w:rsid w:val="00DD20F4"/>
    <w:rsid w:val="00DD23A0"/>
    <w:rsid w:val="00DD63C9"/>
    <w:rsid w:val="00DE2F93"/>
    <w:rsid w:val="00DF07BE"/>
    <w:rsid w:val="00DF29EC"/>
    <w:rsid w:val="00E00E03"/>
    <w:rsid w:val="00E134AF"/>
    <w:rsid w:val="00E13FC3"/>
    <w:rsid w:val="00E2188F"/>
    <w:rsid w:val="00E24A85"/>
    <w:rsid w:val="00E33411"/>
    <w:rsid w:val="00E33FF8"/>
    <w:rsid w:val="00E34614"/>
    <w:rsid w:val="00E36D1A"/>
    <w:rsid w:val="00E4103C"/>
    <w:rsid w:val="00E50DDA"/>
    <w:rsid w:val="00E526BE"/>
    <w:rsid w:val="00E5335A"/>
    <w:rsid w:val="00E54EAD"/>
    <w:rsid w:val="00E572F2"/>
    <w:rsid w:val="00E6045B"/>
    <w:rsid w:val="00E64362"/>
    <w:rsid w:val="00E64FB5"/>
    <w:rsid w:val="00E6589E"/>
    <w:rsid w:val="00E661AC"/>
    <w:rsid w:val="00E71B28"/>
    <w:rsid w:val="00E77E00"/>
    <w:rsid w:val="00E8043C"/>
    <w:rsid w:val="00E80575"/>
    <w:rsid w:val="00E81229"/>
    <w:rsid w:val="00E90912"/>
    <w:rsid w:val="00E932AC"/>
    <w:rsid w:val="00EA2B49"/>
    <w:rsid w:val="00EA4EB7"/>
    <w:rsid w:val="00EA6421"/>
    <w:rsid w:val="00EA7F8F"/>
    <w:rsid w:val="00EB1CA3"/>
    <w:rsid w:val="00EB37C8"/>
    <w:rsid w:val="00EC157E"/>
    <w:rsid w:val="00EC7BB5"/>
    <w:rsid w:val="00ED37E6"/>
    <w:rsid w:val="00ED4CE0"/>
    <w:rsid w:val="00EE5B23"/>
    <w:rsid w:val="00EF3310"/>
    <w:rsid w:val="00EF35E5"/>
    <w:rsid w:val="00F05ADE"/>
    <w:rsid w:val="00F10241"/>
    <w:rsid w:val="00F13F93"/>
    <w:rsid w:val="00F14BA3"/>
    <w:rsid w:val="00F21C55"/>
    <w:rsid w:val="00F32E39"/>
    <w:rsid w:val="00F363C2"/>
    <w:rsid w:val="00F54C80"/>
    <w:rsid w:val="00F57BB3"/>
    <w:rsid w:val="00F93FA9"/>
    <w:rsid w:val="00FA3ACC"/>
    <w:rsid w:val="00FA7F32"/>
    <w:rsid w:val="00FB4B11"/>
    <w:rsid w:val="00FC043F"/>
    <w:rsid w:val="00FC40D1"/>
    <w:rsid w:val="00FC4346"/>
    <w:rsid w:val="00FC4C83"/>
    <w:rsid w:val="00FC5C49"/>
    <w:rsid w:val="00FC7821"/>
    <w:rsid w:val="00FD1CDD"/>
    <w:rsid w:val="00FD1D3B"/>
    <w:rsid w:val="00FD47C6"/>
    <w:rsid w:val="00FD4E82"/>
    <w:rsid w:val="00FD6F52"/>
    <w:rsid w:val="00FE4B1F"/>
    <w:rsid w:val="00FF102D"/>
    <w:rsid w:val="00FF1E44"/>
    <w:rsid w:val="00FF4163"/>
    <w:rsid w:val="00FF4D6C"/>
    <w:rsid w:val="00FF5609"/>
    <w:rsid w:val="00FF6AB0"/>
    <w:rsid w:val="00FF7897"/>
    <w:rsid w:val="00FF7B32"/>
  </w:rsids>
  <m:mathPr>
    <m:mathFont m:val="Cambria Math"/>
    <m:brkBin m:val="before"/>
    <m:brkBinSub m:val="--"/>
    <m:smallFrac m:val="0"/>
    <m:dispDef/>
    <m:lMargin m:val="0"/>
    <m:rMargin m:val="0"/>
    <m:defJc m:val="centerGroup"/>
    <m:wrapIndent m:val="1440"/>
    <m:intLim m:val="subSup"/>
    <m:naryLim m:val="undOvr"/>
  </m:mathPr>
  <w:themeFontLang w:val="en-GB"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4A1DA"/>
  <w15:chartTrackingRefBased/>
  <w15:docId w15:val="{1B99FA50-89C0-4D4A-8200-46A24550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4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A6F"/>
    <w:pPr>
      <w:ind w:left="720"/>
      <w:contextualSpacing/>
    </w:pPr>
  </w:style>
  <w:style w:type="character" w:styleId="LineNumber">
    <w:name w:val="line number"/>
    <w:basedOn w:val="DefaultParagraphFont"/>
    <w:uiPriority w:val="99"/>
    <w:semiHidden/>
    <w:unhideWhenUsed/>
    <w:rsid w:val="002F7D51"/>
  </w:style>
  <w:style w:type="table" w:styleId="TableGrid">
    <w:name w:val="Table Grid"/>
    <w:basedOn w:val="TableNormal"/>
    <w:uiPriority w:val="39"/>
    <w:rsid w:val="008B1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18C5"/>
    <w:rPr>
      <w:color w:val="808080"/>
    </w:rPr>
  </w:style>
  <w:style w:type="character" w:styleId="CommentReference">
    <w:name w:val="annotation reference"/>
    <w:basedOn w:val="DefaultParagraphFont"/>
    <w:uiPriority w:val="99"/>
    <w:semiHidden/>
    <w:unhideWhenUsed/>
    <w:rsid w:val="008609A7"/>
    <w:rPr>
      <w:sz w:val="16"/>
      <w:szCs w:val="16"/>
    </w:rPr>
  </w:style>
  <w:style w:type="paragraph" w:styleId="CommentText">
    <w:name w:val="annotation text"/>
    <w:basedOn w:val="Normal"/>
    <w:link w:val="CommentTextChar"/>
    <w:uiPriority w:val="99"/>
    <w:unhideWhenUsed/>
    <w:rsid w:val="008609A7"/>
    <w:pPr>
      <w:spacing w:line="240" w:lineRule="auto"/>
    </w:pPr>
    <w:rPr>
      <w:sz w:val="20"/>
      <w:szCs w:val="20"/>
    </w:rPr>
  </w:style>
  <w:style w:type="character" w:customStyle="1" w:styleId="CommentTextChar">
    <w:name w:val="Comment Text Char"/>
    <w:basedOn w:val="DefaultParagraphFont"/>
    <w:link w:val="CommentText"/>
    <w:uiPriority w:val="99"/>
    <w:rsid w:val="008609A7"/>
    <w:rPr>
      <w:sz w:val="20"/>
      <w:szCs w:val="20"/>
    </w:rPr>
  </w:style>
  <w:style w:type="paragraph" w:styleId="CommentSubject">
    <w:name w:val="annotation subject"/>
    <w:basedOn w:val="CommentText"/>
    <w:next w:val="CommentText"/>
    <w:link w:val="CommentSubjectChar"/>
    <w:uiPriority w:val="99"/>
    <w:semiHidden/>
    <w:unhideWhenUsed/>
    <w:rsid w:val="008609A7"/>
    <w:rPr>
      <w:b/>
      <w:bCs/>
    </w:rPr>
  </w:style>
  <w:style w:type="character" w:customStyle="1" w:styleId="CommentSubjectChar">
    <w:name w:val="Comment Subject Char"/>
    <w:basedOn w:val="CommentTextChar"/>
    <w:link w:val="CommentSubject"/>
    <w:uiPriority w:val="99"/>
    <w:semiHidden/>
    <w:rsid w:val="008609A7"/>
    <w:rPr>
      <w:b/>
      <w:bCs/>
      <w:sz w:val="20"/>
      <w:szCs w:val="20"/>
    </w:rPr>
  </w:style>
  <w:style w:type="paragraph" w:styleId="BalloonText">
    <w:name w:val="Balloon Text"/>
    <w:basedOn w:val="Normal"/>
    <w:link w:val="BalloonTextChar"/>
    <w:uiPriority w:val="99"/>
    <w:semiHidden/>
    <w:unhideWhenUsed/>
    <w:rsid w:val="008609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9A7"/>
    <w:rPr>
      <w:rFonts w:ascii="Segoe UI" w:hAnsi="Segoe UI" w:cs="Segoe UI"/>
      <w:sz w:val="18"/>
      <w:szCs w:val="18"/>
    </w:rPr>
  </w:style>
  <w:style w:type="paragraph" w:styleId="Caption">
    <w:name w:val="caption"/>
    <w:basedOn w:val="Normal"/>
    <w:next w:val="Normal"/>
    <w:uiPriority w:val="35"/>
    <w:unhideWhenUsed/>
    <w:qFormat/>
    <w:rsid w:val="00773E4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B76CA-A3C2-4719-9A4D-DD69B1FB4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1859</Words>
  <Characters>10598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Giordano</dc:creator>
  <cp:keywords/>
  <dc:description/>
  <cp:lastModifiedBy>Chiara Giordano</cp:lastModifiedBy>
  <cp:revision>2</cp:revision>
  <dcterms:created xsi:type="dcterms:W3CDTF">2018-12-17T18:37:00Z</dcterms:created>
  <dcterms:modified xsi:type="dcterms:W3CDTF">2018-12-17T18:37:00Z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http://www.zotero.org/styles/annals-of-biomedical-engineering</vt:lpwstr>
  </property>
  <property fmtid="{D5CDD505-2E9C-101B-9397-08002B2CF9AE}" pid="5" name="Mendeley Recent Style Name 1_1">
    <vt:lpwstr>Annals of Biomedical Engineering</vt:lpwstr>
  </property>
  <property fmtid="{D5CDD505-2E9C-101B-9397-08002B2CF9AE}" pid="6" name="Mendeley Recent Style Id 2_1">
    <vt:lpwstr>http://www.zotero.org/styles/biomechanics-and-modeling-in-mechanobiology</vt:lpwstr>
  </property>
  <property fmtid="{D5CDD505-2E9C-101B-9397-08002B2CF9AE}" pid="7" name="Mendeley Recent Style Name 2_1">
    <vt:lpwstr>Biomechanics and Modeling in Mechanobiology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http://www.zotero.org/styles/journal-of-neurotrauma</vt:lpwstr>
  </property>
  <property fmtid="{D5CDD505-2E9C-101B-9397-08002B2CF9AE}" pid="13" name="Mendeley Recent Style Name 5_1">
    <vt:lpwstr>Journal of Neurotrauma</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http://www.zotero.org/styles/plos-one</vt:lpwstr>
  </property>
  <property fmtid="{D5CDD505-2E9C-101B-9397-08002B2CF9AE}" pid="19" name="Mendeley Recent Style Name 8_1">
    <vt:lpwstr>PLOS ONE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04d77803-be8c-393c-a034-172fcf0ee3e5</vt:lpwstr>
  </property>
  <property fmtid="{D5CDD505-2E9C-101B-9397-08002B2CF9AE}" pid="24" name="Mendeley Citation Style_1">
    <vt:lpwstr>http://www.zotero.org/styles/biomechanics-and-modeling-in-mechanobiology</vt:lpwstr>
  </property>
</Properties>
</file>