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FA" w:rsidRPr="00B47827" w:rsidRDefault="00C114FA" w:rsidP="00C114FA">
      <w:pPr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rFonts w:eastAsia="바탕"/>
          <w:b/>
          <w:bCs/>
          <w:color w:val="000000" w:themeColor="text1"/>
        </w:rPr>
        <w:t xml:space="preserve">Supplementary </w:t>
      </w:r>
      <w:r>
        <w:rPr>
          <w:rFonts w:eastAsia="바탕"/>
          <w:b/>
          <w:bCs/>
          <w:color w:val="000000" w:themeColor="text1"/>
          <w:lang w:val="en-GB"/>
        </w:rPr>
        <w:t>T</w:t>
      </w:r>
      <w:r w:rsidRPr="00B47827">
        <w:rPr>
          <w:rFonts w:eastAsia="바탕"/>
          <w:b/>
          <w:bCs/>
          <w:color w:val="000000" w:themeColor="text1"/>
          <w:lang w:val="en-GB"/>
        </w:rPr>
        <w:t xml:space="preserve">ABLE 1 </w:t>
      </w:r>
      <w:r>
        <w:rPr>
          <w:rFonts w:eastAsia="바탕"/>
          <w:bCs/>
          <w:color w:val="000000" w:themeColor="text1"/>
          <w:lang w:val="en-GB"/>
        </w:rPr>
        <w:t>Baseline autoantibodies</w:t>
      </w:r>
      <w:r w:rsidRPr="00B47827">
        <w:rPr>
          <w:rFonts w:eastAsia="바탕"/>
          <w:bCs/>
          <w:color w:val="000000" w:themeColor="text1"/>
          <w:lang w:val="en-GB"/>
        </w:rPr>
        <w:t xml:space="preserve"> of 197 patients with connective tissue disease-</w:t>
      </w:r>
      <w:r>
        <w:rPr>
          <w:rFonts w:eastAsia="바탕"/>
          <w:bCs/>
          <w:color w:val="000000" w:themeColor="text1"/>
          <w:lang w:val="en-GB"/>
        </w:rPr>
        <w:t xml:space="preserve">associated </w:t>
      </w:r>
      <w:r w:rsidRPr="00B47827">
        <w:rPr>
          <w:rFonts w:eastAsia="바탕"/>
          <w:bCs/>
          <w:color w:val="000000" w:themeColor="text1"/>
          <w:lang w:val="en-GB"/>
        </w:rPr>
        <w:t>interstitial lung disease based on progressive pulmonary fibrosis</w:t>
      </w:r>
    </w:p>
    <w:tbl>
      <w:tblPr>
        <w:tblW w:w="92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1701"/>
        <w:gridCol w:w="1560"/>
        <w:gridCol w:w="842"/>
      </w:tblGrid>
      <w:tr w:rsidR="00C114FA" w:rsidRPr="00B47827" w:rsidTr="000B67C2">
        <w:trPr>
          <w:trHeight w:val="1202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14FA" w:rsidRPr="00B47827" w:rsidRDefault="00C114FA" w:rsidP="000B67C2">
            <w:pP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Characteristics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Total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br/>
              <w:t>(N</w:t>
            </w: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= 197)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With </w:t>
            </w:r>
          </w:p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progressive pulmonary fibrosis</w:t>
            </w: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br/>
              <w:t>(n = 37)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Without</w:t>
            </w:r>
          </w:p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B47827"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progressive pulmonary fibrosis</w:t>
            </w:r>
          </w:p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(n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= 160)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B47827">
              <w:rPr>
                <w:rFonts w:eastAsia="맑은 고딕"/>
                <w:i/>
                <w:iCs/>
                <w:color w:val="000000" w:themeColor="text1"/>
                <w:sz w:val="18"/>
                <w:szCs w:val="18"/>
                <w:lang w:eastAsia="ko-KR"/>
              </w:rPr>
              <w:t>P</w:t>
            </w:r>
            <w:r w:rsidRPr="00B47827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-value</w:t>
            </w:r>
          </w:p>
        </w:tc>
      </w:tr>
      <w:tr w:rsidR="00C114FA" w:rsidRPr="00B47827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FA" w:rsidRPr="00B47827" w:rsidRDefault="00C114FA" w:rsidP="000B67C2">
            <w:pP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ANA titer </w:t>
            </w:r>
            <w:r w:rsidRPr="00B47827"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≥</w:t>
            </w: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320:1 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67 (35.4)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8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(21.6)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59 (38.8)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B47827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0.050</w:t>
            </w:r>
          </w:p>
        </w:tc>
      </w:tr>
      <w:tr w:rsidR="00C114FA" w:rsidRPr="00B47827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FA" w:rsidRPr="00EF496F" w:rsidRDefault="00C114FA" w:rsidP="000B67C2">
            <w:pP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Rheumatoid factor ≥ 60 IU/mL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161)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63 (39.1)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10 (30.3)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53 (41.4)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0.244</w:t>
            </w:r>
          </w:p>
        </w:tc>
      </w:tr>
      <w:tr w:rsidR="00C114FA" w:rsidRPr="00B47827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Anti-CCP Ab 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79 (52.3)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12 (36.4)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67 (56.8)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0.038</w:t>
            </w:r>
          </w:p>
        </w:tc>
      </w:tr>
      <w:tr w:rsidR="00C114FA" w:rsidRPr="00B47827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MPO ANCA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6(5.0)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2 (7.1)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4 (4.3)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0.623</w:t>
            </w:r>
          </w:p>
        </w:tc>
      </w:tr>
      <w:tr w:rsidR="00C114FA" w:rsidRPr="00B47827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Anti-RNP Ab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12 (9.8)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0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12 (11.9)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0.122</w:t>
            </w:r>
          </w:p>
        </w:tc>
      </w:tr>
      <w:tr w:rsidR="00C114FA" w:rsidRPr="00B47827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FA" w:rsidRPr="00EF496F" w:rsidRDefault="00C114FA" w:rsidP="000B67C2">
            <w:pP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Anti-Sm Ab 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5 (4.1)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0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Theme="minorEastAsia"/>
                <w:color w:val="000000" w:themeColor="text1"/>
                <w:sz w:val="18"/>
                <w:szCs w:val="18"/>
                <w:lang w:eastAsia="ko-KR"/>
              </w:rPr>
              <w:t>5 (5.0)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0.584</w:t>
            </w:r>
          </w:p>
        </w:tc>
      </w:tr>
      <w:tr w:rsidR="00C114FA" w:rsidRPr="00B47827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4FA" w:rsidRPr="00EF496F" w:rsidRDefault="00C114FA" w:rsidP="000B67C2">
            <w:pP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Anti-SS-A Ab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 xml:space="preserve"> 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55 (41.0)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13 (46.4)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42 (39.6)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0.515</w:t>
            </w:r>
          </w:p>
        </w:tc>
      </w:tr>
      <w:tr w:rsidR="003D5535" w:rsidRPr="00EF496F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535" w:rsidRPr="00EF496F" w:rsidRDefault="003D5535" w:rsidP="003D5535">
            <w:pP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Anti-SS-B Ab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 xml:space="preserve"> 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10 (7.5)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2 (7.1)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8 (7.5)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&gt;0.999</w:t>
            </w:r>
          </w:p>
        </w:tc>
      </w:tr>
      <w:tr w:rsidR="00C114FA" w:rsidRPr="00EF496F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rPr>
                <w:rFonts w:eastAsia="맑은 고딕"/>
                <w:i/>
                <w:iCs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Anti-Scl-70 Ab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 xml:space="preserve"> 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13 (10.5)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0 (0.0)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13 (12.9)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0.124</w:t>
            </w:r>
          </w:p>
        </w:tc>
      </w:tr>
      <w:tr w:rsidR="003D5535" w:rsidRPr="00EF496F" w:rsidTr="000B67C2">
        <w:trPr>
          <w:trHeight w:val="33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535" w:rsidRPr="00EF496F" w:rsidRDefault="003D5535" w:rsidP="003D5535">
            <w:pPr>
              <w:rPr>
                <w:rFonts w:eastAsia="맑은 고딕"/>
                <w:i/>
                <w:iCs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Anti-Jo-1 Ab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 xml:space="preserve"> 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5 (5.2)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 (3.6)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4 (5.8)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535" w:rsidRPr="00EF496F" w:rsidRDefault="003D5535" w:rsidP="003D5535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&gt;0.999</w:t>
            </w:r>
          </w:p>
        </w:tc>
        <w:bookmarkStart w:id="0" w:name="_GoBack"/>
        <w:bookmarkEnd w:id="0"/>
      </w:tr>
      <w:tr w:rsidR="00C114FA" w:rsidRPr="00EF496F" w:rsidTr="000B67C2">
        <w:trPr>
          <w:trHeight w:val="345"/>
        </w:trPr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rPr>
                <w:rFonts w:eastAsia="맑은 고딕"/>
                <w:i/>
                <w:iCs/>
                <w:color w:val="000000" w:themeColor="text1"/>
                <w:sz w:val="18"/>
                <w:szCs w:val="18"/>
                <w:lang w:eastAsia="ko-KR"/>
              </w:rPr>
            </w:pPr>
            <w:r w:rsidRPr="00EF496F"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>Anti-ds DNA Ab</w:t>
            </w:r>
            <w:r>
              <w:rPr>
                <w:rFonts w:eastAsia="맑은 고딕"/>
                <w:iCs/>
                <w:color w:val="000000" w:themeColor="text1"/>
                <w:sz w:val="18"/>
                <w:szCs w:val="18"/>
                <w:lang w:eastAsia="ko-KR"/>
              </w:rPr>
              <w:t xml:space="preserve"> (</w:t>
            </w:r>
            <w:r w:rsidRPr="00EF496F"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>n =</w:t>
            </w:r>
            <w:r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  <w:t xml:space="preserve"> 116)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18 (15.5)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 (5.0)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17 (17.7)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114FA" w:rsidRPr="00EF496F" w:rsidRDefault="00C114FA" w:rsidP="000B67C2">
            <w:pPr>
              <w:jc w:val="center"/>
              <w:rPr>
                <w:rFonts w:eastAsia="맑은 고딕"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eastAsia="맑은 고딕" w:hint="eastAsia"/>
                <w:color w:val="000000" w:themeColor="text1"/>
                <w:sz w:val="18"/>
                <w:szCs w:val="18"/>
                <w:lang w:eastAsia="ko-KR"/>
              </w:rPr>
              <w:t>0.193</w:t>
            </w:r>
          </w:p>
        </w:tc>
      </w:tr>
    </w:tbl>
    <w:p w:rsidR="00C114FA" w:rsidRDefault="00C114FA" w:rsidP="00C114FA">
      <w:pPr>
        <w:spacing w:line="360" w:lineRule="auto"/>
        <w:jc w:val="both"/>
        <w:rPr>
          <w:color w:val="000000" w:themeColor="text1"/>
          <w:sz w:val="20"/>
          <w:szCs w:val="20"/>
        </w:rPr>
      </w:pPr>
      <w:r w:rsidRPr="00B47827">
        <w:rPr>
          <w:color w:val="000000" w:themeColor="text1"/>
          <w:sz w:val="20"/>
          <w:szCs w:val="20"/>
        </w:rPr>
        <w:t xml:space="preserve">Data are presented as the number (percentage). </w:t>
      </w:r>
    </w:p>
    <w:p w:rsidR="00C114FA" w:rsidRPr="0087278D" w:rsidRDefault="00C114FA" w:rsidP="00C114FA">
      <w:pPr>
        <w:spacing w:line="360" w:lineRule="auto"/>
        <w:jc w:val="both"/>
        <w:rPr>
          <w:rFonts w:eastAsiaTheme="minorEastAsia"/>
          <w:color w:val="000000" w:themeColor="text1"/>
          <w:sz w:val="20"/>
          <w:szCs w:val="20"/>
          <w:lang w:eastAsia="ko-KR"/>
        </w:rPr>
      </w:pPr>
      <w:r>
        <w:rPr>
          <w:color w:val="000000" w:themeColor="text1"/>
          <w:sz w:val="20"/>
          <w:szCs w:val="20"/>
        </w:rPr>
        <w:t xml:space="preserve">ANA, anti-nuclear antibodies; CCP, </w:t>
      </w:r>
      <w:r w:rsidRPr="0087278D">
        <w:rPr>
          <w:color w:val="000000" w:themeColor="text1"/>
          <w:sz w:val="20"/>
          <w:szCs w:val="20"/>
        </w:rPr>
        <w:t>cyclic citrullinated peptide</w:t>
      </w:r>
      <w:r>
        <w:rPr>
          <w:color w:val="000000" w:themeColor="text1"/>
          <w:sz w:val="20"/>
          <w:szCs w:val="20"/>
        </w:rPr>
        <w:t xml:space="preserve">; MPO ANCA, </w:t>
      </w:r>
      <w:r w:rsidRPr="0087278D">
        <w:rPr>
          <w:color w:val="000000" w:themeColor="text1"/>
          <w:sz w:val="20"/>
          <w:szCs w:val="20"/>
        </w:rPr>
        <w:t>myeloperoxidase</w:t>
      </w:r>
      <w:r>
        <w:rPr>
          <w:color w:val="000000" w:themeColor="text1"/>
          <w:sz w:val="20"/>
          <w:szCs w:val="20"/>
        </w:rPr>
        <w:t xml:space="preserve"> </w:t>
      </w:r>
      <w:r w:rsidRPr="0087278D">
        <w:rPr>
          <w:color w:val="000000" w:themeColor="text1"/>
          <w:sz w:val="20"/>
          <w:szCs w:val="20"/>
        </w:rPr>
        <w:t>Anti-Neutrophil Cytoplasmic Antibody</w:t>
      </w:r>
      <w:r>
        <w:rPr>
          <w:color w:val="000000" w:themeColor="text1"/>
          <w:sz w:val="20"/>
          <w:szCs w:val="20"/>
        </w:rPr>
        <w:t xml:space="preserve">; RNP, </w:t>
      </w:r>
      <w:r w:rsidRPr="0087278D">
        <w:rPr>
          <w:color w:val="000000" w:themeColor="text1"/>
          <w:sz w:val="20"/>
          <w:szCs w:val="20"/>
        </w:rPr>
        <w:t>ribonucleoprotein</w:t>
      </w:r>
      <w:r>
        <w:rPr>
          <w:color w:val="000000" w:themeColor="text1"/>
          <w:sz w:val="20"/>
          <w:szCs w:val="20"/>
        </w:rPr>
        <w:t xml:space="preserve">; Sm, </w:t>
      </w:r>
      <w:r w:rsidRPr="0087278D">
        <w:rPr>
          <w:color w:val="000000" w:themeColor="text1"/>
          <w:sz w:val="20"/>
          <w:szCs w:val="20"/>
        </w:rPr>
        <w:t>Smith</w:t>
      </w:r>
      <w:r>
        <w:rPr>
          <w:color w:val="000000" w:themeColor="text1"/>
          <w:sz w:val="20"/>
          <w:szCs w:val="20"/>
        </w:rPr>
        <w:t xml:space="preserve">; SS-A, </w:t>
      </w:r>
      <w:r w:rsidRPr="0087278D">
        <w:rPr>
          <w:color w:val="000000" w:themeColor="text1"/>
          <w:sz w:val="20"/>
          <w:szCs w:val="20"/>
        </w:rPr>
        <w:t>Sjögren's-syndrome-related antigen A</w:t>
      </w:r>
      <w:r>
        <w:rPr>
          <w:color w:val="000000" w:themeColor="text1"/>
          <w:sz w:val="20"/>
          <w:szCs w:val="20"/>
        </w:rPr>
        <w:t xml:space="preserve">; SS-B, </w:t>
      </w:r>
      <w:r w:rsidRPr="0087278D">
        <w:rPr>
          <w:color w:val="000000" w:themeColor="text1"/>
          <w:sz w:val="20"/>
          <w:szCs w:val="20"/>
        </w:rPr>
        <w:t>Sjög</w:t>
      </w:r>
      <w:r>
        <w:rPr>
          <w:color w:val="000000" w:themeColor="text1"/>
          <w:sz w:val="20"/>
          <w:szCs w:val="20"/>
        </w:rPr>
        <w:t>ren's-syndrome-related antigen B.</w:t>
      </w:r>
    </w:p>
    <w:p w:rsidR="005C37EF" w:rsidRPr="00C114FA" w:rsidRDefault="005C37EF"/>
    <w:sectPr w:rsidR="005C37EF" w:rsidRPr="00C114F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3A8" w:rsidRDefault="002043A8" w:rsidP="003D5535">
      <w:r>
        <w:separator/>
      </w:r>
    </w:p>
  </w:endnote>
  <w:endnote w:type="continuationSeparator" w:id="0">
    <w:p w:rsidR="002043A8" w:rsidRDefault="002043A8" w:rsidP="003D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3A8" w:rsidRDefault="002043A8" w:rsidP="003D5535">
      <w:r>
        <w:separator/>
      </w:r>
    </w:p>
  </w:footnote>
  <w:footnote w:type="continuationSeparator" w:id="0">
    <w:p w:rsidR="002043A8" w:rsidRDefault="002043A8" w:rsidP="003D5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FA"/>
    <w:rsid w:val="002043A8"/>
    <w:rsid w:val="003D5535"/>
    <w:rsid w:val="005C37EF"/>
    <w:rsid w:val="00C1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56A2B"/>
  <w15:chartTrackingRefBased/>
  <w15:docId w15:val="{8E50539D-8014-4A74-91AD-A6510FF1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FA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55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D5535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a4">
    <w:name w:val="footer"/>
    <w:basedOn w:val="a"/>
    <w:link w:val="Char0"/>
    <w:uiPriority w:val="99"/>
    <w:unhideWhenUsed/>
    <w:rsid w:val="003D55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D5535"/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2023-09-17T05:10:00Z</dcterms:created>
  <dcterms:modified xsi:type="dcterms:W3CDTF">2023-09-18T04:41:00Z</dcterms:modified>
</cp:coreProperties>
</file>