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320" w:rsidRDefault="00425320" w:rsidP="00CD7DA9">
      <w:pPr>
        <w:tabs>
          <w:tab w:val="left" w:pos="2839"/>
        </w:tabs>
        <w:rPr>
          <w:rFonts w:asciiTheme="majorBidi" w:hAnsiTheme="majorBidi" w:cstheme="majorBidi"/>
          <w:sz w:val="28"/>
          <w:szCs w:val="28"/>
        </w:rPr>
      </w:pPr>
      <w:bookmarkStart w:id="0" w:name="_Hlk155694868"/>
    </w:p>
    <w:p w:rsidR="00325022" w:rsidRDefault="00325022" w:rsidP="00CD7DA9">
      <w:pPr>
        <w:tabs>
          <w:tab w:val="left" w:pos="2839"/>
        </w:tabs>
        <w:rPr>
          <w:rFonts w:asciiTheme="majorBidi" w:hAnsiTheme="majorBidi" w:cstheme="majorBidi"/>
          <w:sz w:val="28"/>
          <w:szCs w:val="28"/>
        </w:rPr>
      </w:pPr>
    </w:p>
    <w:tbl>
      <w:tblPr>
        <w:tblStyle w:val="paper"/>
        <w:tblW w:w="12352" w:type="dxa"/>
        <w:jc w:val="center"/>
        <w:tblLook w:val="04A0"/>
      </w:tblPr>
      <w:tblGrid>
        <w:gridCol w:w="1287"/>
        <w:gridCol w:w="1210"/>
        <w:gridCol w:w="4203"/>
        <w:gridCol w:w="245"/>
        <w:gridCol w:w="443"/>
        <w:gridCol w:w="176"/>
        <w:gridCol w:w="499"/>
        <w:gridCol w:w="419"/>
        <w:gridCol w:w="169"/>
        <w:gridCol w:w="1003"/>
        <w:gridCol w:w="204"/>
        <w:gridCol w:w="1207"/>
        <w:gridCol w:w="1061"/>
        <w:gridCol w:w="226"/>
      </w:tblGrid>
      <w:tr w:rsidR="00325022" w:rsidRPr="00325022" w:rsidTr="005864D5">
        <w:trPr>
          <w:gridAfter w:val="1"/>
          <w:wAfter w:w="226" w:type="dxa"/>
          <w:trHeight w:val="640"/>
          <w:jc w:val="center"/>
        </w:trPr>
        <w:tc>
          <w:tcPr>
            <w:tcW w:w="12126" w:type="dxa"/>
            <w:gridSpan w:val="13"/>
            <w:vAlign w:val="center"/>
          </w:tcPr>
          <w:p w:rsidR="00325022" w:rsidRPr="00325022" w:rsidRDefault="00F552F2" w:rsidP="00325022">
            <w:pPr>
              <w:spacing w:after="160" w:line="256" w:lineRule="auto"/>
              <w:ind w:right="-180"/>
              <w:jc w:val="both"/>
              <w:rPr>
                <w:rFonts w:ascii="Times New Roman" w:eastAsia="Calibri" w:hAnsi="Times New Roman" w:cs="Times New Roman"/>
                <w:b/>
                <w:bCs/>
                <w:color w:val="000000"/>
                <w:kern w:val="24"/>
                <w:sz w:val="24"/>
                <w:szCs w:val="24"/>
              </w:rPr>
            </w:pPr>
            <w:r>
              <w:rPr>
                <w:rFonts w:ascii="Times New Roman" w:eastAsia="Calibri" w:hAnsi="Times New Roman" w:cs="Times New Roman"/>
                <w:b/>
                <w:bCs/>
                <w:color w:val="000000"/>
                <w:kern w:val="24"/>
                <w:sz w:val="24"/>
                <w:szCs w:val="24"/>
              </w:rPr>
              <w:t xml:space="preserve">Supp. </w:t>
            </w:r>
            <w:r w:rsidR="00325022" w:rsidRPr="00325022">
              <w:rPr>
                <w:rFonts w:ascii="Times New Roman" w:eastAsia="Calibri" w:hAnsi="Times New Roman" w:cs="Times New Roman"/>
                <w:b/>
                <w:bCs/>
                <w:color w:val="000000"/>
                <w:kern w:val="24"/>
                <w:sz w:val="24"/>
                <w:szCs w:val="24"/>
              </w:rPr>
              <w:t>Table (1): Primers Sequences for the studied Single Nucleotide Polymorphism</w:t>
            </w:r>
          </w:p>
        </w:tc>
      </w:tr>
      <w:tr w:rsidR="00325022" w:rsidRPr="00325022" w:rsidTr="005864D5">
        <w:trPr>
          <w:trHeight w:val="640"/>
          <w:jc w:val="center"/>
        </w:trPr>
        <w:tc>
          <w:tcPr>
            <w:tcW w:w="1287"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SNP</w:t>
            </w: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Primer name</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Sequence</w:t>
            </w:r>
          </w:p>
        </w:tc>
        <w:tc>
          <w:tcPr>
            <w:tcW w:w="675"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Allele</w:t>
            </w:r>
          </w:p>
        </w:tc>
        <w:tc>
          <w:tcPr>
            <w:tcW w:w="588"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T</w:t>
            </w:r>
            <w:r w:rsidRPr="00325022">
              <w:rPr>
                <w:rFonts w:ascii="Times New Roman" w:eastAsia="Calibri" w:hAnsi="Times New Roman" w:cs="Times New Roman"/>
                <w:b/>
                <w:bCs/>
                <w:color w:val="000000"/>
                <w:kern w:val="24"/>
                <w:position w:val="-8"/>
                <w:sz w:val="24"/>
                <w:szCs w:val="24"/>
                <w:vertAlign w:val="subscript"/>
              </w:rPr>
              <w:t>m</w:t>
            </w:r>
          </w:p>
        </w:tc>
        <w:tc>
          <w:tcPr>
            <w:tcW w:w="1207"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Restriction enzyme</w:t>
            </w:r>
          </w:p>
        </w:tc>
        <w:tc>
          <w:tcPr>
            <w:tcW w:w="1207" w:type="dxa"/>
            <w:vAlign w:val="center"/>
            <w:hideMark/>
          </w:tcPr>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Fragment size</w:t>
            </w:r>
          </w:p>
        </w:tc>
        <w:tc>
          <w:tcPr>
            <w:tcW w:w="1287"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b/>
                <w:bCs/>
                <w:color w:val="000000"/>
                <w:kern w:val="24"/>
                <w:sz w:val="24"/>
                <w:szCs w:val="24"/>
              </w:rPr>
              <w:t>Reference</w:t>
            </w:r>
          </w:p>
        </w:tc>
      </w:tr>
      <w:tr w:rsidR="00325022" w:rsidRPr="00325022" w:rsidTr="005864D5">
        <w:trPr>
          <w:gridAfter w:val="1"/>
          <w:wAfter w:w="226" w:type="dxa"/>
          <w:trHeight w:val="154"/>
          <w:jc w:val="center"/>
        </w:trPr>
        <w:tc>
          <w:tcPr>
            <w:tcW w:w="1287" w:type="dxa"/>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IL28B rs12979860</w:t>
            </w: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Rs-860-F</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GCTTATCGCATACGGCTAGGC</w:t>
            </w:r>
          </w:p>
        </w:tc>
        <w:tc>
          <w:tcPr>
            <w:tcW w:w="675"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C/T</w:t>
            </w:r>
          </w:p>
        </w:tc>
        <w:tc>
          <w:tcPr>
            <w:tcW w:w="588" w:type="dxa"/>
            <w:gridSpan w:val="2"/>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60°C</w:t>
            </w:r>
          </w:p>
        </w:tc>
        <w:tc>
          <w:tcPr>
            <w:tcW w:w="1207" w:type="dxa"/>
            <w:gridSpan w:val="2"/>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t>-------</w:t>
            </w:r>
          </w:p>
        </w:tc>
        <w:tc>
          <w:tcPr>
            <w:tcW w:w="1207" w:type="dxa"/>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t>-------</w:t>
            </w:r>
          </w:p>
        </w:tc>
        <w:tc>
          <w:tcPr>
            <w:tcW w:w="1061" w:type="dxa"/>
            <w:vAlign w:val="center"/>
            <w:hideMark/>
          </w:tcPr>
          <w:p w:rsidR="00325022" w:rsidRPr="00325022" w:rsidRDefault="003053D0" w:rsidP="00325022">
            <w:pPr>
              <w:spacing w:after="160" w:line="259" w:lineRule="auto"/>
              <w:ind w:right="-180"/>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fldChar w:fldCharType="begin" w:fldLock="1"/>
            </w:r>
            <w:r w:rsidR="00325022" w:rsidRPr="00325022">
              <w:rPr>
                <w:rFonts w:ascii="Times New Roman" w:eastAsia="Times New Roman" w:hAnsi="Times New Roman" w:cs="Times New Roman"/>
                <w:sz w:val="24"/>
                <w:szCs w:val="24"/>
              </w:rPr>
              <w:instrText>ADDIN CSL_CITATION {"citationItems":[{"id":"ITEM-1","itemData":{"DOI":"10.1007/s12026-018-9035-2","ISSN":"15590755","PMID":"30402710","abstract":"Previous studies showed that interleukin (IL)-28B gene polymorphisms were associated with hepatitis C Virus (HCV) infection and treatment outcomes. We tested whether single-nucleotide polymorphisms (SNPs) in IL-28A and IL-28B are associated with HCV infection among Egyptians with HCV genotype 4 infections. We enrolled 144 chronic HCV patients, 72 spontaneously resolved HCV subjects, and 69 healthy controls. Four SNPs in IL-28A and IL-28B genes (IL-28A.rs12980602, IL-28B.rs12979860, IL-28B.rs8099917, and IL-28B.rs8103142) were genotyped. The most frequent IL-28B haplotype “TCT” was significantly more frequent in HCV-infected subjects than in HCV negative subjects (62.2% vs. 48.6%, respectively; p = 0.005). The frequency of IL-28A.rs12980602 “T” allele was significantly higher than the “C” allele in healthy controls compared to HCV-infected subjects (p &lt; 0.001) with the “TT” genotype significantly higher in healthy controls compared to HCV-infected subjects (p &lt; 0.001) with no association with viral load (p = 0.11) among chronically infected subjects. The results, also, confirmed the previous role of IL-28B SNPs in predicting HCV infection outcome. Importantly, IL-28B.rs8099917 “TT” genotype was significantly associated with low viral load in HCV-infected subjects, while the remaining three SNPs did not. The three IL-28B SNPs were in linkage disequilibrium (D′ &gt; 0.68; r 2 &gt; 0.43) for all comparisons in HCV patients, while there was no linkage disequilibrium of IL-28A polymorphisms and the three IL-28B SNPs. In conclusion, IL-28A.rs12980602 and IL-28B.rs8103142 TT genotype could be protective against HCV infection. Also, IL-28B.rs12979860, IL-28B.rs8099917, and IL-28B.rs8103142 SNPs predicted the outcome of HCV infection among genotype-4-infected Egyptians. Moreover, IL-28B.rs8099917 SNP affected the viral load in chronic HCV patients.","author":[{"dropping-particle":"","family":"Zakaria","given":"Zainab A.","non-dropping-particle":"","parse-names":false,"suffix":""},{"dropping-particle":"","family":"Knapp","given":"Susanne","non-dropping-particle":"","parse-names":false,"suffix":""},{"dropping-particle":"","family":"Hashem","given":"Mohamed","non-dropping-particle":"","parse-names":false,"suffix":""},{"dropping-particle":"","family":"Zaghla","given":"Hassan","non-dropping-particle":"","parse-names":false,"suffix":""},{"dropping-particle":"","family":"Thursz","given":"Mark","non-dropping-particle":"","parse-names":false,"suffix":""},{"dropping-particle":"","family":"Waked","given":"Imam","non-dropping-particle":"","parse-names":false,"suffix":""},{"dropping-particle":"","family":"Abdelwahab","given":"Sayed","non-dropping-particle":"","parse-names":false,"suffix":""}],"container-title":"Immunologic Research","id":"ITEM-1","issue":"1","issued":{"date-parts":[["2019"]]},"page":"123-133","publisher":"Immunologic Research","title":"Interleukin 28A.rs12980602 and interleukin 28B.rs8103142 genotypes could be protective against HCV infection among Egyptians","type":"article-journal","volume":"67"},"uris":["http://www.mendeley.com/documents/?uuid=e27b6274-ead0-4dc2-9ab5-f76b8cec6359"]}],"mendeley":{"formattedCitation":"(35)","plainTextFormattedCitation":"(35)","previouslyFormattedCitation":"(35)"},"properties":{"noteIndex":0},"schema":"https://github.com/citation-style-language/schema/raw/master/csl-citation.json"}</w:instrText>
            </w:r>
            <w:r w:rsidRPr="00325022">
              <w:rPr>
                <w:rFonts w:ascii="Times New Roman" w:eastAsia="Times New Roman" w:hAnsi="Times New Roman" w:cs="Times New Roman"/>
                <w:sz w:val="24"/>
                <w:szCs w:val="24"/>
              </w:rPr>
              <w:fldChar w:fldCharType="separate"/>
            </w:r>
            <w:r w:rsidR="00325022" w:rsidRPr="00325022">
              <w:rPr>
                <w:rFonts w:ascii="Times New Roman" w:eastAsia="Times New Roman" w:hAnsi="Times New Roman" w:cs="Times New Roman"/>
                <w:noProof/>
                <w:sz w:val="24"/>
                <w:szCs w:val="24"/>
              </w:rPr>
              <w:t>(35)</w:t>
            </w:r>
            <w:r w:rsidRPr="00325022">
              <w:rPr>
                <w:rFonts w:ascii="Times New Roman" w:eastAsia="Times New Roman" w:hAnsi="Times New Roman" w:cs="Times New Roman"/>
                <w:sz w:val="24"/>
                <w:szCs w:val="24"/>
              </w:rPr>
              <w:fldChar w:fldCharType="end"/>
            </w:r>
          </w:p>
        </w:tc>
      </w:tr>
      <w:tr w:rsidR="00325022" w:rsidRPr="00325022" w:rsidTr="005864D5">
        <w:trPr>
          <w:gridAfter w:val="4"/>
          <w:wAfter w:w="2698" w:type="dxa"/>
          <w:jc w:val="center"/>
        </w:trPr>
        <w:tc>
          <w:tcPr>
            <w:tcW w:w="1287"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b/>
                <w:bCs/>
                <w:sz w:val="24"/>
                <w:szCs w:val="24"/>
              </w:rPr>
            </w:pPr>
          </w:p>
        </w:tc>
        <w:tc>
          <w:tcPr>
            <w:tcW w:w="1210" w:type="dxa"/>
            <w:vAlign w:val="center"/>
            <w:hideMark/>
          </w:tcPr>
          <w:p w:rsidR="00325022" w:rsidRPr="00325022" w:rsidRDefault="00325022" w:rsidP="00325022">
            <w:pPr>
              <w:spacing w:after="160" w:line="256" w:lineRule="auto"/>
              <w:ind w:right="-180"/>
              <w:jc w:val="both"/>
              <w:rPr>
                <w:rFonts w:ascii="Times New Roman" w:eastAsia="Calibri" w:hAnsi="Times New Roman" w:cs="Times New Roman"/>
                <w:color w:val="000000"/>
                <w:kern w:val="24"/>
                <w:sz w:val="24"/>
                <w:szCs w:val="24"/>
              </w:rPr>
            </w:pPr>
            <w:r w:rsidRPr="00325022">
              <w:rPr>
                <w:rFonts w:ascii="Times New Roman" w:eastAsia="Calibri" w:hAnsi="Times New Roman" w:cs="Times New Roman"/>
                <w:color w:val="000000"/>
                <w:kern w:val="24"/>
                <w:sz w:val="24"/>
                <w:szCs w:val="24"/>
              </w:rPr>
              <w:t>Rs-860-R</w:t>
            </w:r>
          </w:p>
          <w:p w:rsidR="00325022" w:rsidRPr="00325022" w:rsidRDefault="00325022" w:rsidP="00325022">
            <w:pPr>
              <w:spacing w:after="160" w:line="256" w:lineRule="auto"/>
              <w:ind w:right="-75"/>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t>(</w:t>
            </w:r>
            <w:r w:rsidRPr="00325022">
              <w:rPr>
                <w:rFonts w:ascii="Times New Roman" w:eastAsia="Times New Roman" w:hAnsi="Times New Roman" w:cs="Times New Roman"/>
                <w:b/>
                <w:bCs/>
                <w:sz w:val="24"/>
                <w:szCs w:val="24"/>
              </w:rPr>
              <w:t>C</w:t>
            </w:r>
            <w:r w:rsidRPr="00325022">
              <w:rPr>
                <w:rFonts w:ascii="Times New Roman" w:eastAsia="Times New Roman" w:hAnsi="Times New Roman" w:cs="Times New Roman"/>
                <w:sz w:val="24"/>
                <w:szCs w:val="24"/>
              </w:rPr>
              <w:t xml:space="preserve"> Allele)</w:t>
            </w:r>
          </w:p>
        </w:tc>
        <w:tc>
          <w:tcPr>
            <w:tcW w:w="4203" w:type="dxa"/>
            <w:vAlign w:val="center"/>
          </w:tcPr>
          <w:p w:rsidR="00325022" w:rsidRPr="00325022" w:rsidRDefault="00325022" w:rsidP="00325022">
            <w:pPr>
              <w:spacing w:after="160" w:line="259" w:lineRule="auto"/>
              <w:ind w:right="-180"/>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GCAATTCAACCCTGGTTC</w:t>
            </w:r>
            <w:r w:rsidRPr="00325022">
              <w:rPr>
                <w:rFonts w:ascii="Times New Roman" w:eastAsia="Calibri" w:hAnsi="Times New Roman" w:cs="Times New Roman"/>
                <w:b/>
                <w:bCs/>
                <w:color w:val="000000"/>
                <w:kern w:val="24"/>
                <w:sz w:val="24"/>
                <w:szCs w:val="24"/>
              </w:rPr>
              <w:t>G</w:t>
            </w:r>
          </w:p>
        </w:tc>
        <w:tc>
          <w:tcPr>
            <w:tcW w:w="245" w:type="dxa"/>
            <w:vAlign w:val="center"/>
            <w:hideMark/>
          </w:tcPr>
          <w:p w:rsidR="00325022" w:rsidRPr="00325022" w:rsidRDefault="00325022" w:rsidP="00325022">
            <w:pPr>
              <w:spacing w:after="160" w:line="259" w:lineRule="auto"/>
              <w:ind w:right="-180"/>
              <w:jc w:val="center"/>
              <w:rPr>
                <w:rFonts w:ascii="Times New Roman" w:eastAsia="Times New Roman" w:hAnsi="Times New Roman" w:cs="Times New Roman"/>
                <w:sz w:val="24"/>
                <w:szCs w:val="24"/>
              </w:rPr>
            </w:pPr>
          </w:p>
        </w:tc>
        <w:tc>
          <w:tcPr>
            <w:tcW w:w="619" w:type="dxa"/>
            <w:gridSpan w:val="2"/>
            <w:vAlign w:val="center"/>
            <w:hideMark/>
          </w:tcPr>
          <w:p w:rsidR="00325022" w:rsidRPr="00325022" w:rsidRDefault="00325022" w:rsidP="00325022">
            <w:pPr>
              <w:spacing w:after="160" w:line="259" w:lineRule="auto"/>
              <w:ind w:right="-180"/>
              <w:jc w:val="center"/>
              <w:rPr>
                <w:rFonts w:ascii="Times New Roman" w:eastAsia="Times New Roman" w:hAnsi="Times New Roman" w:cs="Times New Roman"/>
                <w:sz w:val="24"/>
                <w:szCs w:val="24"/>
              </w:rPr>
            </w:pPr>
          </w:p>
        </w:tc>
        <w:tc>
          <w:tcPr>
            <w:tcW w:w="918" w:type="dxa"/>
            <w:gridSpan w:val="2"/>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p>
        </w:tc>
        <w:tc>
          <w:tcPr>
            <w:tcW w:w="1172" w:type="dxa"/>
            <w:gridSpan w:val="2"/>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r>
      <w:tr w:rsidR="00325022" w:rsidRPr="00325022" w:rsidTr="005864D5">
        <w:trPr>
          <w:gridAfter w:val="1"/>
          <w:wAfter w:w="226" w:type="dxa"/>
          <w:jc w:val="center"/>
        </w:trPr>
        <w:tc>
          <w:tcPr>
            <w:tcW w:w="1287"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b/>
                <w:bCs/>
                <w:sz w:val="24"/>
                <w:szCs w:val="24"/>
              </w:rPr>
            </w:pPr>
          </w:p>
        </w:tc>
        <w:tc>
          <w:tcPr>
            <w:tcW w:w="1210" w:type="dxa"/>
            <w:vAlign w:val="center"/>
            <w:hideMark/>
          </w:tcPr>
          <w:p w:rsidR="00325022" w:rsidRPr="00325022" w:rsidRDefault="00325022" w:rsidP="00325022">
            <w:pPr>
              <w:spacing w:after="160" w:line="256" w:lineRule="auto"/>
              <w:ind w:right="-180"/>
              <w:jc w:val="both"/>
              <w:rPr>
                <w:rFonts w:ascii="Times New Roman" w:eastAsia="Calibri" w:hAnsi="Times New Roman" w:cs="Times New Roman"/>
                <w:color w:val="000000"/>
                <w:kern w:val="24"/>
                <w:sz w:val="24"/>
                <w:szCs w:val="24"/>
              </w:rPr>
            </w:pPr>
            <w:r w:rsidRPr="00325022">
              <w:rPr>
                <w:rFonts w:ascii="Times New Roman" w:eastAsia="Calibri" w:hAnsi="Times New Roman" w:cs="Times New Roman"/>
                <w:color w:val="000000"/>
                <w:kern w:val="24"/>
                <w:sz w:val="24"/>
                <w:szCs w:val="24"/>
              </w:rPr>
              <w:t>Rs-860-R</w:t>
            </w:r>
          </w:p>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t>(</w:t>
            </w:r>
            <w:r w:rsidRPr="00325022">
              <w:rPr>
                <w:rFonts w:ascii="Times New Roman" w:eastAsia="Times New Roman" w:hAnsi="Times New Roman" w:cs="Times New Roman"/>
                <w:b/>
                <w:bCs/>
                <w:sz w:val="24"/>
                <w:szCs w:val="24"/>
              </w:rPr>
              <w:t>T</w:t>
            </w:r>
            <w:r w:rsidRPr="00325022">
              <w:rPr>
                <w:rFonts w:ascii="Times New Roman" w:eastAsia="Times New Roman" w:hAnsi="Times New Roman" w:cs="Times New Roman"/>
                <w:sz w:val="24"/>
                <w:szCs w:val="24"/>
              </w:rPr>
              <w:t xml:space="preserve"> Allele)</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GCAATTCAACCCTGGTTC</w:t>
            </w:r>
            <w:r w:rsidRPr="00325022">
              <w:rPr>
                <w:rFonts w:ascii="Times New Roman" w:eastAsia="Calibri" w:hAnsi="Times New Roman" w:cs="Times New Roman"/>
                <w:b/>
                <w:bCs/>
                <w:color w:val="000000"/>
                <w:kern w:val="24"/>
                <w:sz w:val="24"/>
                <w:szCs w:val="24"/>
              </w:rPr>
              <w:t>A</w:t>
            </w:r>
          </w:p>
        </w:tc>
        <w:tc>
          <w:tcPr>
            <w:tcW w:w="675" w:type="dxa"/>
            <w:gridSpan w:val="2"/>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588" w:type="dxa"/>
            <w:gridSpan w:val="2"/>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gridSpan w:val="2"/>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p>
        </w:tc>
        <w:tc>
          <w:tcPr>
            <w:tcW w:w="1061" w:type="dxa"/>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r>
      <w:tr w:rsidR="00325022" w:rsidRPr="00325022" w:rsidTr="005864D5">
        <w:trPr>
          <w:gridAfter w:val="1"/>
          <w:wAfter w:w="226" w:type="dxa"/>
          <w:trHeight w:val="397"/>
          <w:jc w:val="center"/>
        </w:trPr>
        <w:tc>
          <w:tcPr>
            <w:tcW w:w="1287" w:type="dxa"/>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IL28B</w:t>
            </w:r>
          </w:p>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rs8099917</w:t>
            </w: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Rs-917-F</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CCCACTTCTGGAACAAATCGTCCC</w:t>
            </w:r>
          </w:p>
        </w:tc>
        <w:tc>
          <w:tcPr>
            <w:tcW w:w="675"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G/T</w:t>
            </w:r>
          </w:p>
        </w:tc>
        <w:tc>
          <w:tcPr>
            <w:tcW w:w="588"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59°C</w:t>
            </w:r>
          </w:p>
        </w:tc>
        <w:tc>
          <w:tcPr>
            <w:tcW w:w="1207"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BsrDI</w:t>
            </w:r>
          </w:p>
        </w:tc>
        <w:tc>
          <w:tcPr>
            <w:tcW w:w="1207" w:type="dxa"/>
            <w:vMerge w:val="restart"/>
            <w:vAlign w:val="center"/>
            <w:hideMark/>
          </w:tcPr>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552</w:t>
            </w:r>
          </w:p>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322, 230</w:t>
            </w:r>
          </w:p>
        </w:tc>
        <w:tc>
          <w:tcPr>
            <w:tcW w:w="1061" w:type="dxa"/>
            <w:vMerge w:val="restart"/>
            <w:vAlign w:val="center"/>
            <w:hideMark/>
          </w:tcPr>
          <w:p w:rsidR="00325022" w:rsidRPr="00325022" w:rsidRDefault="003053D0"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fldChar w:fldCharType="begin" w:fldLock="1"/>
            </w:r>
            <w:r w:rsidR="00325022" w:rsidRPr="00325022">
              <w:rPr>
                <w:rFonts w:ascii="Times New Roman" w:eastAsia="Calibri" w:hAnsi="Times New Roman" w:cs="Times New Roman"/>
                <w:color w:val="000000"/>
                <w:kern w:val="24"/>
                <w:sz w:val="24"/>
                <w:szCs w:val="24"/>
              </w:rPr>
              <w:instrText>ADDIN CSL_CITATION {"citationItems":[{"id":"ITEM-1","itemData":{"DOI":"10.5812/hepatmon.849","ISSN":"17353408","abstract":"Background: In 2009, 3 genome-wide association studies implicated IL28B single-nucleotide polymorphisms (SNPs) as the strongest genetic pretreatment predictor of sustained virological response (SVR) in hepatitis C infection. Recently, the American Association for the Study of Liver Diseases (AASLD) and the European Association for the Study of the Liver (EASL) included IL28B testing in their guidelines. Objectives: The main aim of this study was to develop and validate a simple, rapid, and inexpensive polymerase chain reaction-restriction fragment length polymorphism (PCR-RFLP) method for genotyping of common IL28B polymorphisms (rs12979860 and rs8099917). Patients and Methods: Two methods were developed to genotype common IL28B polymorphisms: 1) PCR-sequencing as a reference method and 2) PCR-RFLP as a rapid and inexpensive method. Both polymorphisms were genotyped in 104 Iranian hepatitis C patients by both methods simultaneously. To validate the PCR-RFLP method, the PCR-RFLP genotyping results should be 100% concordant with the PCR-sequencing results. Results: Genotyping of rs12979860 and rs8099917 by PCR-RFLP was concordant with PCR-sequencing in 104 (100%) individuals. The analytical sensitivity and specificity of the PCR-RFLP method for genotyping of both SNPs are 100%. Among these 104 patients with chronic hepatitis C, the frequency of the rs12979860 CC, CT and TT genotypes were 40.4%, 47.1% and 12.5% and the frequency of the rs8099917 TT, GT and GG genotypes were 59.6%, 35.6% and 4.8%, respectively. Also, three IL28B haplotypes (rs12979860-rs8099917) were found among our patients including C-T, T-G and T-T with 63.9%, 22.6% and 13.5% frequency, respectively. C-G haplotype was absent in all of our patients. Conclusions: We have developed a validated, fast, and simple PCR-RFLP method for genotyping of common IL28B SNPs that is more cost-effective than sequencing. © 2012 Kowsar Corp. All rights reserved.","author":[{"dropping-particle":"","family":"Sharafi","given":"Heidar","non-dropping-particle":"","parse-names":false,"suffix":""},{"dropping-particle":"","family":"Pouryasin","given":"Ali","non-dropping-particle":"","parse-names":false,"suffix":""},{"dropping-particle":"","family":"Alavian","given":"Seyed Moayed","non-dropping-particle":"","parse-names":false,"suffix":""},{"dropping-particle":"","family":"Behnava","given":"Bita","non-dropping-particle":"","parse-names":false,"suffix":""},{"dropping-particle":"","family":"Keshvari","given":"Maryam","non-dropping-particle":"","parse-names":false,"suffix":""},{"dropping-particle":"","family":"Mehrnoush","given":"Leila","non-dropping-particle":"","parse-names":false,"suffix":""},{"dropping-particle":"","family":"Salimi","given":"Shima","non-dropping-particle":"","parse-names":false,"suffix":""},{"dropping-particle":"","family":"Kheradvar","given":"Osveh","non-dropping-particle":"","parse-names":false,"suffix":""}],"container-title":"Hepatitis Monthly","id":"ITEM-1","issue":"3","issued":{"date-parts":[["2012"]]},"page":"190-195","title":"Development and validation of a simple, Rapid and inexpensive PCRRFLP method for genotyping of common IL28b polymorphisms: A useful pharmacogenetic tool for prediction of Hepatitis C treatment response","type":"article-journal","volume":"12"},"uris":["http://www.mendeley.com/documents/?uuid=997d3e05-edba-4701-a4e1-cbba57cdbfc7"]}],"mendeley":{"formattedCitation":"(72)","plainTextFormattedCitation":"(72)","previouslyFormattedCitation":"(72)"},"properties":{"noteIndex":0},"schema":"https://github.com/citation-style-language/schema/raw/master/csl-citation.json"}</w:instrText>
            </w:r>
            <w:r w:rsidRPr="00325022">
              <w:rPr>
                <w:rFonts w:ascii="Times New Roman" w:eastAsia="Calibri" w:hAnsi="Times New Roman" w:cs="Times New Roman"/>
                <w:color w:val="000000"/>
                <w:kern w:val="24"/>
                <w:sz w:val="24"/>
                <w:szCs w:val="24"/>
              </w:rPr>
              <w:fldChar w:fldCharType="separate"/>
            </w:r>
            <w:r w:rsidR="00325022" w:rsidRPr="00325022">
              <w:rPr>
                <w:rFonts w:ascii="Times New Roman" w:eastAsia="Calibri" w:hAnsi="Times New Roman" w:cs="Times New Roman"/>
                <w:noProof/>
                <w:color w:val="000000"/>
                <w:kern w:val="24"/>
                <w:sz w:val="24"/>
                <w:szCs w:val="24"/>
              </w:rPr>
              <w:t>(72)</w:t>
            </w:r>
            <w:r w:rsidRPr="00325022">
              <w:rPr>
                <w:rFonts w:ascii="Times New Roman" w:eastAsia="Calibri" w:hAnsi="Times New Roman" w:cs="Times New Roman"/>
                <w:color w:val="000000"/>
                <w:kern w:val="24"/>
                <w:sz w:val="24"/>
                <w:szCs w:val="24"/>
              </w:rPr>
              <w:fldChar w:fldCharType="end"/>
            </w:r>
          </w:p>
        </w:tc>
      </w:tr>
      <w:tr w:rsidR="00325022" w:rsidRPr="00325022" w:rsidTr="005864D5">
        <w:trPr>
          <w:gridAfter w:val="1"/>
          <w:wAfter w:w="226" w:type="dxa"/>
          <w:trHeight w:val="343"/>
          <w:jc w:val="center"/>
        </w:trPr>
        <w:tc>
          <w:tcPr>
            <w:tcW w:w="1287"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b/>
                <w:bCs/>
                <w:sz w:val="24"/>
                <w:szCs w:val="24"/>
              </w:rPr>
            </w:pP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Rs-917-R</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TCTCCTCCCCAAGTCAGGCAACC</w:t>
            </w:r>
          </w:p>
        </w:tc>
        <w:tc>
          <w:tcPr>
            <w:tcW w:w="675"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588"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vMerge/>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p>
        </w:tc>
        <w:tc>
          <w:tcPr>
            <w:tcW w:w="1061"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r>
      <w:tr w:rsidR="00325022" w:rsidRPr="00325022" w:rsidTr="005864D5">
        <w:trPr>
          <w:gridAfter w:val="1"/>
          <w:wAfter w:w="226" w:type="dxa"/>
          <w:trHeight w:val="298"/>
          <w:jc w:val="center"/>
        </w:trPr>
        <w:tc>
          <w:tcPr>
            <w:tcW w:w="1287" w:type="dxa"/>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FOXP3</w:t>
            </w:r>
          </w:p>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rs3761548</w:t>
            </w: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Rs-548-F</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GCCCTTGTCTACTCCACGCCTCT</w:t>
            </w:r>
          </w:p>
        </w:tc>
        <w:tc>
          <w:tcPr>
            <w:tcW w:w="675"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A/C</w:t>
            </w:r>
          </w:p>
        </w:tc>
        <w:tc>
          <w:tcPr>
            <w:tcW w:w="588"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63ºC</w:t>
            </w:r>
          </w:p>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p>
        </w:tc>
        <w:tc>
          <w:tcPr>
            <w:tcW w:w="1207"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PstI</w:t>
            </w:r>
          </w:p>
        </w:tc>
        <w:tc>
          <w:tcPr>
            <w:tcW w:w="1207" w:type="dxa"/>
            <w:vMerge w:val="restart"/>
            <w:vAlign w:val="center"/>
            <w:hideMark/>
          </w:tcPr>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487</w:t>
            </w:r>
          </w:p>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329,158</w:t>
            </w:r>
          </w:p>
        </w:tc>
        <w:tc>
          <w:tcPr>
            <w:tcW w:w="1061" w:type="dxa"/>
            <w:vMerge w:val="restart"/>
            <w:vAlign w:val="center"/>
            <w:hideMark/>
          </w:tcPr>
          <w:p w:rsidR="00325022" w:rsidRPr="00325022" w:rsidRDefault="003053D0"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Times New Roman" w:hAnsi="Times New Roman" w:cs="Times New Roman"/>
                <w:sz w:val="24"/>
                <w:szCs w:val="24"/>
              </w:rPr>
              <w:fldChar w:fldCharType="begin" w:fldLock="1"/>
            </w:r>
            <w:r w:rsidR="00325022" w:rsidRPr="00325022">
              <w:rPr>
                <w:rFonts w:ascii="Times New Roman" w:eastAsia="Times New Roman" w:hAnsi="Times New Roman" w:cs="Times New Roman"/>
                <w:sz w:val="24"/>
                <w:szCs w:val="24"/>
              </w:rPr>
              <w:instrText>ADDIN CSL_CITATION {"citationItems":[{"id":"ITEM-1","itemData":{"DOI":"10.1111/1756-185X.13337","ISSN":"1756185X","PMID":"30168273","abstract":"Aim: Functional polymorphisms located in FOXP3 intron 1 was recently found to be associated with rheumatoid arthritis (RA). Although RA is an autoimmune disease, there is supporting evidence that activated maladaptive responses including pro-inflammatory pathways play roles in osteoarthritis (OA), similar to RA. The aim of this study was to explore the relationship between rs2232365 (-924A/G) and rs3761548 (-3279A/C) polymorphisms as well as possible changes in the 600 bp promoter region of FOXP3 and knee OA. Methods: Patients with primary knee OA (n = 300) and healthy individuals (n = 300) were examined for rs3761548 and rs2232365 FOXP3 gene polymorphisms by the polymerase chain reaction–restriction fragment-length polymorphism method. The 600 bp promoter region (between −500 and +100) of the gene was also sequenced with direct sequencing in 50 knee OA patients and 50 healthy individuals. Results: There were no sequence variants in the promoter region tested both in OA patients and healthy controls. The SNP rs2232365 showed no association with OA susceptibility and severity and the results of other genetic models were also nonsignificant. On the other hand, rs3761548 AC (P = 0.003), AA + CC (P = 0.0014) as well as AC + AA (P = 0.40) genotypes showed association with Grade 4 knee OA patients. Conclusion: Our findings indicated that the association between FOXP3 rs2232365 polymorphism and knee OA tended to yield negative results but the FOXP3 rs3761548 C allele was associated with elevated risk of OA in Grade 4 knee OA patients in a Turkish population.","author":[{"dropping-particle":"","family":"Cekin","given":"Nilgun","non-dropping-particle":"","parse-names":false,"suffix":""},{"dropping-particle":"","family":"Pinarbasi","given":"Ergun","non-dropping-particle":"","parse-names":false,"suffix":""},{"dropping-particle":"","family":"Bildirici","given":"Aslıhan Esra","non-dropping-particle":"","parse-names":false,"suffix":""},{"dropping-particle":"","family":"Donmez","given":"Gonca","non-dropping-particle":"","parse-names":false,"suffix":""},{"dropping-particle":"","family":"Oztemur","given":"Zekeriya","non-dropping-particle":"","parse-names":false,"suffix":""},{"dropping-particle":"","family":"Bulut","given":"Okay","non-dropping-particle":"","parse-names":false,"suffix":""},{"dropping-particle":"","family":"Arslan","given":"Serdal","non-dropping-particle":"","parse-names":false,"suffix":""}],"container-title":"International Journal of Rheumatic Diseases","id":"ITEM-1","issue":"10","issued":{"date-parts":[["2018"]]},"page":"1779-1786","title":"FOXP3 rs3761548 polymorphism is associated with knee osteoarthritis in a Turkish population","type":"article-journal","volume":"21"},"uris":["http://www.mendeley.com/documents/?uuid=f61a2d43-e2b3-464e-be16-9c8f20e0cca3"]}],"mendeley":{"formattedCitation":"(73)","plainTextFormattedCitation":"(73)","previouslyFormattedCitation":"(73)"},"properties":{"noteIndex":0},"schema":"https://github.com/citation-style-language/schema/raw/master/csl-citation.json"}</w:instrText>
            </w:r>
            <w:r w:rsidRPr="00325022">
              <w:rPr>
                <w:rFonts w:ascii="Times New Roman" w:eastAsia="Times New Roman" w:hAnsi="Times New Roman" w:cs="Times New Roman"/>
                <w:sz w:val="24"/>
                <w:szCs w:val="24"/>
              </w:rPr>
              <w:fldChar w:fldCharType="separate"/>
            </w:r>
            <w:r w:rsidR="00325022" w:rsidRPr="00325022">
              <w:rPr>
                <w:rFonts w:ascii="Times New Roman" w:eastAsia="Times New Roman" w:hAnsi="Times New Roman" w:cs="Times New Roman"/>
                <w:noProof/>
                <w:sz w:val="24"/>
                <w:szCs w:val="24"/>
              </w:rPr>
              <w:t>(73)</w:t>
            </w:r>
            <w:r w:rsidRPr="00325022">
              <w:rPr>
                <w:rFonts w:ascii="Times New Roman" w:eastAsia="Times New Roman" w:hAnsi="Times New Roman" w:cs="Times New Roman"/>
                <w:sz w:val="24"/>
                <w:szCs w:val="24"/>
              </w:rPr>
              <w:fldChar w:fldCharType="end"/>
            </w:r>
          </w:p>
        </w:tc>
      </w:tr>
      <w:tr w:rsidR="00325022" w:rsidRPr="00325022" w:rsidTr="005864D5">
        <w:trPr>
          <w:gridAfter w:val="1"/>
          <w:wAfter w:w="226" w:type="dxa"/>
          <w:trHeight w:val="334"/>
          <w:jc w:val="center"/>
        </w:trPr>
        <w:tc>
          <w:tcPr>
            <w:tcW w:w="1287"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b/>
                <w:bCs/>
                <w:sz w:val="24"/>
                <w:szCs w:val="24"/>
              </w:rPr>
            </w:pP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Rs-548-R</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CAGCCTTCGCCA ATACAGAGCC</w:t>
            </w:r>
          </w:p>
        </w:tc>
        <w:tc>
          <w:tcPr>
            <w:tcW w:w="675"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588"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vMerge/>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p>
        </w:tc>
        <w:tc>
          <w:tcPr>
            <w:tcW w:w="1061"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r>
      <w:tr w:rsidR="00325022" w:rsidRPr="00325022" w:rsidTr="005864D5">
        <w:trPr>
          <w:gridAfter w:val="1"/>
          <w:wAfter w:w="226" w:type="dxa"/>
          <w:trHeight w:val="325"/>
          <w:jc w:val="center"/>
        </w:trPr>
        <w:tc>
          <w:tcPr>
            <w:tcW w:w="1287" w:type="dxa"/>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FOXP3</w:t>
            </w:r>
          </w:p>
          <w:p w:rsidR="00325022" w:rsidRPr="00325022" w:rsidRDefault="00325022" w:rsidP="00325022">
            <w:pPr>
              <w:spacing w:after="160" w:line="256" w:lineRule="auto"/>
              <w:ind w:right="-180"/>
              <w:jc w:val="both"/>
              <w:rPr>
                <w:rFonts w:ascii="Times New Roman" w:eastAsia="Times New Roman" w:hAnsi="Times New Roman" w:cs="Times New Roman"/>
                <w:b/>
                <w:bCs/>
                <w:sz w:val="24"/>
                <w:szCs w:val="24"/>
              </w:rPr>
            </w:pPr>
            <w:r w:rsidRPr="00325022">
              <w:rPr>
                <w:rFonts w:ascii="Times New Roman" w:eastAsia="Calibri" w:hAnsi="Times New Roman" w:cs="Times New Roman"/>
                <w:b/>
                <w:bCs/>
                <w:color w:val="000000"/>
                <w:kern w:val="24"/>
                <w:sz w:val="24"/>
                <w:szCs w:val="24"/>
              </w:rPr>
              <w:t>rs2232365</w:t>
            </w: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Rs-365-F</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TGGAGGGCTTTCAAGGTGAGGA</w:t>
            </w:r>
          </w:p>
        </w:tc>
        <w:tc>
          <w:tcPr>
            <w:tcW w:w="675"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A/G</w:t>
            </w:r>
          </w:p>
        </w:tc>
        <w:tc>
          <w:tcPr>
            <w:tcW w:w="588"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59</w:t>
            </w:r>
            <w:r w:rsidRPr="00325022">
              <w:rPr>
                <w:rFonts w:ascii="Cambria Math" w:eastAsia="Calibri" w:hAnsi="Cambria Math" w:cs="Cambria Math"/>
                <w:color w:val="000000"/>
                <w:kern w:val="24"/>
                <w:sz w:val="24"/>
                <w:szCs w:val="24"/>
              </w:rPr>
              <w:t>⁰</w:t>
            </w:r>
            <w:r w:rsidRPr="00325022">
              <w:rPr>
                <w:rFonts w:ascii="Times New Roman" w:eastAsia="Calibri" w:hAnsi="Times New Roman" w:cs="Times New Roman"/>
                <w:color w:val="000000"/>
                <w:kern w:val="24"/>
                <w:sz w:val="24"/>
                <w:szCs w:val="24"/>
              </w:rPr>
              <w:t>C</w:t>
            </w:r>
          </w:p>
        </w:tc>
        <w:tc>
          <w:tcPr>
            <w:tcW w:w="1207" w:type="dxa"/>
            <w:gridSpan w:val="2"/>
            <w:vMerge w:val="restart"/>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BsMBI</w:t>
            </w:r>
          </w:p>
        </w:tc>
        <w:tc>
          <w:tcPr>
            <w:tcW w:w="1207" w:type="dxa"/>
            <w:vMerge w:val="restart"/>
            <w:vAlign w:val="center"/>
            <w:hideMark/>
          </w:tcPr>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374</w:t>
            </w:r>
          </w:p>
          <w:p w:rsidR="00325022" w:rsidRPr="00325022" w:rsidRDefault="00325022" w:rsidP="00325022">
            <w:pPr>
              <w:spacing w:after="160" w:line="256" w:lineRule="auto"/>
              <w:ind w:right="-22"/>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188,186</w:t>
            </w:r>
          </w:p>
        </w:tc>
        <w:tc>
          <w:tcPr>
            <w:tcW w:w="1061" w:type="dxa"/>
            <w:vMerge w:val="restart"/>
            <w:vAlign w:val="center"/>
            <w:hideMark/>
          </w:tcPr>
          <w:p w:rsidR="00325022" w:rsidRPr="00325022" w:rsidRDefault="003053D0"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fldChar w:fldCharType="begin" w:fldLock="1"/>
            </w:r>
            <w:r w:rsidR="00325022" w:rsidRPr="00325022">
              <w:rPr>
                <w:rFonts w:ascii="Times New Roman" w:eastAsia="Calibri" w:hAnsi="Times New Roman" w:cs="Times New Roman"/>
                <w:color w:val="000000"/>
                <w:kern w:val="24"/>
                <w:sz w:val="24"/>
                <w:szCs w:val="24"/>
              </w:rPr>
              <w:instrText>ADDIN CSL_CITATION {"citationItems":[{"id":"ITEM-1","itemData":{"DOI":"10.1155/2012/896458","ISSN":"17402522","PMID":"21876709","abstract":"Unexplained recurrent spontaneous abortion (URSA) is an alloimmune disease associated with the failure of fetal-maternal immunologic tolerance in which the regulatory T lymphocytes (Treg) play a pivotal role. It is well known that Forkhead box P3 (Foxp3) is a crucial regulatory factor for the development and function of Treg cells. It has also been established that deficiency of the Foxp3 gene suppresses the regulatory function of Treg cells. To determine if functional polymorphisms at the Foxp3 loci are associated with URSA in humans, we genotyped four common polymorphisms of Foxp3 gene in 146 unrelated URSA patients and 112 healthy women. The results showed that rs3761548A/C and rs2232365A/G polymorphisms were significantly associated with URSA. Additionally, we found that the allelic distribution of rs5902434 del/ATT in URSA group was slightly different from that in the control group. We conclude that functional polymorphisms of the Foxp3 gene may confer an important susceptibility to URSA in the Chinese Han population, probably by altering Foxp3 function and/or its expression.","author":[{"dropping-particle":"","family":"You","given":"Zeshan","non-dropping-particle":"","parse-names":false,"suffix":""},{"dropping-particle":"","family":"Wu","given":"Zaigui","non-dropping-particle":"","parse-names":false,"suffix":""},{"dropping-particle":"","family":"Zhang","given":"Cai","non-dropping-particle":"","parse-names":false,"suffix":""},{"dropping-particle":"","family":"Li","given":"Zhuyu","non-dropping-particle":"","parse-names":false,"suffix":""},{"dropping-particle":"","family":"Su","given":"Xiumei","non-dropping-particle":"","parse-names":false,"suffix":""},{"dropping-particle":"","family":"Zhang","given":"Xiuming","non-dropping-particle":"","parse-names":false,"suffix":""},{"dropping-particle":"","family":"Li","given":"Yinguang","non-dropping-particle":"","parse-names":false,"suffix":""}],"container-title":"Clinical and Developmental Immunology","id":"ITEM-1","issue":"2012","issued":{"date-parts":[["2012"]]},"title":"Association between functional polymorphisms of foxp3 gene and the occurrence of unexplained recurrent spontaneous abortion in a Chinese Han population","type":"article-journal","volume":"2012"},"uris":["http://www.mendeley.com/documents/?uuid=ad3089b3-fd60-48ce-9710-6e1a73c2a917"]}],"mendeley":{"formattedCitation":"(74)","plainTextFormattedCitation":"(74)","previouslyFormattedCitation":"(74)"},"properties":{"noteIndex":0},"schema":"https://github.com/citation-style-language/schema/raw/master/csl-citation.json"}</w:instrText>
            </w:r>
            <w:r w:rsidRPr="00325022">
              <w:rPr>
                <w:rFonts w:ascii="Times New Roman" w:eastAsia="Calibri" w:hAnsi="Times New Roman" w:cs="Times New Roman"/>
                <w:color w:val="000000"/>
                <w:kern w:val="24"/>
                <w:sz w:val="24"/>
                <w:szCs w:val="24"/>
              </w:rPr>
              <w:fldChar w:fldCharType="separate"/>
            </w:r>
            <w:r w:rsidR="00325022" w:rsidRPr="00325022">
              <w:rPr>
                <w:rFonts w:ascii="Times New Roman" w:eastAsia="Calibri" w:hAnsi="Times New Roman" w:cs="Times New Roman"/>
                <w:noProof/>
                <w:color w:val="000000"/>
                <w:kern w:val="24"/>
                <w:sz w:val="24"/>
                <w:szCs w:val="24"/>
              </w:rPr>
              <w:t>(74)</w:t>
            </w:r>
            <w:r w:rsidRPr="00325022">
              <w:rPr>
                <w:rFonts w:ascii="Times New Roman" w:eastAsia="Calibri" w:hAnsi="Times New Roman" w:cs="Times New Roman"/>
                <w:color w:val="000000"/>
                <w:kern w:val="24"/>
                <w:sz w:val="24"/>
                <w:szCs w:val="24"/>
              </w:rPr>
              <w:fldChar w:fldCharType="end"/>
            </w:r>
          </w:p>
        </w:tc>
      </w:tr>
      <w:tr w:rsidR="00325022" w:rsidRPr="00325022" w:rsidTr="005864D5">
        <w:trPr>
          <w:gridAfter w:val="1"/>
          <w:wAfter w:w="226" w:type="dxa"/>
          <w:trHeight w:val="325"/>
          <w:jc w:val="center"/>
        </w:trPr>
        <w:tc>
          <w:tcPr>
            <w:tcW w:w="1287"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10" w:type="dxa"/>
            <w:vAlign w:val="center"/>
            <w:hideMark/>
          </w:tcPr>
          <w:p w:rsidR="00325022" w:rsidRPr="00325022" w:rsidRDefault="00325022" w:rsidP="00325022">
            <w:pPr>
              <w:spacing w:after="160" w:line="256"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Rs-365-R</w:t>
            </w:r>
          </w:p>
        </w:tc>
        <w:tc>
          <w:tcPr>
            <w:tcW w:w="4891" w:type="dxa"/>
            <w:gridSpan w:val="3"/>
            <w:vAlign w:val="center"/>
            <w:hideMark/>
          </w:tcPr>
          <w:p w:rsidR="00325022" w:rsidRPr="00325022" w:rsidRDefault="00325022" w:rsidP="00325022">
            <w:pPr>
              <w:spacing w:after="160" w:line="256" w:lineRule="auto"/>
              <w:jc w:val="center"/>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GGGGAGTTGGATTGGGTGCA</w:t>
            </w:r>
          </w:p>
        </w:tc>
        <w:tc>
          <w:tcPr>
            <w:tcW w:w="675"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588"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gridSpan w:val="2"/>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c>
          <w:tcPr>
            <w:tcW w:w="1207" w:type="dxa"/>
            <w:vMerge/>
            <w:vAlign w:val="center"/>
            <w:hideMark/>
          </w:tcPr>
          <w:p w:rsidR="00325022" w:rsidRPr="00325022" w:rsidRDefault="00325022" w:rsidP="00325022">
            <w:pPr>
              <w:spacing w:after="160" w:line="259" w:lineRule="auto"/>
              <w:ind w:right="-22"/>
              <w:jc w:val="both"/>
              <w:rPr>
                <w:rFonts w:ascii="Times New Roman" w:eastAsia="Times New Roman" w:hAnsi="Times New Roman" w:cs="Times New Roman"/>
                <w:sz w:val="24"/>
                <w:szCs w:val="24"/>
              </w:rPr>
            </w:pPr>
          </w:p>
        </w:tc>
        <w:tc>
          <w:tcPr>
            <w:tcW w:w="1061" w:type="dxa"/>
            <w:vMerge/>
            <w:vAlign w:val="center"/>
            <w:hideMark/>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p>
        </w:tc>
      </w:tr>
      <w:tr w:rsidR="00325022" w:rsidRPr="00325022" w:rsidTr="005864D5">
        <w:trPr>
          <w:gridAfter w:val="1"/>
          <w:wAfter w:w="226" w:type="dxa"/>
          <w:trHeight w:val="325"/>
          <w:jc w:val="center"/>
        </w:trPr>
        <w:tc>
          <w:tcPr>
            <w:tcW w:w="12126" w:type="dxa"/>
            <w:gridSpan w:val="13"/>
            <w:vAlign w:val="center"/>
          </w:tcPr>
          <w:p w:rsidR="00325022" w:rsidRPr="00325022" w:rsidRDefault="00325022" w:rsidP="00325022">
            <w:pPr>
              <w:spacing w:after="160" w:line="259" w:lineRule="auto"/>
              <w:ind w:right="-180"/>
              <w:jc w:val="both"/>
              <w:rPr>
                <w:rFonts w:ascii="Times New Roman" w:eastAsia="Times New Roman" w:hAnsi="Times New Roman" w:cs="Times New Roman"/>
                <w:sz w:val="24"/>
                <w:szCs w:val="24"/>
              </w:rPr>
            </w:pPr>
            <w:r w:rsidRPr="00325022">
              <w:rPr>
                <w:rFonts w:ascii="Times New Roman" w:eastAsia="Calibri" w:hAnsi="Times New Roman" w:cs="Times New Roman"/>
                <w:color w:val="000000"/>
                <w:kern w:val="24"/>
                <w:sz w:val="24"/>
                <w:szCs w:val="24"/>
              </w:rPr>
              <w:t>T</w:t>
            </w:r>
            <w:r w:rsidRPr="00325022">
              <w:rPr>
                <w:rFonts w:ascii="Times New Roman" w:eastAsia="Calibri" w:hAnsi="Times New Roman" w:cs="Times New Roman"/>
                <w:color w:val="000000"/>
                <w:kern w:val="24"/>
                <w:position w:val="-8"/>
                <w:sz w:val="24"/>
                <w:szCs w:val="24"/>
                <w:vertAlign w:val="subscript"/>
              </w:rPr>
              <w:t>m</w:t>
            </w:r>
            <w:r w:rsidRPr="00325022">
              <w:rPr>
                <w:rFonts w:ascii="Times New Roman" w:eastAsia="Calibri" w:hAnsi="Times New Roman" w:cs="Times New Roman"/>
                <w:color w:val="000000"/>
                <w:kern w:val="24"/>
                <w:position w:val="-8"/>
                <w:sz w:val="24"/>
                <w:szCs w:val="24"/>
              </w:rPr>
              <w:t>:Melting Temperature, SNP: Single Nucleotide Polymorphism, IL28B: Interleukin 28B, FOXP3: forkhead box P3, Rs: Reference Sequence, F: Forward Primer, R: Reverse Primer</w:t>
            </w:r>
          </w:p>
        </w:tc>
      </w:tr>
    </w:tbl>
    <w:p w:rsidR="00325022" w:rsidRDefault="00325022" w:rsidP="00325022">
      <w:pPr>
        <w:tabs>
          <w:tab w:val="left" w:pos="2839"/>
        </w:tabs>
        <w:ind w:right="-1260"/>
        <w:rPr>
          <w:rFonts w:asciiTheme="majorBidi" w:hAnsiTheme="majorBidi" w:cstheme="majorBidi"/>
          <w:sz w:val="28"/>
          <w:szCs w:val="28"/>
        </w:rPr>
      </w:pPr>
    </w:p>
    <w:p w:rsidR="00325022" w:rsidRDefault="00325022" w:rsidP="00325022">
      <w:pPr>
        <w:tabs>
          <w:tab w:val="left" w:pos="2839"/>
        </w:tabs>
        <w:ind w:right="-1260"/>
        <w:rPr>
          <w:rFonts w:asciiTheme="majorBidi" w:hAnsiTheme="majorBidi" w:cstheme="majorBidi"/>
          <w:sz w:val="28"/>
          <w:szCs w:val="28"/>
        </w:rPr>
        <w:sectPr w:rsidR="00325022" w:rsidSect="00325022">
          <w:pgSz w:w="15840" w:h="12240" w:orient="landscape"/>
          <w:pgMar w:top="1440" w:right="810" w:bottom="1440" w:left="1440" w:header="720" w:footer="720" w:gutter="0"/>
          <w:cols w:space="720"/>
          <w:docGrid w:linePitch="360"/>
        </w:sectPr>
      </w:pPr>
    </w:p>
    <w:p w:rsidR="00325022" w:rsidRDefault="00325022" w:rsidP="00AC1B11">
      <w:pPr>
        <w:tabs>
          <w:tab w:val="left" w:pos="2839"/>
        </w:tabs>
        <w:ind w:right="-1260"/>
        <w:rPr>
          <w:rFonts w:asciiTheme="majorBidi" w:hAnsiTheme="majorBidi" w:cstheme="majorBidi"/>
          <w:sz w:val="28"/>
          <w:szCs w:val="28"/>
        </w:rPr>
        <w:sectPr w:rsidR="00325022" w:rsidSect="00325022">
          <w:type w:val="continuous"/>
          <w:pgSz w:w="15840" w:h="12240" w:orient="landscape"/>
          <w:pgMar w:top="1440" w:right="810" w:bottom="1440" w:left="1440" w:header="720" w:footer="720" w:gutter="0"/>
          <w:cols w:space="720"/>
          <w:docGrid w:linePitch="360"/>
        </w:sectPr>
      </w:pPr>
    </w:p>
    <w:p w:rsidR="0064684C" w:rsidRDefault="0064684C" w:rsidP="00CD7DA9">
      <w:pPr>
        <w:tabs>
          <w:tab w:val="left" w:pos="2839"/>
        </w:tabs>
        <w:rPr>
          <w:rFonts w:asciiTheme="majorBidi" w:hAnsiTheme="majorBidi" w:cstheme="majorBidi"/>
          <w:sz w:val="28"/>
          <w:szCs w:val="28"/>
        </w:rPr>
      </w:pPr>
    </w:p>
    <w:tbl>
      <w:tblPr>
        <w:tblStyle w:val="TableGrid"/>
        <w:tblpPr w:leftFromText="180" w:rightFromText="180" w:vertAnchor="text" w:horzAnchor="margin" w:tblpY="-64"/>
        <w:tblOverlap w:val="never"/>
        <w:tblW w:w="0" w:type="auto"/>
        <w:tblBorders>
          <w:top w:val="none" w:sz="0" w:space="0" w:color="auto"/>
          <w:left w:val="none" w:sz="0" w:space="0" w:color="auto"/>
          <w:right w:val="none" w:sz="0" w:space="0" w:color="auto"/>
          <w:insideV w:val="none" w:sz="0" w:space="0" w:color="auto"/>
        </w:tblBorders>
        <w:tblLook w:val="04A0"/>
      </w:tblPr>
      <w:tblGrid>
        <w:gridCol w:w="3595"/>
        <w:gridCol w:w="935"/>
        <w:gridCol w:w="1355"/>
        <w:gridCol w:w="935"/>
        <w:gridCol w:w="1680"/>
      </w:tblGrid>
      <w:tr w:rsidR="00B8591F" w:rsidRPr="00F04146" w:rsidTr="00F941A1">
        <w:trPr>
          <w:trHeight w:val="288"/>
        </w:trPr>
        <w:tc>
          <w:tcPr>
            <w:tcW w:w="8500" w:type="dxa"/>
            <w:gridSpan w:val="5"/>
            <w:tcBorders>
              <w:top w:val="single" w:sz="12" w:space="0" w:color="808080" w:themeColor="background1" w:themeShade="80"/>
              <w:left w:val="nil"/>
              <w:bottom w:val="single" w:sz="12" w:space="0" w:color="808080" w:themeColor="background1" w:themeShade="80"/>
              <w:right w:val="nil"/>
            </w:tcBorders>
          </w:tcPr>
          <w:p w:rsidR="00B8591F" w:rsidRPr="00F04146" w:rsidRDefault="00F552F2" w:rsidP="00F941A1">
            <w:pPr>
              <w:pStyle w:val="ListParagraph"/>
              <w:spacing w:line="240" w:lineRule="auto"/>
              <w:jc w:val="center"/>
              <w:rPr>
                <w:rFonts w:asciiTheme="majorBidi" w:hAnsiTheme="majorBidi" w:cstheme="majorBidi"/>
                <w:b/>
                <w:bCs/>
                <w:sz w:val="20"/>
                <w:szCs w:val="20"/>
              </w:rPr>
            </w:pPr>
            <w:r>
              <w:rPr>
                <w:rFonts w:asciiTheme="majorBidi" w:hAnsiTheme="majorBidi" w:cstheme="majorBidi"/>
                <w:b/>
                <w:bCs/>
                <w:sz w:val="20"/>
                <w:szCs w:val="20"/>
              </w:rPr>
              <w:t xml:space="preserve">Supp. </w:t>
            </w:r>
            <w:r w:rsidR="00B8591F">
              <w:rPr>
                <w:rFonts w:asciiTheme="majorBidi" w:hAnsiTheme="majorBidi" w:cstheme="majorBidi"/>
                <w:b/>
                <w:bCs/>
                <w:sz w:val="20"/>
                <w:szCs w:val="20"/>
              </w:rPr>
              <w:t>Table (2) Correlation Analysis</w:t>
            </w:r>
            <w:r w:rsidR="00B8591F" w:rsidRPr="00F04146">
              <w:rPr>
                <w:rFonts w:asciiTheme="majorBidi" w:hAnsiTheme="majorBidi" w:cstheme="majorBidi"/>
                <w:b/>
                <w:bCs/>
                <w:sz w:val="20"/>
                <w:szCs w:val="20"/>
              </w:rPr>
              <w:t xml:space="preserve"> Correlation Analysis of IL28B and FOXP3 Serum Levels with different factors</w:t>
            </w:r>
          </w:p>
        </w:tc>
      </w:tr>
      <w:tr w:rsidR="00F941A1" w:rsidRPr="00F04146" w:rsidTr="00F941A1">
        <w:trPr>
          <w:trHeight w:val="288"/>
        </w:trPr>
        <w:tc>
          <w:tcPr>
            <w:tcW w:w="8500" w:type="dxa"/>
            <w:gridSpan w:val="5"/>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B8591F" w:rsidP="00B8591F">
            <w:pPr>
              <w:pStyle w:val="ListParagraph"/>
              <w:spacing w:line="240" w:lineRule="auto"/>
              <w:rPr>
                <w:rFonts w:asciiTheme="majorBidi" w:hAnsiTheme="majorBidi" w:cstheme="majorBidi"/>
                <w:b/>
                <w:bCs/>
                <w:sz w:val="20"/>
                <w:szCs w:val="20"/>
              </w:rPr>
            </w:pPr>
            <w:r>
              <w:rPr>
                <w:rFonts w:asciiTheme="majorBidi" w:hAnsiTheme="majorBidi" w:cstheme="majorBidi"/>
                <w:b/>
                <w:bCs/>
                <w:sz w:val="20"/>
                <w:szCs w:val="20"/>
              </w:rPr>
              <w:t>(A</w:t>
            </w:r>
            <w:r w:rsidR="00F941A1" w:rsidRPr="00F04146">
              <w:rPr>
                <w:rFonts w:asciiTheme="majorBidi" w:hAnsiTheme="majorBidi" w:cstheme="majorBidi"/>
                <w:b/>
                <w:bCs/>
                <w:sz w:val="20"/>
                <w:szCs w:val="20"/>
              </w:rPr>
              <w:t>): Responder Subjects</w:t>
            </w:r>
          </w:p>
        </w:tc>
      </w:tr>
      <w:tr w:rsidR="00F941A1" w:rsidRPr="00F04146" w:rsidTr="00F941A1">
        <w:trPr>
          <w:trHeight w:val="288"/>
        </w:trPr>
        <w:tc>
          <w:tcPr>
            <w:tcW w:w="3595" w:type="dxa"/>
            <w:tcBorders>
              <w:top w:val="single" w:sz="12" w:space="0" w:color="808080" w:themeColor="background1" w:themeShade="80"/>
              <w:left w:val="nil"/>
              <w:bottom w:val="single" w:sz="12" w:space="0" w:color="FFFFFF"/>
              <w:right w:val="nil"/>
            </w:tcBorders>
            <w:hideMark/>
          </w:tcPr>
          <w:p w:rsidR="00F941A1" w:rsidRPr="00F04146" w:rsidRDefault="00F941A1" w:rsidP="00F941A1">
            <w:pPr>
              <w:rPr>
                <w:rFonts w:asciiTheme="majorBidi" w:hAnsiTheme="majorBidi" w:cstheme="majorBidi"/>
                <w:sz w:val="20"/>
                <w:szCs w:val="20"/>
              </w:rPr>
            </w:pPr>
          </w:p>
        </w:tc>
        <w:tc>
          <w:tcPr>
            <w:tcW w:w="2290" w:type="dxa"/>
            <w:gridSpan w:val="2"/>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IL28B Serum Level</w:t>
            </w:r>
          </w:p>
        </w:tc>
        <w:tc>
          <w:tcPr>
            <w:tcW w:w="2615" w:type="dxa"/>
            <w:gridSpan w:val="2"/>
            <w:tcBorders>
              <w:top w:val="single" w:sz="12" w:space="0" w:color="808080" w:themeColor="background1" w:themeShade="80"/>
              <w:left w:val="nil"/>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FOXP3 Serum Level</w:t>
            </w:r>
          </w:p>
        </w:tc>
      </w:tr>
      <w:tr w:rsidR="00F941A1" w:rsidRPr="00F04146" w:rsidTr="00F941A1">
        <w:trPr>
          <w:trHeight w:val="288"/>
        </w:trPr>
        <w:tc>
          <w:tcPr>
            <w:tcW w:w="3595" w:type="dxa"/>
            <w:tcBorders>
              <w:top w:val="single" w:sz="12" w:space="0" w:color="FFFFFF"/>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sz w:val="20"/>
                <w:szCs w:val="20"/>
              </w:rPr>
            </w:pPr>
          </w:p>
        </w:tc>
        <w:tc>
          <w:tcPr>
            <w:tcW w:w="93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r</w:t>
            </w:r>
          </w:p>
        </w:tc>
        <w:tc>
          <w:tcPr>
            <w:tcW w:w="135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P Value</w:t>
            </w:r>
          </w:p>
        </w:tc>
        <w:tc>
          <w:tcPr>
            <w:tcW w:w="93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r</w:t>
            </w:r>
          </w:p>
        </w:tc>
        <w:tc>
          <w:tcPr>
            <w:tcW w:w="1680" w:type="dxa"/>
            <w:tcBorders>
              <w:top w:val="single" w:sz="12" w:space="0" w:color="808080" w:themeColor="background1" w:themeShade="80"/>
              <w:left w:val="nil"/>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P Value</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IL28B Serum Level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FOXP3 Serum Level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0.436</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i/>
                <w:iCs/>
                <w:sz w:val="20"/>
                <w:szCs w:val="20"/>
              </w:rPr>
            </w:pPr>
            <w:r w:rsidRPr="00F04146">
              <w:rPr>
                <w:rFonts w:asciiTheme="majorBidi" w:hAnsiTheme="majorBidi" w:cstheme="majorBidi"/>
                <w:b/>
                <w:bCs/>
                <w:i/>
                <w:iCs/>
                <w:sz w:val="20"/>
                <w:szCs w:val="20"/>
              </w:rPr>
              <w:t>0.001</w:t>
            </w:r>
            <w:r w:rsidRPr="00F04146">
              <w:rPr>
                <w:rFonts w:asciiTheme="majorBidi" w:hAnsiTheme="majorBidi" w:cstheme="majorBidi"/>
                <w:b/>
                <w:bCs/>
                <w:i/>
                <w:iCs/>
                <w:sz w:val="20"/>
                <w:szCs w:val="20"/>
                <w:vertAlign w:val="superscript"/>
              </w:rPr>
              <w:t>**</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HCV DNA Quantification</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0.355</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i/>
                <w:iCs/>
                <w:sz w:val="20"/>
                <w:szCs w:val="20"/>
              </w:rPr>
            </w:pPr>
            <w:r w:rsidRPr="00F04146">
              <w:rPr>
                <w:rFonts w:asciiTheme="majorBidi" w:hAnsiTheme="majorBidi" w:cstheme="majorBidi"/>
                <w:b/>
                <w:bCs/>
                <w:i/>
                <w:iCs/>
                <w:sz w:val="20"/>
                <w:szCs w:val="20"/>
              </w:rPr>
              <w:t>0.007</w:t>
            </w:r>
            <w:r w:rsidRPr="00F04146">
              <w:rPr>
                <w:rFonts w:asciiTheme="majorBidi" w:hAnsiTheme="majorBidi" w:cstheme="majorBidi"/>
                <w:b/>
                <w:bCs/>
                <w:i/>
                <w:iCs/>
                <w:sz w:val="20"/>
                <w:szCs w:val="20"/>
                <w:vertAlign w:val="superscript"/>
              </w:rPr>
              <w:t>**</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0.090</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0.496</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ALT (IU/L)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0.047</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0.731</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sz w:val="20"/>
                <w:szCs w:val="20"/>
              </w:rPr>
              <w:t>0.197</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0.731</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AST (IU/L)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0.045</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0.743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0.129</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AFP (IU/L)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0.067</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0.621</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0.067</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0.612</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Albumin (g/dL)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0.032</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0.813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0.006</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0.962</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Total bilirubin (mg/dL)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-0.022</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0.874</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-0.167</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0.205</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WBCx10^3/mm^3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0.003</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0.982</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-0.086</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0.518</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HB(g/dl)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0.184</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0.174</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0.050</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0.710</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Creatinine (mg/dl)</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-0.013</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0.927</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-0.143</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0.279</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8677B9" w:rsidP="00F941A1">
            <w:pPr>
              <w:rPr>
                <w:rFonts w:asciiTheme="majorBidi" w:hAnsiTheme="majorBidi" w:cstheme="majorBidi"/>
                <w:b/>
                <w:bCs/>
                <w:sz w:val="20"/>
                <w:szCs w:val="20"/>
              </w:rPr>
            </w:pPr>
            <w:r w:rsidRPr="00F04146">
              <w:rPr>
                <w:rFonts w:asciiTheme="majorBidi" w:hAnsiTheme="majorBidi" w:cstheme="majorBidi"/>
                <w:b/>
                <w:bCs/>
                <w:sz w:val="20"/>
                <w:szCs w:val="20"/>
              </w:rPr>
              <w:t>INR</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0.008</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0.954</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0.096</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0.467</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Platelets x10^3/mm^3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0.330</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b/>
                <w:bCs/>
                <w:i/>
                <w:iCs/>
                <w:sz w:val="20"/>
                <w:szCs w:val="20"/>
              </w:rPr>
            </w:pPr>
            <w:r w:rsidRPr="00F04146">
              <w:rPr>
                <w:rFonts w:asciiTheme="majorBidi" w:hAnsiTheme="majorBidi" w:cstheme="majorBidi"/>
                <w:b/>
                <w:bCs/>
                <w:i/>
                <w:iCs/>
                <w:sz w:val="20"/>
                <w:szCs w:val="20"/>
              </w:rPr>
              <w:t>0.013</w:t>
            </w:r>
            <w:r w:rsidRPr="00F04146">
              <w:rPr>
                <w:rFonts w:asciiTheme="majorBidi" w:hAnsiTheme="majorBidi" w:cstheme="majorBidi"/>
                <w:b/>
                <w:bCs/>
                <w:i/>
                <w:iCs/>
                <w:sz w:val="20"/>
                <w:szCs w:val="20"/>
                <w:vertAlign w:val="superscript"/>
              </w:rPr>
              <w:t>*</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0.099</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0.456</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APRI Score</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-0.159</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0.243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0.053</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0.689</w:t>
            </w:r>
          </w:p>
        </w:tc>
      </w:tr>
      <w:tr w:rsidR="00F941A1" w:rsidRPr="00F04146" w:rsidTr="00F941A1">
        <w:trPr>
          <w:trHeight w:val="288"/>
        </w:trPr>
        <w:tc>
          <w:tcPr>
            <w:tcW w:w="3595" w:type="dxa"/>
            <w:tcBorders>
              <w:top w:val="single" w:sz="12" w:space="0" w:color="808080" w:themeColor="background1" w:themeShade="80"/>
              <w:left w:val="nil"/>
              <w:bottom w:val="single" w:sz="12" w:space="0" w:color="808080" w:themeColor="background1" w:themeShade="80"/>
              <w:right w:val="nil"/>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Fibrosis Score</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-0.069</w:t>
            </w:r>
          </w:p>
        </w:tc>
        <w:tc>
          <w:tcPr>
            <w:tcW w:w="135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0.613</w:t>
            </w:r>
          </w:p>
        </w:tc>
        <w:tc>
          <w:tcPr>
            <w:tcW w:w="935"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0.009</w:t>
            </w:r>
          </w:p>
        </w:tc>
        <w:tc>
          <w:tcPr>
            <w:tcW w:w="1680" w:type="dxa"/>
            <w:tcBorders>
              <w:top w:val="single" w:sz="12" w:space="0" w:color="808080" w:themeColor="background1" w:themeShade="80"/>
              <w:left w:val="nil"/>
              <w:bottom w:val="single" w:sz="12" w:space="0" w:color="808080" w:themeColor="background1" w:themeShade="80"/>
              <w:right w:val="nil"/>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0.947</w:t>
            </w:r>
          </w:p>
        </w:tc>
      </w:tr>
    </w:tbl>
    <w:p w:rsidR="00425320" w:rsidRDefault="00425320"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tbl>
      <w:tblPr>
        <w:tblStyle w:val="TableGrid"/>
        <w:tblpPr w:leftFromText="180" w:rightFromText="180" w:vertAnchor="text" w:horzAnchor="margin" w:tblpY="58"/>
        <w:tblOverlap w:val="never"/>
        <w:tblW w:w="0" w:type="auto"/>
        <w:tblBorders>
          <w:top w:val="single" w:sz="18" w:space="0" w:color="FFFFFF" w:themeColor="background1"/>
          <w:left w:val="single" w:sz="18" w:space="0" w:color="FFFFFF" w:themeColor="background1"/>
          <w:bottom w:val="single" w:sz="4" w:space="0" w:color="FFFFFF" w:themeColor="background1"/>
          <w:right w:val="single" w:sz="18" w:space="0" w:color="FFFFFF" w:themeColor="background1"/>
          <w:insideH w:val="single" w:sz="18" w:space="0" w:color="808080" w:themeColor="background1" w:themeShade="80"/>
          <w:insideV w:val="single" w:sz="18" w:space="0" w:color="FFFFFF" w:themeColor="background1"/>
        </w:tblBorders>
        <w:tblLook w:val="04A0"/>
      </w:tblPr>
      <w:tblGrid>
        <w:gridCol w:w="3595"/>
        <w:gridCol w:w="935"/>
        <w:gridCol w:w="1355"/>
        <w:gridCol w:w="935"/>
        <w:gridCol w:w="1680"/>
      </w:tblGrid>
      <w:tr w:rsidR="00F941A1" w:rsidRPr="00F04146" w:rsidTr="00F941A1">
        <w:trPr>
          <w:trHeight w:val="288"/>
        </w:trPr>
        <w:tc>
          <w:tcPr>
            <w:tcW w:w="8500" w:type="dxa"/>
            <w:gridSpan w:val="5"/>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B8591F" w:rsidP="00B8591F">
            <w:pPr>
              <w:rPr>
                <w:rFonts w:asciiTheme="majorBidi" w:hAnsiTheme="majorBidi" w:cstheme="majorBidi"/>
                <w:b/>
                <w:bCs/>
                <w:sz w:val="20"/>
                <w:szCs w:val="20"/>
              </w:rPr>
            </w:pPr>
            <w:r>
              <w:rPr>
                <w:rFonts w:asciiTheme="majorBidi" w:hAnsiTheme="majorBidi" w:cstheme="majorBidi"/>
                <w:b/>
                <w:bCs/>
                <w:sz w:val="20"/>
                <w:szCs w:val="20"/>
              </w:rPr>
              <w:t>(B</w:t>
            </w:r>
            <w:r w:rsidR="008677B9" w:rsidRPr="00F04146">
              <w:rPr>
                <w:rFonts w:asciiTheme="majorBidi" w:hAnsiTheme="majorBidi" w:cstheme="majorBidi"/>
                <w:b/>
                <w:bCs/>
                <w:sz w:val="20"/>
                <w:szCs w:val="20"/>
              </w:rPr>
              <w:t xml:space="preserve">): </w:t>
            </w:r>
            <w:r w:rsidR="00F941A1" w:rsidRPr="00F04146">
              <w:rPr>
                <w:rFonts w:asciiTheme="majorBidi" w:hAnsiTheme="majorBidi" w:cstheme="majorBidi"/>
                <w:b/>
                <w:bCs/>
                <w:sz w:val="20"/>
                <w:szCs w:val="20"/>
              </w:rPr>
              <w:t>Non-Responder Subjects</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FFFFFF"/>
              <w:right w:val="single" w:sz="12" w:space="0" w:color="FFFFFF"/>
            </w:tcBorders>
            <w:hideMark/>
          </w:tcPr>
          <w:p w:rsidR="00F941A1" w:rsidRPr="00F04146" w:rsidRDefault="00F941A1" w:rsidP="00F941A1">
            <w:pPr>
              <w:rPr>
                <w:rFonts w:asciiTheme="majorBidi" w:hAnsiTheme="majorBidi" w:cstheme="majorBidi"/>
                <w:sz w:val="20"/>
                <w:szCs w:val="20"/>
              </w:rPr>
            </w:pPr>
          </w:p>
        </w:tc>
        <w:tc>
          <w:tcPr>
            <w:tcW w:w="2290" w:type="dxa"/>
            <w:gridSpan w:val="2"/>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IL28B Serum Level</w:t>
            </w:r>
          </w:p>
        </w:tc>
        <w:tc>
          <w:tcPr>
            <w:tcW w:w="2615" w:type="dxa"/>
            <w:gridSpan w:val="2"/>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FOXP3 Serum Level</w:t>
            </w:r>
          </w:p>
        </w:tc>
      </w:tr>
      <w:tr w:rsidR="00F941A1" w:rsidRPr="00F04146" w:rsidTr="00F941A1">
        <w:trPr>
          <w:trHeight w:val="288"/>
        </w:trPr>
        <w:tc>
          <w:tcPr>
            <w:tcW w:w="3595" w:type="dxa"/>
            <w:tcBorders>
              <w:top w:val="single" w:sz="12" w:space="0" w:color="FFFFFF"/>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sz w:val="20"/>
                <w:szCs w:val="20"/>
              </w:rPr>
            </w:pP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r</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P Value</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r</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P Value</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IL28B Serum Level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FOXP3 Serum Level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0.226</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0.312</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HCV DNA Quantification</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-0.094</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0.678</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-0.248</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0.232</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ALT (IU/L)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-0.189</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0.399</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b/>
                <w:bCs/>
                <w:sz w:val="20"/>
                <w:szCs w:val="20"/>
              </w:rPr>
            </w:pPr>
            <w:r w:rsidRPr="00F04146">
              <w:rPr>
                <w:rFonts w:asciiTheme="majorBidi" w:hAnsiTheme="majorBidi" w:cstheme="majorBidi"/>
                <w:b/>
                <w:bCs/>
                <w:sz w:val="20"/>
                <w:szCs w:val="20"/>
              </w:rPr>
              <w:t>-0.480</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b/>
                <w:bCs/>
                <w:i/>
                <w:iCs/>
                <w:sz w:val="20"/>
                <w:szCs w:val="20"/>
              </w:rPr>
            </w:pPr>
            <w:r w:rsidRPr="00F04146">
              <w:rPr>
                <w:rFonts w:asciiTheme="majorBidi" w:hAnsiTheme="majorBidi" w:cstheme="majorBidi"/>
                <w:b/>
                <w:bCs/>
                <w:i/>
                <w:iCs/>
                <w:sz w:val="20"/>
                <w:szCs w:val="20"/>
              </w:rPr>
              <w:t>0.015</w:t>
            </w:r>
            <w:r w:rsidRPr="00F04146">
              <w:rPr>
                <w:rFonts w:asciiTheme="majorBidi" w:hAnsiTheme="majorBidi" w:cstheme="majorBidi"/>
                <w:b/>
                <w:bCs/>
                <w:i/>
                <w:iCs/>
                <w:sz w:val="20"/>
                <w:szCs w:val="20"/>
                <w:vertAlign w:val="superscript"/>
              </w:rPr>
              <w:t>*</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AST (IU/L)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-0.369</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0.091</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-0.328</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0.110</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AFP (IU/L)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-0.232</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0.298</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-0.169</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0.418</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Albumin (g/dL)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0.212</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0.343</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0.142</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0.498</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Total bilirubin (mg/dL)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0.024</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0.915</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-0.228</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0.274</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WBCx10^3/mm^3</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0.340</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0.122</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0.282</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0.172</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HB (g/dl)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0.251</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0.259</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-0.282</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0.171</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Creatinine (mg/dl)</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-0.129</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0.567</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-0.067</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0.752</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8677B9" w:rsidP="00F941A1">
            <w:pPr>
              <w:rPr>
                <w:rFonts w:asciiTheme="majorBidi" w:hAnsiTheme="majorBidi" w:cstheme="majorBidi"/>
                <w:b/>
                <w:bCs/>
                <w:sz w:val="20"/>
                <w:szCs w:val="20"/>
              </w:rPr>
            </w:pPr>
            <w:r w:rsidRPr="00F04146">
              <w:rPr>
                <w:rFonts w:asciiTheme="majorBidi" w:hAnsiTheme="majorBidi" w:cstheme="majorBidi"/>
                <w:b/>
                <w:bCs/>
                <w:sz w:val="20"/>
                <w:szCs w:val="20"/>
              </w:rPr>
              <w:t>INR</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-0.252</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0.257</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0.012</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0.956</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Platelets x10^3/mm^3</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-0.041</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0.855</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-0.025</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0.904</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APRI Score</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-0.383</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0.078</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-0.322</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0.117</w:t>
            </w:r>
          </w:p>
        </w:tc>
      </w:tr>
      <w:tr w:rsidR="00F941A1" w:rsidRPr="00F04146" w:rsidTr="00F941A1">
        <w:trPr>
          <w:trHeight w:val="288"/>
        </w:trPr>
        <w:tc>
          <w:tcPr>
            <w:tcW w:w="359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hideMark/>
          </w:tcPr>
          <w:p w:rsidR="00F941A1" w:rsidRPr="00F04146" w:rsidRDefault="00F941A1" w:rsidP="00F941A1">
            <w:pPr>
              <w:rPr>
                <w:rFonts w:asciiTheme="majorBidi" w:hAnsiTheme="majorBidi" w:cstheme="majorBidi"/>
                <w:b/>
                <w:bCs/>
                <w:sz w:val="20"/>
                <w:szCs w:val="20"/>
              </w:rPr>
            </w:pPr>
            <w:r w:rsidRPr="00F04146">
              <w:rPr>
                <w:rFonts w:asciiTheme="majorBidi" w:hAnsiTheme="majorBidi" w:cstheme="majorBidi"/>
                <w:b/>
                <w:bCs/>
                <w:sz w:val="20"/>
                <w:szCs w:val="20"/>
              </w:rPr>
              <w:t>Fibrosis Score</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-0.223</w:t>
            </w:r>
          </w:p>
        </w:tc>
        <w:tc>
          <w:tcPr>
            <w:tcW w:w="135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0.320</w:t>
            </w:r>
          </w:p>
        </w:tc>
        <w:tc>
          <w:tcPr>
            <w:tcW w:w="935"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-0.195</w:t>
            </w:r>
          </w:p>
        </w:tc>
        <w:tc>
          <w:tcPr>
            <w:tcW w:w="1680" w:type="dxa"/>
            <w:tcBorders>
              <w:top w:val="single" w:sz="12" w:space="0" w:color="808080" w:themeColor="background1" w:themeShade="80"/>
              <w:left w:val="single" w:sz="12" w:space="0" w:color="FFFFFF"/>
              <w:bottom w:val="single" w:sz="12" w:space="0" w:color="808080" w:themeColor="background1" w:themeShade="80"/>
              <w:right w:val="single" w:sz="12" w:space="0" w:color="FFFFFF"/>
            </w:tcBorders>
            <w:vAlign w:val="center"/>
            <w:hideMark/>
          </w:tcPr>
          <w:p w:rsidR="00F941A1" w:rsidRPr="00F04146" w:rsidRDefault="00F941A1" w:rsidP="00F941A1">
            <w:pPr>
              <w:jc w:val="center"/>
              <w:rPr>
                <w:rFonts w:asciiTheme="majorBidi" w:hAnsiTheme="majorBidi" w:cstheme="majorBidi"/>
                <w:sz w:val="20"/>
                <w:szCs w:val="20"/>
              </w:rPr>
            </w:pPr>
            <w:r w:rsidRPr="00F04146">
              <w:rPr>
                <w:rFonts w:asciiTheme="majorBidi" w:hAnsiTheme="majorBidi" w:cstheme="majorBidi"/>
                <w:sz w:val="20"/>
                <w:szCs w:val="20"/>
              </w:rPr>
              <w:t>0.349</w:t>
            </w:r>
          </w:p>
        </w:tc>
      </w:tr>
    </w:tbl>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Default="00B7466E" w:rsidP="00CD7DA9">
      <w:pPr>
        <w:tabs>
          <w:tab w:val="left" w:pos="2839"/>
        </w:tabs>
        <w:rPr>
          <w:rFonts w:asciiTheme="majorBidi" w:hAnsiTheme="majorBidi" w:cstheme="majorBidi"/>
          <w:sz w:val="28"/>
          <w:szCs w:val="28"/>
        </w:rPr>
      </w:pPr>
    </w:p>
    <w:p w:rsidR="00B7466E" w:rsidRPr="00F04146" w:rsidRDefault="008677B9" w:rsidP="00F04146">
      <w:pPr>
        <w:tabs>
          <w:tab w:val="left" w:pos="2839"/>
        </w:tabs>
        <w:spacing w:after="0"/>
        <w:rPr>
          <w:rFonts w:asciiTheme="majorBidi" w:hAnsiTheme="majorBidi" w:cstheme="majorBidi"/>
          <w:sz w:val="20"/>
          <w:szCs w:val="20"/>
        </w:rPr>
      </w:pPr>
      <w:r w:rsidRPr="00F04146">
        <w:rPr>
          <w:rFonts w:asciiTheme="majorBidi" w:hAnsiTheme="majorBidi" w:cstheme="majorBidi"/>
          <w:sz w:val="20"/>
          <w:szCs w:val="20"/>
        </w:rPr>
        <w:t>P value &gt; 0.05: non-significant; *P value &lt; 0.05: significant; **P value &lt; 0.01: highly significant</w:t>
      </w:r>
      <w:r w:rsidR="00F04146" w:rsidRPr="00F04146">
        <w:rPr>
          <w:rFonts w:asciiTheme="majorBidi" w:hAnsiTheme="majorBidi" w:cstheme="majorBidi"/>
          <w:sz w:val="20"/>
          <w:szCs w:val="20"/>
        </w:rPr>
        <w:t>. Bold type indicates statistically significant results.</w:t>
      </w:r>
    </w:p>
    <w:p w:rsidR="006D53F3" w:rsidRPr="00F04146" w:rsidRDefault="00F04146" w:rsidP="00F04146">
      <w:pPr>
        <w:tabs>
          <w:tab w:val="left" w:pos="2839"/>
        </w:tabs>
        <w:rPr>
          <w:rFonts w:asciiTheme="majorBidi" w:hAnsiTheme="majorBidi" w:cstheme="majorBidi"/>
          <w:sz w:val="20"/>
          <w:szCs w:val="20"/>
        </w:rPr>
      </w:pPr>
      <w:r w:rsidRPr="00F04146">
        <w:rPr>
          <w:rFonts w:asciiTheme="majorBidi" w:hAnsiTheme="majorBidi" w:cstheme="majorBidi"/>
          <w:sz w:val="20"/>
          <w:szCs w:val="20"/>
        </w:rPr>
        <w:t>ALT: alanine aminotransferase, AST: aspartate aminotransferase, AFP: Alpha fetoprotein, WBC: white blood cells, HB: Hemoglobin, INR: international normalised ratio, APRI: AST to Platelet Ratio Index</w:t>
      </w:r>
      <w:r>
        <w:rPr>
          <w:rFonts w:asciiTheme="majorBidi" w:hAnsiTheme="majorBidi" w:cstheme="majorBidi"/>
          <w:sz w:val="20"/>
          <w:szCs w:val="20"/>
        </w:rPr>
        <w:t xml:space="preserve">, </w:t>
      </w:r>
      <w:r w:rsidRPr="00F04146">
        <w:rPr>
          <w:rFonts w:asciiTheme="majorBidi" w:hAnsiTheme="majorBidi" w:cstheme="majorBidi"/>
          <w:sz w:val="20"/>
          <w:szCs w:val="20"/>
        </w:rPr>
        <w:t>IL28B:interleukin 28B, FOXP3: forkhead box P3</w:t>
      </w:r>
      <w:r w:rsidR="002309E2">
        <w:rPr>
          <w:rFonts w:asciiTheme="majorBidi" w:hAnsiTheme="majorBidi" w:cstheme="majorBidi"/>
          <w:sz w:val="20"/>
          <w:szCs w:val="20"/>
        </w:rPr>
        <w:t>, HCV: Hepatitis C Virus</w:t>
      </w:r>
    </w:p>
    <w:p w:rsidR="00213907" w:rsidRDefault="00213907" w:rsidP="00CD7DA9">
      <w:pPr>
        <w:tabs>
          <w:tab w:val="left" w:pos="2839"/>
        </w:tabs>
        <w:rPr>
          <w:rFonts w:asciiTheme="majorBidi" w:hAnsiTheme="majorBidi" w:cstheme="majorBidi"/>
          <w:sz w:val="28"/>
          <w:szCs w:val="28"/>
        </w:rPr>
      </w:pPr>
    </w:p>
    <w:p w:rsidR="0083383B" w:rsidRDefault="0083383B" w:rsidP="00CD7DA9">
      <w:pPr>
        <w:tabs>
          <w:tab w:val="left" w:pos="2839"/>
        </w:tabs>
        <w:rPr>
          <w:rFonts w:asciiTheme="majorBidi" w:hAnsiTheme="majorBidi" w:cstheme="majorBidi"/>
          <w:sz w:val="28"/>
          <w:szCs w:val="28"/>
        </w:rPr>
      </w:pPr>
    </w:p>
    <w:p w:rsidR="004A4DC9" w:rsidRPr="004A4DC9" w:rsidRDefault="003053D0" w:rsidP="00AE2AED">
      <w:pPr>
        <w:rPr>
          <w:rFonts w:asciiTheme="majorBidi" w:hAnsiTheme="majorBidi" w:cstheme="majorBidi"/>
          <w:sz w:val="28"/>
          <w:szCs w:val="28"/>
        </w:rPr>
      </w:pPr>
      <w:r w:rsidRPr="003053D0">
        <w:rPr>
          <w:noProof/>
        </w:rPr>
        <w:pict>
          <v:shapetype id="_x0000_t202" coordsize="21600,21600" o:spt="202" path="m,l,21600r21600,l21600,xe">
            <v:stroke joinstyle="miter"/>
            <v:path gradientshapeok="t" o:connecttype="rect"/>
          </v:shapetype>
          <v:shape id="Text Box 27" o:spid="_x0000_s1026" type="#_x0000_t202" style="position:absolute;margin-left:478.6pt;margin-top:28.15pt;width:20.15pt;height:19.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" filled="f" stroked="f" strokeweight=".5pt">
            <v:textbox>
              <w:txbxContent>
                <w:p w:rsidR="00211A27" w:rsidRPr="00211A27" w:rsidRDefault="00211A27" w:rsidP="00211A27">
                  <w:pPr>
                    <w:rPr>
                      <w:rFonts w:asciiTheme="majorBidi" w:hAnsiTheme="majorBidi" w:cstheme="majorBidi"/>
                      <w:b/>
                      <w:bCs/>
                      <w:color w:val="FFFFFF"/>
                      <w:sz w:val="24"/>
                      <w:szCs w:val="24"/>
                    </w:rPr>
                  </w:pPr>
                  <w:r w:rsidRPr="00211A27">
                    <w:rPr>
                      <w:rFonts w:asciiTheme="majorBidi" w:hAnsiTheme="majorBidi" w:cstheme="majorBidi"/>
                      <w:b/>
                      <w:bCs/>
                      <w:color w:val="FFFFFF"/>
                      <w:sz w:val="24"/>
                      <w:szCs w:val="24"/>
                    </w:rPr>
                    <w:t>M</w:t>
                  </w:r>
                </w:p>
              </w:txbxContent>
            </v:textbox>
          </v:shape>
        </w:pict>
      </w:r>
      <w:r w:rsidRPr="003053D0">
        <w:rPr>
          <w:noProof/>
        </w:rPr>
        <w:pict>
          <v:group id="Group 37" o:spid="_x0000_s1027" style="position:absolute;margin-left:335.8pt;margin-top:.55pt;width:157.8pt;height:23.05pt;z-index:251674624" coordsize="20040,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">
            <v:shape id="Text Box 28" o:spid="_x0000_s1028" type="#_x0000_t202" style="position:absolute;left:11192;width:8848;height:29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211A27" w:rsidRPr="00211A27" w:rsidRDefault="00211A27">
                    <w:pPr>
                      <w:rPr>
                        <w:rFonts w:asciiTheme="majorBidi" w:hAnsiTheme="majorBidi" w:cstheme="majorBidi"/>
                        <w:b/>
                        <w:bCs/>
                        <w:color w:val="FFFFFF"/>
                      </w:rPr>
                    </w:pPr>
                    <w:r w:rsidRPr="00211A27">
                      <w:rPr>
                        <w:rFonts w:asciiTheme="majorBidi" w:hAnsiTheme="majorBidi" w:cstheme="majorBidi"/>
                        <w:b/>
                        <w:bCs/>
                        <w:color w:val="FFFFFF"/>
                      </w:rPr>
                      <w:t>CC     AA</w:t>
                    </w:r>
                  </w:p>
                </w:txbxContent>
              </v:textbox>
            </v:shape>
            <v:shape id="Text Box 29" o:spid="_x0000_s1029" type="#_x0000_t202" style="position:absolute;width:4679;height:27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211A27" w:rsidRPr="00211A27" w:rsidRDefault="00211A27">
                    <w:pPr>
                      <w:rPr>
                        <w:rFonts w:asciiTheme="majorBidi" w:hAnsiTheme="majorBidi" w:cstheme="majorBidi"/>
                        <w:b/>
                        <w:bCs/>
                        <w:color w:val="FFFFFF"/>
                      </w:rPr>
                    </w:pPr>
                    <w:r w:rsidRPr="00211A27">
                      <w:rPr>
                        <w:rFonts w:asciiTheme="majorBidi" w:hAnsiTheme="majorBidi" w:cstheme="majorBidi"/>
                        <w:b/>
                        <w:bCs/>
                        <w:color w:val="FFFFFF"/>
                      </w:rPr>
                      <w:t>AC</w:t>
                    </w:r>
                  </w:p>
                </w:txbxContent>
              </v:textbox>
            </v:shape>
          </v:group>
        </w:pict>
      </w:r>
    </w:p>
    <w:p w:rsidR="004A4DC9" w:rsidRPr="004A4DC9" w:rsidRDefault="004A4DC9" w:rsidP="004A4DC9">
      <w:pPr>
        <w:rPr>
          <w:rFonts w:asciiTheme="majorBidi" w:hAnsiTheme="majorBidi" w:cstheme="majorBidi"/>
          <w:sz w:val="28"/>
          <w:szCs w:val="28"/>
        </w:rPr>
      </w:pPr>
    </w:p>
    <w:p w:rsidR="004A4DC9" w:rsidRPr="004A4DC9" w:rsidRDefault="004A4DC9" w:rsidP="004A4DC9">
      <w:pPr>
        <w:rPr>
          <w:rFonts w:asciiTheme="majorBidi" w:hAnsiTheme="majorBidi" w:cstheme="majorBidi"/>
          <w:sz w:val="28"/>
          <w:szCs w:val="28"/>
        </w:rPr>
      </w:pPr>
    </w:p>
    <w:p w:rsidR="004A4DC9" w:rsidRPr="004A4DC9" w:rsidRDefault="004A4DC9" w:rsidP="004A4DC9">
      <w:pPr>
        <w:rPr>
          <w:rFonts w:asciiTheme="majorBidi" w:hAnsiTheme="majorBidi" w:cstheme="majorBidi"/>
          <w:sz w:val="28"/>
          <w:szCs w:val="28"/>
        </w:rPr>
      </w:pPr>
    </w:p>
    <w:p w:rsidR="004A4DC9" w:rsidRPr="004A4DC9" w:rsidRDefault="004A4DC9" w:rsidP="004A4DC9">
      <w:pPr>
        <w:rPr>
          <w:rFonts w:asciiTheme="majorBidi" w:hAnsiTheme="majorBidi" w:cstheme="majorBidi"/>
          <w:sz w:val="28"/>
          <w:szCs w:val="28"/>
        </w:rPr>
      </w:pPr>
    </w:p>
    <w:p w:rsidR="00202426" w:rsidRDefault="00202426" w:rsidP="00AE2AED">
      <w:pPr>
        <w:tabs>
          <w:tab w:val="left" w:pos="945"/>
        </w:tabs>
        <w:rPr>
          <w:rFonts w:asciiTheme="majorBidi" w:hAnsiTheme="majorBidi" w:cstheme="majorBidi"/>
          <w:sz w:val="28"/>
          <w:szCs w:val="28"/>
        </w:rPr>
      </w:pPr>
    </w:p>
    <w:p w:rsidR="00202426" w:rsidRDefault="00202426" w:rsidP="004A4DC9">
      <w:pPr>
        <w:rPr>
          <w:rFonts w:asciiTheme="majorBidi" w:hAnsiTheme="majorBidi" w:cstheme="majorBidi"/>
          <w:sz w:val="28"/>
          <w:szCs w:val="28"/>
        </w:rPr>
      </w:pPr>
    </w:p>
    <w:p w:rsidR="00202426" w:rsidRDefault="00202426" w:rsidP="004A4DC9">
      <w:pPr>
        <w:rPr>
          <w:rFonts w:asciiTheme="majorBidi" w:hAnsiTheme="majorBidi" w:cstheme="majorBidi"/>
          <w:sz w:val="28"/>
          <w:szCs w:val="28"/>
        </w:rPr>
      </w:pPr>
    </w:p>
    <w:p w:rsidR="00202426" w:rsidRDefault="00202426" w:rsidP="004A4DC9">
      <w:pPr>
        <w:rPr>
          <w:rFonts w:asciiTheme="majorBidi" w:hAnsiTheme="majorBidi" w:cstheme="majorBidi"/>
          <w:sz w:val="28"/>
          <w:szCs w:val="28"/>
        </w:rPr>
      </w:pPr>
    </w:p>
    <w:p w:rsidR="00202426" w:rsidRDefault="00202426" w:rsidP="004A4DC9">
      <w:pPr>
        <w:rPr>
          <w:rFonts w:asciiTheme="majorBidi" w:hAnsiTheme="majorBidi" w:cstheme="majorBidi"/>
          <w:sz w:val="28"/>
          <w:szCs w:val="28"/>
        </w:rPr>
      </w:pPr>
    </w:p>
    <w:p w:rsidR="00202426" w:rsidRDefault="00202426" w:rsidP="004A4DC9">
      <w:pPr>
        <w:rPr>
          <w:rFonts w:asciiTheme="majorBidi" w:hAnsiTheme="majorBidi" w:cstheme="majorBidi"/>
          <w:sz w:val="28"/>
          <w:szCs w:val="28"/>
        </w:rPr>
      </w:pPr>
    </w:p>
    <w:bookmarkEnd w:id="0"/>
    <w:p w:rsidR="00202426" w:rsidRPr="004A4DC9" w:rsidRDefault="00202426" w:rsidP="004A4DC9">
      <w:pPr>
        <w:rPr>
          <w:rFonts w:asciiTheme="majorBidi" w:hAnsiTheme="majorBidi" w:cstheme="majorBidi"/>
          <w:sz w:val="28"/>
          <w:szCs w:val="28"/>
        </w:rPr>
      </w:pPr>
    </w:p>
    <w:sectPr w:rsidR="00202426" w:rsidRPr="004A4DC9" w:rsidSect="00AC1B11">
      <w:pgSz w:w="12240" w:h="15840"/>
      <w:pgMar w:top="4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DE3" w:rsidRDefault="00851DE3" w:rsidP="003F5DB1">
      <w:pPr>
        <w:spacing w:after="0" w:line="240" w:lineRule="auto"/>
      </w:pPr>
      <w:r>
        <w:separator/>
      </w:r>
    </w:p>
  </w:endnote>
  <w:endnote w:type="continuationSeparator" w:id="1">
    <w:p w:rsidR="00851DE3" w:rsidRDefault="00851DE3" w:rsidP="003F5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DE3" w:rsidRDefault="00851DE3" w:rsidP="003F5DB1">
      <w:pPr>
        <w:spacing w:after="0" w:line="240" w:lineRule="auto"/>
      </w:pPr>
      <w:r>
        <w:separator/>
      </w:r>
    </w:p>
  </w:footnote>
  <w:footnote w:type="continuationSeparator" w:id="1">
    <w:p w:rsidR="00851DE3" w:rsidRDefault="00851DE3" w:rsidP="003F5D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CE14D3"/>
    <w:rsid w:val="00010275"/>
    <w:rsid w:val="000138A3"/>
    <w:rsid w:val="00013BBD"/>
    <w:rsid w:val="00020B4F"/>
    <w:rsid w:val="0002218D"/>
    <w:rsid w:val="000310FC"/>
    <w:rsid w:val="00036A8D"/>
    <w:rsid w:val="00042A40"/>
    <w:rsid w:val="0004741C"/>
    <w:rsid w:val="00075537"/>
    <w:rsid w:val="00075A22"/>
    <w:rsid w:val="00083E21"/>
    <w:rsid w:val="0008599D"/>
    <w:rsid w:val="00087710"/>
    <w:rsid w:val="00094FA2"/>
    <w:rsid w:val="000B73CE"/>
    <w:rsid w:val="000C1A36"/>
    <w:rsid w:val="000C66DE"/>
    <w:rsid w:val="000E6183"/>
    <w:rsid w:val="000F571E"/>
    <w:rsid w:val="000F6C65"/>
    <w:rsid w:val="000F7445"/>
    <w:rsid w:val="00110F21"/>
    <w:rsid w:val="001200E1"/>
    <w:rsid w:val="00133A6A"/>
    <w:rsid w:val="00136902"/>
    <w:rsid w:val="00160780"/>
    <w:rsid w:val="00165107"/>
    <w:rsid w:val="00177072"/>
    <w:rsid w:val="00186A28"/>
    <w:rsid w:val="00193F61"/>
    <w:rsid w:val="001957BB"/>
    <w:rsid w:val="00196574"/>
    <w:rsid w:val="001A3417"/>
    <w:rsid w:val="001A5431"/>
    <w:rsid w:val="001B19A9"/>
    <w:rsid w:val="001C4A5E"/>
    <w:rsid w:val="001E10A4"/>
    <w:rsid w:val="001E1AC0"/>
    <w:rsid w:val="001E554C"/>
    <w:rsid w:val="00202426"/>
    <w:rsid w:val="00211A27"/>
    <w:rsid w:val="00213907"/>
    <w:rsid w:val="002309E2"/>
    <w:rsid w:val="002326FF"/>
    <w:rsid w:val="00242B60"/>
    <w:rsid w:val="00244302"/>
    <w:rsid w:val="00263C84"/>
    <w:rsid w:val="002947FC"/>
    <w:rsid w:val="00296923"/>
    <w:rsid w:val="002A2C67"/>
    <w:rsid w:val="002B6F22"/>
    <w:rsid w:val="002D1FA2"/>
    <w:rsid w:val="002E2545"/>
    <w:rsid w:val="002F1C37"/>
    <w:rsid w:val="00300516"/>
    <w:rsid w:val="00301FC4"/>
    <w:rsid w:val="00303CF5"/>
    <w:rsid w:val="003053D0"/>
    <w:rsid w:val="003057BF"/>
    <w:rsid w:val="00325022"/>
    <w:rsid w:val="00325D5F"/>
    <w:rsid w:val="00325D9D"/>
    <w:rsid w:val="00332B6C"/>
    <w:rsid w:val="00337DA8"/>
    <w:rsid w:val="0034655D"/>
    <w:rsid w:val="00354ED0"/>
    <w:rsid w:val="0036001D"/>
    <w:rsid w:val="00374515"/>
    <w:rsid w:val="00390E82"/>
    <w:rsid w:val="003A1A7F"/>
    <w:rsid w:val="003A272E"/>
    <w:rsid w:val="003B4750"/>
    <w:rsid w:val="003B57A7"/>
    <w:rsid w:val="003F5DB1"/>
    <w:rsid w:val="003F75F1"/>
    <w:rsid w:val="004122A6"/>
    <w:rsid w:val="0041476A"/>
    <w:rsid w:val="00425320"/>
    <w:rsid w:val="0045415E"/>
    <w:rsid w:val="00455548"/>
    <w:rsid w:val="00474511"/>
    <w:rsid w:val="00476B43"/>
    <w:rsid w:val="004952DE"/>
    <w:rsid w:val="004A4DC9"/>
    <w:rsid w:val="004C19C2"/>
    <w:rsid w:val="004C54F8"/>
    <w:rsid w:val="004D5214"/>
    <w:rsid w:val="004D5A30"/>
    <w:rsid w:val="004D5F2C"/>
    <w:rsid w:val="004D5FDB"/>
    <w:rsid w:val="004E55CD"/>
    <w:rsid w:val="004F1D38"/>
    <w:rsid w:val="00537600"/>
    <w:rsid w:val="00545E3E"/>
    <w:rsid w:val="005605EA"/>
    <w:rsid w:val="00563AD7"/>
    <w:rsid w:val="00590157"/>
    <w:rsid w:val="005B121E"/>
    <w:rsid w:val="005B4E38"/>
    <w:rsid w:val="005C6AE8"/>
    <w:rsid w:val="005E4078"/>
    <w:rsid w:val="005F4D53"/>
    <w:rsid w:val="00600FA8"/>
    <w:rsid w:val="00610192"/>
    <w:rsid w:val="00611CD8"/>
    <w:rsid w:val="00620D89"/>
    <w:rsid w:val="006348B9"/>
    <w:rsid w:val="006359B5"/>
    <w:rsid w:val="00637CFE"/>
    <w:rsid w:val="0064684C"/>
    <w:rsid w:val="00651770"/>
    <w:rsid w:val="0065433F"/>
    <w:rsid w:val="006558CF"/>
    <w:rsid w:val="00656F76"/>
    <w:rsid w:val="00662A49"/>
    <w:rsid w:val="006630DD"/>
    <w:rsid w:val="0068052C"/>
    <w:rsid w:val="0068159D"/>
    <w:rsid w:val="00682A5F"/>
    <w:rsid w:val="006A24F6"/>
    <w:rsid w:val="006A6E28"/>
    <w:rsid w:val="006C2C35"/>
    <w:rsid w:val="006D53F3"/>
    <w:rsid w:val="006F276D"/>
    <w:rsid w:val="00704BDE"/>
    <w:rsid w:val="00760B52"/>
    <w:rsid w:val="00762CAD"/>
    <w:rsid w:val="00767571"/>
    <w:rsid w:val="00771C96"/>
    <w:rsid w:val="00773D89"/>
    <w:rsid w:val="00777DDA"/>
    <w:rsid w:val="00795A12"/>
    <w:rsid w:val="007C2AFF"/>
    <w:rsid w:val="007C2D9B"/>
    <w:rsid w:val="007D4A34"/>
    <w:rsid w:val="007D4B5D"/>
    <w:rsid w:val="007E5283"/>
    <w:rsid w:val="007F1624"/>
    <w:rsid w:val="0080380D"/>
    <w:rsid w:val="00807DC7"/>
    <w:rsid w:val="00814D79"/>
    <w:rsid w:val="00824F41"/>
    <w:rsid w:val="0082587F"/>
    <w:rsid w:val="00826C0E"/>
    <w:rsid w:val="0083383B"/>
    <w:rsid w:val="0083576E"/>
    <w:rsid w:val="00851DE3"/>
    <w:rsid w:val="0085220B"/>
    <w:rsid w:val="008677B9"/>
    <w:rsid w:val="00876316"/>
    <w:rsid w:val="00884746"/>
    <w:rsid w:val="008861AA"/>
    <w:rsid w:val="00886832"/>
    <w:rsid w:val="008B1C4B"/>
    <w:rsid w:val="008B3D1F"/>
    <w:rsid w:val="008B6480"/>
    <w:rsid w:val="008C0A08"/>
    <w:rsid w:val="009057D9"/>
    <w:rsid w:val="0092784F"/>
    <w:rsid w:val="009375CB"/>
    <w:rsid w:val="00941D05"/>
    <w:rsid w:val="009441C4"/>
    <w:rsid w:val="00944604"/>
    <w:rsid w:val="0095260E"/>
    <w:rsid w:val="009720CA"/>
    <w:rsid w:val="00976114"/>
    <w:rsid w:val="00980AAD"/>
    <w:rsid w:val="00987700"/>
    <w:rsid w:val="009936D2"/>
    <w:rsid w:val="009A584B"/>
    <w:rsid w:val="009B2025"/>
    <w:rsid w:val="009B5ADB"/>
    <w:rsid w:val="009B5FE9"/>
    <w:rsid w:val="009D28B8"/>
    <w:rsid w:val="009E1C4F"/>
    <w:rsid w:val="009E6BF4"/>
    <w:rsid w:val="009F5C1B"/>
    <w:rsid w:val="00A0747A"/>
    <w:rsid w:val="00A231DC"/>
    <w:rsid w:val="00A6121D"/>
    <w:rsid w:val="00A625B8"/>
    <w:rsid w:val="00A874F8"/>
    <w:rsid w:val="00A94013"/>
    <w:rsid w:val="00AA0429"/>
    <w:rsid w:val="00AA75D2"/>
    <w:rsid w:val="00AA75D6"/>
    <w:rsid w:val="00AC1B11"/>
    <w:rsid w:val="00AC761E"/>
    <w:rsid w:val="00AD16EF"/>
    <w:rsid w:val="00AD2C67"/>
    <w:rsid w:val="00AD5EAD"/>
    <w:rsid w:val="00AD6178"/>
    <w:rsid w:val="00AD63E9"/>
    <w:rsid w:val="00AD7397"/>
    <w:rsid w:val="00AE2AED"/>
    <w:rsid w:val="00AE4632"/>
    <w:rsid w:val="00AE5E1D"/>
    <w:rsid w:val="00AF073C"/>
    <w:rsid w:val="00AF44D8"/>
    <w:rsid w:val="00B32F7C"/>
    <w:rsid w:val="00B407B1"/>
    <w:rsid w:val="00B43AB0"/>
    <w:rsid w:val="00B43ADA"/>
    <w:rsid w:val="00B57B8A"/>
    <w:rsid w:val="00B7466E"/>
    <w:rsid w:val="00B8591F"/>
    <w:rsid w:val="00B93DFF"/>
    <w:rsid w:val="00BB0A26"/>
    <w:rsid w:val="00BB1651"/>
    <w:rsid w:val="00BD3ACA"/>
    <w:rsid w:val="00BE1B3A"/>
    <w:rsid w:val="00C02650"/>
    <w:rsid w:val="00C06D93"/>
    <w:rsid w:val="00C25621"/>
    <w:rsid w:val="00C35A0E"/>
    <w:rsid w:val="00C37453"/>
    <w:rsid w:val="00C43534"/>
    <w:rsid w:val="00C82AB9"/>
    <w:rsid w:val="00C95D83"/>
    <w:rsid w:val="00C96963"/>
    <w:rsid w:val="00CA6C44"/>
    <w:rsid w:val="00CC08B9"/>
    <w:rsid w:val="00CD6C98"/>
    <w:rsid w:val="00CD7823"/>
    <w:rsid w:val="00CD7DA9"/>
    <w:rsid w:val="00CE14D3"/>
    <w:rsid w:val="00CF6BDE"/>
    <w:rsid w:val="00D01C48"/>
    <w:rsid w:val="00D01D2B"/>
    <w:rsid w:val="00D075E0"/>
    <w:rsid w:val="00D22135"/>
    <w:rsid w:val="00D33070"/>
    <w:rsid w:val="00D5008D"/>
    <w:rsid w:val="00D52A37"/>
    <w:rsid w:val="00D66013"/>
    <w:rsid w:val="00D82CCA"/>
    <w:rsid w:val="00DA3A1A"/>
    <w:rsid w:val="00DA3EDA"/>
    <w:rsid w:val="00DB20A8"/>
    <w:rsid w:val="00DB3602"/>
    <w:rsid w:val="00DE666C"/>
    <w:rsid w:val="00DF694E"/>
    <w:rsid w:val="00DF6DD4"/>
    <w:rsid w:val="00E104F1"/>
    <w:rsid w:val="00E14981"/>
    <w:rsid w:val="00E20CAE"/>
    <w:rsid w:val="00E361D8"/>
    <w:rsid w:val="00E37A06"/>
    <w:rsid w:val="00E440AF"/>
    <w:rsid w:val="00E57C65"/>
    <w:rsid w:val="00E605FA"/>
    <w:rsid w:val="00E7274D"/>
    <w:rsid w:val="00E76C10"/>
    <w:rsid w:val="00EA170F"/>
    <w:rsid w:val="00EA5079"/>
    <w:rsid w:val="00EA5FDE"/>
    <w:rsid w:val="00EA7C1C"/>
    <w:rsid w:val="00EB3B88"/>
    <w:rsid w:val="00EB5D41"/>
    <w:rsid w:val="00EC5DD9"/>
    <w:rsid w:val="00ED380D"/>
    <w:rsid w:val="00ED461C"/>
    <w:rsid w:val="00F02A16"/>
    <w:rsid w:val="00F0318F"/>
    <w:rsid w:val="00F04146"/>
    <w:rsid w:val="00F37A17"/>
    <w:rsid w:val="00F552F2"/>
    <w:rsid w:val="00F57CA3"/>
    <w:rsid w:val="00F67680"/>
    <w:rsid w:val="00F67EC7"/>
    <w:rsid w:val="00F83D28"/>
    <w:rsid w:val="00F8448B"/>
    <w:rsid w:val="00F84E06"/>
    <w:rsid w:val="00F941A1"/>
    <w:rsid w:val="00FA53E7"/>
    <w:rsid w:val="00FB24E0"/>
    <w:rsid w:val="00FC32E4"/>
    <w:rsid w:val="00FC4F86"/>
    <w:rsid w:val="00FC5B4A"/>
    <w:rsid w:val="00FC6C6F"/>
    <w:rsid w:val="00FC7127"/>
    <w:rsid w:val="00FD6CF5"/>
    <w:rsid w:val="00FF0682"/>
    <w:rsid w:val="00FF1A82"/>
    <w:rsid w:val="00FF40EC"/>
    <w:rsid w:val="00FF417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1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F5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DB1"/>
  </w:style>
  <w:style w:type="paragraph" w:styleId="Footer">
    <w:name w:val="footer"/>
    <w:basedOn w:val="Normal"/>
    <w:link w:val="FooterChar"/>
    <w:uiPriority w:val="99"/>
    <w:unhideWhenUsed/>
    <w:rsid w:val="003F5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DB1"/>
  </w:style>
  <w:style w:type="table" w:customStyle="1" w:styleId="paper">
    <w:name w:val="paper"/>
    <w:basedOn w:val="TableNormal"/>
    <w:uiPriority w:val="99"/>
    <w:rsid w:val="003F5DB1"/>
    <w:pPr>
      <w:spacing w:after="0" w:line="240" w:lineRule="auto"/>
    </w:pPr>
    <w:rPr>
      <w:rFonts w:asciiTheme="majorBidi" w:hAnsiTheme="majorBidi"/>
    </w:rPr>
    <w:tblPr>
      <w:tblInd w:w="0" w:type="dxa"/>
      <w:tblBorders>
        <w:top w:val="single" w:sz="12" w:space="0" w:color="808080" w:themeColor="background1" w:themeShade="80"/>
        <w:bottom w:val="single" w:sz="12" w:space="0" w:color="808080" w:themeColor="background1" w:themeShade="80"/>
        <w:insideH w:val="single" w:sz="12" w:space="0" w:color="808080" w:themeColor="background1" w:themeShade="80"/>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253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253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466E"/>
    <w:pPr>
      <w:spacing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827746466">
      <w:bodyDiv w:val="1"/>
      <w:marLeft w:val="0"/>
      <w:marRight w:val="0"/>
      <w:marTop w:val="0"/>
      <w:marBottom w:val="0"/>
      <w:divBdr>
        <w:top w:val="none" w:sz="0" w:space="0" w:color="auto"/>
        <w:left w:val="none" w:sz="0" w:space="0" w:color="auto"/>
        <w:bottom w:val="none" w:sz="0" w:space="0" w:color="auto"/>
        <w:right w:val="none" w:sz="0" w:space="0" w:color="auto"/>
      </w:divBdr>
    </w:div>
    <w:div w:id="1001664139">
      <w:bodyDiv w:val="1"/>
      <w:marLeft w:val="0"/>
      <w:marRight w:val="0"/>
      <w:marTop w:val="0"/>
      <w:marBottom w:val="0"/>
      <w:divBdr>
        <w:top w:val="none" w:sz="0" w:space="0" w:color="auto"/>
        <w:left w:val="none" w:sz="0" w:space="0" w:color="auto"/>
        <w:bottom w:val="none" w:sz="0" w:space="0" w:color="auto"/>
        <w:right w:val="none" w:sz="0" w:space="0" w:color="auto"/>
      </w:divBdr>
    </w:div>
    <w:div w:id="1173256260">
      <w:bodyDiv w:val="1"/>
      <w:marLeft w:val="0"/>
      <w:marRight w:val="0"/>
      <w:marTop w:val="0"/>
      <w:marBottom w:val="0"/>
      <w:divBdr>
        <w:top w:val="none" w:sz="0" w:space="0" w:color="auto"/>
        <w:left w:val="none" w:sz="0" w:space="0" w:color="auto"/>
        <w:bottom w:val="none" w:sz="0" w:space="0" w:color="auto"/>
        <w:right w:val="none" w:sz="0" w:space="0" w:color="auto"/>
      </w:divBdr>
    </w:div>
    <w:div w:id="1186167304">
      <w:bodyDiv w:val="1"/>
      <w:marLeft w:val="0"/>
      <w:marRight w:val="0"/>
      <w:marTop w:val="0"/>
      <w:marBottom w:val="0"/>
      <w:divBdr>
        <w:top w:val="none" w:sz="0" w:space="0" w:color="auto"/>
        <w:left w:val="none" w:sz="0" w:space="0" w:color="auto"/>
        <w:bottom w:val="none" w:sz="0" w:space="0" w:color="auto"/>
        <w:right w:val="none" w:sz="0" w:space="0" w:color="auto"/>
      </w:divBdr>
    </w:div>
    <w:div w:id="1290892758">
      <w:bodyDiv w:val="1"/>
      <w:marLeft w:val="0"/>
      <w:marRight w:val="0"/>
      <w:marTop w:val="0"/>
      <w:marBottom w:val="0"/>
      <w:divBdr>
        <w:top w:val="none" w:sz="0" w:space="0" w:color="auto"/>
        <w:left w:val="none" w:sz="0" w:space="0" w:color="auto"/>
        <w:bottom w:val="none" w:sz="0" w:space="0" w:color="auto"/>
        <w:right w:val="none" w:sz="0" w:space="0" w:color="auto"/>
      </w:divBdr>
    </w:div>
    <w:div w:id="1364942852">
      <w:bodyDiv w:val="1"/>
      <w:marLeft w:val="0"/>
      <w:marRight w:val="0"/>
      <w:marTop w:val="0"/>
      <w:marBottom w:val="0"/>
      <w:divBdr>
        <w:top w:val="none" w:sz="0" w:space="0" w:color="auto"/>
        <w:left w:val="none" w:sz="0" w:space="0" w:color="auto"/>
        <w:bottom w:val="none" w:sz="0" w:space="0" w:color="auto"/>
        <w:right w:val="none" w:sz="0" w:space="0" w:color="auto"/>
      </w:divBdr>
    </w:div>
    <w:div w:id="1818837867">
      <w:bodyDiv w:val="1"/>
      <w:marLeft w:val="0"/>
      <w:marRight w:val="0"/>
      <w:marTop w:val="0"/>
      <w:marBottom w:val="0"/>
      <w:divBdr>
        <w:top w:val="none" w:sz="0" w:space="0" w:color="auto"/>
        <w:left w:val="none" w:sz="0" w:space="0" w:color="auto"/>
        <w:bottom w:val="none" w:sz="0" w:space="0" w:color="auto"/>
        <w:right w:val="none" w:sz="0" w:space="0" w:color="auto"/>
      </w:divBdr>
    </w:div>
    <w:div w:id="1831359843">
      <w:bodyDiv w:val="1"/>
      <w:marLeft w:val="0"/>
      <w:marRight w:val="0"/>
      <w:marTop w:val="0"/>
      <w:marBottom w:val="0"/>
      <w:divBdr>
        <w:top w:val="none" w:sz="0" w:space="0" w:color="auto"/>
        <w:left w:val="none" w:sz="0" w:space="0" w:color="auto"/>
        <w:bottom w:val="none" w:sz="0" w:space="0" w:color="auto"/>
        <w:right w:val="none" w:sz="0" w:space="0" w:color="auto"/>
      </w:divBdr>
    </w:div>
    <w:div w:id="2017733492">
      <w:bodyDiv w:val="1"/>
      <w:marLeft w:val="0"/>
      <w:marRight w:val="0"/>
      <w:marTop w:val="0"/>
      <w:marBottom w:val="0"/>
      <w:divBdr>
        <w:top w:val="none" w:sz="0" w:space="0" w:color="auto"/>
        <w:left w:val="none" w:sz="0" w:space="0" w:color="auto"/>
        <w:bottom w:val="none" w:sz="0" w:space="0" w:color="auto"/>
        <w:right w:val="none" w:sz="0" w:space="0" w:color="auto"/>
      </w:divBdr>
    </w:div>
    <w:div w:id="2054114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2381</Words>
  <Characters>13577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Research Development</dc:creator>
  <cp:lastModifiedBy>Vaio</cp:lastModifiedBy>
  <cp:revision>3</cp:revision>
  <dcterms:created xsi:type="dcterms:W3CDTF">2024-06-22T16:13:00Z</dcterms:created>
  <dcterms:modified xsi:type="dcterms:W3CDTF">2024-06-22T16:14:00Z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516fb6b81b78a01621ede11b922985b5d9eb830a42018776f8e63783f51226ef</vt:lpwstr>
  </property>
</Properties>
</file>