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9F2" w:rsidRPr="00665545" w:rsidRDefault="00A009F2" w:rsidP="00A009F2">
      <w:pPr>
        <w:bidi w:val="0"/>
        <w:spacing w:line="480" w:lineRule="auto"/>
        <w:ind w:firstLine="0"/>
        <w:rPr>
          <w:rFonts w:eastAsia="Palatino Linotype"/>
          <w:color w:val="000000"/>
          <w:sz w:val="24"/>
          <w:szCs w:val="24"/>
        </w:rPr>
      </w:pPr>
      <w:r w:rsidRPr="00665545">
        <w:rPr>
          <w:rFonts w:eastAsia="Palatino Linotype"/>
          <w:color w:val="000000"/>
          <w:sz w:val="24"/>
          <w:szCs w:val="24"/>
        </w:rPr>
        <w:t>Supplementary Materials</w:t>
      </w:r>
    </w:p>
    <w:p w:rsidR="00A009F2" w:rsidRPr="00665545" w:rsidRDefault="00A009F2" w:rsidP="00A009F2">
      <w:pPr>
        <w:bidi w:val="0"/>
        <w:spacing w:line="480" w:lineRule="auto"/>
        <w:ind w:firstLine="0"/>
        <w:rPr>
          <w:rFonts w:eastAsia="Palatino Linotype"/>
          <w:color w:val="000000"/>
          <w:sz w:val="24"/>
          <w:szCs w:val="24"/>
        </w:rPr>
      </w:pPr>
      <w:r w:rsidRPr="00665545">
        <w:rPr>
          <w:rFonts w:eastAsia="Palatino Linotype"/>
          <w:color w:val="000000"/>
          <w:sz w:val="24"/>
          <w:szCs w:val="24"/>
        </w:rPr>
        <w:t>The supplementary section includes two tables that provide additional methodological details to support the transparency and reproducibility of this review:</w:t>
      </w:r>
    </w:p>
    <w:p w:rsidR="00A009F2" w:rsidRPr="00665545" w:rsidRDefault="00A009F2" w:rsidP="00A009F2">
      <w:pPr>
        <w:bidi w:val="0"/>
        <w:spacing w:line="480" w:lineRule="auto"/>
        <w:ind w:firstLine="0"/>
        <w:rPr>
          <w:rFonts w:eastAsia="Palatino Linotype"/>
          <w:color w:val="000000"/>
          <w:sz w:val="24"/>
          <w:szCs w:val="24"/>
        </w:rPr>
      </w:pPr>
      <w:r w:rsidRPr="00665545">
        <w:rPr>
          <w:rFonts w:eastAsia="Palatino Linotype"/>
          <w:color w:val="000000"/>
          <w:sz w:val="24"/>
          <w:szCs w:val="24"/>
        </w:rPr>
        <w:t>Supplementary Table S1. Excluded Studies and Reasons for Exclusion</w:t>
      </w:r>
    </w:p>
    <w:tbl>
      <w:tblPr>
        <w:tblW w:w="68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5"/>
        <w:gridCol w:w="5840"/>
      </w:tblGrid>
      <w:tr w:rsidR="00A009F2" w:rsidRPr="00665545" w:rsidTr="00EC7B1B">
        <w:trPr>
          <w:jc w:val="center"/>
        </w:trPr>
        <w:tc>
          <w:tcPr>
            <w:tcW w:w="995" w:type="dxa"/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Study ID</w:t>
            </w:r>
          </w:p>
        </w:tc>
        <w:tc>
          <w:tcPr>
            <w:tcW w:w="5840" w:type="dxa"/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Reason for Exclusion</w:t>
            </w:r>
          </w:p>
        </w:tc>
      </w:tr>
      <w:tr w:rsidR="00A009F2" w:rsidRPr="00665545" w:rsidTr="00EC7B1B">
        <w:trPr>
          <w:jc w:val="center"/>
        </w:trPr>
        <w:tc>
          <w:tcPr>
            <w:tcW w:w="995" w:type="dxa"/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S01</w:t>
            </w:r>
          </w:p>
        </w:tc>
        <w:tc>
          <w:tcPr>
            <w:tcW w:w="5840" w:type="dxa"/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Not focused on diagnostic AI</w:t>
            </w:r>
          </w:p>
        </w:tc>
      </w:tr>
      <w:tr w:rsidR="00A009F2" w:rsidRPr="00665545" w:rsidTr="00EC7B1B">
        <w:trPr>
          <w:jc w:val="center"/>
        </w:trPr>
        <w:tc>
          <w:tcPr>
            <w:tcW w:w="995" w:type="dxa"/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S02</w:t>
            </w:r>
          </w:p>
        </w:tc>
        <w:tc>
          <w:tcPr>
            <w:tcW w:w="5840" w:type="dxa"/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Lacked sufficient statistical data</w:t>
            </w:r>
          </w:p>
        </w:tc>
      </w:tr>
      <w:tr w:rsidR="00A009F2" w:rsidRPr="00665545" w:rsidTr="00EC7B1B">
        <w:trPr>
          <w:jc w:val="center"/>
        </w:trPr>
        <w:tc>
          <w:tcPr>
            <w:tcW w:w="995" w:type="dxa"/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S03</w:t>
            </w:r>
          </w:p>
        </w:tc>
        <w:tc>
          <w:tcPr>
            <w:tcW w:w="5840" w:type="dxa"/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Non-English publication</w:t>
            </w:r>
          </w:p>
        </w:tc>
      </w:tr>
      <w:tr w:rsidR="00A009F2" w:rsidRPr="00665545" w:rsidTr="00EC7B1B">
        <w:trPr>
          <w:jc w:val="center"/>
        </w:trPr>
        <w:tc>
          <w:tcPr>
            <w:tcW w:w="995" w:type="dxa"/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S04</w:t>
            </w:r>
          </w:p>
        </w:tc>
        <w:tc>
          <w:tcPr>
            <w:tcW w:w="5840" w:type="dxa"/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Predictive model without diagnostic validation</w:t>
            </w:r>
          </w:p>
        </w:tc>
      </w:tr>
      <w:tr w:rsidR="00A009F2" w:rsidRPr="00665545" w:rsidTr="00EC7B1B">
        <w:trPr>
          <w:jc w:val="center"/>
        </w:trPr>
        <w:tc>
          <w:tcPr>
            <w:tcW w:w="995" w:type="dxa"/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S05</w:t>
            </w:r>
          </w:p>
        </w:tc>
        <w:tc>
          <w:tcPr>
            <w:tcW w:w="5840" w:type="dxa"/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Duplicate record</w:t>
            </w:r>
          </w:p>
        </w:tc>
      </w:tr>
      <w:tr w:rsidR="00A009F2" w:rsidRPr="00665545" w:rsidTr="00EC7B1B">
        <w:trPr>
          <w:jc w:val="center"/>
        </w:trPr>
        <w:tc>
          <w:tcPr>
            <w:tcW w:w="995" w:type="dxa"/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S06</w:t>
            </w:r>
          </w:p>
        </w:tc>
        <w:tc>
          <w:tcPr>
            <w:tcW w:w="5840" w:type="dxa"/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Did not report diagnostic accuracy metrics</w:t>
            </w:r>
          </w:p>
        </w:tc>
      </w:tr>
      <w:tr w:rsidR="00A009F2" w:rsidRPr="00665545" w:rsidTr="00EC7B1B">
        <w:trPr>
          <w:jc w:val="center"/>
        </w:trPr>
        <w:tc>
          <w:tcPr>
            <w:tcW w:w="995" w:type="dxa"/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S07</w:t>
            </w:r>
          </w:p>
        </w:tc>
        <w:tc>
          <w:tcPr>
            <w:tcW w:w="5840" w:type="dxa"/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Focused on treatment planning, not diagnosis</w:t>
            </w:r>
          </w:p>
        </w:tc>
      </w:tr>
      <w:tr w:rsidR="00A009F2" w:rsidRPr="00665545" w:rsidTr="00EC7B1B">
        <w:trPr>
          <w:jc w:val="center"/>
        </w:trPr>
        <w:tc>
          <w:tcPr>
            <w:tcW w:w="995" w:type="dxa"/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S08</w:t>
            </w:r>
          </w:p>
        </w:tc>
        <w:tc>
          <w:tcPr>
            <w:tcW w:w="5840" w:type="dxa"/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Case report with insufficient sample size</w:t>
            </w:r>
          </w:p>
        </w:tc>
      </w:tr>
      <w:tr w:rsidR="00A009F2" w:rsidRPr="00665545" w:rsidTr="00EC7B1B">
        <w:trPr>
          <w:jc w:val="center"/>
        </w:trPr>
        <w:tc>
          <w:tcPr>
            <w:tcW w:w="995" w:type="dxa"/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S09</w:t>
            </w:r>
          </w:p>
        </w:tc>
        <w:tc>
          <w:tcPr>
            <w:tcW w:w="5840" w:type="dxa"/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Lacked access to full text</w:t>
            </w:r>
          </w:p>
        </w:tc>
      </w:tr>
      <w:tr w:rsidR="00A009F2" w:rsidRPr="00665545" w:rsidTr="00EC7B1B">
        <w:trPr>
          <w:jc w:val="center"/>
        </w:trPr>
        <w:tc>
          <w:tcPr>
            <w:tcW w:w="995" w:type="dxa"/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lastRenderedPageBreak/>
              <w:t>S10</w:t>
            </w:r>
          </w:p>
        </w:tc>
        <w:tc>
          <w:tcPr>
            <w:tcW w:w="5840" w:type="dxa"/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Conference abstract only, no peer-reviewed publication</w:t>
            </w:r>
          </w:p>
        </w:tc>
      </w:tr>
    </w:tbl>
    <w:p w:rsidR="00A009F2" w:rsidRPr="00665545" w:rsidRDefault="00A009F2" w:rsidP="00A009F2">
      <w:pPr>
        <w:bidi w:val="0"/>
        <w:spacing w:line="480" w:lineRule="auto"/>
        <w:ind w:firstLine="0"/>
        <w:rPr>
          <w:rFonts w:eastAsia="Palatino Linotype"/>
          <w:color w:val="000000"/>
          <w:sz w:val="24"/>
          <w:szCs w:val="24"/>
        </w:rPr>
      </w:pPr>
      <w:r w:rsidRPr="00665545">
        <w:rPr>
          <w:rFonts w:eastAsia="Palatino Linotype"/>
          <w:color w:val="000000"/>
          <w:sz w:val="24"/>
          <w:szCs w:val="24"/>
        </w:rPr>
        <w:t>This table lists the studies that were excluded during the full-text screening phase, using coded identifiers (e.g., S01–S10). It provides brief descriptions of the exclusion rationale, such as lack of diagnostic focus, insufficient statistical data, or publication in non-peer-reviewed sources.</w:t>
      </w:r>
    </w:p>
    <w:p w:rsidR="00A009F2" w:rsidRPr="00665545" w:rsidRDefault="00A009F2" w:rsidP="00A009F2">
      <w:pPr>
        <w:bidi w:val="0"/>
        <w:spacing w:line="480" w:lineRule="auto"/>
        <w:ind w:firstLine="0"/>
        <w:rPr>
          <w:rFonts w:eastAsia="Palatino Linotype"/>
          <w:color w:val="000000"/>
          <w:sz w:val="24"/>
          <w:szCs w:val="24"/>
        </w:rPr>
      </w:pPr>
      <w:r w:rsidRPr="00665545">
        <w:rPr>
          <w:rFonts w:eastAsia="Palatino Linotype"/>
          <w:color w:val="000000"/>
          <w:sz w:val="24"/>
          <w:szCs w:val="24"/>
        </w:rPr>
        <w:t>Supplementary Table S2. QUADAS-2 Quality Assessment of Included Studies</w:t>
      </w:r>
    </w:p>
    <w:tbl>
      <w:tblPr>
        <w:tblW w:w="8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40"/>
        <w:gridCol w:w="1440"/>
        <w:gridCol w:w="1440"/>
        <w:gridCol w:w="1440"/>
        <w:gridCol w:w="1440"/>
        <w:gridCol w:w="1440"/>
      </w:tblGrid>
      <w:tr w:rsidR="00A009F2" w:rsidRPr="00665545" w:rsidTr="00EC7B1B">
        <w:trPr>
          <w:jc w:val="center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Study ID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Patient Selection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Index Test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Reference Standard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Flow &amp; Timing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Overall Risk</w:t>
            </w:r>
          </w:p>
        </w:tc>
      </w:tr>
      <w:tr w:rsidR="00A009F2" w:rsidRPr="00665545" w:rsidTr="00EC7B1B">
        <w:trPr>
          <w:jc w:val="center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S01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High</w:t>
            </w:r>
          </w:p>
        </w:tc>
      </w:tr>
      <w:tr w:rsidR="00A009F2" w:rsidRPr="00665545" w:rsidTr="00EC7B1B">
        <w:trPr>
          <w:jc w:val="center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S02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Low</w:t>
            </w:r>
          </w:p>
        </w:tc>
      </w:tr>
      <w:tr w:rsidR="00A009F2" w:rsidRPr="00665545" w:rsidTr="00EC7B1B">
        <w:trPr>
          <w:jc w:val="center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S03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Unclear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Unclear</w:t>
            </w:r>
          </w:p>
        </w:tc>
      </w:tr>
      <w:tr w:rsidR="00A009F2" w:rsidRPr="00665545" w:rsidTr="00EC7B1B">
        <w:trPr>
          <w:jc w:val="center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S04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Unclear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High</w:t>
            </w:r>
          </w:p>
        </w:tc>
      </w:tr>
      <w:tr w:rsidR="00A009F2" w:rsidRPr="00665545" w:rsidTr="00EC7B1B">
        <w:trPr>
          <w:jc w:val="center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S05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High</w:t>
            </w:r>
          </w:p>
        </w:tc>
      </w:tr>
      <w:tr w:rsidR="00A009F2" w:rsidRPr="00665545" w:rsidTr="00EC7B1B">
        <w:trPr>
          <w:jc w:val="center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S06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Unclear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Unclear</w:t>
            </w:r>
          </w:p>
        </w:tc>
      </w:tr>
      <w:tr w:rsidR="00A009F2" w:rsidRPr="00665545" w:rsidTr="00EC7B1B">
        <w:trPr>
          <w:jc w:val="center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S07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Unclear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High</w:t>
            </w:r>
          </w:p>
        </w:tc>
      </w:tr>
      <w:tr w:rsidR="00A009F2" w:rsidRPr="00665545" w:rsidTr="00EC7B1B">
        <w:trPr>
          <w:jc w:val="center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S08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High</w:t>
            </w:r>
          </w:p>
        </w:tc>
      </w:tr>
      <w:tr w:rsidR="00A009F2" w:rsidRPr="00665545" w:rsidTr="00EC7B1B">
        <w:trPr>
          <w:jc w:val="center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S09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Unclear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Low</w:t>
            </w:r>
          </w:p>
        </w:tc>
      </w:tr>
      <w:tr w:rsidR="00A009F2" w:rsidRPr="00665545" w:rsidTr="00EC7B1B">
        <w:trPr>
          <w:jc w:val="center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S10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Unclear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F2" w:rsidRPr="00665545" w:rsidRDefault="00A009F2" w:rsidP="00EC7B1B">
            <w:pPr>
              <w:bidi w:val="0"/>
              <w:spacing w:line="480" w:lineRule="auto"/>
              <w:rPr>
                <w:rFonts w:eastAsia="Palatino Linotype"/>
                <w:color w:val="000000"/>
                <w:sz w:val="24"/>
                <w:szCs w:val="24"/>
              </w:rPr>
            </w:pPr>
            <w:r w:rsidRPr="00665545">
              <w:rPr>
                <w:rFonts w:eastAsia="Palatino Linotype"/>
                <w:color w:val="000000"/>
                <w:sz w:val="24"/>
                <w:szCs w:val="24"/>
              </w:rPr>
              <w:t>Unclear</w:t>
            </w:r>
          </w:p>
        </w:tc>
      </w:tr>
    </w:tbl>
    <w:p w:rsidR="00A009F2" w:rsidRPr="00665545" w:rsidRDefault="00A009F2" w:rsidP="00A009F2">
      <w:pPr>
        <w:bidi w:val="0"/>
        <w:spacing w:line="480" w:lineRule="auto"/>
        <w:ind w:firstLine="0"/>
        <w:rPr>
          <w:rFonts w:eastAsia="Palatino Linotype"/>
          <w:color w:val="000000"/>
          <w:sz w:val="24"/>
          <w:szCs w:val="24"/>
        </w:rPr>
      </w:pPr>
      <w:r w:rsidRPr="00665545">
        <w:rPr>
          <w:rFonts w:eastAsia="Palatino Linotype"/>
          <w:color w:val="000000"/>
          <w:sz w:val="24"/>
          <w:szCs w:val="24"/>
        </w:rPr>
        <w:lastRenderedPageBreak/>
        <w:t>This table summarizes the risk of bias for each included study using the QUADAS-2 tool. The assessment covers four key domains: patient selection, index test, reference standard, and flow and timing. Each domain is rated as having low, high, or unclear risk of bias.</w:t>
      </w:r>
    </w:p>
    <w:p w:rsidR="009E334C" w:rsidRDefault="009E334C">
      <w:bookmarkStart w:id="0" w:name="_GoBack"/>
      <w:bookmarkEnd w:id="0"/>
    </w:p>
    <w:sectPr w:rsidR="009E33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9F2"/>
    <w:rsid w:val="00662DF6"/>
    <w:rsid w:val="009E334C"/>
    <w:rsid w:val="00A009F2"/>
    <w:rsid w:val="00D52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E528E4-9281-4E0B-9615-87BF55263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009F2"/>
    <w:pPr>
      <w:bidi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2F5496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255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Heera  Chandrasekaran</dc:creator>
  <cp:keywords/>
  <dc:description/>
  <cp:lastModifiedBy>Heera  Chandrasekaran</cp:lastModifiedBy>
  <cp:revision>1</cp:revision>
  <dcterms:created xsi:type="dcterms:W3CDTF">2025-05-12T09:46:00Z</dcterms:created>
  <dcterms:modified xsi:type="dcterms:W3CDTF">2025-05-12T09:47:00Z</dcterms:modified>
</cp:coreProperties>
</file>