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E4A8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Supplemental Table 1.</w:t>
      </w:r>
      <w:r>
        <w:rPr>
          <w:rFonts w:hint="default"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highlight w:val="none"/>
        </w:rPr>
        <w:t xml:space="preserve">Quality assessments of included studies by using the </w:t>
      </w:r>
      <w:bookmarkStart w:id="0" w:name="OLE_LINK1"/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highlight w:val="none"/>
        </w:rPr>
        <w:t>QUADAS-2 tool</w:t>
      </w:r>
      <w:bookmarkEnd w:id="0"/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4"/>
          <w:szCs w:val="24"/>
          <w:highlight w:val="none"/>
          <w:lang w:val="en-US" w:eastAsia="zh-CN"/>
        </w:rPr>
        <w:t>.</w:t>
      </w:r>
    </w:p>
    <w:tbl>
      <w:tblPr>
        <w:tblStyle w:val="2"/>
        <w:tblW w:w="21214" w:type="dxa"/>
        <w:tblInd w:w="10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862"/>
        <w:gridCol w:w="963"/>
        <w:gridCol w:w="956"/>
        <w:gridCol w:w="996"/>
        <w:gridCol w:w="3006"/>
        <w:gridCol w:w="2450"/>
        <w:gridCol w:w="2137"/>
        <w:gridCol w:w="2220"/>
        <w:gridCol w:w="2391"/>
        <w:gridCol w:w="3033"/>
      </w:tblGrid>
      <w:tr w14:paraId="574F76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034" w:type="dxa"/>
            <w:gridSpan w:val="2"/>
            <w:vMerge w:val="restart"/>
            <w:shd w:val="clear" w:color="auto" w:fill="auto"/>
            <w:vAlign w:val="center"/>
          </w:tcPr>
          <w:p w14:paraId="46E9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Item</w:t>
            </w:r>
          </w:p>
        </w:tc>
        <w:tc>
          <w:tcPr>
            <w:tcW w:w="3051" w:type="dxa"/>
            <w:gridSpan w:val="3"/>
            <w:vMerge w:val="restart"/>
            <w:shd w:val="clear" w:color="auto" w:fill="auto"/>
            <w:vAlign w:val="center"/>
          </w:tcPr>
          <w:p w14:paraId="1F0C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Evaluation result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</w:tcPr>
          <w:p w14:paraId="205B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Chimenti  et al. 2019</w:t>
            </w:r>
          </w:p>
        </w:tc>
        <w:tc>
          <w:tcPr>
            <w:tcW w:w="2633" w:type="dxa"/>
            <w:vMerge w:val="restart"/>
            <w:shd w:val="clear" w:color="auto" w:fill="auto"/>
            <w:vAlign w:val="center"/>
          </w:tcPr>
          <w:p w14:paraId="2D46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Mulder  et al. 2021</w:t>
            </w:r>
          </w:p>
        </w:tc>
        <w:tc>
          <w:tcPr>
            <w:tcW w:w="2277" w:type="dxa"/>
            <w:vMerge w:val="restart"/>
            <w:shd w:val="clear" w:color="auto" w:fill="auto"/>
            <w:vAlign w:val="center"/>
          </w:tcPr>
          <w:p w14:paraId="3282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Shapiro  et al. 2023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243B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Lee  et al. 2023</w:t>
            </w:r>
          </w:p>
        </w:tc>
        <w:tc>
          <w:tcPr>
            <w:tcW w:w="2567" w:type="dxa"/>
            <w:vMerge w:val="restart"/>
            <w:shd w:val="clear" w:color="auto" w:fill="auto"/>
            <w:vAlign w:val="center"/>
          </w:tcPr>
          <w:p w14:paraId="590C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Amelia Green et al. 2022</w:t>
            </w:r>
          </w:p>
        </w:tc>
        <w:tc>
          <w:tcPr>
            <w:tcW w:w="3033" w:type="dxa"/>
            <w:vMerge w:val="restart"/>
            <w:shd w:val="clear" w:color="auto" w:fill="auto"/>
            <w:noWrap/>
            <w:vAlign w:val="center"/>
          </w:tcPr>
          <w:p w14:paraId="5799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Lukas Folle et al. 2022</w:t>
            </w:r>
          </w:p>
        </w:tc>
      </w:tr>
      <w:tr w14:paraId="193AC8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034" w:type="dxa"/>
            <w:gridSpan w:val="2"/>
            <w:vMerge w:val="continue"/>
            <w:shd w:val="clear" w:color="auto" w:fill="auto"/>
            <w:vAlign w:val="center"/>
          </w:tcPr>
          <w:p w14:paraId="53D9434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051" w:type="dxa"/>
            <w:gridSpan w:val="3"/>
            <w:vMerge w:val="continue"/>
            <w:shd w:val="clear" w:color="auto" w:fill="auto"/>
            <w:vAlign w:val="center"/>
          </w:tcPr>
          <w:p w14:paraId="12EAF00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3233" w:type="dxa"/>
            <w:vMerge w:val="continue"/>
            <w:shd w:val="clear" w:color="auto" w:fill="auto"/>
            <w:vAlign w:val="center"/>
          </w:tcPr>
          <w:p w14:paraId="035486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33" w:type="dxa"/>
            <w:vMerge w:val="continue"/>
            <w:shd w:val="clear" w:color="auto" w:fill="auto"/>
            <w:vAlign w:val="center"/>
          </w:tcPr>
          <w:p w14:paraId="6CE7DE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277" w:type="dxa"/>
            <w:vMerge w:val="continue"/>
            <w:shd w:val="clear" w:color="auto" w:fill="auto"/>
            <w:vAlign w:val="center"/>
          </w:tcPr>
          <w:p w14:paraId="0EC68C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388" w:type="dxa"/>
            <w:vMerge w:val="continue"/>
            <w:shd w:val="clear" w:color="auto" w:fill="auto"/>
            <w:vAlign w:val="center"/>
          </w:tcPr>
          <w:p w14:paraId="604DEF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shd w:val="clear" w:color="auto" w:fill="auto"/>
            <w:vAlign w:val="center"/>
          </w:tcPr>
          <w:p w14:paraId="445CE1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3033" w:type="dxa"/>
            <w:vMerge w:val="continue"/>
            <w:shd w:val="clear" w:color="auto" w:fill="auto"/>
            <w:noWrap/>
            <w:vAlign w:val="center"/>
          </w:tcPr>
          <w:p w14:paraId="2A6DA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9DFC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017" w:type="dxa"/>
            <w:shd w:val="clear" w:color="auto" w:fill="auto"/>
            <w:vAlign w:val="center"/>
          </w:tcPr>
          <w:p w14:paraId="0DED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5F4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Does the case spectrum include a variety of cases and cases of confusable diseases?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4EF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0B9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091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A3C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691E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7A60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E1A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0774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036B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582D15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17" w:type="dxa"/>
            <w:shd w:val="clear" w:color="auto" w:fill="auto"/>
            <w:vAlign w:val="center"/>
          </w:tcPr>
          <w:p w14:paraId="6139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0E4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Was the selection of subjects clear?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A6F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444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25A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263E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248E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804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C7C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212D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459A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7E0C68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017" w:type="dxa"/>
            <w:shd w:val="clear" w:color="auto" w:fill="auto"/>
            <w:vAlign w:val="center"/>
          </w:tcPr>
          <w:p w14:paraId="791E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3BE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Does the gold standard accurately distinguish between diseased and disease-free states?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FD3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EB4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AB3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3218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25EE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1A9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761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1E72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3AED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</w:tr>
      <w:tr w14:paraId="025F1E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1017" w:type="dxa"/>
            <w:shd w:val="clear" w:color="auto" w:fill="auto"/>
            <w:vAlign w:val="center"/>
          </w:tcPr>
          <w:p w14:paraId="1090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DEC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Is the interval between testing with the gold standard and the test to be evaluated short enough to avoid changes in disease status?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171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D65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16D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C28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0DF0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D85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3F9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4BB2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650E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</w:tr>
      <w:tr w14:paraId="4A68E3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017" w:type="dxa"/>
            <w:shd w:val="clear" w:color="auto" w:fill="auto"/>
            <w:vAlign w:val="center"/>
          </w:tcPr>
          <w:p w14:paraId="75C7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9AB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Were all samples or randomly selected samples subjected to the gold standard test?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90E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C09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50C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4D96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0451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3C64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E73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4512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00FB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460651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1017" w:type="dxa"/>
            <w:shd w:val="clear" w:color="auto" w:fill="auto"/>
            <w:vAlign w:val="center"/>
          </w:tcPr>
          <w:p w14:paraId="36E0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331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Did all cases receive the same gold standard test regardless of the outcome of the experiment to be evaluated?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8DB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364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39E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46E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6134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30ED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812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65E2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3BF2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52E1DB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1017" w:type="dxa"/>
            <w:shd w:val="clear" w:color="auto" w:fill="auto"/>
            <w:vAlign w:val="center"/>
          </w:tcPr>
          <w:p w14:paraId="74FA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EA8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Is the gold standard trial independent of the trial to be evaluated (i.e., the trial to be evaluated is not included in the gold standard)?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549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631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C93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2B24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0230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A0E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32F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2058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6F01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7F4114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1017" w:type="dxa"/>
            <w:shd w:val="clear" w:color="auto" w:fill="auto"/>
            <w:vAlign w:val="center"/>
          </w:tcPr>
          <w:p w14:paraId="76C4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DFB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Were the practices of the trial to be evaluated described clearly enough that they could be replicated?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0D0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5C9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FAD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46A1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4363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DCB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523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3049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7DC0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188151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1017" w:type="dxa"/>
            <w:shd w:val="clear" w:color="auto" w:fill="auto"/>
            <w:vAlign w:val="center"/>
          </w:tcPr>
          <w:p w14:paraId="4E31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DED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Are the gold-standard trial procedures described clearly enough to be reproducible?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D49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FEE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5FB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097F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6CEA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432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10E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6E05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0E57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4AFBC2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1017" w:type="dxa"/>
            <w:shd w:val="clear" w:color="auto" w:fill="auto"/>
            <w:vAlign w:val="center"/>
          </w:tcPr>
          <w:p w14:paraId="1314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7B2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Was the interpretation of the results of the trial to be evaluated performed without knowledge of the results of the gold-standard trial?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E66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F99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294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0BE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18DE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0B6C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BA2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60C7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718E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34A89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1017" w:type="dxa"/>
            <w:shd w:val="clear" w:color="auto" w:fill="auto"/>
            <w:vAlign w:val="center"/>
          </w:tcPr>
          <w:p w14:paraId="3AC2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11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7F3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Is the interpretation of the results of a gold-standard trial performed without knowledge of the results of the trial to be evaluated?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F1F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9A8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3B2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631C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4208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3686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F33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63EF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1E42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50A6FC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1017" w:type="dxa"/>
            <w:shd w:val="clear" w:color="auto" w:fill="auto"/>
            <w:vAlign w:val="center"/>
          </w:tcPr>
          <w:p w14:paraId="2684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513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Are the clinical data available when interpreting trial results consistent with those available in real-world use?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0FF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97B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0E8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6A14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4038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06BC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A29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5153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073B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</w:tr>
      <w:tr w14:paraId="3A17BC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017" w:type="dxa"/>
            <w:shd w:val="clear" w:color="auto" w:fill="auto"/>
            <w:vAlign w:val="center"/>
          </w:tcPr>
          <w:p w14:paraId="254C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2F0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Are difficult-to-interpret/intermediate trial results reported?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ADB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776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4F4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FD3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13EA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196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3B8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2542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4E57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</w:tr>
      <w:tr w14:paraId="4BDEEB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17" w:type="dxa"/>
            <w:shd w:val="clear" w:color="auto" w:fill="auto"/>
            <w:vAlign w:val="center"/>
          </w:tcPr>
          <w:p w14:paraId="3480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14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4CA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Were cases that dropped out of the study explained?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6A1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Yes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A99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794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Unclear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473A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5542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EBB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7BA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39D1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743A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19"/>
                <w:szCs w:val="19"/>
                <w:u w:val="none"/>
                <w:lang w:val="en-US" w:eastAsia="zh-CN" w:bidi="ar"/>
              </w:rPr>
              <w:t>No</w:t>
            </w:r>
          </w:p>
        </w:tc>
      </w:tr>
      <w:tr w14:paraId="4BC015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88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Total score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E93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CC0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907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AB2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3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9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B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7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5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E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10</w:t>
            </w:r>
            <w:bookmarkStart w:id="1" w:name="_GoBack"/>
            <w:bookmarkEnd w:id="1"/>
          </w:p>
        </w:tc>
      </w:tr>
    </w:tbl>
    <w:p w14:paraId="1E8F3028">
      <w:pPr>
        <w:rPr>
          <w:rFonts w:ascii="Arial"/>
          <w:color w:val="FF0000"/>
          <w:sz w:val="21"/>
        </w:rPr>
      </w:pPr>
    </w:p>
    <w:p w14:paraId="5291CD23">
      <w:pPr>
        <w:rPr>
          <w:rFonts w:ascii="Arial"/>
          <w:color w:val="FF0000"/>
          <w:sz w:val="21"/>
        </w:rPr>
      </w:pPr>
    </w:p>
    <w:p w14:paraId="70BBD574">
      <w:pPr>
        <w:rPr>
          <w:rFonts w:hint="default" w:ascii="Arial"/>
          <w:color w:val="FF0000"/>
          <w:sz w:val="21"/>
          <w:lang w:val="en-US"/>
        </w:rPr>
      </w:pP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 xml:space="preserve">Notes: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QUADAS-2= Quality Assessment of Diagnostic Accuracy Studies-2</w:t>
      </w:r>
    </w:p>
    <w:sectPr>
      <w:pgSz w:w="31181" w:h="16838" w:orient="landscape"/>
      <w:pgMar w:top="1429" w:right="1786" w:bottom="0" w:left="1786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5132CD7"/>
    <w:rsid w:val="0A585E3F"/>
    <w:rsid w:val="0CB72D81"/>
    <w:rsid w:val="1060429F"/>
    <w:rsid w:val="21BA7327"/>
    <w:rsid w:val="22AA7723"/>
    <w:rsid w:val="29284D49"/>
    <w:rsid w:val="30A04A54"/>
    <w:rsid w:val="33241C0D"/>
    <w:rsid w:val="472A2E5B"/>
    <w:rsid w:val="569C6DA8"/>
    <w:rsid w:val="58A27F7A"/>
    <w:rsid w:val="6DF332FA"/>
    <w:rsid w:val="7BC46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7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411</Words>
  <Characters>1868</Characters>
  <TotalTime>3</TotalTime>
  <ScaleCrop>false</ScaleCrop>
  <LinksUpToDate>false</LinksUpToDate>
  <CharactersWithSpaces>2112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2025-02-17T20:42:00Z</dcterms:created>
  <dc:creator>Kingsoft-PDF</dc:creator>
  <cp:lastModifiedBy>文档存本地丢失不负责</cp:lastModifiedBy>
  <dcterms:modified xsi:type="dcterms:W3CDTF">2025-05-14T05:04:02Z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2025-02-17T20:42:16Z</vt:filetime>
  </property>
  <property fmtid="{D5CDD505-2E9C-101B-9397-08002B2CF9AE}" pid="4" name="UsrData">
    <vt:lpwstr>67b32ea7bf102c001fe6963awl</vt:lpwstr>
  </property>
  <property fmtid="{D5CDD505-2E9C-101B-9397-08002B2CF9AE}" pid="5" name="KSOTemplateDocerSaveRecord">
    <vt:lpwstr>eyJoZGlkIjoiODU3NTgzNTY2MTg1NDcyZjIwYzFjZmMyYzFjM2MzYjIiLCJ1c2VySWQiOiIxMzczNTkxODI5In0=</vt:lpwstr>
  </property>
  <property fmtid="{D5CDD505-2E9C-101B-9397-08002B2CF9AE}" pid="6" name="KSOProductBuildVer">
    <vt:lpwstr>2052-12.1.0.21171</vt:lpwstr>
  </property>
  <property fmtid="{D5CDD505-2E9C-101B-9397-08002B2CF9AE}" pid="7" name="ICV">
    <vt:lpwstr>5146AF4C07DC48608168F45664E32B96_12</vt:lpwstr>
  </property>
</Properties>
</file>