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677D8" w14:textId="61FAA45D" w:rsidR="008B5836" w:rsidRPr="00E11D46" w:rsidRDefault="008B5836" w:rsidP="008B5836">
      <w:pPr>
        <w:rPr>
          <w:rFonts w:ascii="Aptos Narrow" w:eastAsia="Times New Roman" w:hAnsi="Aptos Narrow"/>
          <w:color w:val="000000"/>
          <w:kern w:val="0"/>
          <w:lang w:val="en-IN" w:eastAsia="en-IN"/>
        </w:rPr>
      </w:pPr>
      <w:r w:rsidRPr="00E11D46">
        <w:rPr>
          <w:b/>
          <w:bCs/>
        </w:rPr>
        <w:t xml:space="preserve">Supplementary Data </w:t>
      </w:r>
    </w:p>
    <w:p w14:paraId="3CB07C60" w14:textId="77777777" w:rsidR="008B5836" w:rsidRPr="00E11D46" w:rsidRDefault="008B5836" w:rsidP="008B5836">
      <w:r w:rsidRPr="00E11D46">
        <w:rPr>
          <w:b/>
          <w:bCs/>
        </w:rPr>
        <w:t>Table 1.</w:t>
      </w:r>
      <w:r w:rsidRPr="00E11D46">
        <w:t xml:space="preserve"> </w:t>
      </w:r>
      <w:bookmarkStart w:id="0" w:name="_Hlk143456408"/>
      <w:r w:rsidRPr="00E11D46">
        <w:t>Therapeutic avenues for TNBC</w:t>
      </w:r>
      <w:bookmarkEnd w:id="0"/>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232"/>
        <w:gridCol w:w="3434"/>
        <w:gridCol w:w="1769"/>
        <w:gridCol w:w="1937"/>
        <w:gridCol w:w="1137"/>
      </w:tblGrid>
      <w:tr w:rsidR="008B5836" w:rsidRPr="00E11D46" w14:paraId="14340FCA" w14:textId="77777777" w:rsidTr="00EA540F">
        <w:tc>
          <w:tcPr>
            <w:tcW w:w="708" w:type="dxa"/>
          </w:tcPr>
          <w:p w14:paraId="59A03FB9" w14:textId="77777777" w:rsidR="008B5836" w:rsidRPr="00E11D46" w:rsidRDefault="008B5836" w:rsidP="00EA540F">
            <w:pPr>
              <w:jc w:val="both"/>
              <w:rPr>
                <w:sz w:val="18"/>
                <w:szCs w:val="18"/>
              </w:rPr>
            </w:pPr>
            <w:r w:rsidRPr="00E11D46">
              <w:rPr>
                <w:sz w:val="18"/>
                <w:szCs w:val="18"/>
              </w:rPr>
              <w:t>Sl. No.</w:t>
            </w:r>
          </w:p>
        </w:tc>
        <w:tc>
          <w:tcPr>
            <w:tcW w:w="2326" w:type="dxa"/>
          </w:tcPr>
          <w:p w14:paraId="73B975AB" w14:textId="77777777" w:rsidR="008B5836" w:rsidRPr="00E11D46" w:rsidRDefault="008B5836" w:rsidP="00EA540F">
            <w:pPr>
              <w:jc w:val="both"/>
              <w:rPr>
                <w:sz w:val="18"/>
                <w:szCs w:val="18"/>
              </w:rPr>
            </w:pPr>
            <w:r w:rsidRPr="00E11D46">
              <w:rPr>
                <w:sz w:val="18"/>
                <w:szCs w:val="18"/>
              </w:rPr>
              <w:t>Avenues in TNBC treatment</w:t>
            </w:r>
          </w:p>
        </w:tc>
        <w:tc>
          <w:tcPr>
            <w:tcW w:w="3534" w:type="dxa"/>
          </w:tcPr>
          <w:p w14:paraId="2CE41CAE" w14:textId="77777777" w:rsidR="008B5836" w:rsidRPr="00E11D46" w:rsidRDefault="008B5836" w:rsidP="00EA540F">
            <w:pPr>
              <w:jc w:val="both"/>
              <w:rPr>
                <w:sz w:val="18"/>
                <w:szCs w:val="18"/>
              </w:rPr>
            </w:pPr>
            <w:r w:rsidRPr="00E11D46">
              <w:rPr>
                <w:sz w:val="18"/>
                <w:szCs w:val="18"/>
              </w:rPr>
              <w:t>Mechanism</w:t>
            </w:r>
          </w:p>
        </w:tc>
        <w:tc>
          <w:tcPr>
            <w:tcW w:w="1796" w:type="dxa"/>
          </w:tcPr>
          <w:p w14:paraId="462D06EB" w14:textId="77777777" w:rsidR="008B5836" w:rsidRPr="00E11D46" w:rsidRDefault="008B5836" w:rsidP="00EA540F">
            <w:pPr>
              <w:jc w:val="both"/>
              <w:rPr>
                <w:sz w:val="18"/>
                <w:szCs w:val="18"/>
              </w:rPr>
            </w:pPr>
            <w:r w:rsidRPr="00E11D46">
              <w:rPr>
                <w:sz w:val="18"/>
                <w:szCs w:val="18"/>
              </w:rPr>
              <w:t>Advantages</w:t>
            </w:r>
          </w:p>
        </w:tc>
        <w:tc>
          <w:tcPr>
            <w:tcW w:w="1960" w:type="dxa"/>
          </w:tcPr>
          <w:p w14:paraId="486F38B1" w14:textId="77777777" w:rsidR="008B5836" w:rsidRPr="00E11D46" w:rsidRDefault="008B5836" w:rsidP="00EA540F">
            <w:pPr>
              <w:jc w:val="both"/>
              <w:rPr>
                <w:sz w:val="18"/>
                <w:szCs w:val="18"/>
              </w:rPr>
            </w:pPr>
            <w:r w:rsidRPr="00E11D46">
              <w:rPr>
                <w:sz w:val="18"/>
                <w:szCs w:val="18"/>
              </w:rPr>
              <w:t>Setbacks</w:t>
            </w:r>
          </w:p>
        </w:tc>
        <w:tc>
          <w:tcPr>
            <w:tcW w:w="875" w:type="dxa"/>
          </w:tcPr>
          <w:p w14:paraId="6DDEB78A" w14:textId="77777777" w:rsidR="008B5836" w:rsidRPr="00E11D46" w:rsidRDefault="008B5836" w:rsidP="00EA540F">
            <w:pPr>
              <w:jc w:val="both"/>
              <w:rPr>
                <w:sz w:val="18"/>
                <w:szCs w:val="18"/>
              </w:rPr>
            </w:pPr>
            <w:r w:rsidRPr="00E11D46">
              <w:rPr>
                <w:sz w:val="18"/>
                <w:szCs w:val="18"/>
              </w:rPr>
              <w:t>References</w:t>
            </w:r>
          </w:p>
        </w:tc>
      </w:tr>
      <w:tr w:rsidR="008B5836" w:rsidRPr="00E11D46" w14:paraId="1106540B" w14:textId="77777777" w:rsidTr="00EA540F">
        <w:tc>
          <w:tcPr>
            <w:tcW w:w="708" w:type="dxa"/>
          </w:tcPr>
          <w:p w14:paraId="2C4E662A" w14:textId="77777777" w:rsidR="008B5836" w:rsidRPr="00E11D46" w:rsidRDefault="008B5836" w:rsidP="00EA540F">
            <w:pPr>
              <w:jc w:val="both"/>
              <w:rPr>
                <w:sz w:val="18"/>
                <w:szCs w:val="18"/>
              </w:rPr>
            </w:pPr>
            <w:r w:rsidRPr="00E11D46">
              <w:rPr>
                <w:sz w:val="18"/>
                <w:szCs w:val="18"/>
              </w:rPr>
              <w:t>1.</w:t>
            </w:r>
          </w:p>
        </w:tc>
        <w:tc>
          <w:tcPr>
            <w:tcW w:w="2326" w:type="dxa"/>
          </w:tcPr>
          <w:p w14:paraId="56B2326C" w14:textId="77777777" w:rsidR="008B5836" w:rsidRPr="00E11D46" w:rsidRDefault="008B5836" w:rsidP="00EA540F">
            <w:pPr>
              <w:jc w:val="both"/>
              <w:rPr>
                <w:sz w:val="18"/>
                <w:szCs w:val="18"/>
              </w:rPr>
            </w:pPr>
            <w:r w:rsidRPr="00E11D46">
              <w:rPr>
                <w:sz w:val="18"/>
                <w:szCs w:val="18"/>
              </w:rPr>
              <w:t>DNA damage response inhibitors (DDR inhibitor)</w:t>
            </w:r>
          </w:p>
        </w:tc>
        <w:tc>
          <w:tcPr>
            <w:tcW w:w="3534" w:type="dxa"/>
          </w:tcPr>
          <w:p w14:paraId="0D4538EC" w14:textId="77777777" w:rsidR="008B5836" w:rsidRPr="00E11D46" w:rsidRDefault="008B5836" w:rsidP="00EA540F">
            <w:pPr>
              <w:jc w:val="both"/>
              <w:rPr>
                <w:sz w:val="18"/>
                <w:szCs w:val="18"/>
              </w:rPr>
            </w:pPr>
            <w:r w:rsidRPr="00E11D46">
              <w:rPr>
                <w:sz w:val="18"/>
                <w:szCs w:val="18"/>
              </w:rPr>
              <w:t>DDR inhibitors target TNBC cells' reliance on DDR pathways. TNBC has genetic alterations in DDR pathways, such as p53 dysfunction and BRCA1/2 mutations. Synthetic lethality is induced by exploiting these vulnerabilities with DDR inhibitors. The ATR-CHK1-WEE1 pathway and the HRR process are the most studied DDR pathways in TNBC. Combination therapy with DDR inhibitors and other DNA-damaging therapies is crucial. Effective predictive biomarkers are needed for maximum clinical utility.</w:t>
            </w:r>
          </w:p>
        </w:tc>
        <w:tc>
          <w:tcPr>
            <w:tcW w:w="1796" w:type="dxa"/>
          </w:tcPr>
          <w:p w14:paraId="33A5677D" w14:textId="77777777" w:rsidR="008B5836" w:rsidRPr="00E11D46" w:rsidRDefault="008B5836" w:rsidP="00EA540F">
            <w:pPr>
              <w:jc w:val="both"/>
              <w:rPr>
                <w:sz w:val="18"/>
                <w:szCs w:val="18"/>
              </w:rPr>
            </w:pPr>
            <w:r w:rsidRPr="00E11D46">
              <w:rPr>
                <w:sz w:val="18"/>
                <w:szCs w:val="18"/>
              </w:rPr>
              <w:t>The frequent genetic alterations in DDR pathway, including p53 dysfunction and BRCA1/2 mutations indicate the promising use of DDR inhibitors in treating TNBC. AZD1775 monotherapy is effective against TNBC with DDR deficiency or upregulated oncogenes. Combining DDR inhibitors with chemotherapy or drugs targeting DDR pathways is also effective in preclinical studies.</w:t>
            </w:r>
          </w:p>
        </w:tc>
        <w:tc>
          <w:tcPr>
            <w:tcW w:w="1960" w:type="dxa"/>
          </w:tcPr>
          <w:p w14:paraId="6B7FF143" w14:textId="77777777" w:rsidR="008B5836" w:rsidRPr="00E11D46" w:rsidRDefault="008B5836" w:rsidP="00EA540F">
            <w:pPr>
              <w:jc w:val="both"/>
              <w:rPr>
                <w:sz w:val="18"/>
                <w:szCs w:val="18"/>
              </w:rPr>
            </w:pPr>
            <w:r w:rsidRPr="00E11D46">
              <w:rPr>
                <w:sz w:val="18"/>
                <w:szCs w:val="18"/>
              </w:rPr>
              <w:t>TNBC's high heterogeneity is a challenge for targeted drug development. DDR inhibitors have limited mono-therapy efficacy. Combination therapy with DNA-damaging therapies is crucial for DDR inhibitor effectiveness. Predictive biomarkers are needed for DDR inhibitor clinical utility maximization.</w:t>
            </w:r>
          </w:p>
        </w:tc>
        <w:tc>
          <w:tcPr>
            <w:tcW w:w="875" w:type="dxa"/>
          </w:tcPr>
          <w:p w14:paraId="265782CA"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{"citationID":"EDPvlp5F","properties":{"formattedCitation":"(11)","plainCitation":"(11)","noteIndex":0},"citationItems":[{"id":909,"uris":["http://zotero.org/groups/4968145/items/R54Y7E29"],"itemData":{"id":909,"type":"article-journal","abstract":"The DNA damage response (DDR) is critical for the maintenance of genomic stability by sensing DNA damage, regulating cell cycle and initiating DNA repair. Drugs targeting DDR pathways have been increasingly exploited in treating various tumors. Triple negative breast cancer (TNBC) is a highly heterogeneous and aggressive tumor with constitutive activation of oncogenes, inducing replication stress and DNA damage, which require the DDR for survival. In addition, emerging studies have demonstrated that TNBC harbors aberrant genetic alterations in DDR pathways, such as a high frequency of p53 dysfunction and BRCA1/2 mutations. DDR alterations force TNBC to rely on the existing DDR pathways for survival, and make TNBC particularly sensitive to specific DDR inhibitors, such as high sensitivity of TNBC with BRCA1/2 mutations to PARP inhibitors. This review first and comprehensively covers the current status of the development of DDR inhibitors and discusses the mechanism of targeting the DDR in TNBC. Preclinical and clinical studies on inhibitors of the ATR-CHK1-WEE1 pathway and PARP inhibitors, the most studied inhibitors, and some other DDR inhibitors as monotherapy or combination therapy in TNBC are summarized. We also highlight the possible predictive biomarkers for these DDR inhibitors and their potential combination strategies with chemotherapy, radiotherapy or other targeted agents to optimize the efficacy of DDR inhibitors in TNBC treatment. In conclusion, this review discussed the recent considerations related to the use of DDR inhibitors for TNBC and provides a perspective to address future directions and potential therapeutic strategies for patients with TNBC.","container-title":"Biochimica et Biophysica Acta (BBA) - Reviews on Cancer","DOI":"10.1016/j.bbcan.2021.188521","ISSN":"0304-419X","issue":"2","journalAbbreviation":"Biochimica et Biophysica Acta (BBA) - Reviews on Cancer","language":"en","page":"188521","source":"ScienceDirect","title":"DNA damage response inhibitors: An avenue for TNBC treatment","title-short":"DNA damage response inhibitors","volume":"1875","author":[{"family":"Jin","given":"Juan"},{"family":"Tao","given":"Zhonghua"},{"family":"Cao","given":"Jun"},{"family":"Li","given":"Ting"},{"family":"Hu","given":"Xichun"}],"issued":{"date-parts":[["2021",4,1]]}}}],"schema":"https://github.com/citation-style-language/schema/raw/master/csl-citation.json"} </w:instrText>
            </w:r>
            <w:r w:rsidRPr="00E11D46">
              <w:rPr>
                <w:sz w:val="18"/>
                <w:szCs w:val="18"/>
              </w:rPr>
              <w:fldChar w:fldCharType="separate"/>
            </w:r>
            <w:r w:rsidRPr="00E11D46">
              <w:rPr>
                <w:sz w:val="18"/>
              </w:rPr>
              <w:t>(1)</w:t>
            </w:r>
            <w:r w:rsidRPr="00E11D46">
              <w:rPr>
                <w:sz w:val="18"/>
                <w:szCs w:val="18"/>
              </w:rPr>
              <w:fldChar w:fldCharType="end"/>
            </w:r>
          </w:p>
          <w:p w14:paraId="06414525" w14:textId="77777777" w:rsidR="008B5836" w:rsidRPr="00E11D46" w:rsidRDefault="008B5836" w:rsidP="00EA540F">
            <w:pPr>
              <w:jc w:val="both"/>
              <w:rPr>
                <w:sz w:val="18"/>
                <w:szCs w:val="18"/>
              </w:rPr>
            </w:pPr>
          </w:p>
        </w:tc>
      </w:tr>
      <w:tr w:rsidR="008B5836" w:rsidRPr="00E11D46" w14:paraId="6AFF4752" w14:textId="77777777" w:rsidTr="00EA540F">
        <w:tc>
          <w:tcPr>
            <w:tcW w:w="708" w:type="dxa"/>
          </w:tcPr>
          <w:p w14:paraId="3AD2D4EE" w14:textId="77777777" w:rsidR="008B5836" w:rsidRPr="00E11D46" w:rsidRDefault="008B5836" w:rsidP="00EA540F">
            <w:pPr>
              <w:jc w:val="both"/>
              <w:rPr>
                <w:sz w:val="18"/>
                <w:szCs w:val="18"/>
              </w:rPr>
            </w:pPr>
            <w:r w:rsidRPr="00E11D46">
              <w:rPr>
                <w:sz w:val="18"/>
                <w:szCs w:val="18"/>
              </w:rPr>
              <w:t>2.</w:t>
            </w:r>
          </w:p>
        </w:tc>
        <w:tc>
          <w:tcPr>
            <w:tcW w:w="2326" w:type="dxa"/>
          </w:tcPr>
          <w:p w14:paraId="453F8B5F" w14:textId="77777777" w:rsidR="008B5836" w:rsidRPr="00E11D46" w:rsidRDefault="008B5836" w:rsidP="00EA540F">
            <w:pPr>
              <w:jc w:val="both"/>
              <w:rPr>
                <w:sz w:val="18"/>
                <w:szCs w:val="18"/>
              </w:rPr>
            </w:pPr>
            <w:r w:rsidRPr="00E11D46">
              <w:rPr>
                <w:sz w:val="18"/>
                <w:szCs w:val="18"/>
              </w:rPr>
              <w:t>Cancer stem cells in TNBC (CSCs in TNBC)</w:t>
            </w:r>
          </w:p>
        </w:tc>
        <w:tc>
          <w:tcPr>
            <w:tcW w:w="3534" w:type="dxa"/>
          </w:tcPr>
          <w:p w14:paraId="31D29E58" w14:textId="77777777" w:rsidR="008B5836" w:rsidRPr="00E11D46" w:rsidRDefault="008B5836" w:rsidP="00EA540F">
            <w:pPr>
              <w:jc w:val="both"/>
              <w:rPr>
                <w:sz w:val="18"/>
                <w:szCs w:val="18"/>
              </w:rPr>
            </w:pPr>
            <w:r w:rsidRPr="00E11D46">
              <w:rPr>
                <w:sz w:val="18"/>
                <w:szCs w:val="18"/>
              </w:rPr>
              <w:t>The treatment for TNBC includes targeting and treating CSCs which are responsible for tumor growth and resistance to therapies. Advanced techniques help identify CSC clusters, biomarkers and micro environmental cells. Combining therapies with immunotherapy holds promise in developing a uniform TNBC treatment.</w:t>
            </w:r>
          </w:p>
        </w:tc>
        <w:tc>
          <w:tcPr>
            <w:tcW w:w="1796" w:type="dxa"/>
          </w:tcPr>
          <w:p w14:paraId="78115FD8" w14:textId="77777777" w:rsidR="008B5836" w:rsidRPr="00E11D46" w:rsidRDefault="008B5836" w:rsidP="00EA540F">
            <w:pPr>
              <w:jc w:val="both"/>
              <w:rPr>
                <w:sz w:val="18"/>
                <w:szCs w:val="18"/>
              </w:rPr>
            </w:pPr>
            <w:r w:rsidRPr="00E11D46">
              <w:rPr>
                <w:sz w:val="18"/>
                <w:szCs w:val="18"/>
              </w:rPr>
              <w:t>Cancer stem cells are crucial for TNBC tumor growth, drug resistance, and metastasis. Identifying and targeting these cells is the goal of TNBC treatment. Although single-cell analysis technologies can detect CSCs and biomarkers, having cancer stem cells in TNBC treatment does not provide any benefits.</w:t>
            </w:r>
          </w:p>
        </w:tc>
        <w:tc>
          <w:tcPr>
            <w:tcW w:w="1960" w:type="dxa"/>
          </w:tcPr>
          <w:p w14:paraId="4D96E56B" w14:textId="77777777" w:rsidR="008B5836" w:rsidRPr="00E11D46" w:rsidRDefault="008B5836" w:rsidP="00EA540F">
            <w:pPr>
              <w:jc w:val="both"/>
              <w:rPr>
                <w:sz w:val="18"/>
                <w:szCs w:val="18"/>
              </w:rPr>
            </w:pPr>
            <w:r w:rsidRPr="00E11D46">
              <w:rPr>
                <w:sz w:val="18"/>
                <w:szCs w:val="18"/>
              </w:rPr>
              <w:t>Identifying and targeting CSCs is difficult due to their rarity and heterogeneity. CSCs can adapt and develop resistance to treatments due to their plasticity. Distinguishing CSCs from normal stem cells can lead to unintended side effects as there are no specific markers. Comprehensive molecular characterization of each TNBC case is required due to the complexity of the tumor microenvironment, which can be time-consuming and expensive.</w:t>
            </w:r>
          </w:p>
        </w:tc>
        <w:tc>
          <w:tcPr>
            <w:tcW w:w="875" w:type="dxa"/>
          </w:tcPr>
          <w:p w14:paraId="30EC0EC4"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{"citationID":"9hPLxXDF","properties":{"formattedCitation":"(12)","plainCitation":"(12)","noteIndex":0},"citationItems":[{"id":987,"uris":["http://zotero.org/groups/4968145/items/Y5DZ8RH2"],"itemData":{"id":987,"type":"article-journal","abstract":"Triple-negative breast cancer (TNBC) is an aggressive disease with poor outcome, and lacks targeted therapy. Recent studies suggest that cancer stem cells play an important role in tumorigenesis and tumor biology of TNBC. Both CD44+/CD24- and ALDH1+ breast cancer stem cells are enriched in TNBC and may contribute to the propensity of TNBC for chemotherapy resistance and tumor metastasis. There is new evidence to support the evaluation of cancer stem cells in TNBC for diagnostic purposes. Targeting cancer stem cells may also be a promising, novel strategy for the treatment of TNBC. This review highlights the current understanding of breast cancer stem cells in TNBC, with focus on CD44+/CD24- and ALDH1+ breast cancer stem cells. It is our hope that this work provides insight into the potential role of cancer stem cells in the prognostication and therapeutic targeting of TNBC.","container-title":"Biomarkers in Medicine","DOI":"10.2217/bmm-2017-0398","ISSN":"1752-0371","issue":"7","journalAbbreviation":"Biomark Med","language":"eng","note":"PMID: 29902924","page":"813-820","source":"PubMed","title":"Cancer stem cells in triple-negative breast cancer: a potential target and prognostic marker","title-short":"Cancer stem cells in triple-negative breast cancer","volume":"12","author":[{"family":"O'Conor","given":"Christopher J."},{"family":"Chen","given":"Tiffany"},{"family":"González","given":"Iván"},{"family":"Cao","given":"Dengfeng"},{"family":"Peng","given":"Yan"}],"issued":{"date-parts":[["2018",7]]}}}],"schema":"https://github.com/citation-style-language/schema/raw/master/csl-citation.json"} </w:instrText>
            </w:r>
            <w:r w:rsidRPr="00E11D46">
              <w:rPr>
                <w:sz w:val="18"/>
                <w:szCs w:val="18"/>
              </w:rPr>
              <w:fldChar w:fldCharType="separate"/>
            </w:r>
            <w:r w:rsidRPr="00E11D46">
              <w:rPr>
                <w:sz w:val="18"/>
              </w:rPr>
              <w:t>(2)</w:t>
            </w:r>
            <w:r w:rsidRPr="00E11D46">
              <w:rPr>
                <w:sz w:val="18"/>
                <w:szCs w:val="18"/>
              </w:rPr>
              <w:fldChar w:fldCharType="end"/>
            </w:r>
          </w:p>
        </w:tc>
      </w:tr>
      <w:tr w:rsidR="008B5836" w:rsidRPr="00E11D46" w14:paraId="47DDBE23" w14:textId="77777777" w:rsidTr="00EA540F">
        <w:tc>
          <w:tcPr>
            <w:tcW w:w="708" w:type="dxa"/>
          </w:tcPr>
          <w:p w14:paraId="5E6017FD" w14:textId="77777777" w:rsidR="008B5836" w:rsidRPr="00E11D46" w:rsidRDefault="008B5836" w:rsidP="00EA540F">
            <w:pPr>
              <w:jc w:val="both"/>
              <w:rPr>
                <w:sz w:val="18"/>
                <w:szCs w:val="18"/>
              </w:rPr>
            </w:pPr>
            <w:r w:rsidRPr="00E11D46">
              <w:rPr>
                <w:sz w:val="18"/>
                <w:szCs w:val="18"/>
              </w:rPr>
              <w:t>3.</w:t>
            </w:r>
          </w:p>
        </w:tc>
        <w:tc>
          <w:tcPr>
            <w:tcW w:w="2326" w:type="dxa"/>
          </w:tcPr>
          <w:p w14:paraId="278520D9" w14:textId="77777777" w:rsidR="008B5836" w:rsidRPr="00E11D46" w:rsidRDefault="008B5836" w:rsidP="00EA540F">
            <w:pPr>
              <w:jc w:val="both"/>
              <w:rPr>
                <w:sz w:val="18"/>
                <w:szCs w:val="18"/>
              </w:rPr>
            </w:pPr>
            <w:r w:rsidRPr="00E11D46">
              <w:rPr>
                <w:sz w:val="18"/>
                <w:szCs w:val="18"/>
              </w:rPr>
              <w:t>Targeted Therapies in TNBC</w:t>
            </w:r>
          </w:p>
        </w:tc>
        <w:tc>
          <w:tcPr>
            <w:tcW w:w="3534" w:type="dxa"/>
          </w:tcPr>
          <w:p w14:paraId="3949F9CD" w14:textId="77777777" w:rsidR="008B5836" w:rsidRPr="00E11D46" w:rsidRDefault="008B5836" w:rsidP="00EA540F">
            <w:pPr>
              <w:jc w:val="both"/>
              <w:rPr>
                <w:sz w:val="18"/>
                <w:szCs w:val="18"/>
              </w:rPr>
            </w:pPr>
            <w:r w:rsidRPr="00E11D46">
              <w:rPr>
                <w:sz w:val="18"/>
                <w:szCs w:val="18"/>
              </w:rPr>
              <w:t>Targeted therapies, like PARP inhibitors and immune check-point inhibitors, target TNBC molecular pathways. Synthetic lethality is induced in BRCA deficient tumors and the immune system is activated to attack cancer cells. Inhibition of signaling pathways that promote cell growth is achieved. Personalized treatment is based on biomarker expression using precision medicine and next generation sequencing.</w:t>
            </w:r>
          </w:p>
        </w:tc>
        <w:tc>
          <w:tcPr>
            <w:tcW w:w="1796" w:type="dxa"/>
          </w:tcPr>
          <w:p w14:paraId="6601068F" w14:textId="77777777" w:rsidR="008B5836" w:rsidRPr="00E11D46" w:rsidRDefault="008B5836" w:rsidP="00EA540F">
            <w:pPr>
              <w:jc w:val="both"/>
              <w:rPr>
                <w:sz w:val="18"/>
                <w:szCs w:val="18"/>
              </w:rPr>
            </w:pPr>
            <w:r w:rsidRPr="00E11D46">
              <w:rPr>
                <w:sz w:val="18"/>
                <w:szCs w:val="18"/>
              </w:rPr>
              <w:t>Targeted therapies improve treatment effectiveness by focusing on specific molecular pathways in tumor progression, with promising results seen in TNBC through PARP inhibitors and immune check-point inhibitors. Molecular biomarkers guide tailored strategies, allowing for targeted therapies that minimize side effects and overcome challenges posed by tumor heterogeneity and clonal evolution, while precision medicine and next-gen sequencing open up new possibilities for novel therapeutic agents and enriched care for TNBC patients.</w:t>
            </w:r>
          </w:p>
        </w:tc>
        <w:tc>
          <w:tcPr>
            <w:tcW w:w="1960" w:type="dxa"/>
          </w:tcPr>
          <w:p w14:paraId="50659B07" w14:textId="77777777" w:rsidR="008B5836" w:rsidRPr="00E11D46" w:rsidRDefault="008B5836" w:rsidP="00EA540F">
            <w:pPr>
              <w:jc w:val="both"/>
              <w:rPr>
                <w:sz w:val="18"/>
                <w:szCs w:val="18"/>
              </w:rPr>
            </w:pPr>
            <w:r w:rsidRPr="00E11D46">
              <w:rPr>
                <w:sz w:val="18"/>
                <w:szCs w:val="18"/>
              </w:rPr>
              <w:t>Targeted therapies may not be accessible to all patients. Treatment failure and disease progression can occur due to resistance. Side effects can impact the patient's quality of life. Biomarkers are necessary for targeted therapies but may not be present in all TNBC patients. Development is slow and expensive, limiting new treatment options.</w:t>
            </w:r>
          </w:p>
        </w:tc>
        <w:tc>
          <w:tcPr>
            <w:tcW w:w="875" w:type="dxa"/>
          </w:tcPr>
          <w:p w14:paraId="64F937C7"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{"citationID":"lKMWoyhy","properties":{"formattedCitation":"(13)","plainCitation":"(13)","noteIndex":0},"citationItems":[{"id":907,"uris":["http://zotero.org/groups/4968145/items/Q3MCK9YE"],"itemData":{"id":907,"type":"article-journal","abstract":"Triple negative breast cancer (TNBC) constitutes the most aggressive molecular subtype among breast tumors. Despite progress on the underlying tumor biology, clinical outcomes for TNBC unfortunately remain poor. The median overall survival for patients with metastatic TNBC is approximately eighteen months. Chemotherapy is the mainstay of treatment while there is a growing body of evidence that targeted therapies may be on the horizon with poly-ADP-ribose polymerase (PARP) and immune check-point inhibitors already established in the treatment paradigm of TNBC. A large number of novel therapeutic agents are being evaluated for their efficacy in TNBC. As novel therapeutics are now incorporated into clinical practice, it is clear that tumor heterogeneity and clonal evolution can result to de novo or acquired treatment resistance. As precision medicine and next generation sequencing is part of cancer diagnostics, tailored treatment approaches based on the expression of molecular markers are currently being implemented in clinical practice and clinical trial design. The scope of this review is to highlight the most relevant current knowledge regarding underlying molecular profile of TNBC and its potential application in clinical practice.","container-title":"Cancers","DOI":"10.3390/cancers12040916","ISSN":"2072-6694","issue":"4","language":"en","license":"http://creativecommons.org/licenses/by/3.0/","note":"number: 4\npublisher: Multidisciplinary Digital Publishing Institute","page":"916","source":"www.mdpi.com","title":"The Landscape of Targeted Therapies in TNBC","volume":"12","author":[{"family":"Vagia","given":"Elena"},{"family":"Mahalingam","given":"Devalingam"},{"family":"Cristofanilli","given":"Massimo"}],"issued":{"date-parts":[["2020",4]]}}}],"schema":"https://github.com/citation-style-language/schema/raw/master/csl-citation.json"} </w:instrText>
            </w:r>
            <w:r w:rsidRPr="00E11D46">
              <w:rPr>
                <w:sz w:val="18"/>
                <w:szCs w:val="18"/>
              </w:rPr>
              <w:fldChar w:fldCharType="separate"/>
            </w:r>
            <w:r w:rsidRPr="00E11D46">
              <w:rPr>
                <w:sz w:val="18"/>
              </w:rPr>
              <w:t>(3)</w:t>
            </w:r>
            <w:r w:rsidRPr="00E11D46">
              <w:rPr>
                <w:sz w:val="18"/>
                <w:szCs w:val="18"/>
              </w:rPr>
              <w:fldChar w:fldCharType="end"/>
            </w:r>
          </w:p>
        </w:tc>
      </w:tr>
      <w:tr w:rsidR="008B5836" w:rsidRPr="00E11D46" w14:paraId="6AEFBD05" w14:textId="77777777" w:rsidTr="00EA540F">
        <w:tc>
          <w:tcPr>
            <w:tcW w:w="708" w:type="dxa"/>
          </w:tcPr>
          <w:p w14:paraId="20D40D53" w14:textId="77777777" w:rsidR="008B5836" w:rsidRPr="00E11D46" w:rsidRDefault="008B5836" w:rsidP="00EA540F">
            <w:pPr>
              <w:jc w:val="both"/>
              <w:rPr>
                <w:sz w:val="18"/>
                <w:szCs w:val="18"/>
              </w:rPr>
            </w:pPr>
            <w:r w:rsidRPr="00E11D46">
              <w:rPr>
                <w:sz w:val="18"/>
                <w:szCs w:val="18"/>
              </w:rPr>
              <w:t>4.</w:t>
            </w:r>
          </w:p>
        </w:tc>
        <w:tc>
          <w:tcPr>
            <w:tcW w:w="2326" w:type="dxa"/>
          </w:tcPr>
          <w:p w14:paraId="020FDD02" w14:textId="77777777" w:rsidR="008B5836" w:rsidRPr="00E11D46" w:rsidRDefault="008B5836" w:rsidP="00EA540F">
            <w:pPr>
              <w:jc w:val="both"/>
              <w:rPr>
                <w:sz w:val="18"/>
                <w:szCs w:val="18"/>
              </w:rPr>
            </w:pPr>
            <w:r w:rsidRPr="00E11D46">
              <w:rPr>
                <w:sz w:val="18"/>
                <w:szCs w:val="18"/>
              </w:rPr>
              <w:t>Heat Shock Proteins (HSPs) in TNBC Treatment</w:t>
            </w:r>
          </w:p>
        </w:tc>
        <w:tc>
          <w:tcPr>
            <w:tcW w:w="3534" w:type="dxa"/>
          </w:tcPr>
          <w:p w14:paraId="359E3D84" w14:textId="77777777" w:rsidR="008B5836" w:rsidRPr="00E11D46" w:rsidRDefault="008B5836" w:rsidP="00EA540F">
            <w:pPr>
              <w:jc w:val="both"/>
              <w:rPr>
                <w:sz w:val="18"/>
                <w:szCs w:val="18"/>
              </w:rPr>
            </w:pPr>
            <w:r w:rsidRPr="00E11D46">
              <w:rPr>
                <w:sz w:val="18"/>
                <w:szCs w:val="18"/>
              </w:rPr>
              <w:t>HSP inhibitors have been developed to target multiple pathways in TNBC, including the PI3K/AKT/mTOR pathway, by inhibiting HSPs, which can induce apoptosis and inhibit tumor growth due to over expressed HSPs in TNBC.</w:t>
            </w:r>
          </w:p>
        </w:tc>
        <w:tc>
          <w:tcPr>
            <w:tcW w:w="1796" w:type="dxa"/>
          </w:tcPr>
          <w:p w14:paraId="12AAB5BE" w14:textId="77777777" w:rsidR="008B5836" w:rsidRPr="00E11D46" w:rsidRDefault="008B5836" w:rsidP="00EA540F">
            <w:pPr>
              <w:jc w:val="both"/>
              <w:rPr>
                <w:sz w:val="18"/>
                <w:szCs w:val="18"/>
              </w:rPr>
            </w:pPr>
            <w:r w:rsidRPr="00E11D46">
              <w:rPr>
                <w:sz w:val="18"/>
                <w:szCs w:val="18"/>
              </w:rPr>
              <w:t>HSP inhibitors can induce apoptosis and inhibit tumor growth. HSP inhibitors can overcome drug resistance in TNBC. Targeting HSPs is a promising therapeutic approach for TNBC. HSP inhibitors have potent anti-tumor activity in preclinical studies and are being evaluated in clinical trials.</w:t>
            </w:r>
          </w:p>
        </w:tc>
        <w:tc>
          <w:tcPr>
            <w:tcW w:w="1960" w:type="dxa"/>
          </w:tcPr>
          <w:p w14:paraId="3A0AFAC3" w14:textId="77777777" w:rsidR="008B5836" w:rsidRPr="00E11D46" w:rsidRDefault="008B5836" w:rsidP="00EA540F">
            <w:pPr>
              <w:jc w:val="both"/>
              <w:rPr>
                <w:sz w:val="18"/>
                <w:szCs w:val="18"/>
              </w:rPr>
            </w:pPr>
            <w:r w:rsidRPr="00E11D46">
              <w:rPr>
                <w:sz w:val="18"/>
                <w:szCs w:val="18"/>
              </w:rPr>
              <w:t>HSP inhibitors may produce toxicity and off-target effects. They may not work for all TNBC patients and resistance can develop. Combining these inhibitors with other agents may be necessary for optimal results. Limited penetration into the tumor microenvironment and bioavailability can reduce effectiveness, necessitating frequent dosing.</w:t>
            </w:r>
          </w:p>
        </w:tc>
        <w:tc>
          <w:tcPr>
            <w:tcW w:w="875" w:type="dxa"/>
          </w:tcPr>
          <w:p w14:paraId="5242E248"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{"citationID":"7HuJ1L4J","properties":{"formattedCitation":"(14)","plainCitation":"(14)","noteIndex":0},"citationItems":[{"id":990,"uris":["http://zotero.org/groups/4968145/items/9LBRTBGV"],"itemData":{"id":990,"type":"article-journal","abstract":"Triple negative breast cancer (TNBC) is considered the most aggressive breast cancer with high relapse rates and poor prognosis. Although great advances in the development of cancer therapy have been witnessed over the past decade, the treatment options for TNBC remain limited. In this study, we investigated the effect and potential underlying mechanism of the Hsp70 inhibitors, compound 1 and compound 6, on breast cancer stem cells (BCSCs) in TNBC cells. Our results showed that compound 1 and 6 exhibited potent tumor suppressive effects on cell viability and proliferation, and effectively inhibited BCSC expansion in TNBC cells. Reminiscent with the effect of Hsp70 inhibitors, Hsp70 knockdown effectively suppressed mammosphere formation and the expressions of BCSCs surface markers. Mechanistically, evidence showed that the Hsp70 inhibitors inhibited BCSCs by down-regulating β-catenin in TNBC cells. Moreover, we used the Hsp70 inhibitors treated TNBC cells and a stable Hsp70 knockdown clone of MDA-MB-231 cells to demonstrate the in vivo efficacy of Hsp70 inhibition in suppressing tumorigenesis and xenograft tumor growth. Together, these findings suggest the potential role of Hsp70 as a target for TNBC therapy and foster new therapeutic strategies to eliminate BCSCs by targeting Hsp70.","container-title":"Cancers","DOI":"10.3390/cancers14194898","ISSN":"2072-6694","issue":"19","journalAbbreviation":"Cancers (Basel)","language":"eng","note":"PMID: 36230821\nPMCID: PMC9562869","page":"4898","source":"PubMed","title":"Targeting Triple Negative Breast Cancer Stem Cells by Heat Shock Protein 70 Inhibitors","volume":"14","author":[{"family":"Tsai","given":"Chia-Hung"},{"family":"Weng","given":"Jing-Ru"},{"family":"Lin","given":"Hsiang-Wen"},{"family":"Lu","given":"Meng-Tien"},{"family":"Liu","given":"Yu-Chi"},{"family":"Chu","given":"Po-Chen"}],"issued":{"date-parts":[["2022",10,7]]}}}],"schema":"https://github.com/citation-style-language/schema/raw/master/csl-citation.json"} </w:instrText>
            </w:r>
            <w:r w:rsidRPr="00E11D46">
              <w:rPr>
                <w:sz w:val="18"/>
                <w:szCs w:val="18"/>
              </w:rPr>
              <w:fldChar w:fldCharType="separate"/>
            </w:r>
            <w:r w:rsidRPr="00E11D46">
              <w:rPr>
                <w:sz w:val="18"/>
              </w:rPr>
              <w:t>(4)</w:t>
            </w:r>
            <w:r w:rsidRPr="00E11D46">
              <w:rPr>
                <w:sz w:val="18"/>
                <w:szCs w:val="18"/>
              </w:rPr>
              <w:fldChar w:fldCharType="end"/>
            </w:r>
          </w:p>
        </w:tc>
      </w:tr>
      <w:tr w:rsidR="008B5836" w:rsidRPr="00E11D46" w14:paraId="6A56EF3A" w14:textId="77777777" w:rsidTr="00EA540F">
        <w:tc>
          <w:tcPr>
            <w:tcW w:w="708" w:type="dxa"/>
          </w:tcPr>
          <w:p w14:paraId="0A3352FE" w14:textId="77777777" w:rsidR="008B5836" w:rsidRPr="00E11D46" w:rsidRDefault="008B5836" w:rsidP="00EA540F">
            <w:pPr>
              <w:jc w:val="both"/>
              <w:rPr>
                <w:sz w:val="18"/>
                <w:szCs w:val="18"/>
              </w:rPr>
            </w:pPr>
            <w:r w:rsidRPr="00E11D46">
              <w:rPr>
                <w:sz w:val="18"/>
                <w:szCs w:val="18"/>
              </w:rPr>
              <w:t>5.</w:t>
            </w:r>
          </w:p>
        </w:tc>
        <w:tc>
          <w:tcPr>
            <w:tcW w:w="2326" w:type="dxa"/>
          </w:tcPr>
          <w:p w14:paraId="6E039C95" w14:textId="77777777" w:rsidR="008B5836" w:rsidRPr="00E11D46" w:rsidRDefault="008B5836" w:rsidP="00EA540F">
            <w:pPr>
              <w:jc w:val="both"/>
              <w:rPr>
                <w:sz w:val="18"/>
                <w:szCs w:val="18"/>
              </w:rPr>
            </w:pPr>
            <w:r w:rsidRPr="00E11D46">
              <w:rPr>
                <w:sz w:val="18"/>
                <w:szCs w:val="18"/>
              </w:rPr>
              <w:t>Co-targeting cancer-associated fibroblasts and angiogenic vessel as a treatment for TNBC</w:t>
            </w:r>
          </w:p>
        </w:tc>
        <w:tc>
          <w:tcPr>
            <w:tcW w:w="3534" w:type="dxa"/>
          </w:tcPr>
          <w:p w14:paraId="1B9AF6D1" w14:textId="77777777" w:rsidR="008B5836" w:rsidRPr="00E11D46" w:rsidRDefault="008B5836" w:rsidP="00EA540F">
            <w:pPr>
              <w:jc w:val="both"/>
              <w:rPr>
                <w:sz w:val="18"/>
                <w:szCs w:val="18"/>
              </w:rPr>
            </w:pPr>
            <w:r w:rsidRPr="00E11D46">
              <w:rPr>
                <w:sz w:val="18"/>
                <w:szCs w:val="18"/>
              </w:rPr>
              <w:t>ProAgio targets integrin αvβ3 on cancer-associated fibroblasts (CAFs) and angiogenic endothelial cells (aECs) in TNBC to induce apoptosis. By depleting CAFs, ProAgio reduces intratumoral collagen and growth factors, decreasing cancer cell proliferation and apoptotic resistance. ProAgio also eliminates tumor angiogenic vessels, reducing hypoxia and improving drug delivery, while decreased lysyl oxidase secretion potentially reduces metastasis. Studies in TNBC murine models demonstrate that ProAgio offers a survival benefit, highlighting its potential as a TNBC treatment strategy</w:t>
            </w:r>
          </w:p>
        </w:tc>
        <w:tc>
          <w:tcPr>
            <w:tcW w:w="1796" w:type="dxa"/>
          </w:tcPr>
          <w:p w14:paraId="22FB7EFA" w14:textId="77777777" w:rsidR="008B5836" w:rsidRPr="00E11D46" w:rsidRDefault="008B5836" w:rsidP="00EA540F">
            <w:pPr>
              <w:jc w:val="both"/>
              <w:rPr>
                <w:sz w:val="18"/>
                <w:szCs w:val="18"/>
              </w:rPr>
            </w:pPr>
            <w:r w:rsidRPr="00E11D46">
              <w:rPr>
                <w:rFonts w:eastAsia="Times New Roman"/>
                <w:kern w:val="0"/>
                <w:sz w:val="18"/>
                <w:szCs w:val="18"/>
              </w:rPr>
              <w:t>Concurrently targeting CAFs and angiogenic vessels is crucial in the treatment of TNBC. ProAgio, which utilizes integrin αvβ3 to induce apoptosis in CAFs and aECs, reduces CAFs and leaky angiogenic vessels, leading to decreased hypoxia and enhanced drug delivery. This ultimately results in reduced cancer cell proliferation and apoptosis resistance, potentially mitigating metastasis. In TNBC murine models, ProAgio, either alone or with chemotherapy, offers a survival advantage, highlighting its therapeutic potential.</w:t>
            </w:r>
          </w:p>
        </w:tc>
        <w:tc>
          <w:tcPr>
            <w:tcW w:w="1960" w:type="dxa"/>
          </w:tcPr>
          <w:p w14:paraId="25430880" w14:textId="77777777" w:rsidR="008B5836" w:rsidRPr="00E11D46" w:rsidRDefault="008B5836" w:rsidP="00EA540F">
            <w:pPr>
              <w:jc w:val="both"/>
              <w:rPr>
                <w:sz w:val="18"/>
                <w:szCs w:val="18"/>
              </w:rPr>
            </w:pPr>
            <w:r w:rsidRPr="00E11D46">
              <w:rPr>
                <w:sz w:val="18"/>
                <w:szCs w:val="18"/>
              </w:rPr>
              <w:t>N/A</w:t>
            </w:r>
          </w:p>
        </w:tc>
        <w:tc>
          <w:tcPr>
            <w:tcW w:w="875" w:type="dxa"/>
          </w:tcPr>
          <w:p w14:paraId="17A9DB83"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{"citationID":"5hTwa6I1","properties":{"formattedCitation":"(15)","plainCitation":"(15)","noteIndex":0},"citationItems":[{"id":991,"uris":["http://zotero.org/groups/4968145/items/7MR8I73E"],"itemData":{"id":991,"type":"article-journal","abstract":"Fibrotic tumor stroma plays an important role in facilitating triple-negative breast cancer (TNBC) progression and chemotherapeutic resistance. We previously reported a rationally designed protein (ProAgio) that targets integrin αvβ3 at a novel site. ProAgio induces apoptosis via the integrin. Cancer-associated fibroblasts (CAFs) and angiogenic endothelial cells (aECs) in TNBC tumor express high levels of integrin αvβ3. ProAgio effectively induces apoptosis in CAFs and aECs. The depletion of CAFs by ProAgio reduces intratumoral collagen and decreases growth factors released from CAFs in the tumor, resulting in decreased cancer cell proliferation and apoptotic resistance. ProAgio also eliminates leaky tumor angiogenic vessels, which consequently reduces tumor hypoxia and improves drug delivery. The depletion of CAFs and reduction in hypoxia by ProAgio decreases lysyl oxidase (LOX) secretion, which may play a role in the reduction of metastasis. ProAgio stand-alone or in combination with a chemotherapeutic agent provides survival benefit in TNBC murine models, highlighting the therapeutic potential of ProAgio as a treatment strategy.","container-title":"The Journal of Experimental Medicine","DOI":"10.1084/jem.20200712","ISSN":"1540-9538","issue":"4","journalAbbreviation":"J Exp Med","language":"eng","note":"PMID: 33561195\nPMCID: PMC7876552","page":"e20200712","source":"PubMed","title":"Simultaneously targeting cancer-associated fibroblasts and angiogenic vessel as a treatment for TNBC","volume":"218","author":[{"family":"Sharma","given":"Malvika"},{"family":"Turaga","given":"Ravi Chakra"},{"family":"Yuan","given":"Yi"},{"family":"Satyanarayana","given":"Ganesh"},{"family":"Mishra","given":"Falguni"},{"family":"Bian","given":"Zhen"},{"family":"Liu","given":"Wei"},{"family":"Sun","given":"Li"},{"family":"Yang","given":"Jenny"},{"family":"Liu","given":"Zhi-Ren"}],"issued":{"date-parts":[["2021",4,5]]}}}],"schema":"https://github.com/citation-style-language/schema/raw/master/csl-citation.json"} </w:instrText>
            </w:r>
            <w:r w:rsidRPr="00E11D46">
              <w:rPr>
                <w:sz w:val="18"/>
                <w:szCs w:val="18"/>
              </w:rPr>
              <w:fldChar w:fldCharType="separate"/>
            </w:r>
            <w:r w:rsidRPr="00E11D46">
              <w:rPr>
                <w:sz w:val="18"/>
              </w:rPr>
              <w:t>(5)</w:t>
            </w:r>
            <w:r w:rsidRPr="00E11D46">
              <w:rPr>
                <w:sz w:val="18"/>
                <w:szCs w:val="18"/>
              </w:rPr>
              <w:fldChar w:fldCharType="end"/>
            </w:r>
          </w:p>
        </w:tc>
      </w:tr>
      <w:tr w:rsidR="008B5836" w:rsidRPr="00E11D46" w14:paraId="5511C758" w14:textId="77777777" w:rsidTr="00EA540F">
        <w:tc>
          <w:tcPr>
            <w:tcW w:w="708" w:type="dxa"/>
          </w:tcPr>
          <w:p w14:paraId="24247E95" w14:textId="77777777" w:rsidR="008B5836" w:rsidRPr="00E11D46" w:rsidRDefault="008B5836" w:rsidP="00EA540F">
            <w:pPr>
              <w:jc w:val="both"/>
              <w:rPr>
                <w:sz w:val="18"/>
                <w:szCs w:val="18"/>
              </w:rPr>
            </w:pPr>
            <w:r w:rsidRPr="00E11D46">
              <w:rPr>
                <w:sz w:val="18"/>
                <w:szCs w:val="18"/>
              </w:rPr>
              <w:t>6.</w:t>
            </w:r>
          </w:p>
        </w:tc>
        <w:tc>
          <w:tcPr>
            <w:tcW w:w="2326" w:type="dxa"/>
          </w:tcPr>
          <w:p w14:paraId="2718CCEF" w14:textId="77777777" w:rsidR="008B5836" w:rsidRPr="00E11D46" w:rsidRDefault="008B5836" w:rsidP="00EA540F">
            <w:pPr>
              <w:jc w:val="both"/>
              <w:rPr>
                <w:sz w:val="18"/>
                <w:szCs w:val="18"/>
              </w:rPr>
            </w:pPr>
            <w:r w:rsidRPr="00E11D46">
              <w:rPr>
                <w:sz w:val="18"/>
                <w:szCs w:val="18"/>
              </w:rPr>
              <w:t>Emerging Therapeutics for Patients with Triple-Negative Breast Cancer</w:t>
            </w:r>
          </w:p>
        </w:tc>
        <w:tc>
          <w:tcPr>
            <w:tcW w:w="3534" w:type="dxa"/>
          </w:tcPr>
          <w:p w14:paraId="7D7AA624" w14:textId="77777777" w:rsidR="008B5836" w:rsidRPr="00E11D46" w:rsidRDefault="008B5836" w:rsidP="00EA540F">
            <w:pPr>
              <w:jc w:val="both"/>
              <w:rPr>
                <w:sz w:val="18"/>
                <w:szCs w:val="18"/>
              </w:rPr>
            </w:pPr>
            <w:r w:rsidRPr="00E11D46">
              <w:rPr>
                <w:sz w:val="18"/>
                <w:szCs w:val="18"/>
              </w:rPr>
              <w:t>New treatments for TNBC include PARP inhibitors, immune checkpoint inhibitors, and antibody-drug conjugates. The use of different therapies in combination is being studied. The treatment of TNBC is moving towards a more personalized approach.</w:t>
            </w:r>
          </w:p>
        </w:tc>
        <w:tc>
          <w:tcPr>
            <w:tcW w:w="1796" w:type="dxa"/>
          </w:tcPr>
          <w:p w14:paraId="6544B18E" w14:textId="77777777" w:rsidR="008B5836" w:rsidRPr="00E11D46" w:rsidRDefault="008B5836" w:rsidP="00EA540F">
            <w:pPr>
              <w:jc w:val="both"/>
              <w:rPr>
                <w:sz w:val="18"/>
                <w:szCs w:val="18"/>
              </w:rPr>
            </w:pPr>
            <w:r w:rsidRPr="00E11D46">
              <w:rPr>
                <w:sz w:val="18"/>
                <w:szCs w:val="18"/>
              </w:rPr>
              <w:t>Emerging therapies for TNBC treatment have improved outcomes for patients, including new post-neoadjuvant chemotherapy strategies, PARP inhibitors, immune checkpoint inhibitors, and antibody-drug conjugates. Combination of different therapies is also under clinical investigation.</w:t>
            </w:r>
          </w:p>
        </w:tc>
        <w:tc>
          <w:tcPr>
            <w:tcW w:w="1960" w:type="dxa"/>
          </w:tcPr>
          <w:p w14:paraId="175C85CE" w14:textId="77777777" w:rsidR="008B5836" w:rsidRPr="00E11D46" w:rsidRDefault="008B5836" w:rsidP="00EA540F">
            <w:pPr>
              <w:jc w:val="both"/>
              <w:rPr>
                <w:sz w:val="18"/>
                <w:szCs w:val="18"/>
              </w:rPr>
            </w:pPr>
            <w:r w:rsidRPr="00E11D46">
              <w:rPr>
                <w:sz w:val="18"/>
                <w:szCs w:val="18"/>
              </w:rPr>
              <w:t>Immunotherapy and PARP inhibitors are currently limited by PD-L1 positivity and gBRCA mutations, respectively. However, current research seeks to expand the use of immunotherapy, PARP inhibitors, and antibody-drug conjugates (ADCs) in TNBC, exploring their use in earlier disease stages (adjuvant and neoadjuvant) and overcoming existing limitations.</w:t>
            </w:r>
          </w:p>
        </w:tc>
        <w:tc>
          <w:tcPr>
            <w:tcW w:w="875" w:type="dxa"/>
          </w:tcPr>
          <w:p w14:paraId="5385F4EB"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{"citationID":"kLKkxESL","properties":{"formattedCitation":"(16)","plainCitation":"(16)","noteIndex":0},"citationItems":[{"id":994,"uris":["http://zotero.org/groups/4968145/items/ZQJG6BLE"],"itemData":{"id":994,"type":"article-journal","abstract":"PURPOSE OF REVIEW: Triple negative breast cancer (TNBC) accounts for approximately 10-15% of all breast cancers and it is associated with a poor prognosis. However, recent new effective treatment strategies have improved its outcomes. The aim of this review is to provide an overview on the emerging therapeutics for TNBC, describing both previously approved therapies that are currently being repurposed, as well as new target therapies that may improve patient outcomes.\nRECENT FINDINGS: Emerging therapies are forthcoming in TNBC's treatment landscape, including new post-neoadjuvant chemotherapy strategies, PARP inhibitors, immune checkpoint inhibitors, and antibody-drug conjugates. Combination of different therapies such as AKT/PI3K/mTOR-inhibitors, other immunotherapeutic agents, CDK-inhibitors, antiandrogens, antiangiogenics, and histone deacetylase inhibitors is under clinical investigation. The treatment landscape for TNBC is gradually evolving towards a more personalized approach with promising expectations.","container-title":"Current Oncology Reports","DOI":"10.1007/s11912-021-01038-6","ISSN":"1534-6269","issue":"5","journalAbbreviation":"Curr Oncol Rep","language":"eng","note":"PMID: 33763756","page":"57","source":"PubMed","title":"Emerging Therapeutics for Patients with Triple-Negative Breast Cancer","volume":"23","author":[{"family":"Agostinetto","given":"Elisa"},{"family":"Eiger","given":"Daniel"},{"family":"Punie","given":"Kevin"},{"family":"Azambuja","given":"Evandro","non-dropping-particle":"de"}],"issued":{"date-parts":[["2021",3,24]]}}}],"schema":"https://github.com/citation-style-language/schema/raw/master/csl-citation.json"} </w:instrText>
            </w:r>
            <w:r w:rsidRPr="00E11D46">
              <w:rPr>
                <w:sz w:val="18"/>
                <w:szCs w:val="18"/>
              </w:rPr>
              <w:fldChar w:fldCharType="separate"/>
            </w:r>
            <w:r w:rsidRPr="00E11D46">
              <w:rPr>
                <w:sz w:val="18"/>
              </w:rPr>
              <w:t>(6)</w:t>
            </w:r>
            <w:r w:rsidRPr="00E11D46">
              <w:rPr>
                <w:sz w:val="18"/>
                <w:szCs w:val="18"/>
              </w:rPr>
              <w:fldChar w:fldCharType="end"/>
            </w:r>
          </w:p>
        </w:tc>
      </w:tr>
      <w:tr w:rsidR="008B5836" w:rsidRPr="00E11D46" w14:paraId="01212C4E" w14:textId="77777777" w:rsidTr="00EA540F">
        <w:tc>
          <w:tcPr>
            <w:tcW w:w="708" w:type="dxa"/>
          </w:tcPr>
          <w:p w14:paraId="26194AFE" w14:textId="77777777" w:rsidR="008B5836" w:rsidRPr="00E11D46" w:rsidRDefault="008B5836" w:rsidP="00EA540F">
            <w:pPr>
              <w:jc w:val="both"/>
              <w:rPr>
                <w:sz w:val="18"/>
                <w:szCs w:val="18"/>
              </w:rPr>
            </w:pPr>
            <w:r w:rsidRPr="00E11D46">
              <w:rPr>
                <w:sz w:val="18"/>
                <w:szCs w:val="18"/>
              </w:rPr>
              <w:t>7.</w:t>
            </w:r>
          </w:p>
        </w:tc>
        <w:tc>
          <w:tcPr>
            <w:tcW w:w="2326" w:type="dxa"/>
          </w:tcPr>
          <w:p w14:paraId="335ECBD0" w14:textId="77777777" w:rsidR="008B5836" w:rsidRPr="00E11D46" w:rsidRDefault="008B5836" w:rsidP="00EA540F">
            <w:pPr>
              <w:jc w:val="both"/>
              <w:rPr>
                <w:sz w:val="18"/>
                <w:szCs w:val="18"/>
              </w:rPr>
            </w:pPr>
            <w:r w:rsidRPr="00E11D46">
              <w:rPr>
                <w:sz w:val="18"/>
                <w:szCs w:val="18"/>
              </w:rPr>
              <w:t>Role of PARP in TNBC: Mechanism of Inhibition, Clinical Applications, and Resistance.</w:t>
            </w:r>
          </w:p>
        </w:tc>
        <w:tc>
          <w:tcPr>
            <w:tcW w:w="3534" w:type="dxa"/>
          </w:tcPr>
          <w:p w14:paraId="56BDC6B9" w14:textId="77777777" w:rsidR="008B5836" w:rsidRPr="00E11D46" w:rsidRDefault="008B5836" w:rsidP="00EA540F">
            <w:pPr>
              <w:jc w:val="both"/>
              <w:rPr>
                <w:sz w:val="18"/>
                <w:szCs w:val="18"/>
              </w:rPr>
            </w:pPr>
            <w:r w:rsidRPr="00E11D46">
              <w:rPr>
                <w:sz w:val="18"/>
                <w:szCs w:val="18"/>
              </w:rPr>
              <w:t>PARP plays a crucial role in DNA repair pathways, including base excision repair (BER) mechanisms, homologous recombination (HR), and nonhomologous end-joining (NEJ) deficiency-based repair mechanisms. Inhibitors of PARP have shown promising results in killing cancer cells in BRCA-mutations. In TNBC, PARP inhibitors have been used in combination with chemotherapy. The mechanism of PARP inhibition in TNBC involves blocking the repair of DNA damage, leading to the death of cancer cells.</w:t>
            </w:r>
          </w:p>
        </w:tc>
        <w:tc>
          <w:tcPr>
            <w:tcW w:w="1796" w:type="dxa"/>
          </w:tcPr>
          <w:p w14:paraId="497D9115" w14:textId="77777777" w:rsidR="008B5836" w:rsidRPr="00E11D46" w:rsidRDefault="008B5836" w:rsidP="00EA540F">
            <w:pPr>
              <w:jc w:val="both"/>
              <w:rPr>
                <w:sz w:val="18"/>
                <w:szCs w:val="18"/>
              </w:rPr>
            </w:pPr>
            <w:r w:rsidRPr="00E11D46">
              <w:rPr>
                <w:sz w:val="18"/>
                <w:szCs w:val="18"/>
              </w:rPr>
              <w:t>Atezolizumab is a standard first-line treatment for advanced TNBC with PD-L1-positive tumors. PARP inhibitors are approved for BRCA-mutated advanced TNBC, and sacituzumab govitecan is FDA-approved for previously treated metastatic TNBC. The KEYNOTE-522 trial supports adding pembrolizumab to neoadjuvant platinum-containing taxane-anthracycline regimens, significantly increasing pCR rates with a trend toward EFS benefit. Novel ADCs are also emerging as promising TNBC therapies.</w:t>
            </w:r>
          </w:p>
        </w:tc>
        <w:tc>
          <w:tcPr>
            <w:tcW w:w="1960" w:type="dxa"/>
          </w:tcPr>
          <w:p w14:paraId="71339F5A" w14:textId="77777777" w:rsidR="008B5836" w:rsidRPr="00E11D46" w:rsidRDefault="008B5836" w:rsidP="00EA540F">
            <w:pPr>
              <w:jc w:val="both"/>
              <w:rPr>
                <w:sz w:val="18"/>
                <w:szCs w:val="18"/>
              </w:rPr>
            </w:pPr>
            <w:r w:rsidRPr="00E11D46">
              <w:rPr>
                <w:sz w:val="18"/>
                <w:szCs w:val="18"/>
              </w:rPr>
              <w:t>PARP inhibitors have shown promising results in the treatment of TNBC, particularly when used alongside chemotherapy. However, like any other cancer therapy, PARP inhibitors also have limitations. One of the limitations of PARP inhibitors is the development of resistance to the treatment. Cancer cells can develop mechanisms to repair DNA damage, making them resistant to PARP inhibitors. Another limitation is that not all TNBC patients have BRCA mutations, which are the primary targets of PARP inhibitors. Therefore, PARP inhibitors may not be effective in all TNBC patients.</w:t>
            </w:r>
          </w:p>
        </w:tc>
        <w:tc>
          <w:tcPr>
            <w:tcW w:w="875" w:type="dxa"/>
          </w:tcPr>
          <w:p w14:paraId="64753FE5"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{"citationID":"YUc4awed","properties":{"formattedCitation":"(17)","plainCitation":"(17)","noteIndex":0},"citationItems":[{"id":995,"uris":["http://zotero.org/groups/4968145/items/CZIS3779"],"itemData":{"id":995,"type":"article-journal","abstract":"Triple-negative breast cancer is a combative cancer type with a highly inflated histological grade that leads to poor theragnostic value. Gene, protein, and receptor-specific targets have shown effective clinical outcomes in patients with TNBC. Cells are frequently exposed to DNA-damaging agents. DNA damage is repaired by multiple pathways; accumulations of mutations occur due to damage to one or more pathways and lead to alterations in normal cellular mechanisms, which lead to development of tumors. Advances in target-specific cancer therapies have shown significant momentum; most treatment options cause off-target toxicity and side effects on healthy tissues. PARP (poly(ADP-ribose) polymerase) is a major protein and is involved in DNA repair pathways, base excision repair (BER) mechanisms, homologous recombination (HR), and nonhomologous end-joining (NEJ) deficiency-based repair mechanisms. DNA damage repair deficits cause an increased risk of tumor formation. Inhibitors of PARP favorably kill cancer cells in BRCA-mutations. For a few years, PARPi has shown promising activity as a chemotherapeutic agent in BRCA1- or BRCA2-associated breast cancers, and in combination with chemotherapy in triple-negative breast cancer. This review covers the current results of clinical trials testing and future directions for the field of PARP inhibitor development.","container-title":"Biomedicines","DOI":"10.3390/biomedicines9111512","ISSN":"2227-9059","issue":"11","journalAbbreviation":"Biomedicines","language":"eng","note":"PMID: 34829741\nPMCID: PMC8614648","page":"1512","source":"PubMed","title":"Role of PARP in TNBC: Mechanism of Inhibition, Clinical Applications, and Resistance","title-short":"Role of PARP in TNBC","volume":"9","author":[{"family":"Singh","given":"Desh Deepak"},{"family":"Parveen","given":"Amna"},{"family":"Yadav","given":"Dharmendra Kumar"}],"issued":{"date-parts":[["2021",10,21]]}}}],"schema":"https://github.com/citation-style-language/schema/raw/master/csl-citation.json"} </w:instrText>
            </w:r>
            <w:r w:rsidRPr="00E11D46">
              <w:rPr>
                <w:sz w:val="18"/>
                <w:szCs w:val="18"/>
              </w:rPr>
              <w:fldChar w:fldCharType="separate"/>
            </w:r>
            <w:r w:rsidRPr="00E11D46">
              <w:rPr>
                <w:sz w:val="18"/>
              </w:rPr>
              <w:t>(7)</w:t>
            </w:r>
            <w:r w:rsidRPr="00E11D46">
              <w:rPr>
                <w:sz w:val="18"/>
                <w:szCs w:val="18"/>
              </w:rPr>
              <w:fldChar w:fldCharType="end"/>
            </w:r>
          </w:p>
        </w:tc>
      </w:tr>
      <w:tr w:rsidR="008B5836" w:rsidRPr="00E11D46" w14:paraId="691A1730" w14:textId="77777777" w:rsidTr="00EA540F">
        <w:tc>
          <w:tcPr>
            <w:tcW w:w="708" w:type="dxa"/>
          </w:tcPr>
          <w:p w14:paraId="70AD6654" w14:textId="77777777" w:rsidR="008B5836" w:rsidRPr="00E11D46" w:rsidRDefault="008B5836" w:rsidP="00EA540F">
            <w:pPr>
              <w:jc w:val="both"/>
              <w:rPr>
                <w:sz w:val="18"/>
                <w:szCs w:val="18"/>
              </w:rPr>
            </w:pPr>
            <w:r w:rsidRPr="00E11D46">
              <w:rPr>
                <w:sz w:val="18"/>
                <w:szCs w:val="18"/>
              </w:rPr>
              <w:t>8.</w:t>
            </w:r>
          </w:p>
        </w:tc>
        <w:tc>
          <w:tcPr>
            <w:tcW w:w="2326" w:type="dxa"/>
          </w:tcPr>
          <w:p w14:paraId="473B94FC" w14:textId="77777777" w:rsidR="008B5836" w:rsidRPr="00E11D46" w:rsidRDefault="008B5836" w:rsidP="00EA540F">
            <w:pPr>
              <w:jc w:val="both"/>
              <w:rPr>
                <w:sz w:val="18"/>
                <w:szCs w:val="18"/>
              </w:rPr>
            </w:pPr>
            <w:r w:rsidRPr="00E11D46">
              <w:rPr>
                <w:sz w:val="18"/>
                <w:szCs w:val="18"/>
              </w:rPr>
              <w:t>Targeted Therapies for Triple-Negative Breast Cancer: Combating a Stubborn Disease</w:t>
            </w:r>
          </w:p>
        </w:tc>
        <w:tc>
          <w:tcPr>
            <w:tcW w:w="3534" w:type="dxa"/>
          </w:tcPr>
          <w:p w14:paraId="53CF5F49" w14:textId="77777777" w:rsidR="008B5836" w:rsidRPr="00E11D46" w:rsidRDefault="008B5836" w:rsidP="00EA540F">
            <w:pPr>
              <w:jc w:val="both"/>
              <w:rPr>
                <w:sz w:val="18"/>
                <w:szCs w:val="18"/>
              </w:rPr>
            </w:pPr>
            <w:r w:rsidRPr="00E11D46">
              <w:rPr>
                <w:sz w:val="18"/>
                <w:szCs w:val="18"/>
              </w:rPr>
              <w:t>Targeted therapy for TNBC uses drugs that selectively target molecules or pathways involved in cancer cell growth and spread. These drugs may block overactive proteins or enzymes in cancer cells or stimulate the immune system to attack them. Targeted therapy can be used alone or with chemotherapy or radiation to improve outcomes and reduce side effects by selectively targeting cancer cells.</w:t>
            </w:r>
          </w:p>
        </w:tc>
        <w:tc>
          <w:tcPr>
            <w:tcW w:w="1796" w:type="dxa"/>
          </w:tcPr>
          <w:p w14:paraId="55876842" w14:textId="77777777" w:rsidR="008B5836" w:rsidRPr="00E11D46" w:rsidRDefault="008B5836" w:rsidP="00EA540F">
            <w:pPr>
              <w:jc w:val="both"/>
              <w:rPr>
                <w:sz w:val="18"/>
                <w:szCs w:val="18"/>
              </w:rPr>
            </w:pPr>
            <w:r w:rsidRPr="00E11D46">
              <w:rPr>
                <w:sz w:val="18"/>
                <w:szCs w:val="18"/>
              </w:rPr>
              <w:t>TNBC targeted therapy employs drugs that selectively inhibit cancer-promoting molecules or pathways, curtailing their aberrant activity. These agents may impede hyperactive proteins or enzymes in cancer cells or bolster the immune system's assault on them. Combinatorial use with chemotherapy or radiation is plausible. Objectives encompass refining treatment efficacy, minimizing adverse effects, and precise targeting of malignancies while preserving healthy counterparts.</w:t>
            </w:r>
          </w:p>
        </w:tc>
        <w:tc>
          <w:tcPr>
            <w:tcW w:w="1960" w:type="dxa"/>
          </w:tcPr>
          <w:p w14:paraId="46B785AA" w14:textId="77777777" w:rsidR="008B5836" w:rsidRPr="00E11D46" w:rsidRDefault="008B5836" w:rsidP="00EA540F">
            <w:pPr>
              <w:jc w:val="both"/>
              <w:rPr>
                <w:sz w:val="18"/>
                <w:szCs w:val="18"/>
              </w:rPr>
            </w:pPr>
            <w:r w:rsidRPr="00E11D46">
              <w:rPr>
                <w:sz w:val="18"/>
                <w:szCs w:val="18"/>
              </w:rPr>
              <w:t>Initially, targeted therapy drugs tend to exceed traditional chemotherapy costs, curtailing treatment access. Moreover, they focus on specific molecular pathways overactive in cancer, but resistance via alternate pathways or mutations hampers efficacy. Although side effects are milder than chemotherapy, some encounter fatigue, nausea, or diarrhea. Lastly, due to Triple-Negative Breast Cancer's heterogeneous nature, not all patients benefit from targeted therapy due to distinct molecular profiles and varied treatment responses.</w:t>
            </w:r>
          </w:p>
        </w:tc>
        <w:tc>
          <w:tcPr>
            <w:tcW w:w="875" w:type="dxa"/>
          </w:tcPr>
          <w:p w14:paraId="098FB4DC"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{"citationID":"Ubk6pCsE","properties":{"formattedCitation":"(18)","plainCitation":"(18)","noteIndex":0},"citationItems":[{"id":996,"uris":["http://zotero.org/groups/4968145/items/9KGR7NJN"],"itemData":{"id":996,"type":"article-journal","abstract":"Triple-negative breast cancers (TNBCs) constitute a heterogeneous subtype of breast cancers that have a poor clinical outcome. Although no approved targeted therapy is available for TNBCs, molecular-profiling efforts have revealed promising molecular targets, with several candidate compounds having now entered clinical trials for TNBC patients. However, initial results remain modest, thereby highlighting challenges potentially involving intra- and intertumoral heterogeneity and acquisition of therapy resistance. We present a comprehensive review on emerging targeted therapies for treating TNBCs, including the promising approach of immunotherapy and the prognostic value of tumor-infiltrating lymphocytes. We discuss the impact of pathway rewiring in the acquisition of drug resistance, and the prospect of employing combination therapy strategies to overcome challenges towards identifying clinically-viable targeted treatment options for TNBC.","container-title":"Trends in Pharmacological Sciences","DOI":"10.1016/j.tips.2015.08.009","ISSN":"1873-3735","issue":"12","journalAbbreviation":"Trends Pharmacol Sci","language":"eng","note":"PMID: 26538316","page":"822-846","source":"PubMed","title":"Targeted Therapies for Triple-Negative Breast Cancer: Combating a Stubborn Disease","title-short":"Targeted Therapies for Triple-Negative Breast Cancer","volume":"36","author":[{"family":"Kalimutho","given":"Murugan"},{"family":"Parsons","given":"Kate"},{"family":"Mittal","given":"Deepak"},{"family":"López","given":"J. Alejandro"},{"family":"Srihari","given":"Sriganesh"},{"family":"Khanna","given":"Kum Kum"}],"issued":{"date-parts":[["2015",12]]}}}],"schema":"https://github.com/citation-style-language/schema/raw/master/csl-citation.json"} </w:instrText>
            </w:r>
            <w:r w:rsidRPr="00E11D46">
              <w:rPr>
                <w:sz w:val="18"/>
                <w:szCs w:val="18"/>
              </w:rPr>
              <w:fldChar w:fldCharType="separate"/>
            </w:r>
            <w:r w:rsidRPr="00E11D46">
              <w:rPr>
                <w:sz w:val="18"/>
              </w:rPr>
              <w:t>(8)</w:t>
            </w:r>
            <w:r w:rsidRPr="00E11D46">
              <w:rPr>
                <w:sz w:val="18"/>
                <w:szCs w:val="18"/>
              </w:rPr>
              <w:fldChar w:fldCharType="end"/>
            </w:r>
          </w:p>
        </w:tc>
      </w:tr>
      <w:tr w:rsidR="008B5836" w:rsidRPr="00E11D46" w14:paraId="0B322AC8" w14:textId="77777777" w:rsidTr="00EA540F">
        <w:tc>
          <w:tcPr>
            <w:tcW w:w="708" w:type="dxa"/>
          </w:tcPr>
          <w:p w14:paraId="28F88047" w14:textId="77777777" w:rsidR="008B5836" w:rsidRPr="00E11D46" w:rsidRDefault="008B5836" w:rsidP="00EA540F">
            <w:pPr>
              <w:jc w:val="both"/>
              <w:rPr>
                <w:sz w:val="18"/>
                <w:szCs w:val="18"/>
              </w:rPr>
            </w:pPr>
            <w:r w:rsidRPr="00E11D46">
              <w:rPr>
                <w:sz w:val="18"/>
                <w:szCs w:val="18"/>
              </w:rPr>
              <w:t>9.</w:t>
            </w:r>
          </w:p>
        </w:tc>
        <w:tc>
          <w:tcPr>
            <w:tcW w:w="2326" w:type="dxa"/>
          </w:tcPr>
          <w:p w14:paraId="605DF696" w14:textId="77777777" w:rsidR="008B5836" w:rsidRPr="00E11D46" w:rsidRDefault="008B5836" w:rsidP="00EA540F">
            <w:pPr>
              <w:jc w:val="both"/>
              <w:rPr>
                <w:sz w:val="18"/>
                <w:szCs w:val="18"/>
              </w:rPr>
            </w:pPr>
            <w:r w:rsidRPr="00E11D46">
              <w:rPr>
                <w:sz w:val="18"/>
                <w:szCs w:val="18"/>
              </w:rPr>
              <w:t>Checkpoint inhibitor therapy for metastatic TNBC</w:t>
            </w:r>
          </w:p>
        </w:tc>
        <w:tc>
          <w:tcPr>
            <w:tcW w:w="3534" w:type="dxa"/>
          </w:tcPr>
          <w:p w14:paraId="0FC9CDAF" w14:textId="77777777" w:rsidR="008B5836" w:rsidRPr="00E11D46" w:rsidRDefault="008B5836" w:rsidP="00EA540F">
            <w:pPr>
              <w:jc w:val="both"/>
              <w:rPr>
                <w:sz w:val="18"/>
                <w:szCs w:val="18"/>
              </w:rPr>
            </w:pPr>
            <w:r w:rsidRPr="00E11D46">
              <w:rPr>
                <w:sz w:val="18"/>
                <w:szCs w:val="18"/>
              </w:rPr>
              <w:t>Checkpoint inhibitor therapy targets immune checkpoint proteins to restore the immune system's ability to attack cancer cells. In TNBC, this therapy has shown promise by blocking the PD-1/PD-L1 pathway and restoring T cell response. Atezolizumab and pembrolizumab have recently been FDA-approved for combination use with chemotherapy in PD-L1-positive TNBC that is locally recurrent unresectable and metastatic.</w:t>
            </w:r>
          </w:p>
        </w:tc>
        <w:tc>
          <w:tcPr>
            <w:tcW w:w="1796" w:type="dxa"/>
          </w:tcPr>
          <w:p w14:paraId="4BE46959" w14:textId="77777777" w:rsidR="008B5836" w:rsidRPr="00E11D46" w:rsidRDefault="008B5836" w:rsidP="00EA540F">
            <w:pPr>
              <w:jc w:val="both"/>
              <w:rPr>
                <w:sz w:val="18"/>
                <w:szCs w:val="18"/>
              </w:rPr>
            </w:pPr>
            <w:r w:rsidRPr="00E11D46">
              <w:rPr>
                <w:sz w:val="18"/>
                <w:szCs w:val="18"/>
              </w:rPr>
              <w:t>Checkpoint inhibitor therapy aims to restore the immune system's capacity to fight cancer with fewer side effects by targeting immune checkpoint proteins. Recent FDA approvals for locally recurrent unresectable and metastatic PD-L1-positive TNBC have been achieved through the blocking of the PD-1/PD-L1 pathway and restoration of tumor-specific T cell response. Combining the therapy with other treatments can enhance effectiveness, leading to better outcomes for patients with TNBC and inducing long-term response.</w:t>
            </w:r>
          </w:p>
        </w:tc>
        <w:tc>
          <w:tcPr>
            <w:tcW w:w="1960" w:type="dxa"/>
          </w:tcPr>
          <w:p w14:paraId="14AA4CB5" w14:textId="77777777" w:rsidR="008B5836" w:rsidRPr="00E11D46" w:rsidRDefault="008B5836" w:rsidP="00EA540F">
            <w:pPr>
              <w:jc w:val="both"/>
              <w:rPr>
                <w:sz w:val="18"/>
                <w:szCs w:val="18"/>
              </w:rPr>
            </w:pPr>
            <w:r w:rsidRPr="00E11D46">
              <w:rPr>
                <w:sz w:val="18"/>
                <w:szCs w:val="18"/>
              </w:rPr>
              <w:t>Checkpoint inhibitors exhibit varied efficacy in TNBC due to tumor-specific traits like PD-L1 expression. Immune-related adverse events, e.g., organ inflammation, emerge as notable side effects demanding vigilant oversight. Financial constraints and restricted insurance coverage can impede patient accessibility to this costly therapy. Tumor resistance may develop, curtailing long-term treatment success. Despite encouraging trial outcomes, checkpoint inhibitor therapy's enduring safety and efficacy in TNBC necessitate further investigation.</w:t>
            </w:r>
          </w:p>
        </w:tc>
        <w:tc>
          <w:tcPr>
            <w:tcW w:w="875" w:type="dxa"/>
          </w:tcPr>
          <w:p w14:paraId="644D7945"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{"citationID":"AgnL3PNb","properties":{"formattedCitation":"(19)","plainCitation":"(19)","noteIndex":0},"citationItems":[{"id":998,"uris":["http://zotero.org/groups/4968145/items/E6VC3R3C"],"itemData":{"id":998,"type":"article-journal","abstract":"Immunotherapy has become a mainstay of cancer treatment in many malignancies, though its application in breast cancer remains limited. Of the breast cancer subtypes, triple-negative breast cancers (TNBCs) are characterized by immune activation and infiltration and more commonly express biomarkers associated with response to immunotherapy. Checkpoint inhibitor therapy has shown promising activity in metastatic TNBC. In 2019, the US FDA granted accelerated approval of atezolizumab, a programmed death-ligand 1 (PD-L1) inhibitor, in combination with nab-paclitaxel for unresectable locally advanced or metastatic PD-L1-positive TNBC, based on the results of the phase III IMpassion130 trial. In 2020, the FDA also granted accelerated approval of pembrolizumab, a PD-1 inhibitor, in combination with chemotherapy for locally recurrent unresectable and metastatic PD-L1-positive TNBC, based on results of the phase III KEYNOTE-355 trial. Additional combination strategies are being explored in the treatment of metastatic TNBC, with the goal of augmenting antitumor activity. In this review, the clinical development of checkpoint inhibitors in the treatment of metastatic TNBC will be discussed, including clinical outcomes with monotherapy and combination therapy regimens, biomarkers that may predict for benefit, and future directions in the field.","container-title":"Cancer Metastasis Reviews","DOI":"10.1007/s10555-021-09972-4","ISSN":"0167-7659","issue":"2","journalAbbreviation":"Cancer Metastasis Rev","note":"PMID: 34101053\nPMCID: PMC8184866","page":"537-547","source":"PubMed Central","title":"Checkpoint inhibitor therapy for metastatic triple-negative breast cancer","volume":"40","author":[{"family":"Heeke","given":"Arielle L."},{"family":"Tan","given":"Antoinette R."}],"issued":{"date-parts":[["2021"]]}}}],"schema":"https://github.com/citation-style-language/schema/raw/master/csl-citation.json"} </w:instrText>
            </w:r>
            <w:r w:rsidRPr="00E11D46">
              <w:rPr>
                <w:sz w:val="18"/>
                <w:szCs w:val="18"/>
              </w:rPr>
              <w:fldChar w:fldCharType="separate"/>
            </w:r>
            <w:r w:rsidRPr="00E11D46">
              <w:rPr>
                <w:sz w:val="18"/>
              </w:rPr>
              <w:t>(9)</w:t>
            </w:r>
            <w:r w:rsidRPr="00E11D46">
              <w:rPr>
                <w:sz w:val="18"/>
                <w:szCs w:val="18"/>
              </w:rPr>
              <w:fldChar w:fldCharType="end"/>
            </w:r>
          </w:p>
        </w:tc>
      </w:tr>
      <w:tr w:rsidR="008B5836" w:rsidRPr="00E11D46" w14:paraId="6D0719A4" w14:textId="77777777" w:rsidTr="00EA540F">
        <w:tc>
          <w:tcPr>
            <w:tcW w:w="708" w:type="dxa"/>
          </w:tcPr>
          <w:p w14:paraId="1E9FDE8D" w14:textId="77777777" w:rsidR="008B5836" w:rsidRPr="00E11D46" w:rsidRDefault="008B5836" w:rsidP="00EA540F">
            <w:pPr>
              <w:jc w:val="both"/>
              <w:rPr>
                <w:sz w:val="18"/>
                <w:szCs w:val="18"/>
              </w:rPr>
            </w:pPr>
            <w:r w:rsidRPr="00E11D46">
              <w:rPr>
                <w:sz w:val="18"/>
                <w:szCs w:val="18"/>
              </w:rPr>
              <w:t>10.</w:t>
            </w:r>
          </w:p>
        </w:tc>
        <w:tc>
          <w:tcPr>
            <w:tcW w:w="2326" w:type="dxa"/>
          </w:tcPr>
          <w:p w14:paraId="76297AEC" w14:textId="77777777" w:rsidR="008B5836" w:rsidRPr="00E11D46" w:rsidRDefault="008B5836" w:rsidP="00EA540F">
            <w:pPr>
              <w:jc w:val="both"/>
              <w:rPr>
                <w:sz w:val="18"/>
                <w:szCs w:val="18"/>
              </w:rPr>
            </w:pPr>
            <w:r w:rsidRPr="00E11D46">
              <w:rPr>
                <w:sz w:val="18"/>
                <w:szCs w:val="18"/>
              </w:rPr>
              <w:t>Ferroptosis</w:t>
            </w:r>
          </w:p>
        </w:tc>
        <w:tc>
          <w:tcPr>
            <w:tcW w:w="3534" w:type="dxa"/>
          </w:tcPr>
          <w:p w14:paraId="305D9650" w14:textId="77777777" w:rsidR="008B5836" w:rsidRPr="00E11D46" w:rsidRDefault="008B5836" w:rsidP="00EA540F">
            <w:pPr>
              <w:jc w:val="both"/>
              <w:rPr>
                <w:sz w:val="18"/>
                <w:szCs w:val="18"/>
              </w:rPr>
            </w:pPr>
            <w:r w:rsidRPr="00E11D46">
              <w:rPr>
                <w:sz w:val="18"/>
                <w:szCs w:val="18"/>
              </w:rPr>
              <w:t>Ferroptosis is a cell death process for TNBC treatment. GPX4 inhibitors are effective for LAR subtype, which has upregulated oxidized phosphatidylethanolamines and glutathione metabolism. Combining GPX4 inhibitors and immune checkpoint inhibitors is proposed for LAR tumors. GPX4 inhibition induces tumor ferroptosis and enhances antitumor immunity, resulting in better therapeutic efficacy. Targeting ferroptosis can improve prognosis in immunotherapy cohorts.</w:t>
            </w:r>
          </w:p>
        </w:tc>
        <w:tc>
          <w:tcPr>
            <w:tcW w:w="1796" w:type="dxa"/>
          </w:tcPr>
          <w:p w14:paraId="115C482B" w14:textId="77777777" w:rsidR="008B5836" w:rsidRPr="00E11D46" w:rsidRDefault="008B5836" w:rsidP="00EA540F">
            <w:pPr>
              <w:jc w:val="both"/>
              <w:rPr>
                <w:sz w:val="18"/>
                <w:szCs w:val="18"/>
              </w:rPr>
            </w:pPr>
            <w:r w:rsidRPr="00E11D46">
              <w:rPr>
                <w:sz w:val="18"/>
                <w:szCs w:val="18"/>
              </w:rPr>
              <w:t>The LAR subtype of TNBC can be targeted for treatment with ferroptosis inducers, such as GPX4 inhibitors. This can be combined with immune checkpoint inhibitors for better therapeutic response and improved antitumor immunity. Targeting ferroptosis can also overcome resistance to immunotherapy. LAR tumors can be exploited by targeting the GSH metabolism pathway. Multiomics analysis can provide insights into personalized treatment strategies in TNBC.</w:t>
            </w:r>
          </w:p>
        </w:tc>
        <w:tc>
          <w:tcPr>
            <w:tcW w:w="1960" w:type="dxa"/>
          </w:tcPr>
          <w:p w14:paraId="1C494994" w14:textId="77777777" w:rsidR="008B5836" w:rsidRPr="00E11D46" w:rsidRDefault="008B5836" w:rsidP="00EA540F">
            <w:pPr>
              <w:jc w:val="both"/>
              <w:rPr>
                <w:sz w:val="18"/>
                <w:szCs w:val="18"/>
              </w:rPr>
            </w:pPr>
            <w:r w:rsidRPr="00E11D46">
              <w:rPr>
                <w:sz w:val="18"/>
                <w:szCs w:val="18"/>
              </w:rPr>
              <w:t>Validation of GPX4 and immune checkpoint inhibitors in clinical practice is necessary to overcome limitations of using ferroptosis for TNBC treatment. Correlation analysis alone may not capture all metabolic regulators of ferroptosis in TNBC. The antitumor activity of GPX4 inhibitor monotherapy in mouse cell line-derived xenograft model may not fully represent in vivo effectiveness. Further investigation and validation are needed to ensure the proposed treatment strategy is effective.</w:t>
            </w:r>
          </w:p>
        </w:tc>
        <w:tc>
          <w:tcPr>
            <w:tcW w:w="875" w:type="dxa"/>
          </w:tcPr>
          <w:p w14:paraId="42986FD5"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{"citationID":"SjhyzVaa","properties":{"formattedCitation":"(20)","plainCitation":"(20)","noteIndex":0},"citationItems":[{"id":1050,"uris":["http://zotero.org/users/11201419/items/DFGGHAAS"],"itemData":{"id":1050,"type":"article-journal","abstract":"Treatment of triple-negative breast cancer (TNBC) remains challenging. Deciphering the orchestration of metabolic pathways in regulating ferroptosis will provide new insights into TNBC therapeutic strategies. Here, we integrated the multiomics data of our large TNBC cohort (n = 465) to develop the ferroptosis atlas. We discovered that TNBCs had heterogeneous phenotypes in ferroptosis-related metabolites and metabolic pathways. The luminal androgen receptor (LAR) subtype of TNBC was characterized by the upregulation of oxidized phosphatidylethanolamines and glutathione metabolism (especially GPX4), which allowed the utilization of GPX4 inhibitors to induce ferroptosis. Furthermore, we verified that GPX4 inhibition not only induced tumor ferroptosis but also enhanced antitumor immunity. The combination of GPX4 inhibitors and anti-PD1 possessed greater therapeutic efficacy than monotherapy. Clinically, higher GPX4 expression correlated with lower cytolytic scores and worse prognosis in immunotherapy cohorts. Collectively, this study demonstrated the ferroptosis landscape of TNBC and revealed an innovative immunotherapy combination strategy for refractory LAR tumors.","container-title":"Cell Metabolism","DOI":"10.1016/j.cmet.2022.09.021","note":"DOI: 10.1016/j.cmet.2022.09.021\nMAG ID: 4306410243\nPMID: 36257316","title":"Ferroptosis heterogeneity in triple-negative breast cancer reveals an innovative immunotherapy combination strategy","author":[{"literal":"Fan Yang"},{"literal":"Yi Xiao"},{"literal":"Jia-Han Ding"},{"literal":"Xi Jin"},{"literal":"Ding Ma"},{"literal":"Da-Qiang Li"},{"literal":"Jin-Xiu Shi"},{"literal":"Wei Huang"},{"literal":"Yi-Ping Wang"},{"literal":"Yi-Zhou Jiang"},{"literal":"Zhi-Ming Shao"}],"issued":{"date-parts":[["2022",10,1]]}}}],"schema":"https://github.com/citation-style-language/schema/raw/master/csl-citation.json"} </w:instrText>
            </w:r>
            <w:r w:rsidRPr="00E11D46">
              <w:rPr>
                <w:sz w:val="18"/>
                <w:szCs w:val="18"/>
              </w:rPr>
              <w:fldChar w:fldCharType="separate"/>
            </w:r>
            <w:r w:rsidRPr="00E11D46">
              <w:rPr>
                <w:sz w:val="18"/>
              </w:rPr>
              <w:t>(10)</w:t>
            </w:r>
            <w:r w:rsidRPr="00E11D46">
              <w:rPr>
                <w:sz w:val="18"/>
                <w:szCs w:val="18"/>
              </w:rPr>
              <w:fldChar w:fldCharType="end"/>
            </w:r>
          </w:p>
        </w:tc>
      </w:tr>
      <w:tr w:rsidR="008B5836" w:rsidRPr="00E11D46" w14:paraId="6A8E8A71" w14:textId="77777777" w:rsidTr="00EA540F">
        <w:tc>
          <w:tcPr>
            <w:tcW w:w="708" w:type="dxa"/>
          </w:tcPr>
          <w:p w14:paraId="446F8B8F" w14:textId="77777777" w:rsidR="008B5836" w:rsidRPr="00E11D46" w:rsidRDefault="008B5836" w:rsidP="00EA540F">
            <w:pPr>
              <w:jc w:val="both"/>
              <w:rPr>
                <w:sz w:val="18"/>
                <w:szCs w:val="18"/>
              </w:rPr>
            </w:pPr>
            <w:r w:rsidRPr="00E11D46">
              <w:rPr>
                <w:sz w:val="18"/>
                <w:szCs w:val="18"/>
              </w:rPr>
              <w:t>11.</w:t>
            </w:r>
          </w:p>
        </w:tc>
        <w:tc>
          <w:tcPr>
            <w:tcW w:w="2326" w:type="dxa"/>
          </w:tcPr>
          <w:p w14:paraId="0649C4D8" w14:textId="77777777" w:rsidR="008B5836" w:rsidRPr="00E11D46" w:rsidRDefault="008B5836" w:rsidP="00EA540F">
            <w:pPr>
              <w:jc w:val="both"/>
              <w:rPr>
                <w:sz w:val="18"/>
                <w:szCs w:val="18"/>
              </w:rPr>
            </w:pPr>
            <w:r w:rsidRPr="00E11D46">
              <w:rPr>
                <w:sz w:val="18"/>
                <w:szCs w:val="18"/>
              </w:rPr>
              <w:t>Degradation of PD-L1 by D-mannose facilitates TNBC treatment</w:t>
            </w:r>
          </w:p>
        </w:tc>
        <w:tc>
          <w:tcPr>
            <w:tcW w:w="3534" w:type="dxa"/>
          </w:tcPr>
          <w:p w14:paraId="5711486B" w14:textId="77777777" w:rsidR="008B5836" w:rsidRPr="00E11D46" w:rsidRDefault="008B5836" w:rsidP="00EA540F">
            <w:pPr>
              <w:jc w:val="both"/>
              <w:rPr>
                <w:sz w:val="18"/>
                <w:szCs w:val="18"/>
              </w:rPr>
            </w:pPr>
            <w:r w:rsidRPr="00E11D46">
              <w:rPr>
                <w:sz w:val="18"/>
                <w:szCs w:val="18"/>
              </w:rPr>
              <w:t>The use of D-mannose reduces PD-L1 protein levels in TNBC cells, making them more susceptible to T cell killing. In mice with TNBC tumors, D-mannose improved the efficacy of PD-1 checkpoint blockade immunotherapy and radiotherapy. D-mannose is safe and effective through oral administration in mice. Using D-mannose supplements may improve outcomes with emerging TNBC therapies.</w:t>
            </w:r>
          </w:p>
        </w:tc>
        <w:tc>
          <w:tcPr>
            <w:tcW w:w="1796" w:type="dxa"/>
          </w:tcPr>
          <w:p w14:paraId="4D140251" w14:textId="77777777" w:rsidR="008B5836" w:rsidRPr="00E11D46" w:rsidRDefault="008B5836" w:rsidP="00EA540F">
            <w:pPr>
              <w:jc w:val="both"/>
              <w:rPr>
                <w:sz w:val="18"/>
                <w:szCs w:val="18"/>
              </w:rPr>
            </w:pPr>
            <w:r w:rsidRPr="00E11D46">
              <w:rPr>
                <w:sz w:val="18"/>
                <w:szCs w:val="18"/>
              </w:rPr>
              <w:t>D-mannose is a natural and safe method for treating TNBC. It reduces PD-L1 levels and boosts PD-1 immune checkpoint inhibitors. It also increases TNBC cell sensitivity to radiation treatment and can be taken orally. Its multifaceted approach is superior to synthetic drugs. The mechanism of action is innovative and could lead to more targeted treatments. D-mannose enhances TNBC therapies, but further clinical research is needed.</w:t>
            </w:r>
          </w:p>
        </w:tc>
        <w:tc>
          <w:tcPr>
            <w:tcW w:w="1960" w:type="dxa"/>
          </w:tcPr>
          <w:p w14:paraId="13A9C847" w14:textId="77777777" w:rsidR="008B5836" w:rsidRPr="00E11D46" w:rsidRDefault="008B5836" w:rsidP="00EA540F">
            <w:pPr>
              <w:jc w:val="both"/>
              <w:rPr>
                <w:sz w:val="18"/>
                <w:szCs w:val="18"/>
              </w:rPr>
            </w:pPr>
            <w:r w:rsidRPr="00E11D46">
              <w:rPr>
                <w:sz w:val="18"/>
                <w:szCs w:val="18"/>
              </w:rPr>
              <w:t>Dosage and delivery methods need to be determined, and responses vary due to pharmacokinetics. Long-term safety and potential side effects also require investigation. Further study is needed to determine effectiveness and to identify responsive populations. D-mannose resistance may limit the durability of responses. Regulatory approval and manufacturing challenges also need to be considered.</w:t>
            </w:r>
          </w:p>
        </w:tc>
        <w:tc>
          <w:tcPr>
            <w:tcW w:w="875" w:type="dxa"/>
          </w:tcPr>
          <w:p w14:paraId="73750004"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{"citationID":"fNM7B9dd","properties":{"formattedCitation":"(21)","plainCitation":"(21)","noteIndex":0},"citationItems":[{"id":1049,"uris":["http://zotero.org/users/11201419/items/8JQXU6WV"],"itemData":{"id":1049,"type":"article-journal","abstract":"Breast cancer is the most frequent malignancy in women worldwide, and triple-negative breast cancer (TNBC) patients have the worst prognosis and highest risk of recurrence. The therapeutic strategies for TNBC are limited. It is urgent to develop new methods to enhance the efficacy of TNBC treatment. Previous studies demonstrated that D-mannose, a hexose, can enhance chemotherapy in cancer and suppress the immunopathology of autoimmune diseases. Here, we show that D-mannose can significantly facilitate TNBC treatment via degradation of PD-L1. Specifically, D-mannose can activate AMP-activated protein kinase (AMPK) to phosphorylate PD-L1 at S195, which leads to abnormal glycosylation and proteasomal degradation of PD-L1. D-mannose–mediated PD-L1 degradation promotes T cell activation and T cell killing of tumor cells. The combination of D-mannose and PD-1 blockade therapy dramatically inhibits TNBC growth and extends the lifespan of tumor-bearing mice. Moreover, D-mannose–induced PD-L1 degradation also results in messenger RNA destabilization of DNA damage repair–related genes, thereby sensitizing breast cancer cells to ionizing radiation (IR) treatment and facilitating radiotherapy of TNBC in mice. Of note, the effective level of D-mannose can be easily achieved by oral administration in mice. Our study unveils a mechanism by which D-mannose targets PD-L1 for degradation and provides methods to facilitate immunotherapy and radiotherapy in TNBC. This function of D-mannose may be useful for clinical treatment of TNBC.","container-title":"Proceedings of the National Academy of Sciences of the United States of America","DOI":"10.1073/pnas.2114851119","issue":"8","note":"DOI: 10.1073/pnas.2114851119\nMAG ID: 4213108994\nPMID: 35181605","page":"e2114851119-e2114851119","title":"D-mannose facilitates immunotherapy and radiotherapy of triple-negative breast cancer via degradation of PD-L1","volume":"119","author":[{"literal":"Ruonan Zhang"},{"family":"Yang","given":"Yi"},{"family":"Yang","given":"Ri Yao"},{"literal":"Wenjing Dong"},{"literal":"Mingen Lin"},{"literal":"Jing He"},{"literal":"Xinchao Zhang"},{"literal":"Tongguan Tian"},{"literal":"Yunlong Yang"},{"literal":"Kun Chen"},{"literal":"Qun-Ying Lei"},{"family":"Zhang","given":"Song"},{"family":"Xu","given":"Yan Ping"},{"literal":"Lei Lv"}],"issued":{"date-parts":[["2022",2,18]]}}}],"schema":"https://github.com/citation-style-language/schema/raw/master/csl-citation.json"} </w:instrText>
            </w:r>
            <w:r w:rsidRPr="00E11D46">
              <w:rPr>
                <w:sz w:val="18"/>
                <w:szCs w:val="18"/>
              </w:rPr>
              <w:fldChar w:fldCharType="separate"/>
            </w:r>
            <w:r w:rsidRPr="00E11D46">
              <w:rPr>
                <w:sz w:val="18"/>
              </w:rPr>
              <w:t>(11)</w:t>
            </w:r>
            <w:r w:rsidRPr="00E11D46">
              <w:rPr>
                <w:sz w:val="18"/>
                <w:szCs w:val="18"/>
              </w:rPr>
              <w:fldChar w:fldCharType="end"/>
            </w:r>
          </w:p>
        </w:tc>
      </w:tr>
    </w:tbl>
    <w:p w14:paraId="79620DF4" w14:textId="77777777" w:rsidR="008B5836" w:rsidRPr="00E11D46" w:rsidRDefault="008B5836" w:rsidP="008B5836"/>
    <w:p w14:paraId="41BE41FA" w14:textId="77777777" w:rsidR="008B5836" w:rsidRPr="00E11D46" w:rsidRDefault="008B5836" w:rsidP="008B5836">
      <w:r w:rsidRPr="00E11D46">
        <w:rPr>
          <w:b/>
          <w:bCs/>
        </w:rPr>
        <w:t>Table 2.</w:t>
      </w:r>
      <w:r w:rsidRPr="00E11D46">
        <w:t xml:space="preserve"> </w:t>
      </w:r>
      <w:bookmarkStart w:id="1" w:name="_Hlk143456295"/>
      <w:r w:rsidRPr="00E11D46">
        <w:t>Methods for TMB value estimation</w:t>
      </w:r>
      <w:bookmarkEnd w:id="1"/>
    </w:p>
    <w:tbl>
      <w:tblPr>
        <w:tblW w:w="1186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974"/>
        <w:gridCol w:w="3306"/>
        <w:gridCol w:w="2312"/>
        <w:gridCol w:w="3118"/>
        <w:gridCol w:w="662"/>
      </w:tblGrid>
      <w:tr w:rsidR="008B5836" w:rsidRPr="00E11D46" w14:paraId="28117782" w14:textId="77777777" w:rsidTr="00EA540F">
        <w:tc>
          <w:tcPr>
            <w:tcW w:w="489" w:type="dxa"/>
          </w:tcPr>
          <w:p w14:paraId="3AF5E2DF" w14:textId="77777777" w:rsidR="008B5836" w:rsidRPr="00E11D46" w:rsidRDefault="008B5836" w:rsidP="00EA540F">
            <w:pPr>
              <w:jc w:val="both"/>
              <w:rPr>
                <w:sz w:val="18"/>
                <w:szCs w:val="18"/>
              </w:rPr>
            </w:pPr>
            <w:r w:rsidRPr="00E11D46">
              <w:rPr>
                <w:sz w:val="18"/>
                <w:szCs w:val="18"/>
              </w:rPr>
              <w:t>Sl. No.</w:t>
            </w:r>
          </w:p>
        </w:tc>
        <w:tc>
          <w:tcPr>
            <w:tcW w:w="1974" w:type="dxa"/>
          </w:tcPr>
          <w:p w14:paraId="060D50B1" w14:textId="77777777" w:rsidR="008B5836" w:rsidRPr="00E11D46" w:rsidRDefault="008B5836" w:rsidP="00EA540F">
            <w:pPr>
              <w:jc w:val="both"/>
              <w:rPr>
                <w:sz w:val="18"/>
                <w:szCs w:val="18"/>
              </w:rPr>
            </w:pPr>
            <w:r w:rsidRPr="00E11D46">
              <w:rPr>
                <w:sz w:val="18"/>
                <w:szCs w:val="18"/>
              </w:rPr>
              <w:t xml:space="preserve">Method for TMB estimation </w:t>
            </w:r>
          </w:p>
        </w:tc>
        <w:tc>
          <w:tcPr>
            <w:tcW w:w="3306" w:type="dxa"/>
          </w:tcPr>
          <w:p w14:paraId="47DD5B4F" w14:textId="77777777" w:rsidR="008B5836" w:rsidRPr="00E11D46" w:rsidRDefault="008B5836" w:rsidP="00EA540F">
            <w:pPr>
              <w:jc w:val="both"/>
              <w:rPr>
                <w:sz w:val="18"/>
                <w:szCs w:val="18"/>
              </w:rPr>
            </w:pPr>
            <w:r w:rsidRPr="00E11D46">
              <w:rPr>
                <w:sz w:val="18"/>
                <w:szCs w:val="18"/>
              </w:rPr>
              <w:t>Perceptual basis of TMB calculation</w:t>
            </w:r>
          </w:p>
        </w:tc>
        <w:tc>
          <w:tcPr>
            <w:tcW w:w="2312" w:type="dxa"/>
          </w:tcPr>
          <w:p w14:paraId="1204CAB5" w14:textId="77777777" w:rsidR="008B5836" w:rsidRPr="00E11D46" w:rsidRDefault="008B5836" w:rsidP="00EA540F">
            <w:pPr>
              <w:jc w:val="both"/>
              <w:rPr>
                <w:sz w:val="18"/>
                <w:szCs w:val="18"/>
              </w:rPr>
            </w:pPr>
            <w:r w:rsidRPr="00E11D46">
              <w:rPr>
                <w:sz w:val="18"/>
                <w:szCs w:val="18"/>
              </w:rPr>
              <w:t>Advantage</w:t>
            </w:r>
          </w:p>
        </w:tc>
        <w:tc>
          <w:tcPr>
            <w:tcW w:w="3118" w:type="dxa"/>
          </w:tcPr>
          <w:p w14:paraId="5CE12F89" w14:textId="77777777" w:rsidR="008B5836" w:rsidRPr="00E11D46" w:rsidRDefault="008B5836" w:rsidP="00EA540F">
            <w:pPr>
              <w:jc w:val="both"/>
              <w:rPr>
                <w:sz w:val="18"/>
                <w:szCs w:val="18"/>
              </w:rPr>
            </w:pPr>
            <w:r w:rsidRPr="00E11D46">
              <w:rPr>
                <w:sz w:val="18"/>
                <w:szCs w:val="18"/>
              </w:rPr>
              <w:t>Setbacks</w:t>
            </w:r>
          </w:p>
        </w:tc>
        <w:tc>
          <w:tcPr>
            <w:tcW w:w="662" w:type="dxa"/>
          </w:tcPr>
          <w:p w14:paraId="45E973EF" w14:textId="77777777" w:rsidR="008B5836" w:rsidRPr="00E11D46" w:rsidRDefault="008B5836" w:rsidP="00EA540F">
            <w:pPr>
              <w:jc w:val="both"/>
              <w:rPr>
                <w:sz w:val="18"/>
                <w:szCs w:val="18"/>
              </w:rPr>
            </w:pPr>
            <w:r w:rsidRPr="00E11D46">
              <w:rPr>
                <w:sz w:val="18"/>
                <w:szCs w:val="18"/>
              </w:rPr>
              <w:t>Reference</w:t>
            </w:r>
          </w:p>
        </w:tc>
      </w:tr>
      <w:tr w:rsidR="008B5836" w:rsidRPr="00E11D46" w14:paraId="4F4745EA" w14:textId="77777777" w:rsidTr="00EA540F">
        <w:tc>
          <w:tcPr>
            <w:tcW w:w="489" w:type="dxa"/>
          </w:tcPr>
          <w:p w14:paraId="41228E58" w14:textId="77777777" w:rsidR="008B5836" w:rsidRPr="00E11D46" w:rsidRDefault="008B5836" w:rsidP="00EA540F">
            <w:pPr>
              <w:jc w:val="both"/>
              <w:rPr>
                <w:sz w:val="18"/>
                <w:szCs w:val="18"/>
              </w:rPr>
            </w:pPr>
            <w:r w:rsidRPr="00E11D46">
              <w:rPr>
                <w:sz w:val="18"/>
                <w:szCs w:val="18"/>
              </w:rPr>
              <w:t>1.</w:t>
            </w:r>
          </w:p>
        </w:tc>
        <w:tc>
          <w:tcPr>
            <w:tcW w:w="1974" w:type="dxa"/>
          </w:tcPr>
          <w:p w14:paraId="65BB90D2" w14:textId="77777777" w:rsidR="008B5836" w:rsidRPr="00E11D46" w:rsidRDefault="008B5836" w:rsidP="00EA540F">
            <w:pPr>
              <w:jc w:val="both"/>
              <w:rPr>
                <w:sz w:val="18"/>
                <w:szCs w:val="18"/>
              </w:rPr>
            </w:pPr>
            <w:r w:rsidRPr="00E11D46">
              <w:rPr>
                <w:sz w:val="18"/>
                <w:szCs w:val="18"/>
              </w:rPr>
              <w:t>Panel-based tumor mutational burden (TMB) measurement</w:t>
            </w:r>
          </w:p>
        </w:tc>
        <w:tc>
          <w:tcPr>
            <w:tcW w:w="3306" w:type="dxa"/>
          </w:tcPr>
          <w:p w14:paraId="67AFB3BC" w14:textId="77777777" w:rsidR="008B5836" w:rsidRPr="00E11D46" w:rsidRDefault="008B5836" w:rsidP="00EA540F">
            <w:pPr>
              <w:jc w:val="both"/>
              <w:rPr>
                <w:sz w:val="18"/>
                <w:szCs w:val="18"/>
              </w:rPr>
            </w:pPr>
            <w:r w:rsidRPr="00E11D46">
              <w:rPr>
                <w:sz w:val="18"/>
                <w:szCs w:val="18"/>
              </w:rPr>
              <w:t>A panel of genes is used to analyze DNA from tumor tissue samples. FFPE tissue samples to analyze panel based NGS assays.</w:t>
            </w:r>
          </w:p>
        </w:tc>
        <w:tc>
          <w:tcPr>
            <w:tcW w:w="2312" w:type="dxa"/>
          </w:tcPr>
          <w:p w14:paraId="5A8F1F44" w14:textId="77777777" w:rsidR="008B5836" w:rsidRPr="00E11D46" w:rsidRDefault="008B5836" w:rsidP="00EA540F">
            <w:pPr>
              <w:jc w:val="both"/>
              <w:rPr>
                <w:sz w:val="18"/>
                <w:szCs w:val="18"/>
              </w:rPr>
            </w:pPr>
            <w:r w:rsidRPr="00E11D46">
              <w:rPr>
                <w:sz w:val="18"/>
                <w:szCs w:val="18"/>
              </w:rPr>
              <w:t>The capacity to employ formalin-fixed and paraffin-embedded (FFPE) tissue samples, a practical method for detecting TMB in a clinical context, and the viability of analyzing tiny biopsies.</w:t>
            </w:r>
          </w:p>
          <w:p w14:paraId="3FAF6A17" w14:textId="77777777" w:rsidR="008B5836" w:rsidRPr="00E11D46" w:rsidRDefault="008B5836" w:rsidP="00EA540F">
            <w:pPr>
              <w:jc w:val="both"/>
              <w:rPr>
                <w:sz w:val="18"/>
                <w:szCs w:val="18"/>
              </w:rPr>
            </w:pPr>
            <w:r w:rsidRPr="00E11D46">
              <w:rPr>
                <w:sz w:val="18"/>
                <w:szCs w:val="18"/>
              </w:rPr>
              <w:t>Capability to carry out in silico germline mutation filtering.</w:t>
            </w:r>
          </w:p>
          <w:p w14:paraId="4785CDE5" w14:textId="77777777" w:rsidR="008B5836" w:rsidRPr="00E11D46" w:rsidRDefault="008B5836" w:rsidP="00EA540F">
            <w:pPr>
              <w:jc w:val="both"/>
              <w:rPr>
                <w:sz w:val="18"/>
                <w:szCs w:val="18"/>
              </w:rPr>
            </w:pPr>
            <w:r w:rsidRPr="00E11D46">
              <w:rPr>
                <w:sz w:val="18"/>
                <w:szCs w:val="18"/>
              </w:rPr>
              <w:t>Capability to analyze druggable targets and evaluate TMB in a single assay.</w:t>
            </w:r>
          </w:p>
          <w:p w14:paraId="7338A65A" w14:textId="77777777" w:rsidR="008B5836" w:rsidRPr="00E11D46" w:rsidRDefault="008B5836" w:rsidP="00EA540F">
            <w:pPr>
              <w:jc w:val="both"/>
              <w:rPr>
                <w:sz w:val="18"/>
                <w:szCs w:val="18"/>
              </w:rPr>
            </w:pPr>
            <w:r w:rsidRPr="00E11D46">
              <w:rPr>
                <w:sz w:val="18"/>
                <w:szCs w:val="18"/>
              </w:rPr>
              <w:t>The entire workflow can be completed within a few days.</w:t>
            </w:r>
          </w:p>
        </w:tc>
        <w:tc>
          <w:tcPr>
            <w:tcW w:w="3118" w:type="dxa"/>
          </w:tcPr>
          <w:p w14:paraId="5F52B491" w14:textId="77777777" w:rsidR="008B5836" w:rsidRPr="00E11D46" w:rsidRDefault="008B5836" w:rsidP="00EA540F">
            <w:pPr>
              <w:jc w:val="both"/>
              <w:rPr>
                <w:sz w:val="18"/>
                <w:szCs w:val="18"/>
              </w:rPr>
            </w:pPr>
            <w:r w:rsidRPr="00E11D46">
              <w:rPr>
                <w:sz w:val="18"/>
                <w:szCs w:val="18"/>
              </w:rPr>
              <w:t>The technical variability can be problematic for tumors with lower TMB, as even small differences in mutation numbers can affect classification as “TMB high” for threshold value of 10 or 20 muts/Mb. Recent reviews have explored factors affecting psTMB measurement, but a comprehensive study is lacking. There are studies which aim to analyze all sources of TMB variability but acknowledges limited sample size and focus on NSCLC.</w:t>
            </w:r>
          </w:p>
        </w:tc>
        <w:tc>
          <w:tcPr>
            <w:tcW w:w="662" w:type="dxa"/>
          </w:tcPr>
          <w:p w14:paraId="02E611D8"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{"citationID":"tbq0qJBR","properties":{"formattedCitation":"(1)","plainCitation":"(1)","noteIndex":0},"citationItems":[{"id":934,"uris":["http://zotero.org/groups/4968145/items/6UMY3XRE"],"itemData":{"id":934,"type":"article-journal","container-title":"Lung Cancer","DOI":"10.1016/j.lungcan.2020.01.019","ISSN":"0169-5002, 1872-8332","journalAbbreviation":"Lung Cancer","language":"English","note":"publisher: Elsevier\nPMID: 32143116","page":"114-119","source":"www.lungcancerjournal.info","title":"Quantifying potential confounders of panel-based tumor mutational burden (TMB) measurement","volume":"142","author":[{"family":"Budczies","given":"Jan"},{"family":"Kazdal","given":"Daniel"},{"family":"Allgäuer","given":"Michael"},{"family":"Christopoulos","given":"Petros"},{"family":"Rempel","given":"Eugen"},{"family":"Pfarr","given":"Nicole"},{"family":"Weichert","given":"Wilko"},{"family":"Fröhling","given":"Stefan"},{"family":"Thomas","given":"Michael"},{"family":"Peters","given":"Solange"},{"family":"Endris","given":"Volker"},{"family":"Schirmacher","given":"Peter"},{"family":"Stenzinger","given":"Albrecht"}],"issued":{"date-parts":[["2020",4,1]]}}}],"schema":"https://github.com/citation-style-language/schema/raw/master/csl-citation.json"} </w:instrText>
            </w:r>
            <w:r w:rsidRPr="00E11D46">
              <w:rPr>
                <w:sz w:val="18"/>
                <w:szCs w:val="18"/>
              </w:rPr>
              <w:fldChar w:fldCharType="separate"/>
            </w:r>
            <w:r w:rsidRPr="00E11D46">
              <w:rPr>
                <w:sz w:val="18"/>
              </w:rPr>
              <w:t>(12)</w:t>
            </w:r>
            <w:r w:rsidRPr="00E11D46">
              <w:rPr>
                <w:sz w:val="18"/>
                <w:szCs w:val="18"/>
              </w:rPr>
              <w:fldChar w:fldCharType="end"/>
            </w:r>
          </w:p>
        </w:tc>
      </w:tr>
      <w:tr w:rsidR="008B5836" w:rsidRPr="00E11D46" w14:paraId="21BCA4D9" w14:textId="77777777" w:rsidTr="00EA540F">
        <w:tc>
          <w:tcPr>
            <w:tcW w:w="489" w:type="dxa"/>
          </w:tcPr>
          <w:p w14:paraId="7C51EF8F" w14:textId="77777777" w:rsidR="008B5836" w:rsidRPr="00E11D46" w:rsidRDefault="008B5836" w:rsidP="00EA540F">
            <w:pPr>
              <w:jc w:val="both"/>
              <w:rPr>
                <w:sz w:val="18"/>
                <w:szCs w:val="18"/>
              </w:rPr>
            </w:pPr>
            <w:r w:rsidRPr="00E11D46">
              <w:rPr>
                <w:sz w:val="18"/>
                <w:szCs w:val="18"/>
              </w:rPr>
              <w:t>2.</w:t>
            </w:r>
          </w:p>
        </w:tc>
        <w:tc>
          <w:tcPr>
            <w:tcW w:w="1974" w:type="dxa"/>
          </w:tcPr>
          <w:p w14:paraId="6E6031B7" w14:textId="77777777" w:rsidR="008B5836" w:rsidRPr="00E11D46" w:rsidRDefault="008B5836" w:rsidP="00EA540F">
            <w:pPr>
              <w:jc w:val="both"/>
              <w:rPr>
                <w:sz w:val="18"/>
                <w:szCs w:val="18"/>
              </w:rPr>
            </w:pPr>
            <w:r w:rsidRPr="00E11D46">
              <w:rPr>
                <w:sz w:val="18"/>
                <w:szCs w:val="18"/>
              </w:rPr>
              <w:t>Blood-based tumor mutation burden (bTMB) biomarker measurement.</w:t>
            </w:r>
          </w:p>
        </w:tc>
        <w:tc>
          <w:tcPr>
            <w:tcW w:w="3306" w:type="dxa"/>
          </w:tcPr>
          <w:p w14:paraId="7B60218D" w14:textId="77777777" w:rsidR="008B5836" w:rsidRPr="00E11D46" w:rsidRDefault="008B5836" w:rsidP="00EA540F">
            <w:pPr>
              <w:jc w:val="both"/>
              <w:rPr>
                <w:sz w:val="18"/>
                <w:szCs w:val="18"/>
              </w:rPr>
            </w:pPr>
            <w:r w:rsidRPr="00E11D46">
              <w:rPr>
                <w:sz w:val="18"/>
                <w:szCs w:val="18"/>
              </w:rPr>
              <w:t xml:space="preserve">The bTMB test examines 1.1 Mb of genomic sequence through hybridization capture. bTMB detection requires sufficient ctDNA, indicated by MSAF &lt;1%. </w:t>
            </w:r>
          </w:p>
        </w:tc>
        <w:tc>
          <w:tcPr>
            <w:tcW w:w="2312" w:type="dxa"/>
          </w:tcPr>
          <w:p w14:paraId="31F429F7" w14:textId="77777777" w:rsidR="008B5836" w:rsidRPr="00E11D46" w:rsidRDefault="008B5836" w:rsidP="00EA540F">
            <w:pPr>
              <w:jc w:val="both"/>
              <w:rPr>
                <w:sz w:val="18"/>
                <w:szCs w:val="18"/>
              </w:rPr>
            </w:pPr>
            <w:r w:rsidRPr="00E11D46">
              <w:rPr>
                <w:sz w:val="18"/>
                <w:szCs w:val="18"/>
              </w:rPr>
              <w:t>The bTMB method has an advantage due to its readily available source material, which is less prone to sampling bias caused by tumor heterogeneity in biopsies from single sites at a single time point.</w:t>
            </w:r>
          </w:p>
        </w:tc>
        <w:tc>
          <w:tcPr>
            <w:tcW w:w="3118" w:type="dxa"/>
          </w:tcPr>
          <w:p w14:paraId="7EFAB96D" w14:textId="77777777" w:rsidR="008B5836" w:rsidRPr="00E11D46" w:rsidRDefault="008B5836" w:rsidP="00EA540F">
            <w:pPr>
              <w:jc w:val="both"/>
              <w:rPr>
                <w:sz w:val="18"/>
                <w:szCs w:val="18"/>
              </w:rPr>
            </w:pPr>
            <w:r w:rsidRPr="00E11D46">
              <w:rPr>
                <w:sz w:val="18"/>
                <w:szCs w:val="18"/>
              </w:rPr>
              <w:t>The bTMB approach has limitations in detecting bTMB with enough ctDNA (MSAF ≥ 1%). TMB as a predictive biomarker has variations, and surrogate biomarkers like tTMB and bTMB evaluate a phenotype indirectly connected to neoantigen load. This load is distal to anti-PD-L1/PD-1 therapy. It is necessary to improve assay technology and gain better knowledge of TMB and its biological effects to identify the population that may benefit most from checkpoint inhibitors.</w:t>
            </w:r>
          </w:p>
        </w:tc>
        <w:tc>
          <w:tcPr>
            <w:tcW w:w="662" w:type="dxa"/>
          </w:tcPr>
          <w:p w14:paraId="73A87C7C"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{"citationID":"S6KdwnXy","properties":{"formattedCitation":"(2)","plainCitation":"(2)","noteIndex":0},"citationItems":[{"id":1051,"uris":["http://zotero.org/groups/4968145/items/3WVF7YE3"],"itemData":{"id":1051,"type":"article-journal","abstract":"Tumor mutational burden (TMB) in circulating tumor DNA (ctDNA) has shown promise in predicting benefit from PD-L1/PD-1 inhibitors in retrospective studies. Aiming to assess blood TMB (bTMB) prospectively, we conducted B-F1RST (NCT02848651), an open-label, phase 2 trial that evaluated bTMB as a predictive biomarker for first-line atezolizumab monotherapy in locally advanced or metastatic stage IIIB–IVB non-small cell lung cancer (n</w:instrText>
            </w:r>
            <w:r w:rsidRPr="00E11D46">
              <w:rPr>
                <w:rFonts w:ascii="Arial" w:hAnsi="Arial" w:cs="Arial"/>
                <w:sz w:val="18"/>
                <w:szCs w:val="18"/>
              </w:rPr>
              <w:instrText> </w:instrText>
            </w:r>
            <w:r w:rsidRPr="00E11D46">
              <w:rPr>
                <w:sz w:val="18"/>
                <w:szCs w:val="18"/>
              </w:rPr>
              <w:instrText>=</w:instrText>
            </w:r>
            <w:r w:rsidRPr="00E11D46">
              <w:rPr>
                <w:rFonts w:ascii="Arial" w:hAnsi="Arial" w:cs="Arial"/>
                <w:sz w:val="18"/>
                <w:szCs w:val="18"/>
              </w:rPr>
              <w:instrText> </w:instrText>
            </w:r>
            <w:r w:rsidRPr="00E11D46">
              <w:rPr>
                <w:sz w:val="18"/>
                <w:szCs w:val="18"/>
              </w:rPr>
              <w:instrText xml:space="preserve">152). The co-primary endpoints were investigator-assessed objective response rate (ORR) per RECIST version 1.1 and investigator-assessed progression-free survival (PFS) between high and low bTMB subgroups at the pre-defined bTMB </w:instrText>
            </w:r>
            <w:r w:rsidRPr="00E11D46">
              <w:rPr>
                <w:rFonts w:cs="Aptos"/>
                <w:sz w:val="18"/>
                <w:szCs w:val="18"/>
              </w:rPr>
              <w:instrText>≥</w:instrText>
            </w:r>
            <w:r w:rsidRPr="00E11D46">
              <w:rPr>
                <w:rFonts w:ascii="Arial" w:hAnsi="Arial" w:cs="Arial"/>
                <w:sz w:val="18"/>
                <w:szCs w:val="18"/>
              </w:rPr>
              <w:instrText> </w:instrText>
            </w:r>
            <w:r w:rsidRPr="00E11D46">
              <w:rPr>
                <w:sz w:val="18"/>
                <w:szCs w:val="18"/>
              </w:rPr>
              <w:instrText>16 (14.5 mutations per megabase) cutoff. Secondary endpoints included investigator-assessed PFS, overall survival (OS) and duration of response at various bTMB cutoffs, as well as safety. Investigator-assessed PFS in the bTMB</w:instrText>
            </w:r>
            <w:r w:rsidRPr="00E11D46">
              <w:rPr>
                <w:rFonts w:ascii="Arial" w:hAnsi="Arial" w:cs="Arial"/>
                <w:sz w:val="18"/>
                <w:szCs w:val="18"/>
              </w:rPr>
              <w:instrText> </w:instrText>
            </w:r>
            <w:r w:rsidRPr="00E11D46">
              <w:rPr>
                <w:rFonts w:cs="Aptos"/>
                <w:sz w:val="18"/>
                <w:szCs w:val="18"/>
              </w:rPr>
              <w:instrText>≥</w:instrText>
            </w:r>
            <w:r w:rsidRPr="00E11D46">
              <w:rPr>
                <w:rFonts w:ascii="Arial" w:hAnsi="Arial" w:cs="Arial"/>
                <w:sz w:val="18"/>
                <w:szCs w:val="18"/>
              </w:rPr>
              <w:instrText> </w:instrText>
            </w:r>
            <w:r w:rsidRPr="00E11D46">
              <w:rPr>
                <w:sz w:val="18"/>
                <w:szCs w:val="18"/>
              </w:rPr>
              <w:instrText>16 versus bTMB</w:instrText>
            </w:r>
            <w:r w:rsidRPr="00E11D46">
              <w:rPr>
                <w:rFonts w:ascii="Arial" w:hAnsi="Arial" w:cs="Arial"/>
                <w:sz w:val="18"/>
                <w:szCs w:val="18"/>
              </w:rPr>
              <w:instrText> </w:instrText>
            </w:r>
            <w:r w:rsidRPr="00E11D46">
              <w:rPr>
                <w:sz w:val="18"/>
                <w:szCs w:val="18"/>
              </w:rPr>
              <w:instrText>&lt;</w:instrText>
            </w:r>
            <w:r w:rsidRPr="00E11D46">
              <w:rPr>
                <w:rFonts w:ascii="Arial" w:hAnsi="Arial" w:cs="Arial"/>
                <w:sz w:val="18"/>
                <w:szCs w:val="18"/>
              </w:rPr>
              <w:instrText> </w:instrText>
            </w:r>
            <w:r w:rsidRPr="00E11D46">
              <w:rPr>
                <w:sz w:val="18"/>
                <w:szCs w:val="18"/>
              </w:rPr>
              <w:instrText xml:space="preserve">16 groups was not statistically significant. However, bTMB </w:instrText>
            </w:r>
            <w:r w:rsidRPr="00E11D46">
              <w:rPr>
                <w:rFonts w:cs="Aptos"/>
                <w:sz w:val="18"/>
                <w:szCs w:val="18"/>
              </w:rPr>
              <w:instrText>≥</w:instrText>
            </w:r>
            <w:r w:rsidRPr="00E11D46">
              <w:rPr>
                <w:sz w:val="18"/>
                <w:szCs w:val="18"/>
              </w:rPr>
              <w:instrText xml:space="preserve"> 16 was associated with higher ORR, and ORR improved as bTMB cutoffs increased. No new safety signals were seen. In exploratory analyses, patients with maximum somatic allele frequency (MSAF)</w:instrText>
            </w:r>
            <w:r w:rsidRPr="00E11D46">
              <w:rPr>
                <w:rFonts w:ascii="Arial" w:hAnsi="Arial" w:cs="Arial"/>
                <w:sz w:val="18"/>
                <w:szCs w:val="18"/>
              </w:rPr>
              <w:instrText> </w:instrText>
            </w:r>
            <w:r w:rsidRPr="00E11D46">
              <w:rPr>
                <w:sz w:val="18"/>
                <w:szCs w:val="18"/>
              </w:rPr>
              <w:instrText>&lt;</w:instrText>
            </w:r>
            <w:r w:rsidRPr="00E11D46">
              <w:rPr>
                <w:rFonts w:ascii="Arial" w:hAnsi="Arial" w:cs="Arial"/>
                <w:sz w:val="18"/>
                <w:szCs w:val="18"/>
              </w:rPr>
              <w:instrText> </w:instrText>
            </w:r>
            <w:r w:rsidRPr="00E11D46">
              <w:rPr>
                <w:sz w:val="18"/>
                <w:szCs w:val="18"/>
              </w:rPr>
              <w:instrText>1% had higher ORR than patients with MSAF</w:instrText>
            </w:r>
            <w:r w:rsidRPr="00E11D46">
              <w:rPr>
                <w:rFonts w:ascii="Arial" w:hAnsi="Arial" w:cs="Arial"/>
                <w:sz w:val="18"/>
                <w:szCs w:val="18"/>
              </w:rPr>
              <w:instrText> </w:instrText>
            </w:r>
            <w:r w:rsidRPr="00E11D46">
              <w:rPr>
                <w:rFonts w:cs="Aptos"/>
                <w:sz w:val="18"/>
                <w:szCs w:val="18"/>
              </w:rPr>
              <w:instrText>≥</w:instrText>
            </w:r>
            <w:r w:rsidRPr="00E11D46">
              <w:rPr>
                <w:rFonts w:ascii="Arial" w:hAnsi="Arial" w:cs="Arial"/>
                <w:sz w:val="18"/>
                <w:szCs w:val="18"/>
              </w:rPr>
              <w:instrText> </w:instrText>
            </w:r>
            <w:r w:rsidRPr="00E11D46">
              <w:rPr>
                <w:sz w:val="18"/>
                <w:szCs w:val="18"/>
              </w:rPr>
              <w:instrText>1%. However, further analysis showed that this effect was driven by better baseline prognostics rather than by MSAF itself. At 36.5-month follow-up, an exploratory analysis of OS found that bTMB ≥</w:instrText>
            </w:r>
            <w:r w:rsidRPr="00E11D46">
              <w:rPr>
                <w:rFonts w:ascii="Arial" w:hAnsi="Arial" w:cs="Arial"/>
                <w:sz w:val="18"/>
                <w:szCs w:val="18"/>
              </w:rPr>
              <w:instrText> </w:instrText>
            </w:r>
            <w:r w:rsidRPr="00E11D46">
              <w:rPr>
                <w:sz w:val="18"/>
                <w:szCs w:val="18"/>
              </w:rPr>
              <w:instrText>16 was associated with longer OS than bTMB &lt;</w:instrText>
            </w:r>
            <w:r w:rsidRPr="00E11D46">
              <w:rPr>
                <w:rFonts w:ascii="Arial" w:hAnsi="Arial" w:cs="Arial"/>
                <w:sz w:val="18"/>
                <w:szCs w:val="18"/>
              </w:rPr>
              <w:instrText> </w:instrText>
            </w:r>
            <w:r w:rsidRPr="00E11D46">
              <w:rPr>
                <w:sz w:val="18"/>
                <w:szCs w:val="18"/>
              </w:rPr>
              <w:instrText xml:space="preserve">16. Further study and assay optimization will be required to develop bTMB as a predictive, standalone biomarker of immunotherapy or for use in conjunction with other biomarkers.","container-title":"Nature Medicine","DOI":"10.1038/s41591-022-01754-x","ISSN":"1546-170X","issue":"5","journalAbbreviation":"Nat Med","language":"en","license":"2022 The Author(s)","note":"number: 5\npublisher: Nature Publishing Group","page":"939-945","source":"www.nature.com","title":"Blood-based tumor mutational burden as a biomarker for atezolizumab in non-small cell lung cancer: the phase 2 B-F1RST trial","title-short":"Blood-based tumor mutational burden as a biomarker for atezolizumab in non-small cell lung cancer","volume":"28","author":[{"family":"Kim","given":"Edward S."},{"family":"Velcheti","given":"Vamsidhar"},{"family":"Mekhail","given":"Tarek"},{"family":"Yun","given":"Cindy"},{"family":"Shagan","given":"Sarah M."},{"family":"Hu","given":"Sylvia"},{"family":"Chae","given":"Young Kwang"},{"family":"Leal","given":"Ticiana A."},{"family":"Dowell","given":"Jonathan E."},{"family":"Tsai","given":"Michaela L."},{"family":"Dakhil","given":"Christopher S. R."},{"family":"Stella","given":"Philip"},{"family":"Jin","given":"Yanling"},{"family":"Shames","given":"David S."},{"family":"Schleifman","given":"Erica"},{"family":"Fabrizio","given":"David A."},{"family":"Phan","given":"See"},{"family":"Socinski","given":"Mark A."}],"issued":{"date-parts":[["2022",5]]}}}],"schema":"https://github.com/citation-style-language/schema/raw/master/csl-citation.json"} </w:instrText>
            </w:r>
            <w:r w:rsidRPr="00E11D46">
              <w:rPr>
                <w:sz w:val="18"/>
                <w:szCs w:val="18"/>
              </w:rPr>
              <w:fldChar w:fldCharType="separate"/>
            </w:r>
            <w:r w:rsidRPr="00E11D46">
              <w:rPr>
                <w:sz w:val="18"/>
              </w:rPr>
              <w:t>(13)</w:t>
            </w:r>
            <w:r w:rsidRPr="00E11D46">
              <w:rPr>
                <w:sz w:val="18"/>
                <w:szCs w:val="18"/>
              </w:rPr>
              <w:fldChar w:fldCharType="end"/>
            </w:r>
          </w:p>
        </w:tc>
      </w:tr>
      <w:tr w:rsidR="008B5836" w:rsidRPr="00E11D46" w14:paraId="44E359B5" w14:textId="77777777" w:rsidTr="00EA540F">
        <w:tc>
          <w:tcPr>
            <w:tcW w:w="489" w:type="dxa"/>
          </w:tcPr>
          <w:p w14:paraId="5D0CDFCA" w14:textId="77777777" w:rsidR="008B5836" w:rsidRPr="00E11D46" w:rsidRDefault="008B5836" w:rsidP="00EA540F">
            <w:pPr>
              <w:jc w:val="both"/>
              <w:rPr>
                <w:sz w:val="18"/>
                <w:szCs w:val="18"/>
              </w:rPr>
            </w:pPr>
            <w:r w:rsidRPr="00E11D46">
              <w:rPr>
                <w:sz w:val="18"/>
                <w:szCs w:val="18"/>
              </w:rPr>
              <w:t>3.</w:t>
            </w:r>
          </w:p>
        </w:tc>
        <w:tc>
          <w:tcPr>
            <w:tcW w:w="1974" w:type="dxa"/>
          </w:tcPr>
          <w:p w14:paraId="51F222BF" w14:textId="77777777" w:rsidR="008B5836" w:rsidRPr="00E11D46" w:rsidRDefault="008B5836" w:rsidP="00EA540F">
            <w:pPr>
              <w:jc w:val="both"/>
              <w:rPr>
                <w:sz w:val="18"/>
                <w:szCs w:val="18"/>
              </w:rPr>
            </w:pPr>
            <w:r w:rsidRPr="00E11D46">
              <w:rPr>
                <w:sz w:val="18"/>
                <w:szCs w:val="18"/>
              </w:rPr>
              <w:t>TMB measurement by identifying SNVs and removal of deaminated bases in FFPE DNA.</w:t>
            </w:r>
          </w:p>
        </w:tc>
        <w:tc>
          <w:tcPr>
            <w:tcW w:w="3306" w:type="dxa"/>
          </w:tcPr>
          <w:p w14:paraId="512BD579" w14:textId="77777777" w:rsidR="008B5836" w:rsidRPr="00E11D46" w:rsidRDefault="008B5836" w:rsidP="00EA540F">
            <w:pPr>
              <w:jc w:val="both"/>
              <w:rPr>
                <w:sz w:val="18"/>
                <w:szCs w:val="18"/>
              </w:rPr>
            </w:pPr>
            <w:r w:rsidRPr="00E11D46">
              <w:rPr>
                <w:sz w:val="18"/>
                <w:szCs w:val="18"/>
              </w:rPr>
              <w:t>TMB assessment is improved by eliminating deaminated nucleotides from FFPE DNA. The Oncomine™ Tumour Mutation Load Assay is used to determine TMB in this study. This method is a customised NGS panel that identifies SNVs, insertions, deletions, and copy number abnormalities in 409 genes.</w:t>
            </w:r>
          </w:p>
        </w:tc>
        <w:tc>
          <w:tcPr>
            <w:tcW w:w="2312" w:type="dxa"/>
          </w:tcPr>
          <w:p w14:paraId="19A965DD" w14:textId="77777777" w:rsidR="008B5836" w:rsidRPr="00E11D46" w:rsidRDefault="008B5836" w:rsidP="00EA540F">
            <w:pPr>
              <w:jc w:val="both"/>
              <w:rPr>
                <w:sz w:val="18"/>
                <w:szCs w:val="18"/>
              </w:rPr>
            </w:pPr>
            <w:r w:rsidRPr="00E11D46">
              <w:rPr>
                <w:sz w:val="18"/>
                <w:szCs w:val="18"/>
              </w:rPr>
              <w:t>Clinical practise and research employ FFPE tissue samples because they are easy to store and transport.</w:t>
            </w:r>
          </w:p>
          <w:p w14:paraId="12B5A023" w14:textId="77777777" w:rsidR="008B5836" w:rsidRPr="00E11D46" w:rsidRDefault="008B5836" w:rsidP="00EA540F">
            <w:pPr>
              <w:jc w:val="both"/>
              <w:rPr>
                <w:sz w:val="18"/>
                <w:szCs w:val="18"/>
              </w:rPr>
            </w:pPr>
            <w:r w:rsidRPr="00E11D46">
              <w:rPr>
                <w:sz w:val="18"/>
                <w:szCs w:val="18"/>
              </w:rPr>
              <w:t>FFPE samples are sometimes the only DNA source for retroactive examinations due to their lengthy storage life.</w:t>
            </w:r>
          </w:p>
          <w:p w14:paraId="5CCD11D1" w14:textId="77777777" w:rsidR="008B5836" w:rsidRPr="00E11D46" w:rsidRDefault="008B5836" w:rsidP="00EA540F">
            <w:pPr>
              <w:jc w:val="both"/>
              <w:rPr>
                <w:sz w:val="18"/>
                <w:szCs w:val="18"/>
              </w:rPr>
            </w:pPr>
            <w:r w:rsidRPr="00E11D46">
              <w:rPr>
                <w:sz w:val="18"/>
                <w:szCs w:val="18"/>
              </w:rPr>
              <w:t>The Oncomine™ Tumour Mutation Load Assay utilised in this study is specific to FFPE DNA, making it reliable and accurate for TMB identification.</w:t>
            </w:r>
          </w:p>
          <w:p w14:paraId="4231541F" w14:textId="77777777" w:rsidR="008B5836" w:rsidRPr="00E11D46" w:rsidRDefault="008B5836" w:rsidP="00EA540F">
            <w:pPr>
              <w:jc w:val="both"/>
              <w:rPr>
                <w:sz w:val="18"/>
                <w:szCs w:val="18"/>
              </w:rPr>
            </w:pPr>
            <w:r w:rsidRPr="00E11D46">
              <w:rPr>
                <w:sz w:val="18"/>
                <w:szCs w:val="18"/>
              </w:rPr>
              <w:t>Removing deaminated nucleotides from FFPE DNA improves TMB testing precision by preventing false positives.</w:t>
            </w:r>
          </w:p>
          <w:p w14:paraId="7974F0E4" w14:textId="77777777" w:rsidR="008B5836" w:rsidRPr="00E11D46" w:rsidRDefault="008B5836" w:rsidP="00EA540F">
            <w:pPr>
              <w:jc w:val="both"/>
              <w:rPr>
                <w:sz w:val="18"/>
                <w:szCs w:val="18"/>
              </w:rPr>
            </w:pPr>
          </w:p>
        </w:tc>
        <w:tc>
          <w:tcPr>
            <w:tcW w:w="3118" w:type="dxa"/>
          </w:tcPr>
          <w:p w14:paraId="164A4D8C" w14:textId="77777777" w:rsidR="008B5836" w:rsidRPr="00E11D46" w:rsidRDefault="008B5836" w:rsidP="00EA540F">
            <w:pPr>
              <w:jc w:val="both"/>
              <w:rPr>
                <w:sz w:val="18"/>
                <w:szCs w:val="18"/>
              </w:rPr>
            </w:pPr>
            <w:r w:rsidRPr="00E11D46">
              <w:rPr>
                <w:sz w:val="18"/>
                <w:szCs w:val="18"/>
              </w:rPr>
              <w:t>As a targeted NGS panel, the Oncomine™ Tumour Mutation Load Assay can only identify mutations in the 409 genes that make up the panel. This might not fully represent TMB because it does not account for all tumor-specific mutations. The research does not address other potential sources of inaccuracy in TMB measurement and only discusses the removal of deaminated bases in FFPE DNA.</w:t>
            </w:r>
          </w:p>
        </w:tc>
        <w:tc>
          <w:tcPr>
            <w:tcW w:w="662" w:type="dxa"/>
          </w:tcPr>
          <w:p w14:paraId="3B8DAAEF"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{"citationID":"I3TKsfgz","properties":{"formattedCitation":"(3)","plainCitation":"(3)","noteIndex":0},"citationItems":[{"id":"lZ1YJ4wM/FsasKO2q","uris":["http://zotero.org/groups/4968145/items/IRFAVK76"],"itemData":{"id":600,"type":"article-journal","abstract":"Tumor mutation burden (TMB) is a positive predictive factor for response to immune-checkpoint inhibitors in certain types of cancer. The Oncomine™ Tumor Mutation Load Assay, a 1.7Mb targeted next generation sequencing (NGS) panel, measures TMB and detects mutations in 409 cancer genes. The TMB values obtained using targeted sequencing are positively correlated with TMB measured by whole exome sequencing in NSCLC, colorectal, endometrial and gastric cancers. TMB from these tumor samples are correlated with other phenotypes associated with genomic instability, specifically microsatellite instability (MSI) and mutations involved in mismatch repair and cancer related genes. Analysis of the Oncomine™ TML Assay results with Torrent Suite and Ion Reporter software uniquely measures the degree of deamination of cytosines to uracils in fixed tissues. FFPE preservation methods can lead to significant cytosine deamination of the isolated DNA, resulting in decreased sequencing quality. In these samples, uracils are propagated as thymines and result in false C&amp;gt;T substitutions. To minimize the influence that excess deamination has on TMB results, we have incorporated a UDG enzyme treatment to eliminate damaged targets and improve usable TMB values of DNA from damaged FFPE tumor tissue. The Oncomine™ TML assay for TMB on Ion GeneStudio™ S5 in conjunction with MSI detection is informative and potentially predictive for the use of checkpoint inhibitors in multiple cancer types.Citation Format: Warren Tom, Ruchi Chaudhary, Vinay Mittal, Dinesh Cyanam, Iris Casuga, Elaine Wong-Ho, Rob Bennett, Fiona Hyland, Seth Sadis, Janice Au-Young. Improvement of tumor mutation burden measurement by removal of deaminated bases in FFPE DNA [abstract]. In: Proceedings of the American Association for Cancer Research Annual Meeting 2019; 2019 Mar 29-Apr 3; Atlanta, GA. Philadelphia (PA): AACR; Cancer Res 2019;79(13 Suppl):Abstract nr 1701.","container-title":"Cancer Research","DOI":"10.1158/1538-7445.AM2019-1701","ISSN":"0008-5472","issue":"13_Supplement","journalAbbreviation":"Cancer Research","page":"1701","source":"Silverchair","title":"Abstract 1701: Improvement of tumor mutation burden measurement by removal of deaminated bases in FFPE DNA","title-short":"Abstract 1701","volume":"79","author":[{"family":"Tom","given":"Warren"},{"family":"Chaudhary","given":"Ruchi"},{"family":"Mittal","given":"Vinay"},{"family":"Cyanam","given":"Dinesh"},{"family":"Casuga","given":"Iris"},{"family":"Wong-Ho","given":"Elaine"},{"family":"Bennett","given":"Rob"},{"family":"Hyland","given":"Fiona"},{"family":"Sadis","given":"Seth"},{"family":"Au-Young","given":"Janice"}],"issued":{"date-parts":[["2019",7,1]]}}}],"schema":"https://github.com/citation-style-language/schema/raw/master/csl-citation.json"} </w:instrText>
            </w:r>
            <w:r w:rsidRPr="00E11D46">
              <w:rPr>
                <w:sz w:val="18"/>
                <w:szCs w:val="18"/>
              </w:rPr>
              <w:fldChar w:fldCharType="separate"/>
            </w:r>
            <w:r w:rsidRPr="00E11D46">
              <w:rPr>
                <w:sz w:val="18"/>
              </w:rPr>
              <w:t>(14)</w:t>
            </w:r>
            <w:r w:rsidRPr="00E11D46">
              <w:rPr>
                <w:sz w:val="18"/>
                <w:szCs w:val="18"/>
              </w:rPr>
              <w:fldChar w:fldCharType="end"/>
            </w:r>
          </w:p>
        </w:tc>
      </w:tr>
      <w:tr w:rsidR="008B5836" w:rsidRPr="00E11D46" w14:paraId="0FA2A7CF" w14:textId="77777777" w:rsidTr="00EA540F">
        <w:tc>
          <w:tcPr>
            <w:tcW w:w="489" w:type="dxa"/>
          </w:tcPr>
          <w:p w14:paraId="60F54826" w14:textId="77777777" w:rsidR="008B5836" w:rsidRPr="00E11D46" w:rsidRDefault="008B5836" w:rsidP="00EA540F">
            <w:pPr>
              <w:jc w:val="both"/>
              <w:rPr>
                <w:sz w:val="18"/>
                <w:szCs w:val="18"/>
              </w:rPr>
            </w:pPr>
            <w:r w:rsidRPr="00E11D46">
              <w:rPr>
                <w:sz w:val="18"/>
                <w:szCs w:val="18"/>
              </w:rPr>
              <w:t>4.</w:t>
            </w:r>
          </w:p>
        </w:tc>
        <w:tc>
          <w:tcPr>
            <w:tcW w:w="1974" w:type="dxa"/>
          </w:tcPr>
          <w:p w14:paraId="3CDDBA03" w14:textId="77777777" w:rsidR="008B5836" w:rsidRPr="00E11D46" w:rsidRDefault="008B5836" w:rsidP="00EA540F">
            <w:pPr>
              <w:jc w:val="both"/>
              <w:rPr>
                <w:sz w:val="18"/>
                <w:szCs w:val="18"/>
              </w:rPr>
            </w:pPr>
            <w:r w:rsidRPr="00E11D46">
              <w:rPr>
                <w:sz w:val="18"/>
                <w:szCs w:val="18"/>
              </w:rPr>
              <w:t>TMB measurement by whole exome sequencing (WES)</w:t>
            </w:r>
          </w:p>
        </w:tc>
        <w:tc>
          <w:tcPr>
            <w:tcW w:w="3306" w:type="dxa"/>
          </w:tcPr>
          <w:p w14:paraId="2135E79F" w14:textId="77777777" w:rsidR="008B5836" w:rsidRPr="00E11D46" w:rsidRDefault="008B5836" w:rsidP="00EA540F">
            <w:pPr>
              <w:jc w:val="both"/>
              <w:rPr>
                <w:sz w:val="18"/>
                <w:szCs w:val="18"/>
              </w:rPr>
            </w:pPr>
            <w:r w:rsidRPr="00E11D46">
              <w:rPr>
                <w:sz w:val="18"/>
                <w:szCs w:val="18"/>
              </w:rPr>
              <w:t>NGS quantifies cancer mutation load. TMB was initially measured via NGS for WES of tumor and non-tumor tissue. Targeted panels have higher sensitivity and coverage, serving low cancer cell concentration. Standardization is necessary for reliable, repeatable, and clinically useful TMB measurement.</w:t>
            </w:r>
          </w:p>
        </w:tc>
        <w:tc>
          <w:tcPr>
            <w:tcW w:w="2312" w:type="dxa"/>
          </w:tcPr>
          <w:p w14:paraId="2C039322" w14:textId="77777777" w:rsidR="008B5836" w:rsidRPr="00E11D46" w:rsidRDefault="008B5836" w:rsidP="00EA540F">
            <w:pPr>
              <w:jc w:val="both"/>
              <w:rPr>
                <w:sz w:val="18"/>
                <w:szCs w:val="18"/>
              </w:rPr>
            </w:pPr>
            <w:r w:rsidRPr="00E11D46">
              <w:rPr>
                <w:sz w:val="18"/>
                <w:szCs w:val="18"/>
              </w:rPr>
              <w:t>WES offers a cost-effective means of identifying coding mutations driving tumor progression, and can be used to calculate TMB. Assays like FoundationOne, which target 315 genes and 1.1 Mb of coding genome, correlate well with WES-derived TMB. High TMB scores from WES have been linked to better immunotherapy outcomes. However, standardized WES methodologies for TMB measurement are lacking, potentially limiting its widespread use.</w:t>
            </w:r>
          </w:p>
        </w:tc>
        <w:tc>
          <w:tcPr>
            <w:tcW w:w="3118" w:type="dxa"/>
          </w:tcPr>
          <w:p w14:paraId="2030470F" w14:textId="77777777" w:rsidR="008B5836" w:rsidRPr="00E11D46" w:rsidRDefault="008B5836" w:rsidP="00EA540F">
            <w:pPr>
              <w:jc w:val="both"/>
              <w:rPr>
                <w:sz w:val="18"/>
                <w:szCs w:val="18"/>
              </w:rPr>
            </w:pPr>
            <w:r w:rsidRPr="00E11D46">
              <w:rPr>
                <w:sz w:val="18"/>
                <w:szCs w:val="18"/>
              </w:rPr>
              <w:t>Targeted panels only include a subset of genes; therefore, they might not detect all cancer genome mutations. Targeted panel TMB measurement accuracy may be affected by DNA sample quality because formaldehyde fixation produces crosslinks and is a frequent source of sequencing artefacts. Also unexplored are the therapeutic implications of improving sequencing coverage sensitivity.</w:t>
            </w:r>
          </w:p>
        </w:tc>
        <w:tc>
          <w:tcPr>
            <w:tcW w:w="662" w:type="dxa"/>
          </w:tcPr>
          <w:p w14:paraId="7722DDC4"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{"citationID":"FEqtxi3F","properties":{"formattedCitation":"(4)","plainCitation":"(4)","noteIndex":0},"citationItems":[{"id":924,"uris":["http://zotero.org/groups/4968145/items/8D6P8VQB"],"itemData":{"id":924,"type":"article-journal","abstract":"Methods of measurement for tumor mutational burden in tumor tissue","container-title":"Translational Lung Cancer Research","DOI":"10.21037/tlcr.2018.08.02","ISSN":"2226-4477, 2218-6751","issue":"6","language":"en","note":"publisher: AME Publishing Company","source":"tlcr.amegroups.org","title":"Methods of measurement for tumor mutational burden in tumor tissue","URL":"https://tlcr.amegroups.org/article/view/23823","volume":"7","author":[{"family":"Meléndez","given":"Bárbara"},{"family":"Campenhout","given":"Claude Van"},{"family":"Rorive","given":"Sandrine"},{"family":"Remmelink","given":"Myriam"},{"family":"Salmon","given":"Isabelle"},{"family":"D’Haene","given":"Nicky"}],"accessed":{"date-parts":[["2023",8,2]]},"issued":{"date-parts":[["2018",12]]}}}],"schema":"https://github.com/citation-style-language/schema/raw/master/csl-citation.json"} </w:instrText>
            </w:r>
            <w:r w:rsidRPr="00E11D46">
              <w:rPr>
                <w:sz w:val="18"/>
                <w:szCs w:val="18"/>
              </w:rPr>
              <w:fldChar w:fldCharType="separate"/>
            </w:r>
            <w:r w:rsidRPr="00E11D46">
              <w:rPr>
                <w:sz w:val="18"/>
              </w:rPr>
              <w:t>(15)</w:t>
            </w:r>
            <w:r w:rsidRPr="00E11D46">
              <w:rPr>
                <w:sz w:val="18"/>
                <w:szCs w:val="18"/>
              </w:rPr>
              <w:fldChar w:fldCharType="end"/>
            </w:r>
          </w:p>
        </w:tc>
      </w:tr>
      <w:tr w:rsidR="008B5836" w:rsidRPr="00E11D46" w14:paraId="63656DA5" w14:textId="77777777" w:rsidTr="00EA540F">
        <w:tc>
          <w:tcPr>
            <w:tcW w:w="489" w:type="dxa"/>
          </w:tcPr>
          <w:p w14:paraId="6E0C708F" w14:textId="77777777" w:rsidR="008B5836" w:rsidRPr="00E11D46" w:rsidRDefault="008B5836" w:rsidP="00EA540F">
            <w:pPr>
              <w:jc w:val="both"/>
              <w:rPr>
                <w:sz w:val="18"/>
                <w:szCs w:val="18"/>
              </w:rPr>
            </w:pPr>
            <w:r w:rsidRPr="00E11D46">
              <w:rPr>
                <w:sz w:val="18"/>
                <w:szCs w:val="18"/>
              </w:rPr>
              <w:t>5.</w:t>
            </w:r>
          </w:p>
        </w:tc>
        <w:tc>
          <w:tcPr>
            <w:tcW w:w="1974" w:type="dxa"/>
          </w:tcPr>
          <w:p w14:paraId="6E471F46" w14:textId="77777777" w:rsidR="008B5836" w:rsidRPr="00E11D46" w:rsidRDefault="008B5836" w:rsidP="00EA540F">
            <w:pPr>
              <w:jc w:val="both"/>
              <w:rPr>
                <w:sz w:val="18"/>
                <w:szCs w:val="18"/>
              </w:rPr>
            </w:pPr>
            <w:r w:rsidRPr="00E11D46">
              <w:rPr>
                <w:sz w:val="18"/>
                <w:szCs w:val="18"/>
              </w:rPr>
              <w:t>Estimating and classification of TMB (ecTMB)</w:t>
            </w:r>
          </w:p>
        </w:tc>
        <w:tc>
          <w:tcPr>
            <w:tcW w:w="3306" w:type="dxa"/>
          </w:tcPr>
          <w:p w14:paraId="3987AE0D" w14:textId="77777777" w:rsidR="008B5836" w:rsidRPr="00E11D46" w:rsidRDefault="008B5836" w:rsidP="00EA540F">
            <w:pPr>
              <w:jc w:val="both"/>
              <w:rPr>
                <w:sz w:val="18"/>
                <w:szCs w:val="18"/>
              </w:rPr>
            </w:pPr>
            <w:r w:rsidRPr="00E11D46">
              <w:rPr>
                <w:sz w:val="18"/>
                <w:szCs w:val="18"/>
              </w:rPr>
              <w:t>The ecTMB technique estimates BMR and predicts TMB by treating each gene as an independent negative binomial process. TMB is predicted using synonymous mutations and samples are classified into TMB subtypes using a Gaussian Mixture Model. The ecTMB approach improves TMB measurement accuracy and reproducibility when using targeted panel sequencing data from TCGA.</w:t>
            </w:r>
          </w:p>
        </w:tc>
        <w:tc>
          <w:tcPr>
            <w:tcW w:w="2312" w:type="dxa"/>
          </w:tcPr>
          <w:p w14:paraId="252CF8AC" w14:textId="77777777" w:rsidR="008B5836" w:rsidRPr="00E11D46" w:rsidRDefault="008B5836" w:rsidP="00EA540F">
            <w:pPr>
              <w:jc w:val="both"/>
              <w:rPr>
                <w:sz w:val="18"/>
                <w:szCs w:val="18"/>
              </w:rPr>
            </w:pPr>
            <w:r w:rsidRPr="00E11D46">
              <w:rPr>
                <w:sz w:val="18"/>
                <w:szCs w:val="18"/>
              </w:rPr>
              <w:t>The ecTMB method offers advantages for predicting tumor mutational burden (TMB). It improves consistency by correcting biases in panel design. It considers both synonymous and non-synonymous mutations for improved accuracy. It predicts TMB using a negative binomial process for robustness. It also reveals clinically relevant TMB subtypes and shows high concordance with standard TMB measurements. TMB readings can be more accurate and reproducible because ecTMB uses a Bayesian framework to describe the background mutation rate (BMR) and predict TMB.</w:t>
            </w:r>
          </w:p>
        </w:tc>
        <w:tc>
          <w:tcPr>
            <w:tcW w:w="3118" w:type="dxa"/>
          </w:tcPr>
          <w:p w14:paraId="494CB10E" w14:textId="77777777" w:rsidR="008B5836" w:rsidRPr="00E11D46" w:rsidRDefault="008B5836" w:rsidP="00EA540F">
            <w:pPr>
              <w:jc w:val="both"/>
              <w:rPr>
                <w:sz w:val="18"/>
                <w:szCs w:val="18"/>
              </w:rPr>
            </w:pPr>
            <w:r w:rsidRPr="00E11D46">
              <w:rPr>
                <w:sz w:val="18"/>
                <w:szCs w:val="18"/>
              </w:rPr>
              <w:t>WES is expensive and time-consuming, not preferrable for everyday clinical use. WES data may be noisy and error-prone, affecting TMB measurements. The current TMB calculation method does not consider mutation rate variation and can lead to inaccurate estimates. The clinical significance of the current TMB approach is limited as it does not reveal functional alterations.</w:t>
            </w:r>
          </w:p>
        </w:tc>
        <w:tc>
          <w:tcPr>
            <w:tcW w:w="662" w:type="dxa"/>
          </w:tcPr>
          <w:p w14:paraId="1E31465F"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{"citationID":"PhY7inlR","properties":{"formattedCitation":"(5)","plainCitation":"(5)","noteIndex":0},"citationItems":[{"id":931,"uris":["http://zotero.org/groups/4968145/items/VHDAGVDR"],"itemData":{"id":931,"type":"article-journal","abstract":"Tumor Mutational Burden (TMB) is a measure of the abundance of somatic mutations in a tumor, which has been shown to be an emerging biomarker for both anti-PD-(L)1 treatment and prognosis; however, multiple challenges still hinder the adoption of TMB as a biomarker. The key challenges are the inconsistency of tumor mutational burden measurement among assays and the lack of a meaningful threshold for TMB classification. Here we describe a new method, ecTMB (Estimation and Classification of TMB), which uses an explicit background mutation model to predict TMB robustly and to classify samples into biologically meaningful subtypes defined by tumor mutational burden.","container-title":"Scientific Reports","DOI":"10.1038/s41598-020-61575-1","ISSN":"2045-2322","issue":"1","journalAbbreviation":"Sci Rep","language":"en","license":"2020 The Author(s)","note":"number: 1\npublisher: Nature Publishing Group","page":"4983","source":"www.nature.com","title":"ecTMB: a robust method to estimate and classify tumor mutational burden","title-short":"ecTMB","volume":"10","author":[{"family":"Yao","given":"Lijing"},{"family":"Fu","given":"Yao"},{"family":"Mohiyuddin","given":"Marghoob"},{"family":"Lam","given":"Hugo Y. K."}],"issued":{"date-parts":[["2020",3,18]]}}}],"schema":"https://github.com/citation-style-language/schema/raw/master/csl-citation.json"} </w:instrText>
            </w:r>
            <w:r w:rsidRPr="00E11D46">
              <w:rPr>
                <w:sz w:val="18"/>
                <w:szCs w:val="18"/>
              </w:rPr>
              <w:fldChar w:fldCharType="separate"/>
            </w:r>
            <w:r w:rsidRPr="00E11D46">
              <w:rPr>
                <w:sz w:val="18"/>
              </w:rPr>
              <w:t>(16)</w:t>
            </w:r>
            <w:r w:rsidRPr="00E11D46">
              <w:rPr>
                <w:sz w:val="18"/>
                <w:szCs w:val="18"/>
              </w:rPr>
              <w:fldChar w:fldCharType="end"/>
            </w:r>
          </w:p>
        </w:tc>
      </w:tr>
      <w:tr w:rsidR="008B5836" w:rsidRPr="00E11D46" w14:paraId="0CC8B0C7" w14:textId="77777777" w:rsidTr="00EA540F">
        <w:tc>
          <w:tcPr>
            <w:tcW w:w="489" w:type="dxa"/>
          </w:tcPr>
          <w:p w14:paraId="452C498E" w14:textId="77777777" w:rsidR="008B5836" w:rsidRPr="00E11D46" w:rsidRDefault="008B5836" w:rsidP="00EA540F">
            <w:pPr>
              <w:jc w:val="both"/>
              <w:rPr>
                <w:sz w:val="18"/>
                <w:szCs w:val="18"/>
              </w:rPr>
            </w:pPr>
            <w:r w:rsidRPr="00E11D46">
              <w:rPr>
                <w:sz w:val="18"/>
                <w:szCs w:val="18"/>
              </w:rPr>
              <w:t>6.</w:t>
            </w:r>
          </w:p>
        </w:tc>
        <w:tc>
          <w:tcPr>
            <w:tcW w:w="1974" w:type="dxa"/>
          </w:tcPr>
          <w:p w14:paraId="4F0E94AB" w14:textId="77777777" w:rsidR="008B5836" w:rsidRPr="00E11D46" w:rsidRDefault="008B5836" w:rsidP="00EA540F">
            <w:pPr>
              <w:jc w:val="both"/>
              <w:rPr>
                <w:sz w:val="18"/>
                <w:szCs w:val="18"/>
              </w:rPr>
            </w:pPr>
            <w:r w:rsidRPr="00E11D46">
              <w:rPr>
                <w:sz w:val="18"/>
                <w:szCs w:val="18"/>
              </w:rPr>
              <w:t>NGS of a 2-megabase 500-gene panel.</w:t>
            </w:r>
          </w:p>
        </w:tc>
        <w:tc>
          <w:tcPr>
            <w:tcW w:w="3306" w:type="dxa"/>
          </w:tcPr>
          <w:p w14:paraId="7D6A33EB" w14:textId="77777777" w:rsidR="008B5836" w:rsidRPr="00E11D46" w:rsidRDefault="008B5836" w:rsidP="00EA540F">
            <w:pPr>
              <w:jc w:val="both"/>
              <w:rPr>
                <w:sz w:val="18"/>
                <w:szCs w:val="18"/>
              </w:rPr>
            </w:pPr>
            <w:r w:rsidRPr="00E11D46">
              <w:rPr>
                <w:sz w:val="18"/>
                <w:szCs w:val="18"/>
              </w:rPr>
              <w:t>Mutations (single nucleotide variations, insertions, and deletions) per megabase determined TMB. The authors measured TMB using NGS of a 2-megabase 500-gene panel. The panel spans two megabases and cancer-related genes. The tumor-normal whole exome sequencing (WES) or in-silico-filtered tumor-only 500-gene panel quantified TMB. The authors analyzed tumor-only WES TMB using computational germline-filtering and background noise-removal.</w:t>
            </w:r>
          </w:p>
        </w:tc>
        <w:tc>
          <w:tcPr>
            <w:tcW w:w="2312" w:type="dxa"/>
          </w:tcPr>
          <w:p w14:paraId="6E56A95E" w14:textId="77777777" w:rsidR="008B5836" w:rsidRPr="00E11D46" w:rsidRDefault="008B5836" w:rsidP="00EA540F">
            <w:pPr>
              <w:jc w:val="both"/>
              <w:rPr>
                <w:sz w:val="18"/>
                <w:szCs w:val="18"/>
              </w:rPr>
            </w:pPr>
            <w:r w:rsidRPr="00E11D46">
              <w:rPr>
                <w:sz w:val="18"/>
                <w:szCs w:val="18"/>
              </w:rPr>
              <w:t>A tailored DNA sequencing panel that covers two megabases and includes cancer-relevant genes is cheaper than full exome sequencing.</w:t>
            </w:r>
          </w:p>
          <w:p w14:paraId="0DAC63AD" w14:textId="77777777" w:rsidR="008B5836" w:rsidRPr="00E11D46" w:rsidRDefault="008B5836" w:rsidP="00EA540F">
            <w:pPr>
              <w:jc w:val="both"/>
              <w:rPr>
                <w:sz w:val="18"/>
                <w:szCs w:val="18"/>
              </w:rPr>
            </w:pPr>
            <w:r w:rsidRPr="00E11D46">
              <w:rPr>
                <w:sz w:val="18"/>
                <w:szCs w:val="18"/>
              </w:rPr>
              <w:t>TMB assessed by the 500-gene panel and WES correlate highly, with sensitivity &gt;90% and specificity &gt;85%.</w:t>
            </w:r>
          </w:p>
          <w:p w14:paraId="2978A650" w14:textId="77777777" w:rsidR="008B5836" w:rsidRPr="00E11D46" w:rsidRDefault="008B5836" w:rsidP="00EA540F">
            <w:pPr>
              <w:jc w:val="both"/>
              <w:rPr>
                <w:sz w:val="18"/>
                <w:szCs w:val="18"/>
              </w:rPr>
            </w:pPr>
            <w:r w:rsidRPr="00E11D46">
              <w:rPr>
                <w:sz w:val="18"/>
                <w:szCs w:val="18"/>
              </w:rPr>
              <w:t>When paired with bioinformatic germline-filtering and background noise-removal, tumour samples can be sequenced like subject-matched normal DNA.</w:t>
            </w:r>
          </w:p>
        </w:tc>
        <w:tc>
          <w:tcPr>
            <w:tcW w:w="3118" w:type="dxa"/>
          </w:tcPr>
          <w:p w14:paraId="149102F6" w14:textId="77777777" w:rsidR="008B5836" w:rsidRPr="00E11D46" w:rsidRDefault="008B5836" w:rsidP="00EA540F">
            <w:pPr>
              <w:jc w:val="both"/>
              <w:rPr>
                <w:sz w:val="18"/>
                <w:szCs w:val="18"/>
              </w:rPr>
            </w:pPr>
            <w:r w:rsidRPr="00E11D46">
              <w:rPr>
                <w:sz w:val="18"/>
                <w:szCs w:val="18"/>
              </w:rPr>
              <w:t>N/A</w:t>
            </w:r>
          </w:p>
        </w:tc>
        <w:tc>
          <w:tcPr>
            <w:tcW w:w="662" w:type="dxa"/>
          </w:tcPr>
          <w:p w14:paraId="1A2B5E2D" w14:textId="77777777"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{"citationID":"9bB2Sfkr","properties":{"formattedCitation":"(6)","plainCitation":"(6)","noteIndex":0},"citationItems":[{"id":1056,"uris":["http://zotero.org/groups/4968145/items/EA36RGCI"],"itemData":{"id":1056,"type":"article-journal","abstract":"Introduction: Recently, it has been shown by various studies that tumor mutation burden (TMB) can correlate with a cancer patient's responsiveness to checkpoint inhibitor immunotherapy. These findings have stimulated a widespread interest in the development of cost-effective assays that accurately measure TMB. Here we assess whether TMB measured through next-generation sequencing (NGS) of a 2-megabase 500-gene panel correlates with that determined through whole exome sequencing (WES). We further investigate whether sequencing tumor samples alone combined with a germline filtering and background noise removal algorithm can measure TMB accurately compared with sequencing of tumor-normal pairs.Experimental Method: WES data of tumor and subject-matched normal DNA were either downloaded from The Cancer Genome Atlas (TCGA) or generated in-house. A 500-gene targeted DNA sequencing panel, which includes various cancer-relevant genes and covers two megabases, was also developed in-house. TMB was calculated as mutations (single nucleotide variants, insertions, and deletions) per megabase.Data Summary: Using downloaded TCGA data from 2,385 subjects across colon, lung and melanoma cancer types, TMB was measured using tumor-normal WES or the in-silico-filtered tumor-only 500-gene panel and the two approaches correlated linearly (R2 = 0.96). Furthermore, we demonstrated that the targeted panel achieved &amp;gt;90% sensitivity and &amp;gt;85% specificity when classifying TMB-high and low tumor samples at the cutoff of 15 compared to the same TCGA data. TMB as determined from tumor-only WES was also analyzed using computational germline-filtering and background noise-removal to demonstrate excellent concordance with WES of tumor-normal pairs. To further validate these findings, by analyzing WES data and 500-gene panel targeted NGS data of &amp;gt;45 subjects generated in house. Through interrogating the 500-gene NGS data, we found that TMB determined using tumor-only sequencing was also similar from that ascertained through tumor-normal pairs. Of interest, further analysis showed that TMB determined from the 500-gene panel data using tumor-only sequencing along with germline filtering and background noise removing was comparable to that calculated from WES of tumor-normal pairs.Conclusion: Collectively, our data demonstrates that TMB determined from NGS of a two megabase DNA region utilizing a 500 gene panel correlates strongly with TMB measured through WES, with a sensitivity of &amp;gt;90% and a specificity of &amp;gt;85%. In addition, sequencing tumor samples alone combined with bioinformatic germline-filtering and background noise-removal was similar to sequencing subject-matched normal DNA. These findings support the use of a 500 gene panel for accurate measurement of TMB while the addition of bioinformatics enables tumor-only sequencing.Citation Format: Alex Steven So, Shannon Kaplan, Chen Zhao, Shile Zhang, Li Liu, Phillip Le, Raakhee Vijayaraghavan, Tingting Jiang, Sven Bilke, Traci Pawlowski, Karen Gutekunst. Accurate measurement of tumor mutation burden through tumor-only sequencing using a 500-gene panel [abstract]. In: Proceedings of the American Association for Cancer Research Annual Meeting 2018; 2018 Apr 14-18; Chicago, IL. Philadelphia (PA): AACR; Cancer Res 2018;78(13 Suppl):Abstract nr 435.","container-title":"Cancer Research","DOI":"10.1158/1538-7445.AM2018-435","ISSN":"0008-5472","issue":"13_Supplement","journalAbbreviation":"Cancer Research","page":"435","source":"Silverchair","title":"Abstract 435: Accurate measurement of tumor mutation burden through tumor-only sequencing using a 500-gene panel","title-short":"Abstract 435","volume":"78","author":[{"family":"So","given":"Alex Steven"},{"family":"Kaplan","given":"Shannon"},{"family":"Zhao","given":"Chen"},{"family":"Zhang","given":"Shile"},{"family":"Liu","given":"Li"},{"family":"Le","given":"Phillip"},{"family":"Vijayaraghavan","given":"Raakhee"},{"family":"Jiang","given":"Tingting"},{"family":"Bilke","given":"Sven"},{"family":"Pawlowski","given":"Traci"},{"family":"Gutekunst","given":"Karen"}],"issued":{"date-parts":[["2018",7,1]]}}}],"schema":"https://github.com/citation-style-language/schema/raw/master/csl-citation.json"} </w:instrText>
            </w:r>
            <w:r w:rsidRPr="00E11D46">
              <w:rPr>
                <w:sz w:val="18"/>
                <w:szCs w:val="18"/>
              </w:rPr>
              <w:fldChar w:fldCharType="separate"/>
            </w:r>
            <w:r w:rsidRPr="00E11D46">
              <w:rPr>
                <w:sz w:val="18"/>
              </w:rPr>
              <w:t>(17)</w:t>
            </w:r>
            <w:r w:rsidRPr="00E11D46">
              <w:rPr>
                <w:sz w:val="18"/>
                <w:szCs w:val="18"/>
              </w:rPr>
              <w:fldChar w:fldCharType="end"/>
            </w:r>
          </w:p>
        </w:tc>
      </w:tr>
      <w:tr w:rsidR="008B5836" w:rsidRPr="00E11D46" w14:paraId="0B765D55" w14:textId="77777777" w:rsidTr="00EA540F">
        <w:tc>
          <w:tcPr>
            <w:tcW w:w="489" w:type="dxa"/>
          </w:tcPr>
          <w:p w14:paraId="3E83F28B" w14:textId="77777777" w:rsidR="008B5836" w:rsidRPr="00E11D46" w:rsidRDefault="008B5836" w:rsidP="00EA540F">
            <w:pPr>
              <w:jc w:val="both"/>
              <w:rPr>
                <w:sz w:val="18"/>
                <w:szCs w:val="18"/>
              </w:rPr>
            </w:pPr>
            <w:r w:rsidRPr="00E11D46">
              <w:rPr>
                <w:sz w:val="18"/>
                <w:szCs w:val="18"/>
              </w:rPr>
              <w:t>8.</w:t>
            </w:r>
          </w:p>
        </w:tc>
        <w:tc>
          <w:tcPr>
            <w:tcW w:w="1974" w:type="dxa"/>
          </w:tcPr>
          <w:p w14:paraId="66FC8CCB" w14:textId="77777777" w:rsidR="008B5836" w:rsidRPr="00E11D46" w:rsidRDefault="008B5836" w:rsidP="00EA540F">
            <w:pPr>
              <w:jc w:val="both"/>
              <w:rPr>
                <w:sz w:val="18"/>
                <w:szCs w:val="18"/>
              </w:rPr>
            </w:pPr>
            <w:r w:rsidRPr="00E11D46">
              <w:rPr>
                <w:sz w:val="18"/>
                <w:szCs w:val="18"/>
              </w:rPr>
              <w:t>Capture-based targeted sequencing method to measure TMB</w:t>
            </w:r>
          </w:p>
        </w:tc>
        <w:tc>
          <w:tcPr>
            <w:tcW w:w="3306" w:type="dxa"/>
          </w:tcPr>
          <w:p w14:paraId="01B240D6" w14:textId="77777777" w:rsidR="008B5836" w:rsidRPr="00E11D46" w:rsidRDefault="008B5836" w:rsidP="00EA540F">
            <w:pPr>
              <w:jc w:val="both"/>
              <w:rPr>
                <w:sz w:val="18"/>
                <w:szCs w:val="18"/>
              </w:rPr>
            </w:pPr>
            <w:r w:rsidRPr="00E11D46">
              <w:rPr>
                <w:sz w:val="18"/>
                <w:szCs w:val="18"/>
              </w:rPr>
              <w:t>The study used pleural effusion tissues from NSCLC patients to test three panels' effectiveness in determining TMB. All five panels evaluated showed strong correlations with TMB from WES, with values ranging from 0.68 to 0.81. The study concluded that all panels can be used for TMB evaluation based on PE samples.</w:t>
            </w:r>
          </w:p>
        </w:tc>
        <w:tc>
          <w:tcPr>
            <w:tcW w:w="2312" w:type="dxa"/>
          </w:tcPr>
          <w:p w14:paraId="2E6DF33D" w14:textId="77777777" w:rsidR="008B5836" w:rsidRPr="00E11D46" w:rsidRDefault="008B5836" w:rsidP="00EA540F">
            <w:pPr>
              <w:jc w:val="both"/>
              <w:rPr>
                <w:sz w:val="18"/>
                <w:szCs w:val="18"/>
              </w:rPr>
            </w:pPr>
            <w:r w:rsidRPr="00E11D46">
              <w:rPr>
                <w:sz w:val="18"/>
                <w:szCs w:val="18"/>
              </w:rPr>
              <w:t>Capture-based targeted sequencing offers advantages for measuring tumor mutation burden (TMB), presenting a practical alternative to whole-exome sequencing (WES) with its benefits of reduced sample quantities, cost, and data management complexity. Employing this method on pleural effusion (PE) samples, this study successfully correlated TMB values with WES results, highlighting PE's potential as an alternative TMB evaluation medium. Standardizing TMB estimation through capture-based targeted sequencing establishes a foundation for future protocols and TMB's integration into clinical practice.</w:t>
            </w:r>
          </w:p>
        </w:tc>
        <w:tc>
          <w:tcPr>
            <w:tcW w:w="3118" w:type="dxa"/>
          </w:tcPr>
          <w:p w14:paraId="4B19260E" w14:textId="77777777" w:rsidR="008B5836" w:rsidRPr="00E11D46" w:rsidRDefault="008B5836" w:rsidP="00EA540F">
            <w:pPr>
              <w:jc w:val="both"/>
              <w:rPr>
                <w:sz w:val="18"/>
                <w:szCs w:val="18"/>
              </w:rPr>
            </w:pPr>
            <w:r w:rsidRPr="00E11D46">
              <w:rPr>
                <w:sz w:val="18"/>
                <w:szCs w:val="18"/>
              </w:rPr>
              <w:t>Inconsistencies in TMB estimation can occur due to inter-panel and inter-laboratory variations. TMB estimation using capture-based targeted sequencing is more consistent than detection of fusion events and copy number changes. Underestimation of TMB can happen due to variations in panel size and targeted genes. Deviation from TMB estimation can be caused by several factors. Further research is needed to understand the utility of pleural effusion as a sample for TMB evaluation.</w:t>
            </w:r>
          </w:p>
        </w:tc>
        <w:tc>
          <w:tcPr>
            <w:tcW w:w="662" w:type="dxa"/>
          </w:tcPr>
          <w:p w14:paraId="1ED5CF17" w14:textId="6587AE93"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{"citationID":"GZY9eS85","properties":{"formattedCitation":"(8)","plainCitation":"(8)","noteIndex":0},"citationItems":[{"id":1026,"uris":["http://zotero.org/groups/4968145/items/FJTNUB32"],"itemData":{"id":1026,"type":"article-journal","abstract":"Standardization of pleural effusion-based tumor mutation burden (TMB) estimation using capture-based targeted sequencing","container-title":"Annals of Translational Medicine","DOI":"10.21037/atm-20-7702","ISSN":"2305-5847, 2305-5839","issue":"2","language":"en","note":"number: 2\npublisher: AME Publishing Company","page":"140-140","source":"atm.amegroups.org","title":"Standardization of pleural effusion-based tumor mutation burden (TMB) estimation using capture-based targeted sequencing","volume":"9","author":[{"family":"Yu","given":"Yongfeng"},{"family":"Shen","given":"Lan"},{"family":"Ji","given":"Wenxiang"},{"family":"Lu","given":"Shun"}],"issued":{"date-parts":[["2021",1]]}}}],"schema":"https://github.com/citation-style-language/schema/raw/master/csl-citation.json"} </w:instrText>
            </w:r>
            <w:r w:rsidRPr="00E11D46">
              <w:rPr>
                <w:sz w:val="18"/>
                <w:szCs w:val="18"/>
              </w:rPr>
              <w:fldChar w:fldCharType="separate"/>
            </w:r>
            <w:r w:rsidRPr="00E11D46">
              <w:rPr>
                <w:sz w:val="18"/>
              </w:rPr>
              <w:t>(1</w:t>
            </w:r>
            <w:r w:rsidR="001A5E86">
              <w:rPr>
                <w:sz w:val="18"/>
              </w:rPr>
              <w:t>8</w:t>
            </w:r>
            <w:r w:rsidRPr="00E11D46">
              <w:rPr>
                <w:sz w:val="18"/>
              </w:rPr>
              <w:t>)</w:t>
            </w:r>
            <w:r w:rsidRPr="00E11D46">
              <w:rPr>
                <w:sz w:val="18"/>
                <w:szCs w:val="18"/>
              </w:rPr>
              <w:fldChar w:fldCharType="end"/>
            </w:r>
          </w:p>
        </w:tc>
      </w:tr>
      <w:tr w:rsidR="008B5836" w:rsidRPr="00E11D46" w14:paraId="5D822327" w14:textId="77777777" w:rsidTr="00EA540F">
        <w:tc>
          <w:tcPr>
            <w:tcW w:w="489" w:type="dxa"/>
          </w:tcPr>
          <w:p w14:paraId="56E72D4A" w14:textId="77777777" w:rsidR="008B5836" w:rsidRPr="00E11D46" w:rsidRDefault="008B5836" w:rsidP="00EA540F">
            <w:pPr>
              <w:jc w:val="both"/>
              <w:rPr>
                <w:sz w:val="18"/>
                <w:szCs w:val="18"/>
              </w:rPr>
            </w:pPr>
            <w:r w:rsidRPr="00E11D46">
              <w:rPr>
                <w:sz w:val="18"/>
                <w:szCs w:val="18"/>
              </w:rPr>
              <w:t>9.</w:t>
            </w:r>
          </w:p>
        </w:tc>
        <w:tc>
          <w:tcPr>
            <w:tcW w:w="1974" w:type="dxa"/>
          </w:tcPr>
          <w:p w14:paraId="7DC15E8C" w14:textId="77777777" w:rsidR="008B5836" w:rsidRPr="00E11D46" w:rsidRDefault="008B5836" w:rsidP="00EA540F">
            <w:pPr>
              <w:jc w:val="both"/>
              <w:rPr>
                <w:sz w:val="18"/>
                <w:szCs w:val="18"/>
              </w:rPr>
            </w:pPr>
            <w:r w:rsidRPr="00E11D46">
              <w:rPr>
                <w:sz w:val="18"/>
                <w:szCs w:val="18"/>
              </w:rPr>
              <w:t>THetA2 method to measure TMB</w:t>
            </w:r>
          </w:p>
        </w:tc>
        <w:tc>
          <w:tcPr>
            <w:tcW w:w="3306" w:type="dxa"/>
          </w:tcPr>
          <w:p w14:paraId="7E552BEC" w14:textId="77777777" w:rsidR="008B5836" w:rsidRPr="00E11D46" w:rsidRDefault="008B5836" w:rsidP="00EA540F">
            <w:pPr>
              <w:jc w:val="both"/>
              <w:rPr>
                <w:sz w:val="18"/>
                <w:szCs w:val="18"/>
              </w:rPr>
            </w:pPr>
            <w:r w:rsidRPr="00E11D46">
              <w:rPr>
                <w:sz w:val="18"/>
                <w:szCs w:val="18"/>
              </w:rPr>
              <w:t>The THetA2 program utilizes a probabilistic model to deduce tumor composition from high-throughput DNA sequencing data. It gauges the percentage of normal cells, tumor subpopulations, and sample purity by analyzing copy number aberrations and B-allele frequencies. The system can also detect subclonal copy number aberrations and identify subclonal populations and severely altered genomes.</w:t>
            </w:r>
          </w:p>
        </w:tc>
        <w:tc>
          <w:tcPr>
            <w:tcW w:w="2312" w:type="dxa"/>
          </w:tcPr>
          <w:p w14:paraId="248301BC" w14:textId="77777777" w:rsidR="008B5836" w:rsidRPr="00E11D46" w:rsidRDefault="008B5836" w:rsidP="00EA540F">
            <w:pPr>
              <w:jc w:val="both"/>
              <w:rPr>
                <w:sz w:val="18"/>
                <w:szCs w:val="18"/>
              </w:rPr>
            </w:pPr>
            <w:r w:rsidRPr="00E11D46">
              <w:rPr>
                <w:sz w:val="18"/>
                <w:szCs w:val="18"/>
              </w:rPr>
              <w:t>THetA2 is a superior algorithm for analyzing rearranged genomes with copy number aberrations in tumor subpopulations. It uses various data types and is faster than the previous version. THetA2 can identify subclonal populations in highly rearranged samples and provide accurate estimates of tumor purity and subpopulations from WGS and WXS sequencing data.</w:t>
            </w:r>
          </w:p>
        </w:tc>
        <w:tc>
          <w:tcPr>
            <w:tcW w:w="3118" w:type="dxa"/>
          </w:tcPr>
          <w:p w14:paraId="50E64CA8" w14:textId="77777777" w:rsidR="008B5836" w:rsidRPr="00E11D46" w:rsidRDefault="008B5836" w:rsidP="00EA540F">
            <w:pPr>
              <w:jc w:val="both"/>
              <w:rPr>
                <w:sz w:val="18"/>
                <w:szCs w:val="18"/>
              </w:rPr>
            </w:pPr>
            <w:r w:rsidRPr="00E11D46">
              <w:rPr>
                <w:sz w:val="18"/>
                <w:szCs w:val="18"/>
              </w:rPr>
              <w:t>There are no THetA2 algorithm constraints. However, like any computational method, it may have limits in specific situations or data types. Always carefully analyse analysis results and consider potential errors or biases.</w:t>
            </w:r>
          </w:p>
        </w:tc>
        <w:tc>
          <w:tcPr>
            <w:tcW w:w="662" w:type="dxa"/>
          </w:tcPr>
          <w:p w14:paraId="2E17AE30" w14:textId="793879D2"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{"citationID":"eCdGgneH","properties":{"formattedCitation":"(9)","plainCitation":"(9)","noteIndex":0},"citationItems":[{"id":1053,"uris":["http://zotero.org/groups/4968145/items/YUPWGR4X"],"itemData":{"id":1053,"type":"article-journal","abstract":"MOTIVATION: Most tumor samples are a heterogeneous mixture of cells, including admixture by normal (non-cancerous) cells and subpopulations of cancerous cells with different complements of somatic aberrations. This intra-tumor heterogeneity complicates the analysis of somatic aberrations in DNA sequencing data from tumor samples.\nRESULTS: We describe an algorithm called THetA2 that infers the composition of a tumor sample-including not only tumor purity but also the number and content of tumor subpopulations-directly from both whole-genome (WGS) and whole-exome (WXS) high-throughput DNA sequencing data. This algorithm builds on our earlier Tumor Heterogeneity Analysis (THetA) algorithm in several important directions. These include improved ability to analyze highly rearranged genomes using a variety of data types: both WGS sequencing (including low </w:instrText>
            </w:r>
            <w:r w:rsidRPr="00E11D46">
              <w:rPr>
                <w:rFonts w:ascii="Cambria Math" w:hAnsi="Cambria Math" w:cs="Cambria Math"/>
                <w:sz w:val="18"/>
                <w:szCs w:val="18"/>
              </w:rPr>
              <w:instrText>∼</w:instrText>
            </w:r>
            <w:r w:rsidRPr="00E11D46">
              <w:rPr>
                <w:sz w:val="18"/>
                <w:szCs w:val="18"/>
              </w:rPr>
              <w:instrText xml:space="preserve">7× coverage) and WXS sequencing. We apply our improved THetA2 algorithm to WGS (including low-pass) and WXS sequence data from 18 samples from The Cancer Genome Atlas (TCGA). We find that the improved algorithm is substantially faster and identifies numerous tumor samples containing subclonal populations in the TCGA data, including in one highly rearranged sample for which other tumor purity estimation algorithms were unable to estimate tumor purity.","container-title":"Bioinformatics (Oxford, England)","DOI":"10.1093/bioinformatics/btu651","ISSN":"1367-4811","issue":"24","journalAbbreviation":"Bioinformatics","language":"eng","note":"PMID: 25297070\nPMCID: PMC4253833","page":"3532-3540","source":"PubMed","title":"Quantifying tumor heterogeneity in whole-genome and whole-exome sequencing data","volume":"30","author":[{"family":"Oesper","given":"Layla"},{"family":"Satas","given":"Gryte"},{"family":"Raphael","given":"Benjamin J."}],"issued":{"date-parts":[["2014",12,15]]}}}],"schema":"https://github.com/citation-style-language/schema/raw/master/csl-citation.json"} </w:instrText>
            </w:r>
            <w:r w:rsidRPr="00E11D46">
              <w:rPr>
                <w:sz w:val="18"/>
                <w:szCs w:val="18"/>
              </w:rPr>
              <w:fldChar w:fldCharType="separate"/>
            </w:r>
            <w:r w:rsidRPr="00E11D46">
              <w:rPr>
                <w:sz w:val="18"/>
              </w:rPr>
              <w:t>(</w:t>
            </w:r>
            <w:r w:rsidR="001A5E86">
              <w:rPr>
                <w:sz w:val="18"/>
              </w:rPr>
              <w:t>19</w:t>
            </w:r>
            <w:r w:rsidRPr="00E11D46">
              <w:rPr>
                <w:sz w:val="18"/>
              </w:rPr>
              <w:t>)</w:t>
            </w:r>
            <w:r w:rsidRPr="00E11D46">
              <w:rPr>
                <w:sz w:val="18"/>
                <w:szCs w:val="18"/>
              </w:rPr>
              <w:fldChar w:fldCharType="end"/>
            </w:r>
          </w:p>
        </w:tc>
      </w:tr>
      <w:tr w:rsidR="008B5836" w:rsidRPr="00E11D46" w14:paraId="5BA6E624" w14:textId="77777777" w:rsidTr="00EA540F">
        <w:tc>
          <w:tcPr>
            <w:tcW w:w="489" w:type="dxa"/>
          </w:tcPr>
          <w:p w14:paraId="648B8674" w14:textId="77777777" w:rsidR="008B5836" w:rsidRPr="00E11D46" w:rsidRDefault="008B5836" w:rsidP="00EA540F">
            <w:pPr>
              <w:jc w:val="both"/>
              <w:rPr>
                <w:sz w:val="18"/>
                <w:szCs w:val="18"/>
              </w:rPr>
            </w:pPr>
            <w:r w:rsidRPr="00E11D46">
              <w:rPr>
                <w:sz w:val="18"/>
                <w:szCs w:val="18"/>
              </w:rPr>
              <w:t>10.</w:t>
            </w:r>
          </w:p>
        </w:tc>
        <w:tc>
          <w:tcPr>
            <w:tcW w:w="1974" w:type="dxa"/>
          </w:tcPr>
          <w:p w14:paraId="57B1F092" w14:textId="77777777" w:rsidR="008B5836" w:rsidRPr="00E11D46" w:rsidRDefault="008B5836" w:rsidP="00EA540F">
            <w:pPr>
              <w:jc w:val="both"/>
              <w:rPr>
                <w:sz w:val="18"/>
                <w:szCs w:val="18"/>
              </w:rPr>
            </w:pPr>
            <w:r w:rsidRPr="00E11D46">
              <w:rPr>
                <w:sz w:val="18"/>
                <w:szCs w:val="18"/>
              </w:rPr>
              <w:t>Germline substruction method to measure TMB</w:t>
            </w:r>
          </w:p>
        </w:tc>
        <w:tc>
          <w:tcPr>
            <w:tcW w:w="3306" w:type="dxa"/>
          </w:tcPr>
          <w:p w14:paraId="60670879" w14:textId="77777777" w:rsidR="008B5836" w:rsidRPr="00E11D46" w:rsidRDefault="008B5836" w:rsidP="00EA540F">
            <w:pPr>
              <w:jc w:val="both"/>
              <w:rPr>
                <w:sz w:val="18"/>
                <w:szCs w:val="18"/>
              </w:rPr>
            </w:pPr>
            <w:r w:rsidRPr="00E11D46">
              <w:rPr>
                <w:sz w:val="18"/>
                <w:szCs w:val="18"/>
              </w:rPr>
              <w:t>To quantify TMB by germline subtraction, sequence both tumor and normal (germline) samples and subtract the germline variations from the tumor variants to get somatic mutations.  Somatic mutations are used to determine TMB, the number of mutations per genome megabase. This is the most accurate somatic mutation determination and TMB calculation approach.</w:t>
            </w:r>
          </w:p>
        </w:tc>
        <w:tc>
          <w:tcPr>
            <w:tcW w:w="2312" w:type="dxa"/>
          </w:tcPr>
          <w:p w14:paraId="6BBCF853" w14:textId="77777777" w:rsidR="008B5836" w:rsidRPr="00E11D46" w:rsidRDefault="008B5836" w:rsidP="00EA540F">
            <w:pPr>
              <w:jc w:val="both"/>
              <w:rPr>
                <w:sz w:val="18"/>
                <w:szCs w:val="18"/>
              </w:rPr>
            </w:pPr>
            <w:r w:rsidRPr="00E11D46">
              <w:rPr>
                <w:sz w:val="18"/>
                <w:szCs w:val="18"/>
              </w:rPr>
              <w:t>The Germline subtraction technique measures TMB with high accuracy by excluding germline variants. It focuses on tumor-specific mutations to provide a precise estimation of somatic alterations. The method prevents sampling bias and avoids inaccurate categorization of tumors. It is particularly useful for paired tumor-normal samples to enable direct comparison and reliable measurement. Germline subtraction standardizes TMB calculation, ensuring consistency in assessment across tumor types and platforms.</w:t>
            </w:r>
          </w:p>
        </w:tc>
        <w:tc>
          <w:tcPr>
            <w:tcW w:w="3118" w:type="dxa"/>
          </w:tcPr>
          <w:p w14:paraId="4B8F7758" w14:textId="77777777" w:rsidR="008B5836" w:rsidRPr="00E11D46" w:rsidRDefault="008B5836" w:rsidP="00EA540F">
            <w:pPr>
              <w:jc w:val="both"/>
              <w:rPr>
                <w:sz w:val="18"/>
                <w:szCs w:val="18"/>
              </w:rPr>
            </w:pPr>
            <w:r w:rsidRPr="00E11D46">
              <w:rPr>
                <w:sz w:val="18"/>
                <w:szCs w:val="18"/>
              </w:rPr>
              <w:t>Germline variant discovery requires sequencing a normal (germline) sample, which raises testing costs. The study's sample size was small; thus, filtering approaches may have stronger connections with some tumor types. The study did not account for tumor purity, which may be linked to TMB. The study concludes that multiple sequencing methods may be needed to accurately determine TMB.</w:t>
            </w:r>
          </w:p>
        </w:tc>
        <w:tc>
          <w:tcPr>
            <w:tcW w:w="662" w:type="dxa"/>
          </w:tcPr>
          <w:p w14:paraId="59E25A16" w14:textId="32CE812D" w:rsidR="008B5836" w:rsidRPr="00E11D46" w:rsidRDefault="008B5836" w:rsidP="00EA540F">
            <w:pPr>
              <w:jc w:val="both"/>
              <w:rPr>
                <w:sz w:val="18"/>
                <w:szCs w:val="18"/>
              </w:rPr>
            </w:pPr>
            <w:r w:rsidRPr="00E11D46">
              <w:rPr>
                <w:sz w:val="18"/>
                <w:szCs w:val="18"/>
              </w:rPr>
              <w:fldChar w:fldCharType="begin"/>
            </w:r>
            <w:r w:rsidRPr="00E11D46">
              <w:rPr>
                <w:sz w:val="18"/>
                <w:szCs w:val="18"/>
              </w:rPr>
              <w:instrText xml:space="preserve"> ADDIN ZOTERO_ITEM CSL_CITATION {"citationID":"axqUspZP","properties":{"formattedCitation":"(10)","plainCitation":"(10)","noteIndex":0},"citationItems":[{"id":1019,"uris":["http://zotero.org/groups/4968145/items/3RSICQZI"],"itemData":{"id":1019,"type":"article-journal","abstract":"IMPORTANCE: Tumor mutation burden (TMB) is an emerging factor associated with survival with immunotherapy. When tumor-normal pairs are available, TMB is determined by calculating the difference between somatic and germline sequences. In the case of commonly used tumor-only sequencing, additional steps are needed to estimate the somatic alterations. Computational tools have been developed to determine germline contribution based on sample copy state, purity estimates, and occurrence of the variant in population databases; however, there is potential for sampling bias in population data sets.\nOBJECTIVE: To investigate whether tumor-only filtering approaches overestimate TMB.\nDESIGN, SETTING, AND PARTICIPANTS: This was a retrospective cohort study of 50 tumor samples from 10 different tumor types. A 595-gene panel test was used to assess TMB by adding all missense, indels, and frameshift variants with an allelic fraction of at least 5% and coverage of at least 100×</w:instrText>
            </w:r>
            <w:r w:rsidRPr="00E11D46">
              <w:rPr>
                <w:rFonts w:ascii="Arial" w:hAnsi="Arial" w:cs="Arial"/>
                <w:sz w:val="18"/>
                <w:szCs w:val="18"/>
              </w:rPr>
              <w:instrText> </w:instrText>
            </w:r>
            <w:r w:rsidRPr="00E11D46">
              <w:rPr>
                <w:sz w:val="18"/>
                <w:szCs w:val="18"/>
              </w:rPr>
              <w:instrText>within each tumor. Tumor-only TMB was evaluated against the criterion standard of matched germline-subtracted TMB at 3 levels. Level 1 removed all the tumor-only variants with allelic fraction of at least 1% in the Exome Aggregation Consortium database (with the Cancer Genome Atlas cohort removed). Level 2 removed all variants observed in population databases, simulating a naive approach of removing germline variation. Level 3 used an internal tumor-only pipeline for calculating TMB. These specimens were processed with a commercially available panel, and results were analyzed at the Mayo Clinic. Data were analyzed between December 1, 2018, and May 28, 2019.\nMAIN OUTCOMES AND MEASURES: Tumor mutation burden per megabase (Mb) as determined by 3 levels of filtering and germline subtraction.\nRESULTS: There were significantly higher estimates of TMB with level 1 (median [range] mutations per Mb, 28.8 [17.5-67.1]), level 2 (median [range] mutations per Mb, 20.8 [10.4-30.8]), and level 3 (median [range] mutations per Mb, 3.8 [0.8-12.1]) tumor-only filtering approaches than those determined by germline subtraction (median [range] mutations per Mb, 1.7 [0.4-9.2]). There were no strong associations between TMB estimates and tumor-germline TMB for level 1 filtering (r</w:instrText>
            </w:r>
            <w:r w:rsidRPr="00E11D46">
              <w:rPr>
                <w:rFonts w:ascii="Arial" w:hAnsi="Arial" w:cs="Arial"/>
                <w:sz w:val="18"/>
                <w:szCs w:val="18"/>
              </w:rPr>
              <w:instrText> </w:instrText>
            </w:r>
            <w:r w:rsidRPr="00E11D46">
              <w:rPr>
                <w:sz w:val="18"/>
                <w:szCs w:val="18"/>
              </w:rPr>
              <w:instrText>=</w:instrText>
            </w:r>
            <w:r w:rsidRPr="00E11D46">
              <w:rPr>
                <w:rFonts w:ascii="Arial" w:hAnsi="Arial" w:cs="Arial"/>
                <w:sz w:val="18"/>
                <w:szCs w:val="18"/>
              </w:rPr>
              <w:instrText> </w:instrText>
            </w:r>
            <w:r w:rsidRPr="00E11D46">
              <w:rPr>
                <w:sz w:val="18"/>
                <w:szCs w:val="18"/>
              </w:rPr>
              <w:instrText>0.008; 95% CI, -0.004 to 0.020), level 2 filtering (r</w:instrText>
            </w:r>
            <w:r w:rsidRPr="00E11D46">
              <w:rPr>
                <w:rFonts w:ascii="Arial" w:hAnsi="Arial" w:cs="Arial"/>
                <w:sz w:val="18"/>
                <w:szCs w:val="18"/>
              </w:rPr>
              <w:instrText> </w:instrText>
            </w:r>
            <w:r w:rsidRPr="00E11D46">
              <w:rPr>
                <w:sz w:val="18"/>
                <w:szCs w:val="18"/>
              </w:rPr>
              <w:instrText>=</w:instrText>
            </w:r>
            <w:r w:rsidRPr="00E11D46">
              <w:rPr>
                <w:rFonts w:ascii="Arial" w:hAnsi="Arial" w:cs="Arial"/>
                <w:sz w:val="18"/>
                <w:szCs w:val="18"/>
              </w:rPr>
              <w:instrText> </w:instrText>
            </w:r>
            <w:r w:rsidRPr="00E11D46">
              <w:rPr>
                <w:sz w:val="18"/>
                <w:szCs w:val="18"/>
              </w:rPr>
              <w:instrText>0.018; 95% CI, 0.003 to 0.033), or level 3 filtering (r</w:instrText>
            </w:r>
            <w:r w:rsidRPr="00E11D46">
              <w:rPr>
                <w:rFonts w:ascii="Arial" w:hAnsi="Arial" w:cs="Arial"/>
                <w:sz w:val="18"/>
                <w:szCs w:val="18"/>
              </w:rPr>
              <w:instrText> </w:instrText>
            </w:r>
            <w:r w:rsidRPr="00E11D46">
              <w:rPr>
                <w:sz w:val="18"/>
                <w:szCs w:val="18"/>
              </w:rPr>
              <w:instrText>=</w:instrText>
            </w:r>
            <w:r w:rsidRPr="00E11D46">
              <w:rPr>
                <w:rFonts w:ascii="Arial" w:hAnsi="Arial" w:cs="Arial"/>
                <w:sz w:val="18"/>
                <w:szCs w:val="18"/>
              </w:rPr>
              <w:instrText> </w:instrText>
            </w:r>
            <w:r w:rsidRPr="00E11D46">
              <w:rPr>
                <w:sz w:val="18"/>
                <w:szCs w:val="18"/>
              </w:rPr>
              <w:instrText xml:space="preserve">0.54; 95% CI, 0.36 to 0.68).\nCONCLUSIONS AND RELEVANCE: The findings of this study indicate that tumor-only approaches that filter variants in population databases can overestimate TMB compared with germline subtraction methods. Despite improved association with more stringent filtering approaches, these falsely elevated estimates may result in the inappropriate categorization of tumor specimens and negatively affect clinical trial results and patient outcomes.","container-title":"JAMA network open","DOI":"10.1001/jamanetworkopen.2020.0202","ISSN":"2574-3805","issue":"2","journalAbbreviation":"JAMA Netw Open","language":"eng","note":"PMID: 32108894\nPMCID: PMC7049088","page":"e200202","source":"PubMed","title":"Tumor Mutational Burden From Tumor-Only Sequencing Compared With Germline Subtraction From Paired Tumor and Normal Specimens","volume":"3","author":[{"family":"Parikh","given":"Kaushal"},{"family":"Huether","given":"Robert"},{"family":"White","given":"Kevin"},{"family":"Hoskinson","given":"Derick"},{"family":"Beaubier","given":"Nike"},{"family":"Dong","given":"Haidong"},{"family":"Adjei","given":"Alex A."},{"family":"Mansfield","given":"Aaron S."}],"issued":{"date-parts":[["2020",2,5]]}}}],"schema":"https://github.com/citation-style-language/schema/raw/master/csl-citation.json"} </w:instrText>
            </w:r>
            <w:r w:rsidRPr="00E11D46">
              <w:rPr>
                <w:sz w:val="18"/>
                <w:szCs w:val="18"/>
              </w:rPr>
              <w:fldChar w:fldCharType="separate"/>
            </w:r>
            <w:r w:rsidRPr="00E11D46">
              <w:rPr>
                <w:sz w:val="18"/>
              </w:rPr>
              <w:t>(</w:t>
            </w:r>
            <w:r w:rsidR="001A5E86">
              <w:rPr>
                <w:sz w:val="18"/>
              </w:rPr>
              <w:t>20</w:t>
            </w:r>
            <w:r w:rsidRPr="00E11D46">
              <w:rPr>
                <w:sz w:val="18"/>
              </w:rPr>
              <w:t>)</w:t>
            </w:r>
            <w:r w:rsidRPr="00E11D46">
              <w:rPr>
                <w:sz w:val="18"/>
                <w:szCs w:val="18"/>
              </w:rPr>
              <w:fldChar w:fldCharType="end"/>
            </w:r>
          </w:p>
        </w:tc>
      </w:tr>
    </w:tbl>
    <w:p w14:paraId="2CD7DF5A" w14:textId="77777777" w:rsidR="008B5836" w:rsidRPr="00E11D46" w:rsidRDefault="008B5836" w:rsidP="008B5836"/>
    <w:p w14:paraId="70A0453A" w14:textId="77777777" w:rsidR="008B5836" w:rsidRPr="00E11D46" w:rsidRDefault="008B5836" w:rsidP="008B5836">
      <w:r w:rsidRPr="00E11D46">
        <w:t>References:</w:t>
      </w:r>
    </w:p>
    <w:p w14:paraId="4F8CB17D" w14:textId="77777777" w:rsidR="008B5836" w:rsidRPr="00E11D46" w:rsidRDefault="008B5836" w:rsidP="008B5836">
      <w:r w:rsidRPr="00E11D46">
        <w:t>1.</w:t>
      </w:r>
      <w:r w:rsidRPr="00E11D46">
        <w:tab/>
        <w:t xml:space="preserve">Jin J, Tao Z, Cao J, Li T, Hu X. DNA damage response inhibitors: An avenue for TNBC treatment. Biochim Biophys Acta BBA - Rev Cancer. 2021 Apr 1;1875(2):188521. </w:t>
      </w:r>
    </w:p>
    <w:p w14:paraId="6381E625" w14:textId="77777777" w:rsidR="008B5836" w:rsidRPr="00E11D46" w:rsidRDefault="008B5836" w:rsidP="008B5836">
      <w:r w:rsidRPr="00E11D46">
        <w:t>2.</w:t>
      </w:r>
      <w:r w:rsidRPr="00E11D46">
        <w:tab/>
        <w:t xml:space="preserve">O’Conor CJ, Chen T, González I, Cao D, Peng Y. Cancer stem cells in triple-negative breast cancer: a potential target and prognostic marker. Biomark Med. 2018 Jul;12(7):813–20. </w:t>
      </w:r>
    </w:p>
    <w:p w14:paraId="0966FC33" w14:textId="77777777" w:rsidR="008B5836" w:rsidRPr="00E11D46" w:rsidRDefault="008B5836" w:rsidP="008B5836">
      <w:r w:rsidRPr="00E11D46">
        <w:t>3.</w:t>
      </w:r>
      <w:r w:rsidRPr="00E11D46">
        <w:tab/>
        <w:t xml:space="preserve">Vagia E, Mahalingam D, Cristofanilli M. The Landscape of Targeted Therapies in TNBC. Cancers. 2020 Apr;12(4):916. </w:t>
      </w:r>
    </w:p>
    <w:p w14:paraId="4EE5F370" w14:textId="77777777" w:rsidR="008B5836" w:rsidRPr="00E11D46" w:rsidRDefault="008B5836" w:rsidP="008B5836">
      <w:r w:rsidRPr="00E11D46">
        <w:t>4.</w:t>
      </w:r>
      <w:r w:rsidRPr="00E11D46">
        <w:tab/>
        <w:t xml:space="preserve">Tsai CH, Weng JR, Lin HW, Lu MT, Liu YC, Chu PC. Targeting Triple Negative Breast Cancer Stem Cells by Heat Shock Protein 70 Inhibitors. Cancers. 2022 Oct 7;14(19):4898. </w:t>
      </w:r>
    </w:p>
    <w:p w14:paraId="66B8F164" w14:textId="77777777" w:rsidR="008B5836" w:rsidRPr="00E11D46" w:rsidRDefault="008B5836" w:rsidP="008B5836">
      <w:r w:rsidRPr="00E11D46">
        <w:t>5.</w:t>
      </w:r>
      <w:r w:rsidRPr="00E11D46">
        <w:tab/>
        <w:t xml:space="preserve">Sharma M, Turaga RC, Yuan Y, Satyanarayana G, Mishra F, Bian Z, et al. Simultaneously targeting cancer-associated fibroblasts and angiogenic vessel as a treatment for TNBC. J Exp Med. 2021 Apr 5;218(4):e20200712. </w:t>
      </w:r>
    </w:p>
    <w:p w14:paraId="60118422" w14:textId="77777777" w:rsidR="008B5836" w:rsidRPr="00E11D46" w:rsidRDefault="008B5836" w:rsidP="008B5836">
      <w:r w:rsidRPr="00E11D46">
        <w:t>6.</w:t>
      </w:r>
      <w:r w:rsidRPr="00E11D46">
        <w:tab/>
        <w:t xml:space="preserve">Agostinetto E, Eiger D, Punie K, de Azambuja E. Emerging Therapeutics for Patients with Triple-Negative Breast Cancer. Curr Oncol Rep. 2021 Mar 24;23(5):57. </w:t>
      </w:r>
    </w:p>
    <w:p w14:paraId="1B070164" w14:textId="77777777" w:rsidR="008B5836" w:rsidRPr="00E11D46" w:rsidRDefault="008B5836" w:rsidP="008B5836">
      <w:r w:rsidRPr="00E11D46">
        <w:t>7.</w:t>
      </w:r>
      <w:r w:rsidRPr="00E11D46">
        <w:tab/>
        <w:t xml:space="preserve">Singh DD, Parveen A, Yadav DK. Role of PARP in TNBC: Mechanism of Inhibition, Clinical Applications, and Resistance. Biomedicines. 2021 Oct 21;9(11):1512. </w:t>
      </w:r>
    </w:p>
    <w:p w14:paraId="76CD2886" w14:textId="77777777" w:rsidR="008B5836" w:rsidRPr="00E11D46" w:rsidRDefault="008B5836" w:rsidP="008B5836">
      <w:r w:rsidRPr="00E11D46">
        <w:t>8.</w:t>
      </w:r>
      <w:r w:rsidRPr="00E11D46">
        <w:tab/>
        <w:t xml:space="preserve">Kalimutho M, Parsons K, Mittal D, López JA, Srihari S, Khanna KK. Targeted Therapies for Triple-Negative Breast Cancer: Combating a Stubborn Disease. Trends Pharmacol Sci. 2015 Dec;36(12):822–46. </w:t>
      </w:r>
    </w:p>
    <w:p w14:paraId="37989CA8" w14:textId="77777777" w:rsidR="008B5836" w:rsidRPr="00E11D46" w:rsidRDefault="008B5836" w:rsidP="008B5836">
      <w:r w:rsidRPr="00E11D46">
        <w:t>9.</w:t>
      </w:r>
      <w:r w:rsidRPr="00E11D46">
        <w:tab/>
        <w:t xml:space="preserve">Heeke AL, Tan AR. Checkpoint inhibitor therapy for metastatic triple-negative breast cancer. Cancer Metastasis Rev. 2021;40(2):537–47. </w:t>
      </w:r>
    </w:p>
    <w:p w14:paraId="74BEBC29" w14:textId="77777777" w:rsidR="008B5836" w:rsidRPr="00E11D46" w:rsidRDefault="008B5836" w:rsidP="008B5836">
      <w:r w:rsidRPr="00E11D46">
        <w:t>10.</w:t>
      </w:r>
      <w:r w:rsidRPr="00E11D46">
        <w:tab/>
        <w:t xml:space="preserve">Fan Yang, Yi Xiao, Jia-Han Ding, Xi Jin, Ding Ma, Da-Qiang Li, et al. Ferroptosis heterogeneity in triple-negative breast cancer reveals an innovative immunotherapy combination strategy. Cell Metab. 2022 Oct 1; </w:t>
      </w:r>
    </w:p>
    <w:p w14:paraId="544556A5" w14:textId="77777777" w:rsidR="008B5836" w:rsidRPr="00E11D46" w:rsidRDefault="008B5836" w:rsidP="008B5836">
      <w:r w:rsidRPr="00E11D46">
        <w:t>11.</w:t>
      </w:r>
      <w:r w:rsidRPr="00E11D46">
        <w:tab/>
        <w:t>Ruonan Zhang, Yang Y, Yang RY, Wenjing Dong, Mingen Lin, Jing He, et al. D-mannose facilitates immunotherapy and radiotherapy of triple-negative breast cancer via degradation of PD-L1. Proc Natl Acad Sci U S A. 2022 Feb 18;119(8):e2114851119–e2114851119.</w:t>
      </w:r>
    </w:p>
    <w:p w14:paraId="0319EB8F" w14:textId="77777777" w:rsidR="008B5836" w:rsidRPr="00E11D46" w:rsidRDefault="008B5836" w:rsidP="008B5836">
      <w:r w:rsidRPr="00E11D46">
        <w:t xml:space="preserve">12. </w:t>
      </w:r>
      <w:r w:rsidRPr="00E11D46">
        <w:tab/>
        <w:t xml:space="preserve">Budczies J, Kazdal D, Allgäuer M, Christopoulos P, Rempel E, Pfarr N, et al. Quantifying potential confounders of panel-based tumor mutational burden (TMB) measurement. Lung Cancer. 2020 Apr 1;142:114–9. </w:t>
      </w:r>
    </w:p>
    <w:p w14:paraId="146E8AD8" w14:textId="77777777" w:rsidR="008B5836" w:rsidRPr="00E11D46" w:rsidRDefault="008B5836" w:rsidP="008B5836">
      <w:r w:rsidRPr="00E11D46">
        <w:t>13.</w:t>
      </w:r>
      <w:r w:rsidRPr="00E11D46">
        <w:tab/>
        <w:t xml:space="preserve">Kim ES, Velcheti V, Mekhail T, Yun C, Shagan SM, Hu S, et al. Blood-based tumor mutational burden as a biomarker for atezolizumab in non-small cell lung cancer: the phase 2 B-F1RST trial. Nat Med. 2022 May;28(5):939–45. </w:t>
      </w:r>
    </w:p>
    <w:p w14:paraId="6FD1354B" w14:textId="77777777" w:rsidR="008B5836" w:rsidRPr="00E11D46" w:rsidRDefault="008B5836" w:rsidP="008B5836">
      <w:r w:rsidRPr="00E11D46">
        <w:t>14.</w:t>
      </w:r>
      <w:r w:rsidRPr="00E11D46">
        <w:tab/>
        <w:t xml:space="preserve">Tom W, Chaudhary R, Mittal V, Cyanam D, Casuga I, Wong-Ho E, et al. Abstract 1701: Improvement of tumor mutation burden measurement by removal of deaminated bases in FFPE DNA. Cancer Res. 2019 Jul 1;79(13_Supplement):1701. </w:t>
      </w:r>
    </w:p>
    <w:p w14:paraId="47F67143" w14:textId="77777777" w:rsidR="008B5836" w:rsidRPr="00E11D46" w:rsidRDefault="008B5836" w:rsidP="008B5836">
      <w:r w:rsidRPr="00E11D46">
        <w:t>15.</w:t>
      </w:r>
      <w:r w:rsidRPr="00E11D46">
        <w:tab/>
        <w:t>Meléndez B, Campenhout CV, Rorive S, Remmelink M, Salmon I, D’Haene N. Methods of measurement for tumor mutational burden in tumor tissue. Transl Lung Cancer Res [Internet]. 2018 Dec [cited 2023 Aug 2];7(6). Available from: https://tlcr.amegroups.org/article/view/23823</w:t>
      </w:r>
    </w:p>
    <w:p w14:paraId="5463EA49" w14:textId="77777777" w:rsidR="008B5836" w:rsidRPr="00E11D46" w:rsidRDefault="008B5836" w:rsidP="008B5836">
      <w:r w:rsidRPr="00E11D46">
        <w:t>16.</w:t>
      </w:r>
      <w:r w:rsidRPr="00E11D46">
        <w:tab/>
        <w:t xml:space="preserve">Yao L, Fu Y, Mohiyuddin M, Lam HYK. ecTMB: a robust method to estimate and classify tumor mutational burden. Sci Rep. 2020 Mar 18;10(1):4983. </w:t>
      </w:r>
    </w:p>
    <w:p w14:paraId="175FD20E" w14:textId="05A6E27A" w:rsidR="008B5836" w:rsidRPr="00E11D46" w:rsidRDefault="008B5836" w:rsidP="001A5E86">
      <w:r w:rsidRPr="00E11D46">
        <w:t>17.</w:t>
      </w:r>
      <w:r w:rsidRPr="00E11D46">
        <w:tab/>
        <w:t xml:space="preserve">So AS, Kaplan S, Zhao C, Zhang S, Liu L, Le P, et al. Abstract 435: Accurate measurement of tumor mutation burden through tumor-only sequencing using a 500-gene panel. Cancer Res. 2018 Jul 1;78(13_Supplement):435. </w:t>
      </w:r>
    </w:p>
    <w:p w14:paraId="520A0ED8" w14:textId="41499E04" w:rsidR="008B5836" w:rsidRPr="00E11D46" w:rsidRDefault="008B5836" w:rsidP="008B5836">
      <w:r w:rsidRPr="00E11D46">
        <w:t>1</w:t>
      </w:r>
      <w:r w:rsidR="001A5E86">
        <w:t>8</w:t>
      </w:r>
      <w:r w:rsidRPr="00E11D46">
        <w:t>.</w:t>
      </w:r>
      <w:r w:rsidRPr="00E11D46">
        <w:tab/>
        <w:t xml:space="preserve">Yu Y, Shen L, Ji W, Lu S. Standardization of pleural effusion-based tumor mutation burden (TMB) estimation using capture-based targeted sequencing. Ann Transl Med. 2021 Jan;9(2):140–140. </w:t>
      </w:r>
    </w:p>
    <w:p w14:paraId="66E8514E" w14:textId="40D13D8E" w:rsidR="008B5836" w:rsidRPr="00E11D46" w:rsidRDefault="001A5E86" w:rsidP="008B5836">
      <w:r>
        <w:t>19</w:t>
      </w:r>
      <w:r w:rsidR="008B5836" w:rsidRPr="00E11D46">
        <w:t>.</w:t>
      </w:r>
      <w:r w:rsidR="008B5836" w:rsidRPr="00E11D46">
        <w:tab/>
        <w:t xml:space="preserve">Oesper L, Satas G, Raphael BJ. Quantifying tumor heterogeneity in whole-genome and whole-exome sequencing data. Bioinforma Oxf Engl. 2014 Dec 15;30(24):3532–40. </w:t>
      </w:r>
    </w:p>
    <w:p w14:paraId="50CE4AD8" w14:textId="11AE3ACA" w:rsidR="008B5836" w:rsidRPr="0078116F" w:rsidRDefault="008B5836" w:rsidP="00056835">
      <w:pPr>
        <w:rPr>
          <w:rFonts w:ascii="Aptos Narrow" w:eastAsia="Times New Roman" w:hAnsi="Aptos Narrow"/>
          <w:color w:val="000000"/>
          <w:kern w:val="0"/>
          <w:lang w:eastAsia="en-IN"/>
        </w:rPr>
      </w:pPr>
      <w:r w:rsidRPr="00E11D46">
        <w:t>2</w:t>
      </w:r>
      <w:r w:rsidR="001A5E86">
        <w:t>0</w:t>
      </w:r>
      <w:r w:rsidRPr="00E11D46">
        <w:t>.</w:t>
      </w:r>
      <w:r w:rsidRPr="00E11D46">
        <w:tab/>
        <w:t>Parikh K, Huether R, White K, Hoskinson D, Beaubier N, Dong H, et al. Tumor Mutational Burde</w:t>
      </w:r>
      <w:bookmarkStart w:id="2" w:name="_GoBack"/>
      <w:bookmarkEnd w:id="2"/>
      <w:r w:rsidRPr="00E11D46">
        <w:t>n From Tumor-Only Sequencing Compared With Germline Subtraction From Paired Tumor and Normal Specimens. JAMA Netw Open. 2020 Feb 5;3(2):e200202.</w:t>
      </w:r>
      <w:r w:rsidRPr="001748AC">
        <w:t xml:space="preserve"> </w:t>
      </w:r>
    </w:p>
    <w:sectPr w:rsidR="008B5836" w:rsidRPr="0078116F" w:rsidSect="00ED3F6B">
      <w:pgSz w:w="11906" w:h="16838"/>
      <w:pgMar w:top="1440" w:right="170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DA370" w14:textId="77777777" w:rsidR="00FC09F6" w:rsidRDefault="00FC09F6" w:rsidP="00DF32F8">
      <w:pPr>
        <w:spacing w:after="0" w:line="240" w:lineRule="auto"/>
      </w:pPr>
      <w:r>
        <w:separator/>
      </w:r>
    </w:p>
  </w:endnote>
  <w:endnote w:type="continuationSeparator" w:id="0">
    <w:p w14:paraId="7DC63E04" w14:textId="77777777" w:rsidR="00FC09F6" w:rsidRDefault="00FC09F6" w:rsidP="00DF3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ptos Narrow">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981C7" w14:textId="77777777" w:rsidR="00FC09F6" w:rsidRDefault="00FC09F6" w:rsidP="00DF32F8">
      <w:pPr>
        <w:spacing w:after="0" w:line="240" w:lineRule="auto"/>
      </w:pPr>
      <w:r>
        <w:separator/>
      </w:r>
    </w:p>
  </w:footnote>
  <w:footnote w:type="continuationSeparator" w:id="0">
    <w:p w14:paraId="37B39420" w14:textId="77777777" w:rsidR="00FC09F6" w:rsidRDefault="00FC09F6" w:rsidP="00DF32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F60EF"/>
    <w:multiLevelType w:val="multilevel"/>
    <w:tmpl w:val="D0060A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98108D"/>
    <w:multiLevelType w:val="multilevel"/>
    <w:tmpl w:val="D0060A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EC0B4C"/>
    <w:multiLevelType w:val="multilevel"/>
    <w:tmpl w:val="4DD8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C0601A"/>
    <w:multiLevelType w:val="multilevel"/>
    <w:tmpl w:val="2D740DBE"/>
    <w:styleLink w:val="Headings"/>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567"/>
        </w:tabs>
        <w:ind w:left="567" w:hanging="567"/>
      </w:pPr>
    </w:lvl>
    <w:lvl w:ilvl="4">
      <w:start w:val="1"/>
      <w:numFmt w:val="decimal"/>
      <w:lvlText w:val="%1.%2.%3.%4.%5"/>
      <w:lvlJc w:val="left"/>
      <w:pPr>
        <w:tabs>
          <w:tab w:val="num" w:pos="567"/>
        </w:tabs>
        <w:ind w:left="567" w:hanging="567"/>
      </w:pPr>
    </w:lvl>
    <w:lvl w:ilvl="5">
      <w:start w:val="1"/>
      <w:numFmt w:val="lowerRoman"/>
      <w:lvlText w:val="%6."/>
      <w:lvlJc w:val="right"/>
      <w:pPr>
        <w:tabs>
          <w:tab w:val="num" w:pos="567"/>
        </w:tabs>
        <w:ind w:left="567" w:hanging="567"/>
      </w:pPr>
    </w:lvl>
    <w:lvl w:ilvl="6">
      <w:start w:val="1"/>
      <w:numFmt w:val="decimal"/>
      <w:lvlText w:val="%7."/>
      <w:lvlJc w:val="left"/>
      <w:pPr>
        <w:tabs>
          <w:tab w:val="num" w:pos="567"/>
        </w:tabs>
        <w:ind w:left="567" w:hanging="567"/>
      </w:pPr>
    </w:lvl>
    <w:lvl w:ilvl="7">
      <w:start w:val="1"/>
      <w:numFmt w:val="lowerLetter"/>
      <w:lvlText w:val="%8."/>
      <w:lvlJc w:val="left"/>
      <w:pPr>
        <w:tabs>
          <w:tab w:val="num" w:pos="567"/>
        </w:tabs>
        <w:ind w:left="567" w:hanging="567"/>
      </w:pPr>
    </w:lvl>
    <w:lvl w:ilvl="8">
      <w:start w:val="1"/>
      <w:numFmt w:val="lowerRoman"/>
      <w:lvlText w:val="%9."/>
      <w:lvlJc w:val="right"/>
      <w:pPr>
        <w:tabs>
          <w:tab w:val="num" w:pos="567"/>
        </w:tabs>
        <w:ind w:left="567" w:hanging="567"/>
      </w:pPr>
    </w:lvl>
  </w:abstractNum>
  <w:abstractNum w:abstractNumId="4" w15:restartNumberingAfterBreak="0">
    <w:nsid w:val="393B4773"/>
    <w:multiLevelType w:val="hybridMultilevel"/>
    <w:tmpl w:val="B4CA18E2"/>
    <w:lvl w:ilvl="0" w:tplc="E3DC13BA">
      <w:start w:val="1"/>
      <w:numFmt w:val="decimal"/>
      <w:lvlText w:val="%1)"/>
      <w:lvlJc w:val="left"/>
      <w:pPr>
        <w:ind w:left="720" w:hanging="360"/>
      </w:pPr>
    </w:lvl>
    <w:lvl w:ilvl="1" w:tplc="311ED4D2">
      <w:start w:val="1"/>
      <w:numFmt w:val="decimal"/>
      <w:lvlText w:val="%2)"/>
      <w:lvlJc w:val="left"/>
      <w:pPr>
        <w:ind w:left="720" w:hanging="360"/>
      </w:pPr>
    </w:lvl>
    <w:lvl w:ilvl="2" w:tplc="3072EB84">
      <w:start w:val="1"/>
      <w:numFmt w:val="decimal"/>
      <w:lvlText w:val="%3)"/>
      <w:lvlJc w:val="left"/>
      <w:pPr>
        <w:ind w:left="720" w:hanging="360"/>
      </w:pPr>
    </w:lvl>
    <w:lvl w:ilvl="3" w:tplc="EADCB8C6">
      <w:start w:val="1"/>
      <w:numFmt w:val="decimal"/>
      <w:lvlText w:val="%4)"/>
      <w:lvlJc w:val="left"/>
      <w:pPr>
        <w:ind w:left="720" w:hanging="360"/>
      </w:pPr>
    </w:lvl>
    <w:lvl w:ilvl="4" w:tplc="066E0BFC">
      <w:start w:val="1"/>
      <w:numFmt w:val="decimal"/>
      <w:lvlText w:val="%5)"/>
      <w:lvlJc w:val="left"/>
      <w:pPr>
        <w:ind w:left="720" w:hanging="360"/>
      </w:pPr>
    </w:lvl>
    <w:lvl w:ilvl="5" w:tplc="01987FFA">
      <w:start w:val="1"/>
      <w:numFmt w:val="decimal"/>
      <w:lvlText w:val="%6)"/>
      <w:lvlJc w:val="left"/>
      <w:pPr>
        <w:ind w:left="720" w:hanging="360"/>
      </w:pPr>
    </w:lvl>
    <w:lvl w:ilvl="6" w:tplc="36CA4ABC">
      <w:start w:val="1"/>
      <w:numFmt w:val="decimal"/>
      <w:lvlText w:val="%7)"/>
      <w:lvlJc w:val="left"/>
      <w:pPr>
        <w:ind w:left="720" w:hanging="360"/>
      </w:pPr>
    </w:lvl>
    <w:lvl w:ilvl="7" w:tplc="7052659C">
      <w:start w:val="1"/>
      <w:numFmt w:val="decimal"/>
      <w:lvlText w:val="%8)"/>
      <w:lvlJc w:val="left"/>
      <w:pPr>
        <w:ind w:left="720" w:hanging="360"/>
      </w:pPr>
    </w:lvl>
    <w:lvl w:ilvl="8" w:tplc="A66AB664">
      <w:start w:val="1"/>
      <w:numFmt w:val="decimal"/>
      <w:lvlText w:val="%9)"/>
      <w:lvlJc w:val="left"/>
      <w:pPr>
        <w:ind w:left="720" w:hanging="360"/>
      </w:pPr>
    </w:lvl>
  </w:abstractNum>
  <w:abstractNum w:abstractNumId="5" w15:restartNumberingAfterBreak="0">
    <w:nsid w:val="775387E7"/>
    <w:multiLevelType w:val="hybridMultilevel"/>
    <w:tmpl w:val="1DA8185A"/>
    <w:lvl w:ilvl="0" w:tplc="B826F89C">
      <w:start w:val="1"/>
      <w:numFmt w:val="decimal"/>
      <w:lvlText w:val="%1."/>
      <w:lvlJc w:val="left"/>
      <w:pPr>
        <w:ind w:left="720" w:hanging="360"/>
      </w:pPr>
    </w:lvl>
    <w:lvl w:ilvl="1" w:tplc="3F32D7B2">
      <w:start w:val="1"/>
      <w:numFmt w:val="lowerLetter"/>
      <w:lvlText w:val="%2."/>
      <w:lvlJc w:val="left"/>
      <w:pPr>
        <w:ind w:left="1440" w:hanging="360"/>
      </w:pPr>
    </w:lvl>
    <w:lvl w:ilvl="2" w:tplc="8702C6C2">
      <w:start w:val="1"/>
      <w:numFmt w:val="lowerRoman"/>
      <w:lvlText w:val="%3."/>
      <w:lvlJc w:val="right"/>
      <w:pPr>
        <w:ind w:left="2160" w:hanging="180"/>
      </w:pPr>
    </w:lvl>
    <w:lvl w:ilvl="3" w:tplc="7B78191A">
      <w:start w:val="1"/>
      <w:numFmt w:val="decimal"/>
      <w:lvlText w:val="%4."/>
      <w:lvlJc w:val="left"/>
      <w:pPr>
        <w:ind w:left="2880" w:hanging="360"/>
      </w:pPr>
    </w:lvl>
    <w:lvl w:ilvl="4" w:tplc="3B76750A">
      <w:start w:val="1"/>
      <w:numFmt w:val="lowerLetter"/>
      <w:lvlText w:val="%5."/>
      <w:lvlJc w:val="left"/>
      <w:pPr>
        <w:ind w:left="3600" w:hanging="360"/>
      </w:pPr>
    </w:lvl>
    <w:lvl w:ilvl="5" w:tplc="85A0DD46">
      <w:start w:val="1"/>
      <w:numFmt w:val="lowerRoman"/>
      <w:lvlText w:val="%6."/>
      <w:lvlJc w:val="right"/>
      <w:pPr>
        <w:ind w:left="4320" w:hanging="180"/>
      </w:pPr>
    </w:lvl>
    <w:lvl w:ilvl="6" w:tplc="74B47884">
      <w:start w:val="1"/>
      <w:numFmt w:val="decimal"/>
      <w:lvlText w:val="%7."/>
      <w:lvlJc w:val="left"/>
      <w:pPr>
        <w:ind w:left="5040" w:hanging="360"/>
      </w:pPr>
    </w:lvl>
    <w:lvl w:ilvl="7" w:tplc="01127C62">
      <w:start w:val="1"/>
      <w:numFmt w:val="lowerLetter"/>
      <w:lvlText w:val="%8."/>
      <w:lvlJc w:val="left"/>
      <w:pPr>
        <w:ind w:left="5760" w:hanging="360"/>
      </w:pPr>
    </w:lvl>
    <w:lvl w:ilvl="8" w:tplc="57281EC2">
      <w:start w:val="1"/>
      <w:numFmt w:val="lowerRoman"/>
      <w:lvlText w:val="%9."/>
      <w:lvlJc w:val="right"/>
      <w:pPr>
        <w:ind w:left="6480" w:hanging="180"/>
      </w:pPr>
    </w:lvl>
  </w:abstractNum>
  <w:abstractNum w:abstractNumId="6" w15:restartNumberingAfterBreak="0">
    <w:nsid w:val="78940A03"/>
    <w:multiLevelType w:val="hybridMultilevel"/>
    <w:tmpl w:val="AA866A80"/>
    <w:lvl w:ilvl="0" w:tplc="296EA5FE">
      <w:start w:val="1"/>
      <w:numFmt w:val="decimal"/>
      <w:lvlText w:val="%1)"/>
      <w:lvlJc w:val="left"/>
      <w:pPr>
        <w:ind w:left="1080" w:hanging="360"/>
      </w:pPr>
    </w:lvl>
    <w:lvl w:ilvl="1" w:tplc="9FF02A7C">
      <w:start w:val="1"/>
      <w:numFmt w:val="decimal"/>
      <w:lvlText w:val="%2)"/>
      <w:lvlJc w:val="left"/>
      <w:pPr>
        <w:ind w:left="1080" w:hanging="360"/>
      </w:pPr>
    </w:lvl>
    <w:lvl w:ilvl="2" w:tplc="39D4C6A4">
      <w:start w:val="1"/>
      <w:numFmt w:val="decimal"/>
      <w:lvlText w:val="%3)"/>
      <w:lvlJc w:val="left"/>
      <w:pPr>
        <w:ind w:left="1080" w:hanging="360"/>
      </w:pPr>
    </w:lvl>
    <w:lvl w:ilvl="3" w:tplc="FBDE15E0">
      <w:start w:val="1"/>
      <w:numFmt w:val="decimal"/>
      <w:lvlText w:val="%4)"/>
      <w:lvlJc w:val="left"/>
      <w:pPr>
        <w:ind w:left="1080" w:hanging="360"/>
      </w:pPr>
    </w:lvl>
    <w:lvl w:ilvl="4" w:tplc="77509E74">
      <w:start w:val="1"/>
      <w:numFmt w:val="decimal"/>
      <w:lvlText w:val="%5)"/>
      <w:lvlJc w:val="left"/>
      <w:pPr>
        <w:ind w:left="1080" w:hanging="360"/>
      </w:pPr>
    </w:lvl>
    <w:lvl w:ilvl="5" w:tplc="40542952">
      <w:start w:val="1"/>
      <w:numFmt w:val="decimal"/>
      <w:lvlText w:val="%6)"/>
      <w:lvlJc w:val="left"/>
      <w:pPr>
        <w:ind w:left="1080" w:hanging="360"/>
      </w:pPr>
    </w:lvl>
    <w:lvl w:ilvl="6" w:tplc="8CFE5E20">
      <w:start w:val="1"/>
      <w:numFmt w:val="decimal"/>
      <w:lvlText w:val="%7)"/>
      <w:lvlJc w:val="left"/>
      <w:pPr>
        <w:ind w:left="1080" w:hanging="360"/>
      </w:pPr>
    </w:lvl>
    <w:lvl w:ilvl="7" w:tplc="8672552E">
      <w:start w:val="1"/>
      <w:numFmt w:val="decimal"/>
      <w:lvlText w:val="%8)"/>
      <w:lvlJc w:val="left"/>
      <w:pPr>
        <w:ind w:left="1080" w:hanging="360"/>
      </w:pPr>
    </w:lvl>
    <w:lvl w:ilvl="8" w:tplc="3BC2002C">
      <w:start w:val="1"/>
      <w:numFmt w:val="decimal"/>
      <w:lvlText w:val="%9)"/>
      <w:lvlJc w:val="left"/>
      <w:pPr>
        <w:ind w:left="1080" w:hanging="360"/>
      </w:pPr>
    </w:lvl>
  </w:abstractNum>
  <w:num w:numId="1">
    <w:abstractNumId w:val="5"/>
  </w:num>
  <w:num w:numId="2">
    <w:abstractNumId w:val="6"/>
  </w:num>
  <w:num w:numId="3">
    <w:abstractNumId w:val="4"/>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688"/>
    <w:rsid w:val="000002E6"/>
    <w:rsid w:val="00001201"/>
    <w:rsid w:val="00004906"/>
    <w:rsid w:val="00005028"/>
    <w:rsid w:val="00007B41"/>
    <w:rsid w:val="00011999"/>
    <w:rsid w:val="000125C6"/>
    <w:rsid w:val="0001346B"/>
    <w:rsid w:val="0001387E"/>
    <w:rsid w:val="0001573C"/>
    <w:rsid w:val="00016B8A"/>
    <w:rsid w:val="00021A68"/>
    <w:rsid w:val="00024AD6"/>
    <w:rsid w:val="00026C84"/>
    <w:rsid w:val="00033120"/>
    <w:rsid w:val="00033226"/>
    <w:rsid w:val="00034E61"/>
    <w:rsid w:val="0003540A"/>
    <w:rsid w:val="00036EAF"/>
    <w:rsid w:val="00043DA8"/>
    <w:rsid w:val="00044318"/>
    <w:rsid w:val="00045196"/>
    <w:rsid w:val="0004742D"/>
    <w:rsid w:val="00050B4D"/>
    <w:rsid w:val="0005455C"/>
    <w:rsid w:val="00055E0E"/>
    <w:rsid w:val="00056835"/>
    <w:rsid w:val="00056D8A"/>
    <w:rsid w:val="00060136"/>
    <w:rsid w:val="00060453"/>
    <w:rsid w:val="00066FA1"/>
    <w:rsid w:val="00067832"/>
    <w:rsid w:val="00071388"/>
    <w:rsid w:val="000726B0"/>
    <w:rsid w:val="0007389C"/>
    <w:rsid w:val="00076784"/>
    <w:rsid w:val="00083A9B"/>
    <w:rsid w:val="00086A9B"/>
    <w:rsid w:val="00090527"/>
    <w:rsid w:val="00090F47"/>
    <w:rsid w:val="00095F18"/>
    <w:rsid w:val="00096283"/>
    <w:rsid w:val="0009752F"/>
    <w:rsid w:val="000A2661"/>
    <w:rsid w:val="000A737D"/>
    <w:rsid w:val="000A7C4D"/>
    <w:rsid w:val="000B0ADC"/>
    <w:rsid w:val="000B71FB"/>
    <w:rsid w:val="000C07A2"/>
    <w:rsid w:val="000C3E71"/>
    <w:rsid w:val="000C4413"/>
    <w:rsid w:val="000D28F1"/>
    <w:rsid w:val="000D419A"/>
    <w:rsid w:val="000D4984"/>
    <w:rsid w:val="000E07B0"/>
    <w:rsid w:val="000E322D"/>
    <w:rsid w:val="000E6568"/>
    <w:rsid w:val="000F0D5D"/>
    <w:rsid w:val="000F3FA4"/>
    <w:rsid w:val="000F517B"/>
    <w:rsid w:val="001008A9"/>
    <w:rsid w:val="00106DC0"/>
    <w:rsid w:val="001074F8"/>
    <w:rsid w:val="00110AC1"/>
    <w:rsid w:val="00112B6C"/>
    <w:rsid w:val="0011386E"/>
    <w:rsid w:val="001157F4"/>
    <w:rsid w:val="00120C0C"/>
    <w:rsid w:val="00121BF0"/>
    <w:rsid w:val="0012606E"/>
    <w:rsid w:val="00126CCB"/>
    <w:rsid w:val="00130E75"/>
    <w:rsid w:val="0013130D"/>
    <w:rsid w:val="0013417C"/>
    <w:rsid w:val="0013507E"/>
    <w:rsid w:val="00135A2E"/>
    <w:rsid w:val="001367B5"/>
    <w:rsid w:val="00136FF3"/>
    <w:rsid w:val="0014015E"/>
    <w:rsid w:val="00141F4A"/>
    <w:rsid w:val="00144FD7"/>
    <w:rsid w:val="00145510"/>
    <w:rsid w:val="0014554B"/>
    <w:rsid w:val="00146AA0"/>
    <w:rsid w:val="00150D4F"/>
    <w:rsid w:val="001536A8"/>
    <w:rsid w:val="00156DFB"/>
    <w:rsid w:val="00160472"/>
    <w:rsid w:val="00160BEA"/>
    <w:rsid w:val="00160DB2"/>
    <w:rsid w:val="00162CC7"/>
    <w:rsid w:val="00164373"/>
    <w:rsid w:val="0016526B"/>
    <w:rsid w:val="00166A91"/>
    <w:rsid w:val="001676EE"/>
    <w:rsid w:val="00171C85"/>
    <w:rsid w:val="00171DCB"/>
    <w:rsid w:val="0017327B"/>
    <w:rsid w:val="00173C04"/>
    <w:rsid w:val="001765ED"/>
    <w:rsid w:val="00181A4D"/>
    <w:rsid w:val="00183776"/>
    <w:rsid w:val="00183B06"/>
    <w:rsid w:val="00184144"/>
    <w:rsid w:val="00185340"/>
    <w:rsid w:val="0019229F"/>
    <w:rsid w:val="00192315"/>
    <w:rsid w:val="001924C2"/>
    <w:rsid w:val="00193C07"/>
    <w:rsid w:val="001967B7"/>
    <w:rsid w:val="00197837"/>
    <w:rsid w:val="001A168E"/>
    <w:rsid w:val="001A2688"/>
    <w:rsid w:val="001A2EE3"/>
    <w:rsid w:val="001A3810"/>
    <w:rsid w:val="001A4A58"/>
    <w:rsid w:val="001A5E86"/>
    <w:rsid w:val="001A68DB"/>
    <w:rsid w:val="001A7F09"/>
    <w:rsid w:val="001B01D4"/>
    <w:rsid w:val="001B7157"/>
    <w:rsid w:val="001C0226"/>
    <w:rsid w:val="001C030D"/>
    <w:rsid w:val="001C2D20"/>
    <w:rsid w:val="001C607D"/>
    <w:rsid w:val="001C6BDF"/>
    <w:rsid w:val="001C6E44"/>
    <w:rsid w:val="001D439E"/>
    <w:rsid w:val="001D576B"/>
    <w:rsid w:val="001D6532"/>
    <w:rsid w:val="001E155D"/>
    <w:rsid w:val="001E3182"/>
    <w:rsid w:val="001E3FCD"/>
    <w:rsid w:val="001E4AE2"/>
    <w:rsid w:val="001E55E5"/>
    <w:rsid w:val="001E56D3"/>
    <w:rsid w:val="001E5C4F"/>
    <w:rsid w:val="001E7287"/>
    <w:rsid w:val="001E7958"/>
    <w:rsid w:val="001F2E5C"/>
    <w:rsid w:val="001F3227"/>
    <w:rsid w:val="001F4AA3"/>
    <w:rsid w:val="001F6C62"/>
    <w:rsid w:val="001F6D04"/>
    <w:rsid w:val="002003F6"/>
    <w:rsid w:val="00203212"/>
    <w:rsid w:val="0020383D"/>
    <w:rsid w:val="00207431"/>
    <w:rsid w:val="00212BF1"/>
    <w:rsid w:val="002149FE"/>
    <w:rsid w:val="0022002E"/>
    <w:rsid w:val="00222D5D"/>
    <w:rsid w:val="00224B1E"/>
    <w:rsid w:val="0023064B"/>
    <w:rsid w:val="002313AA"/>
    <w:rsid w:val="00231A70"/>
    <w:rsid w:val="002335CE"/>
    <w:rsid w:val="00235D53"/>
    <w:rsid w:val="0023667B"/>
    <w:rsid w:val="00244B97"/>
    <w:rsid w:val="0024513D"/>
    <w:rsid w:val="002454F8"/>
    <w:rsid w:val="002526C1"/>
    <w:rsid w:val="0025393E"/>
    <w:rsid w:val="00253B3F"/>
    <w:rsid w:val="00254BFA"/>
    <w:rsid w:val="002562ED"/>
    <w:rsid w:val="00257CB3"/>
    <w:rsid w:val="00260CB9"/>
    <w:rsid w:val="0026286D"/>
    <w:rsid w:val="00262C03"/>
    <w:rsid w:val="00266414"/>
    <w:rsid w:val="0026682F"/>
    <w:rsid w:val="002729C4"/>
    <w:rsid w:val="00272CEE"/>
    <w:rsid w:val="00276546"/>
    <w:rsid w:val="00284E43"/>
    <w:rsid w:val="0028595E"/>
    <w:rsid w:val="00294DE5"/>
    <w:rsid w:val="00296A51"/>
    <w:rsid w:val="00296A7E"/>
    <w:rsid w:val="002A2821"/>
    <w:rsid w:val="002A4890"/>
    <w:rsid w:val="002A4D29"/>
    <w:rsid w:val="002A5124"/>
    <w:rsid w:val="002A5D1D"/>
    <w:rsid w:val="002A7B13"/>
    <w:rsid w:val="002B0525"/>
    <w:rsid w:val="002B0CA2"/>
    <w:rsid w:val="002B1868"/>
    <w:rsid w:val="002B7250"/>
    <w:rsid w:val="002B7F62"/>
    <w:rsid w:val="002C096A"/>
    <w:rsid w:val="002C0DC0"/>
    <w:rsid w:val="002C1464"/>
    <w:rsid w:val="002C1593"/>
    <w:rsid w:val="002C2D52"/>
    <w:rsid w:val="002C2DED"/>
    <w:rsid w:val="002C52B8"/>
    <w:rsid w:val="002C7AA6"/>
    <w:rsid w:val="002D02FD"/>
    <w:rsid w:val="002D414B"/>
    <w:rsid w:val="002D5B9D"/>
    <w:rsid w:val="002D6474"/>
    <w:rsid w:val="002D7544"/>
    <w:rsid w:val="002D77A2"/>
    <w:rsid w:val="002E36F6"/>
    <w:rsid w:val="002E3A97"/>
    <w:rsid w:val="002E53E9"/>
    <w:rsid w:val="002E6768"/>
    <w:rsid w:val="002E6B31"/>
    <w:rsid w:val="002E77D0"/>
    <w:rsid w:val="002F292A"/>
    <w:rsid w:val="002F3A14"/>
    <w:rsid w:val="002F63EF"/>
    <w:rsid w:val="002F698F"/>
    <w:rsid w:val="002F7F70"/>
    <w:rsid w:val="0030300E"/>
    <w:rsid w:val="00303F67"/>
    <w:rsid w:val="00304271"/>
    <w:rsid w:val="00305A1E"/>
    <w:rsid w:val="00311B6A"/>
    <w:rsid w:val="00312C24"/>
    <w:rsid w:val="003131D7"/>
    <w:rsid w:val="00313AB1"/>
    <w:rsid w:val="00315359"/>
    <w:rsid w:val="003177C6"/>
    <w:rsid w:val="0031796C"/>
    <w:rsid w:val="0032072F"/>
    <w:rsid w:val="0032507F"/>
    <w:rsid w:val="003369C3"/>
    <w:rsid w:val="00336A16"/>
    <w:rsid w:val="00340AEE"/>
    <w:rsid w:val="00341898"/>
    <w:rsid w:val="003425F4"/>
    <w:rsid w:val="00343C36"/>
    <w:rsid w:val="0034613D"/>
    <w:rsid w:val="00346902"/>
    <w:rsid w:val="00347B26"/>
    <w:rsid w:val="00350CE7"/>
    <w:rsid w:val="00351499"/>
    <w:rsid w:val="00360D8B"/>
    <w:rsid w:val="0036320F"/>
    <w:rsid w:val="003700AA"/>
    <w:rsid w:val="00373352"/>
    <w:rsid w:val="00373AAA"/>
    <w:rsid w:val="00373D25"/>
    <w:rsid w:val="0037458F"/>
    <w:rsid w:val="00375798"/>
    <w:rsid w:val="00377288"/>
    <w:rsid w:val="00380962"/>
    <w:rsid w:val="00382551"/>
    <w:rsid w:val="003853F3"/>
    <w:rsid w:val="00391153"/>
    <w:rsid w:val="0039262F"/>
    <w:rsid w:val="0039462E"/>
    <w:rsid w:val="003A015E"/>
    <w:rsid w:val="003A06FD"/>
    <w:rsid w:val="003A13A7"/>
    <w:rsid w:val="003A3600"/>
    <w:rsid w:val="003A6104"/>
    <w:rsid w:val="003A6947"/>
    <w:rsid w:val="003A7DF1"/>
    <w:rsid w:val="003B0469"/>
    <w:rsid w:val="003B0D20"/>
    <w:rsid w:val="003B17F5"/>
    <w:rsid w:val="003B1AD1"/>
    <w:rsid w:val="003B255B"/>
    <w:rsid w:val="003B6BFB"/>
    <w:rsid w:val="003C268E"/>
    <w:rsid w:val="003C3A01"/>
    <w:rsid w:val="003C46FD"/>
    <w:rsid w:val="003C56B0"/>
    <w:rsid w:val="003C69B3"/>
    <w:rsid w:val="003C76B2"/>
    <w:rsid w:val="003D080B"/>
    <w:rsid w:val="003D08AD"/>
    <w:rsid w:val="003D18CE"/>
    <w:rsid w:val="003D5F65"/>
    <w:rsid w:val="003D705C"/>
    <w:rsid w:val="003E092B"/>
    <w:rsid w:val="003E16D4"/>
    <w:rsid w:val="003E3697"/>
    <w:rsid w:val="003E389A"/>
    <w:rsid w:val="003E3F37"/>
    <w:rsid w:val="003F0F6D"/>
    <w:rsid w:val="003F1509"/>
    <w:rsid w:val="003F18C9"/>
    <w:rsid w:val="003F1A43"/>
    <w:rsid w:val="003F23BF"/>
    <w:rsid w:val="003F476F"/>
    <w:rsid w:val="003F47E1"/>
    <w:rsid w:val="003F5749"/>
    <w:rsid w:val="003F61BB"/>
    <w:rsid w:val="00404F6D"/>
    <w:rsid w:val="0040582F"/>
    <w:rsid w:val="004058D9"/>
    <w:rsid w:val="00410CEA"/>
    <w:rsid w:val="00412053"/>
    <w:rsid w:val="00412CAE"/>
    <w:rsid w:val="00416C72"/>
    <w:rsid w:val="00424621"/>
    <w:rsid w:val="00430B2E"/>
    <w:rsid w:val="0043401E"/>
    <w:rsid w:val="00440DBC"/>
    <w:rsid w:val="004451BD"/>
    <w:rsid w:val="00445573"/>
    <w:rsid w:val="004470F7"/>
    <w:rsid w:val="004553B4"/>
    <w:rsid w:val="00455465"/>
    <w:rsid w:val="00460E47"/>
    <w:rsid w:val="00460EF5"/>
    <w:rsid w:val="004650C7"/>
    <w:rsid w:val="004654BF"/>
    <w:rsid w:val="004735C9"/>
    <w:rsid w:val="004739DD"/>
    <w:rsid w:val="0047546A"/>
    <w:rsid w:val="00475E76"/>
    <w:rsid w:val="00476985"/>
    <w:rsid w:val="00485F0A"/>
    <w:rsid w:val="00487DE1"/>
    <w:rsid w:val="0049213E"/>
    <w:rsid w:val="0049699B"/>
    <w:rsid w:val="00497307"/>
    <w:rsid w:val="004A6E04"/>
    <w:rsid w:val="004A7E63"/>
    <w:rsid w:val="004B4F84"/>
    <w:rsid w:val="004B5AEC"/>
    <w:rsid w:val="004C214E"/>
    <w:rsid w:val="004C2F9E"/>
    <w:rsid w:val="004C6DFC"/>
    <w:rsid w:val="004C773C"/>
    <w:rsid w:val="004D0596"/>
    <w:rsid w:val="004D06BC"/>
    <w:rsid w:val="004D1155"/>
    <w:rsid w:val="004D1E33"/>
    <w:rsid w:val="004D1EAE"/>
    <w:rsid w:val="004D3815"/>
    <w:rsid w:val="004D5F9B"/>
    <w:rsid w:val="004D61F1"/>
    <w:rsid w:val="004E04FF"/>
    <w:rsid w:val="004E05DF"/>
    <w:rsid w:val="004E20EA"/>
    <w:rsid w:val="004E622C"/>
    <w:rsid w:val="004F01B7"/>
    <w:rsid w:val="004F0D52"/>
    <w:rsid w:val="004F169F"/>
    <w:rsid w:val="004F227D"/>
    <w:rsid w:val="00502CBC"/>
    <w:rsid w:val="0050316E"/>
    <w:rsid w:val="005037F4"/>
    <w:rsid w:val="0050771B"/>
    <w:rsid w:val="00514245"/>
    <w:rsid w:val="005143A0"/>
    <w:rsid w:val="00516596"/>
    <w:rsid w:val="00516A1F"/>
    <w:rsid w:val="00517F42"/>
    <w:rsid w:val="00523BE6"/>
    <w:rsid w:val="005255D9"/>
    <w:rsid w:val="0052682C"/>
    <w:rsid w:val="00527DC8"/>
    <w:rsid w:val="00533760"/>
    <w:rsid w:val="00533F01"/>
    <w:rsid w:val="00535E25"/>
    <w:rsid w:val="0054178B"/>
    <w:rsid w:val="00541950"/>
    <w:rsid w:val="00541C9B"/>
    <w:rsid w:val="0054377C"/>
    <w:rsid w:val="00543EF5"/>
    <w:rsid w:val="00545DAB"/>
    <w:rsid w:val="00547930"/>
    <w:rsid w:val="00550491"/>
    <w:rsid w:val="005539C5"/>
    <w:rsid w:val="00554753"/>
    <w:rsid w:val="00554AD8"/>
    <w:rsid w:val="00555583"/>
    <w:rsid w:val="00563A66"/>
    <w:rsid w:val="00563F40"/>
    <w:rsid w:val="005649E9"/>
    <w:rsid w:val="00565257"/>
    <w:rsid w:val="00565E4B"/>
    <w:rsid w:val="00566BD0"/>
    <w:rsid w:val="00570445"/>
    <w:rsid w:val="005739FB"/>
    <w:rsid w:val="00573CEB"/>
    <w:rsid w:val="00575C28"/>
    <w:rsid w:val="005814D0"/>
    <w:rsid w:val="00582434"/>
    <w:rsid w:val="005905ED"/>
    <w:rsid w:val="0059245A"/>
    <w:rsid w:val="005A2DC1"/>
    <w:rsid w:val="005A41FC"/>
    <w:rsid w:val="005A4D4D"/>
    <w:rsid w:val="005A590E"/>
    <w:rsid w:val="005B341B"/>
    <w:rsid w:val="005B36D8"/>
    <w:rsid w:val="005B429F"/>
    <w:rsid w:val="005B7550"/>
    <w:rsid w:val="005C0425"/>
    <w:rsid w:val="005C06DD"/>
    <w:rsid w:val="005C0B60"/>
    <w:rsid w:val="005C0F4F"/>
    <w:rsid w:val="005C18FE"/>
    <w:rsid w:val="005C22E1"/>
    <w:rsid w:val="005C252A"/>
    <w:rsid w:val="005C276B"/>
    <w:rsid w:val="005C3C87"/>
    <w:rsid w:val="005C491B"/>
    <w:rsid w:val="005C4B42"/>
    <w:rsid w:val="005C6455"/>
    <w:rsid w:val="005C69F3"/>
    <w:rsid w:val="005D1452"/>
    <w:rsid w:val="005D6100"/>
    <w:rsid w:val="005D7643"/>
    <w:rsid w:val="005E04AB"/>
    <w:rsid w:val="005E3DB2"/>
    <w:rsid w:val="005E4F4D"/>
    <w:rsid w:val="005E6A29"/>
    <w:rsid w:val="005E6E33"/>
    <w:rsid w:val="005F050E"/>
    <w:rsid w:val="005F5980"/>
    <w:rsid w:val="005F6676"/>
    <w:rsid w:val="005F7D33"/>
    <w:rsid w:val="00601122"/>
    <w:rsid w:val="0060265C"/>
    <w:rsid w:val="00604545"/>
    <w:rsid w:val="0061059F"/>
    <w:rsid w:val="00617A65"/>
    <w:rsid w:val="006208F4"/>
    <w:rsid w:val="00621553"/>
    <w:rsid w:val="00624A50"/>
    <w:rsid w:val="006256C0"/>
    <w:rsid w:val="00625CC7"/>
    <w:rsid w:val="006320CC"/>
    <w:rsid w:val="0063252B"/>
    <w:rsid w:val="00632BF9"/>
    <w:rsid w:val="00632E41"/>
    <w:rsid w:val="00634D6D"/>
    <w:rsid w:val="00635E85"/>
    <w:rsid w:val="0063657B"/>
    <w:rsid w:val="006405AA"/>
    <w:rsid w:val="006423A3"/>
    <w:rsid w:val="0064522C"/>
    <w:rsid w:val="00645348"/>
    <w:rsid w:val="006455D1"/>
    <w:rsid w:val="006502A9"/>
    <w:rsid w:val="00653B88"/>
    <w:rsid w:val="00653CF7"/>
    <w:rsid w:val="0065484D"/>
    <w:rsid w:val="006631D5"/>
    <w:rsid w:val="006637D6"/>
    <w:rsid w:val="00666040"/>
    <w:rsid w:val="00666147"/>
    <w:rsid w:val="00667A88"/>
    <w:rsid w:val="00674036"/>
    <w:rsid w:val="006741D5"/>
    <w:rsid w:val="006742A9"/>
    <w:rsid w:val="006757F7"/>
    <w:rsid w:val="00676ED9"/>
    <w:rsid w:val="00677295"/>
    <w:rsid w:val="00680FA4"/>
    <w:rsid w:val="00685AA2"/>
    <w:rsid w:val="00692CB8"/>
    <w:rsid w:val="00696808"/>
    <w:rsid w:val="006A007C"/>
    <w:rsid w:val="006A3675"/>
    <w:rsid w:val="006A3A03"/>
    <w:rsid w:val="006A446F"/>
    <w:rsid w:val="006A5A7A"/>
    <w:rsid w:val="006A6310"/>
    <w:rsid w:val="006B2832"/>
    <w:rsid w:val="006B42DD"/>
    <w:rsid w:val="006B6870"/>
    <w:rsid w:val="006B7678"/>
    <w:rsid w:val="006C0605"/>
    <w:rsid w:val="006C10DF"/>
    <w:rsid w:val="006C2134"/>
    <w:rsid w:val="006C41EE"/>
    <w:rsid w:val="006C6040"/>
    <w:rsid w:val="006C6500"/>
    <w:rsid w:val="006C7CCD"/>
    <w:rsid w:val="006D2921"/>
    <w:rsid w:val="006D6E93"/>
    <w:rsid w:val="006D7DB6"/>
    <w:rsid w:val="006E1043"/>
    <w:rsid w:val="006E1E24"/>
    <w:rsid w:val="006E2A0A"/>
    <w:rsid w:val="006E599F"/>
    <w:rsid w:val="006F04B7"/>
    <w:rsid w:val="006F0814"/>
    <w:rsid w:val="006F08EE"/>
    <w:rsid w:val="006F3CDF"/>
    <w:rsid w:val="006F442F"/>
    <w:rsid w:val="00702497"/>
    <w:rsid w:val="00714F79"/>
    <w:rsid w:val="007177F4"/>
    <w:rsid w:val="00720C7A"/>
    <w:rsid w:val="0072270B"/>
    <w:rsid w:val="00722EF0"/>
    <w:rsid w:val="00723158"/>
    <w:rsid w:val="00731723"/>
    <w:rsid w:val="00731AB5"/>
    <w:rsid w:val="00733E50"/>
    <w:rsid w:val="00734A03"/>
    <w:rsid w:val="007352DE"/>
    <w:rsid w:val="0073693C"/>
    <w:rsid w:val="007400AB"/>
    <w:rsid w:val="00740127"/>
    <w:rsid w:val="0074208D"/>
    <w:rsid w:val="0074511A"/>
    <w:rsid w:val="00746F30"/>
    <w:rsid w:val="007474BB"/>
    <w:rsid w:val="00750562"/>
    <w:rsid w:val="007533CE"/>
    <w:rsid w:val="00753520"/>
    <w:rsid w:val="00754411"/>
    <w:rsid w:val="0075784A"/>
    <w:rsid w:val="00757CB7"/>
    <w:rsid w:val="007605B9"/>
    <w:rsid w:val="00760B04"/>
    <w:rsid w:val="00761E23"/>
    <w:rsid w:val="00766848"/>
    <w:rsid w:val="00771794"/>
    <w:rsid w:val="007734C7"/>
    <w:rsid w:val="0077414E"/>
    <w:rsid w:val="00774575"/>
    <w:rsid w:val="00774DCB"/>
    <w:rsid w:val="007761BC"/>
    <w:rsid w:val="00780586"/>
    <w:rsid w:val="00780776"/>
    <w:rsid w:val="0078116F"/>
    <w:rsid w:val="007868BF"/>
    <w:rsid w:val="0079021E"/>
    <w:rsid w:val="00790E55"/>
    <w:rsid w:val="007911F9"/>
    <w:rsid w:val="00791EA8"/>
    <w:rsid w:val="0079342C"/>
    <w:rsid w:val="00793D18"/>
    <w:rsid w:val="0079594A"/>
    <w:rsid w:val="00795F0C"/>
    <w:rsid w:val="007A1893"/>
    <w:rsid w:val="007A1C4C"/>
    <w:rsid w:val="007A1C64"/>
    <w:rsid w:val="007A4926"/>
    <w:rsid w:val="007A5794"/>
    <w:rsid w:val="007B5F0F"/>
    <w:rsid w:val="007B68EF"/>
    <w:rsid w:val="007C2ED2"/>
    <w:rsid w:val="007C2FAA"/>
    <w:rsid w:val="007C52B2"/>
    <w:rsid w:val="007C6E17"/>
    <w:rsid w:val="007D1D72"/>
    <w:rsid w:val="007D67C8"/>
    <w:rsid w:val="007E679E"/>
    <w:rsid w:val="007F0F4A"/>
    <w:rsid w:val="007F3717"/>
    <w:rsid w:val="007F42B8"/>
    <w:rsid w:val="007F4540"/>
    <w:rsid w:val="007F5061"/>
    <w:rsid w:val="007F526B"/>
    <w:rsid w:val="00800D2A"/>
    <w:rsid w:val="00800E13"/>
    <w:rsid w:val="0080289C"/>
    <w:rsid w:val="00803ACD"/>
    <w:rsid w:val="008075C4"/>
    <w:rsid w:val="008169E8"/>
    <w:rsid w:val="0081778E"/>
    <w:rsid w:val="00820A9D"/>
    <w:rsid w:val="00823658"/>
    <w:rsid w:val="008266CE"/>
    <w:rsid w:val="008277AD"/>
    <w:rsid w:val="00827F1B"/>
    <w:rsid w:val="00830CCB"/>
    <w:rsid w:val="00834284"/>
    <w:rsid w:val="00834ED1"/>
    <w:rsid w:val="00835FDB"/>
    <w:rsid w:val="008402D3"/>
    <w:rsid w:val="00840E04"/>
    <w:rsid w:val="00843DD7"/>
    <w:rsid w:val="00844623"/>
    <w:rsid w:val="008529D8"/>
    <w:rsid w:val="00852C95"/>
    <w:rsid w:val="00852F27"/>
    <w:rsid w:val="0085434B"/>
    <w:rsid w:val="0085585F"/>
    <w:rsid w:val="00857206"/>
    <w:rsid w:val="00861B01"/>
    <w:rsid w:val="008660FC"/>
    <w:rsid w:val="0086624B"/>
    <w:rsid w:val="008710F4"/>
    <w:rsid w:val="00872AF8"/>
    <w:rsid w:val="00872FA0"/>
    <w:rsid w:val="00873C27"/>
    <w:rsid w:val="008757A1"/>
    <w:rsid w:val="0087731D"/>
    <w:rsid w:val="008843B4"/>
    <w:rsid w:val="008862D7"/>
    <w:rsid w:val="00886CCC"/>
    <w:rsid w:val="00887C21"/>
    <w:rsid w:val="0089070C"/>
    <w:rsid w:val="008911FD"/>
    <w:rsid w:val="00892A41"/>
    <w:rsid w:val="008941D1"/>
    <w:rsid w:val="008965F7"/>
    <w:rsid w:val="00897989"/>
    <w:rsid w:val="008A4D60"/>
    <w:rsid w:val="008A5096"/>
    <w:rsid w:val="008A6F7D"/>
    <w:rsid w:val="008A7FED"/>
    <w:rsid w:val="008B0DF2"/>
    <w:rsid w:val="008B15B3"/>
    <w:rsid w:val="008B5365"/>
    <w:rsid w:val="008B5836"/>
    <w:rsid w:val="008B683B"/>
    <w:rsid w:val="008B76DC"/>
    <w:rsid w:val="008C0297"/>
    <w:rsid w:val="008C38C7"/>
    <w:rsid w:val="008C538C"/>
    <w:rsid w:val="008C73FC"/>
    <w:rsid w:val="008C7D30"/>
    <w:rsid w:val="008D0F5F"/>
    <w:rsid w:val="008D233E"/>
    <w:rsid w:val="008D2F38"/>
    <w:rsid w:val="008D3D5A"/>
    <w:rsid w:val="008D50E7"/>
    <w:rsid w:val="008E13CF"/>
    <w:rsid w:val="008E1820"/>
    <w:rsid w:val="008E38FC"/>
    <w:rsid w:val="008E544C"/>
    <w:rsid w:val="008E6997"/>
    <w:rsid w:val="008E7F00"/>
    <w:rsid w:val="008F0E99"/>
    <w:rsid w:val="008F245A"/>
    <w:rsid w:val="008F3702"/>
    <w:rsid w:val="008F59F9"/>
    <w:rsid w:val="00900719"/>
    <w:rsid w:val="009008AA"/>
    <w:rsid w:val="00903A5A"/>
    <w:rsid w:val="009140C7"/>
    <w:rsid w:val="0091518A"/>
    <w:rsid w:val="00916578"/>
    <w:rsid w:val="00916C79"/>
    <w:rsid w:val="00920890"/>
    <w:rsid w:val="00924B3E"/>
    <w:rsid w:val="00931808"/>
    <w:rsid w:val="0093314A"/>
    <w:rsid w:val="0093377D"/>
    <w:rsid w:val="009403D6"/>
    <w:rsid w:val="009414BA"/>
    <w:rsid w:val="009415EF"/>
    <w:rsid w:val="00945FC3"/>
    <w:rsid w:val="009475A1"/>
    <w:rsid w:val="00947E85"/>
    <w:rsid w:val="00951132"/>
    <w:rsid w:val="0095646D"/>
    <w:rsid w:val="00957F89"/>
    <w:rsid w:val="00962884"/>
    <w:rsid w:val="00962A1E"/>
    <w:rsid w:val="0096413C"/>
    <w:rsid w:val="00970761"/>
    <w:rsid w:val="00971E17"/>
    <w:rsid w:val="009726BF"/>
    <w:rsid w:val="009747E7"/>
    <w:rsid w:val="00974CBE"/>
    <w:rsid w:val="00974CC7"/>
    <w:rsid w:val="00976119"/>
    <w:rsid w:val="00980D6F"/>
    <w:rsid w:val="00982B87"/>
    <w:rsid w:val="00984D04"/>
    <w:rsid w:val="00984D57"/>
    <w:rsid w:val="009856D7"/>
    <w:rsid w:val="00987A2D"/>
    <w:rsid w:val="00991F06"/>
    <w:rsid w:val="00992976"/>
    <w:rsid w:val="00995AB0"/>
    <w:rsid w:val="00996410"/>
    <w:rsid w:val="0099736D"/>
    <w:rsid w:val="009A522D"/>
    <w:rsid w:val="009A6AE1"/>
    <w:rsid w:val="009B0A18"/>
    <w:rsid w:val="009B0E7E"/>
    <w:rsid w:val="009B1909"/>
    <w:rsid w:val="009B3723"/>
    <w:rsid w:val="009B792D"/>
    <w:rsid w:val="009C519C"/>
    <w:rsid w:val="009C5739"/>
    <w:rsid w:val="009C6147"/>
    <w:rsid w:val="009C68DB"/>
    <w:rsid w:val="009D29A1"/>
    <w:rsid w:val="009D2D67"/>
    <w:rsid w:val="009D3919"/>
    <w:rsid w:val="009D59AC"/>
    <w:rsid w:val="009D5B6A"/>
    <w:rsid w:val="009D6857"/>
    <w:rsid w:val="009D7455"/>
    <w:rsid w:val="009D7929"/>
    <w:rsid w:val="009D7ACE"/>
    <w:rsid w:val="009E173E"/>
    <w:rsid w:val="009E488F"/>
    <w:rsid w:val="009F1522"/>
    <w:rsid w:val="009F2837"/>
    <w:rsid w:val="009F5050"/>
    <w:rsid w:val="009F61F8"/>
    <w:rsid w:val="009F68E4"/>
    <w:rsid w:val="009F6ADA"/>
    <w:rsid w:val="00A006A6"/>
    <w:rsid w:val="00A00C00"/>
    <w:rsid w:val="00A03F51"/>
    <w:rsid w:val="00A05AEC"/>
    <w:rsid w:val="00A06E0C"/>
    <w:rsid w:val="00A119B1"/>
    <w:rsid w:val="00A13F05"/>
    <w:rsid w:val="00A14C16"/>
    <w:rsid w:val="00A164A4"/>
    <w:rsid w:val="00A16ED1"/>
    <w:rsid w:val="00A2189A"/>
    <w:rsid w:val="00A252B3"/>
    <w:rsid w:val="00A26858"/>
    <w:rsid w:val="00A26874"/>
    <w:rsid w:val="00A26D6B"/>
    <w:rsid w:val="00A27DBA"/>
    <w:rsid w:val="00A337E3"/>
    <w:rsid w:val="00A338E2"/>
    <w:rsid w:val="00A34488"/>
    <w:rsid w:val="00A36DAA"/>
    <w:rsid w:val="00A376D0"/>
    <w:rsid w:val="00A40B17"/>
    <w:rsid w:val="00A42334"/>
    <w:rsid w:val="00A43216"/>
    <w:rsid w:val="00A457F2"/>
    <w:rsid w:val="00A467F9"/>
    <w:rsid w:val="00A47BD7"/>
    <w:rsid w:val="00A51823"/>
    <w:rsid w:val="00A51C21"/>
    <w:rsid w:val="00A523F2"/>
    <w:rsid w:val="00A55C7A"/>
    <w:rsid w:val="00A55F4C"/>
    <w:rsid w:val="00A62613"/>
    <w:rsid w:val="00A6483F"/>
    <w:rsid w:val="00A67615"/>
    <w:rsid w:val="00A7217D"/>
    <w:rsid w:val="00A84298"/>
    <w:rsid w:val="00A8474F"/>
    <w:rsid w:val="00A85C3D"/>
    <w:rsid w:val="00A940E5"/>
    <w:rsid w:val="00A960A7"/>
    <w:rsid w:val="00A9623A"/>
    <w:rsid w:val="00A969CE"/>
    <w:rsid w:val="00A96A30"/>
    <w:rsid w:val="00AA04CD"/>
    <w:rsid w:val="00AA32A6"/>
    <w:rsid w:val="00AA6876"/>
    <w:rsid w:val="00AB0520"/>
    <w:rsid w:val="00AB165D"/>
    <w:rsid w:val="00AB2CCC"/>
    <w:rsid w:val="00AB3159"/>
    <w:rsid w:val="00AB3FEE"/>
    <w:rsid w:val="00AC2A36"/>
    <w:rsid w:val="00AC54BC"/>
    <w:rsid w:val="00AC57AD"/>
    <w:rsid w:val="00AC68C4"/>
    <w:rsid w:val="00AD00E3"/>
    <w:rsid w:val="00AD047C"/>
    <w:rsid w:val="00AD070B"/>
    <w:rsid w:val="00AD3CF9"/>
    <w:rsid w:val="00AD437D"/>
    <w:rsid w:val="00AD6D5B"/>
    <w:rsid w:val="00AE20A4"/>
    <w:rsid w:val="00AE300B"/>
    <w:rsid w:val="00AE4D72"/>
    <w:rsid w:val="00AF0AB6"/>
    <w:rsid w:val="00AF5BD7"/>
    <w:rsid w:val="00AF61B0"/>
    <w:rsid w:val="00B00A8C"/>
    <w:rsid w:val="00B00EC8"/>
    <w:rsid w:val="00B01AEF"/>
    <w:rsid w:val="00B043B1"/>
    <w:rsid w:val="00B043C6"/>
    <w:rsid w:val="00B06ECB"/>
    <w:rsid w:val="00B10284"/>
    <w:rsid w:val="00B10F99"/>
    <w:rsid w:val="00B12D63"/>
    <w:rsid w:val="00B12E85"/>
    <w:rsid w:val="00B143D0"/>
    <w:rsid w:val="00B15DF8"/>
    <w:rsid w:val="00B21DA0"/>
    <w:rsid w:val="00B2272D"/>
    <w:rsid w:val="00B22E5B"/>
    <w:rsid w:val="00B23117"/>
    <w:rsid w:val="00B23823"/>
    <w:rsid w:val="00B23C81"/>
    <w:rsid w:val="00B24440"/>
    <w:rsid w:val="00B25FEA"/>
    <w:rsid w:val="00B2667D"/>
    <w:rsid w:val="00B27315"/>
    <w:rsid w:val="00B27C57"/>
    <w:rsid w:val="00B315F0"/>
    <w:rsid w:val="00B33D19"/>
    <w:rsid w:val="00B3739F"/>
    <w:rsid w:val="00B44683"/>
    <w:rsid w:val="00B512E7"/>
    <w:rsid w:val="00B52393"/>
    <w:rsid w:val="00B52883"/>
    <w:rsid w:val="00B52FEC"/>
    <w:rsid w:val="00B53A37"/>
    <w:rsid w:val="00B54C64"/>
    <w:rsid w:val="00B5564C"/>
    <w:rsid w:val="00B56ABA"/>
    <w:rsid w:val="00B57955"/>
    <w:rsid w:val="00B62B0E"/>
    <w:rsid w:val="00B64000"/>
    <w:rsid w:val="00B6451D"/>
    <w:rsid w:val="00B67A8C"/>
    <w:rsid w:val="00B72632"/>
    <w:rsid w:val="00B82E84"/>
    <w:rsid w:val="00B90AD4"/>
    <w:rsid w:val="00B93147"/>
    <w:rsid w:val="00B942F6"/>
    <w:rsid w:val="00B950DC"/>
    <w:rsid w:val="00B96526"/>
    <w:rsid w:val="00B971CC"/>
    <w:rsid w:val="00B97D80"/>
    <w:rsid w:val="00BA02C4"/>
    <w:rsid w:val="00BA03B2"/>
    <w:rsid w:val="00BB438D"/>
    <w:rsid w:val="00BC3A39"/>
    <w:rsid w:val="00BC4C3A"/>
    <w:rsid w:val="00BC5988"/>
    <w:rsid w:val="00BD09B5"/>
    <w:rsid w:val="00BD0B1A"/>
    <w:rsid w:val="00BD1EDB"/>
    <w:rsid w:val="00BD2808"/>
    <w:rsid w:val="00BE01BC"/>
    <w:rsid w:val="00BE1D6F"/>
    <w:rsid w:val="00BE2F7F"/>
    <w:rsid w:val="00BE42F0"/>
    <w:rsid w:val="00BF0D4B"/>
    <w:rsid w:val="00BF4C39"/>
    <w:rsid w:val="00C00160"/>
    <w:rsid w:val="00C02BCC"/>
    <w:rsid w:val="00C033FE"/>
    <w:rsid w:val="00C040AD"/>
    <w:rsid w:val="00C05E7A"/>
    <w:rsid w:val="00C078C8"/>
    <w:rsid w:val="00C07F2A"/>
    <w:rsid w:val="00C11190"/>
    <w:rsid w:val="00C12359"/>
    <w:rsid w:val="00C125DF"/>
    <w:rsid w:val="00C13557"/>
    <w:rsid w:val="00C13A90"/>
    <w:rsid w:val="00C157EB"/>
    <w:rsid w:val="00C1674E"/>
    <w:rsid w:val="00C176CE"/>
    <w:rsid w:val="00C21BEA"/>
    <w:rsid w:val="00C30A9F"/>
    <w:rsid w:val="00C327AA"/>
    <w:rsid w:val="00C32A94"/>
    <w:rsid w:val="00C34068"/>
    <w:rsid w:val="00C41DC7"/>
    <w:rsid w:val="00C424F8"/>
    <w:rsid w:val="00C4325C"/>
    <w:rsid w:val="00C44548"/>
    <w:rsid w:val="00C47DDB"/>
    <w:rsid w:val="00C5284C"/>
    <w:rsid w:val="00C53722"/>
    <w:rsid w:val="00C53D0B"/>
    <w:rsid w:val="00C53E04"/>
    <w:rsid w:val="00C54084"/>
    <w:rsid w:val="00C541E7"/>
    <w:rsid w:val="00C5562A"/>
    <w:rsid w:val="00C57117"/>
    <w:rsid w:val="00C65635"/>
    <w:rsid w:val="00C66490"/>
    <w:rsid w:val="00C6699F"/>
    <w:rsid w:val="00C67DB0"/>
    <w:rsid w:val="00C70131"/>
    <w:rsid w:val="00C70318"/>
    <w:rsid w:val="00C70363"/>
    <w:rsid w:val="00C70803"/>
    <w:rsid w:val="00C739D3"/>
    <w:rsid w:val="00C74045"/>
    <w:rsid w:val="00C821CF"/>
    <w:rsid w:val="00C86940"/>
    <w:rsid w:val="00C86AB8"/>
    <w:rsid w:val="00C87024"/>
    <w:rsid w:val="00C8706E"/>
    <w:rsid w:val="00C87E95"/>
    <w:rsid w:val="00C909AC"/>
    <w:rsid w:val="00C92A07"/>
    <w:rsid w:val="00C959D7"/>
    <w:rsid w:val="00C9766B"/>
    <w:rsid w:val="00CA10FE"/>
    <w:rsid w:val="00CA2171"/>
    <w:rsid w:val="00CA373F"/>
    <w:rsid w:val="00CA6788"/>
    <w:rsid w:val="00CA795B"/>
    <w:rsid w:val="00CB3639"/>
    <w:rsid w:val="00CC0503"/>
    <w:rsid w:val="00CC2091"/>
    <w:rsid w:val="00CC2333"/>
    <w:rsid w:val="00CC55B4"/>
    <w:rsid w:val="00CD07BA"/>
    <w:rsid w:val="00CD156C"/>
    <w:rsid w:val="00CD4721"/>
    <w:rsid w:val="00CD4F01"/>
    <w:rsid w:val="00CD6F0E"/>
    <w:rsid w:val="00CE1B3C"/>
    <w:rsid w:val="00CE4EFB"/>
    <w:rsid w:val="00CF0FE6"/>
    <w:rsid w:val="00CF1F9B"/>
    <w:rsid w:val="00CF2F17"/>
    <w:rsid w:val="00CF3DA1"/>
    <w:rsid w:val="00CF5C52"/>
    <w:rsid w:val="00D0084A"/>
    <w:rsid w:val="00D00E50"/>
    <w:rsid w:val="00D03292"/>
    <w:rsid w:val="00D047A2"/>
    <w:rsid w:val="00D04C42"/>
    <w:rsid w:val="00D05912"/>
    <w:rsid w:val="00D11447"/>
    <w:rsid w:val="00D1420D"/>
    <w:rsid w:val="00D168AB"/>
    <w:rsid w:val="00D17A43"/>
    <w:rsid w:val="00D17A8C"/>
    <w:rsid w:val="00D269F0"/>
    <w:rsid w:val="00D31B8F"/>
    <w:rsid w:val="00D357B7"/>
    <w:rsid w:val="00D37000"/>
    <w:rsid w:val="00D445A3"/>
    <w:rsid w:val="00D460C0"/>
    <w:rsid w:val="00D460D8"/>
    <w:rsid w:val="00D50811"/>
    <w:rsid w:val="00D5237C"/>
    <w:rsid w:val="00D562D5"/>
    <w:rsid w:val="00D703B9"/>
    <w:rsid w:val="00D7178E"/>
    <w:rsid w:val="00D72967"/>
    <w:rsid w:val="00D745EE"/>
    <w:rsid w:val="00D747A6"/>
    <w:rsid w:val="00D7521A"/>
    <w:rsid w:val="00D763F1"/>
    <w:rsid w:val="00D83D46"/>
    <w:rsid w:val="00D846BF"/>
    <w:rsid w:val="00D85591"/>
    <w:rsid w:val="00D86AC9"/>
    <w:rsid w:val="00D87B6E"/>
    <w:rsid w:val="00D927D0"/>
    <w:rsid w:val="00D92CB5"/>
    <w:rsid w:val="00DA0920"/>
    <w:rsid w:val="00DA1BFE"/>
    <w:rsid w:val="00DA25A9"/>
    <w:rsid w:val="00DA2958"/>
    <w:rsid w:val="00DA30A6"/>
    <w:rsid w:val="00DA31DE"/>
    <w:rsid w:val="00DA50C6"/>
    <w:rsid w:val="00DB0DA3"/>
    <w:rsid w:val="00DB0ED1"/>
    <w:rsid w:val="00DB1783"/>
    <w:rsid w:val="00DB3908"/>
    <w:rsid w:val="00DB5D97"/>
    <w:rsid w:val="00DC0D93"/>
    <w:rsid w:val="00DC184B"/>
    <w:rsid w:val="00DC3465"/>
    <w:rsid w:val="00DC412B"/>
    <w:rsid w:val="00DC44AA"/>
    <w:rsid w:val="00DC4A6D"/>
    <w:rsid w:val="00DC4DF9"/>
    <w:rsid w:val="00DC7A21"/>
    <w:rsid w:val="00DD5A24"/>
    <w:rsid w:val="00DD66FF"/>
    <w:rsid w:val="00DE3B02"/>
    <w:rsid w:val="00DE3B1D"/>
    <w:rsid w:val="00DE4613"/>
    <w:rsid w:val="00DE71E2"/>
    <w:rsid w:val="00DF13A9"/>
    <w:rsid w:val="00DF2BBA"/>
    <w:rsid w:val="00DF32F8"/>
    <w:rsid w:val="00DF45BB"/>
    <w:rsid w:val="00DF58A1"/>
    <w:rsid w:val="00DF6531"/>
    <w:rsid w:val="00DF7A98"/>
    <w:rsid w:val="00DF7B5A"/>
    <w:rsid w:val="00E00849"/>
    <w:rsid w:val="00E01465"/>
    <w:rsid w:val="00E025BB"/>
    <w:rsid w:val="00E06E49"/>
    <w:rsid w:val="00E10D5B"/>
    <w:rsid w:val="00E1138C"/>
    <w:rsid w:val="00E11D46"/>
    <w:rsid w:val="00E202B9"/>
    <w:rsid w:val="00E20B8E"/>
    <w:rsid w:val="00E21A02"/>
    <w:rsid w:val="00E221B9"/>
    <w:rsid w:val="00E22ECA"/>
    <w:rsid w:val="00E2486C"/>
    <w:rsid w:val="00E257FB"/>
    <w:rsid w:val="00E25C2A"/>
    <w:rsid w:val="00E30526"/>
    <w:rsid w:val="00E30C9D"/>
    <w:rsid w:val="00E32160"/>
    <w:rsid w:val="00E32AB2"/>
    <w:rsid w:val="00E40E32"/>
    <w:rsid w:val="00E41BE6"/>
    <w:rsid w:val="00E41F7D"/>
    <w:rsid w:val="00E463C5"/>
    <w:rsid w:val="00E4667C"/>
    <w:rsid w:val="00E46C79"/>
    <w:rsid w:val="00E46D73"/>
    <w:rsid w:val="00E51E90"/>
    <w:rsid w:val="00E546C5"/>
    <w:rsid w:val="00E561CC"/>
    <w:rsid w:val="00E56896"/>
    <w:rsid w:val="00E568EA"/>
    <w:rsid w:val="00E57001"/>
    <w:rsid w:val="00E57EBA"/>
    <w:rsid w:val="00E60844"/>
    <w:rsid w:val="00E61E3A"/>
    <w:rsid w:val="00E64199"/>
    <w:rsid w:val="00E65249"/>
    <w:rsid w:val="00E67A9E"/>
    <w:rsid w:val="00E72D4B"/>
    <w:rsid w:val="00E73A73"/>
    <w:rsid w:val="00E755CD"/>
    <w:rsid w:val="00E81DF1"/>
    <w:rsid w:val="00E849DF"/>
    <w:rsid w:val="00E90C7A"/>
    <w:rsid w:val="00E91D99"/>
    <w:rsid w:val="00E91E11"/>
    <w:rsid w:val="00E94A06"/>
    <w:rsid w:val="00E9799A"/>
    <w:rsid w:val="00EA1540"/>
    <w:rsid w:val="00EA33A6"/>
    <w:rsid w:val="00EA33F9"/>
    <w:rsid w:val="00EA3CA4"/>
    <w:rsid w:val="00EA4003"/>
    <w:rsid w:val="00EA414B"/>
    <w:rsid w:val="00EA540F"/>
    <w:rsid w:val="00EB04C4"/>
    <w:rsid w:val="00EB0973"/>
    <w:rsid w:val="00EB104E"/>
    <w:rsid w:val="00EB1380"/>
    <w:rsid w:val="00EB14D4"/>
    <w:rsid w:val="00EB2B4F"/>
    <w:rsid w:val="00EB3D32"/>
    <w:rsid w:val="00EB48C3"/>
    <w:rsid w:val="00EC0EAA"/>
    <w:rsid w:val="00EC75B0"/>
    <w:rsid w:val="00ED1457"/>
    <w:rsid w:val="00ED3F6B"/>
    <w:rsid w:val="00ED4222"/>
    <w:rsid w:val="00ED568A"/>
    <w:rsid w:val="00ED5FF6"/>
    <w:rsid w:val="00ED6AF8"/>
    <w:rsid w:val="00EF1C78"/>
    <w:rsid w:val="00EF1DCD"/>
    <w:rsid w:val="00EF7FBB"/>
    <w:rsid w:val="00F00743"/>
    <w:rsid w:val="00F00BE8"/>
    <w:rsid w:val="00F04497"/>
    <w:rsid w:val="00F05D09"/>
    <w:rsid w:val="00F065A5"/>
    <w:rsid w:val="00F104C1"/>
    <w:rsid w:val="00F10C99"/>
    <w:rsid w:val="00F12161"/>
    <w:rsid w:val="00F129BD"/>
    <w:rsid w:val="00F13AB1"/>
    <w:rsid w:val="00F2156C"/>
    <w:rsid w:val="00F25AE6"/>
    <w:rsid w:val="00F27AA7"/>
    <w:rsid w:val="00F27E5F"/>
    <w:rsid w:val="00F32DFF"/>
    <w:rsid w:val="00F332F9"/>
    <w:rsid w:val="00F34D37"/>
    <w:rsid w:val="00F35CB5"/>
    <w:rsid w:val="00F42663"/>
    <w:rsid w:val="00F42C93"/>
    <w:rsid w:val="00F430AF"/>
    <w:rsid w:val="00F442A3"/>
    <w:rsid w:val="00F44529"/>
    <w:rsid w:val="00F44AF9"/>
    <w:rsid w:val="00F45404"/>
    <w:rsid w:val="00F475DF"/>
    <w:rsid w:val="00F5430E"/>
    <w:rsid w:val="00F55062"/>
    <w:rsid w:val="00F60C5A"/>
    <w:rsid w:val="00F6179E"/>
    <w:rsid w:val="00F67F8A"/>
    <w:rsid w:val="00F74EDD"/>
    <w:rsid w:val="00F760BE"/>
    <w:rsid w:val="00F775AF"/>
    <w:rsid w:val="00F82B55"/>
    <w:rsid w:val="00F835AB"/>
    <w:rsid w:val="00F85EF4"/>
    <w:rsid w:val="00F91166"/>
    <w:rsid w:val="00F92A89"/>
    <w:rsid w:val="00F9354C"/>
    <w:rsid w:val="00F94524"/>
    <w:rsid w:val="00F94942"/>
    <w:rsid w:val="00FA0542"/>
    <w:rsid w:val="00FA10EF"/>
    <w:rsid w:val="00FA289D"/>
    <w:rsid w:val="00FA5EFC"/>
    <w:rsid w:val="00FA7C4E"/>
    <w:rsid w:val="00FB279A"/>
    <w:rsid w:val="00FB29CB"/>
    <w:rsid w:val="00FB2B0D"/>
    <w:rsid w:val="00FB2D81"/>
    <w:rsid w:val="00FB4D04"/>
    <w:rsid w:val="00FB6910"/>
    <w:rsid w:val="00FB7F0F"/>
    <w:rsid w:val="00FC00E2"/>
    <w:rsid w:val="00FC0763"/>
    <w:rsid w:val="00FC09F6"/>
    <w:rsid w:val="00FC2543"/>
    <w:rsid w:val="00FC36B3"/>
    <w:rsid w:val="00FC405D"/>
    <w:rsid w:val="00FD0C67"/>
    <w:rsid w:val="00FD0DF4"/>
    <w:rsid w:val="00FD2012"/>
    <w:rsid w:val="00FD3131"/>
    <w:rsid w:val="00FD4600"/>
    <w:rsid w:val="00FD4F06"/>
    <w:rsid w:val="00FD57E2"/>
    <w:rsid w:val="00FE2A25"/>
    <w:rsid w:val="00FE4558"/>
    <w:rsid w:val="00FE4A1F"/>
    <w:rsid w:val="00FF2609"/>
    <w:rsid w:val="00FF60CE"/>
    <w:rsid w:val="013D7CD6"/>
    <w:rsid w:val="02CA2E4F"/>
    <w:rsid w:val="038103D3"/>
    <w:rsid w:val="038424D4"/>
    <w:rsid w:val="04776AEB"/>
    <w:rsid w:val="05F1E1EF"/>
    <w:rsid w:val="084FD705"/>
    <w:rsid w:val="0CC96ACB"/>
    <w:rsid w:val="0D6AC446"/>
    <w:rsid w:val="0E6B4C17"/>
    <w:rsid w:val="113AF480"/>
    <w:rsid w:val="124169E6"/>
    <w:rsid w:val="166B6BC4"/>
    <w:rsid w:val="18AD8313"/>
    <w:rsid w:val="1ADF3F0D"/>
    <w:rsid w:val="1F4859B0"/>
    <w:rsid w:val="246F252B"/>
    <w:rsid w:val="25F28B89"/>
    <w:rsid w:val="27343708"/>
    <w:rsid w:val="289A49FF"/>
    <w:rsid w:val="2C1CC0AC"/>
    <w:rsid w:val="2C6BEBBC"/>
    <w:rsid w:val="2D1FA9C1"/>
    <w:rsid w:val="30F654AF"/>
    <w:rsid w:val="321C61FF"/>
    <w:rsid w:val="33ABD87E"/>
    <w:rsid w:val="34E27110"/>
    <w:rsid w:val="36294D33"/>
    <w:rsid w:val="376C6328"/>
    <w:rsid w:val="3897D5CF"/>
    <w:rsid w:val="3AC91759"/>
    <w:rsid w:val="3B616A23"/>
    <w:rsid w:val="3F6F53B9"/>
    <w:rsid w:val="400D84F3"/>
    <w:rsid w:val="403E4AE0"/>
    <w:rsid w:val="41039C89"/>
    <w:rsid w:val="4701EC09"/>
    <w:rsid w:val="49C78764"/>
    <w:rsid w:val="4A0640FC"/>
    <w:rsid w:val="4A876B5A"/>
    <w:rsid w:val="4D594F6D"/>
    <w:rsid w:val="5295B875"/>
    <w:rsid w:val="58D67913"/>
    <w:rsid w:val="592AA037"/>
    <w:rsid w:val="5C3BE989"/>
    <w:rsid w:val="5DBABC7A"/>
    <w:rsid w:val="5F2C6301"/>
    <w:rsid w:val="60513FCC"/>
    <w:rsid w:val="62833707"/>
    <w:rsid w:val="63CF1301"/>
    <w:rsid w:val="6565C8B1"/>
    <w:rsid w:val="6600404E"/>
    <w:rsid w:val="66856C36"/>
    <w:rsid w:val="6797C0F1"/>
    <w:rsid w:val="6CCFD9D6"/>
    <w:rsid w:val="6CD847D7"/>
    <w:rsid w:val="6CDFF1AD"/>
    <w:rsid w:val="6E640EFA"/>
    <w:rsid w:val="6F36FB63"/>
    <w:rsid w:val="712A0484"/>
    <w:rsid w:val="73943352"/>
    <w:rsid w:val="791D9F3F"/>
    <w:rsid w:val="7C9D96B8"/>
    <w:rsid w:val="7E16E2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8360"/>
  <w15:chartTrackingRefBased/>
  <w15:docId w15:val="{4A5B1B76-58D2-410F-91C8-28F9B15A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9B3"/>
    <w:pPr>
      <w:spacing w:after="160" w:line="259" w:lineRule="auto"/>
    </w:pPr>
    <w:rPr>
      <w:kern w:val="2"/>
      <w:sz w:val="22"/>
      <w:szCs w:val="22"/>
      <w:lang w:val="en-US" w:eastAsia="en-US"/>
    </w:rPr>
  </w:style>
  <w:style w:type="paragraph" w:styleId="Heading1">
    <w:name w:val="heading 1"/>
    <w:basedOn w:val="Normal"/>
    <w:next w:val="Normal"/>
    <w:link w:val="Heading1Char"/>
    <w:uiPriority w:val="2"/>
    <w:qFormat/>
    <w:rsid w:val="001A2688"/>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2"/>
    <w:unhideWhenUsed/>
    <w:qFormat/>
    <w:rsid w:val="001A2688"/>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2"/>
    <w:semiHidden/>
    <w:unhideWhenUsed/>
    <w:qFormat/>
    <w:rsid w:val="001A268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2"/>
    <w:semiHidden/>
    <w:unhideWhenUsed/>
    <w:qFormat/>
    <w:rsid w:val="001A268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2"/>
    <w:semiHidden/>
    <w:unhideWhenUsed/>
    <w:qFormat/>
    <w:rsid w:val="001A268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1A268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A268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A268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A268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2688"/>
    <w:rPr>
      <w:rFonts w:ascii="Aptos Display" w:eastAsia="Times New Roman" w:hAnsi="Aptos Display" w:cs="Times New Roman"/>
      <w:color w:val="0F4761"/>
      <w:sz w:val="40"/>
      <w:szCs w:val="40"/>
      <w:lang w:val="en-GB"/>
    </w:rPr>
  </w:style>
  <w:style w:type="character" w:customStyle="1" w:styleId="Heading2Char">
    <w:name w:val="Heading 2 Char"/>
    <w:link w:val="Heading2"/>
    <w:uiPriority w:val="9"/>
    <w:semiHidden/>
    <w:rsid w:val="001A2688"/>
    <w:rPr>
      <w:rFonts w:ascii="Aptos Display" w:eastAsia="Times New Roman" w:hAnsi="Aptos Display" w:cs="Times New Roman"/>
      <w:color w:val="0F4761"/>
      <w:sz w:val="32"/>
      <w:szCs w:val="32"/>
      <w:lang w:val="en-GB"/>
    </w:rPr>
  </w:style>
  <w:style w:type="character" w:customStyle="1" w:styleId="Heading3Char">
    <w:name w:val="Heading 3 Char"/>
    <w:link w:val="Heading3"/>
    <w:uiPriority w:val="9"/>
    <w:semiHidden/>
    <w:rsid w:val="001A2688"/>
    <w:rPr>
      <w:rFonts w:eastAsia="Times New Roman" w:cs="Times New Roman"/>
      <w:color w:val="0F4761"/>
      <w:sz w:val="28"/>
      <w:szCs w:val="28"/>
      <w:lang w:val="en-GB"/>
    </w:rPr>
  </w:style>
  <w:style w:type="character" w:customStyle="1" w:styleId="Heading4Char">
    <w:name w:val="Heading 4 Char"/>
    <w:link w:val="Heading4"/>
    <w:uiPriority w:val="9"/>
    <w:semiHidden/>
    <w:rsid w:val="001A2688"/>
    <w:rPr>
      <w:rFonts w:eastAsia="Times New Roman" w:cs="Times New Roman"/>
      <w:i/>
      <w:iCs/>
      <w:color w:val="0F4761"/>
      <w:lang w:val="en-GB"/>
    </w:rPr>
  </w:style>
  <w:style w:type="character" w:customStyle="1" w:styleId="Heading5Char">
    <w:name w:val="Heading 5 Char"/>
    <w:link w:val="Heading5"/>
    <w:uiPriority w:val="9"/>
    <w:semiHidden/>
    <w:rsid w:val="001A2688"/>
    <w:rPr>
      <w:rFonts w:eastAsia="Times New Roman" w:cs="Times New Roman"/>
      <w:color w:val="0F4761"/>
      <w:lang w:val="en-GB"/>
    </w:rPr>
  </w:style>
  <w:style w:type="character" w:customStyle="1" w:styleId="Heading6Char">
    <w:name w:val="Heading 6 Char"/>
    <w:link w:val="Heading6"/>
    <w:uiPriority w:val="9"/>
    <w:semiHidden/>
    <w:rsid w:val="001A2688"/>
    <w:rPr>
      <w:rFonts w:eastAsia="Times New Roman" w:cs="Times New Roman"/>
      <w:i/>
      <w:iCs/>
      <w:color w:val="595959"/>
      <w:lang w:val="en-GB"/>
    </w:rPr>
  </w:style>
  <w:style w:type="character" w:customStyle="1" w:styleId="Heading7Char">
    <w:name w:val="Heading 7 Char"/>
    <w:link w:val="Heading7"/>
    <w:uiPriority w:val="9"/>
    <w:semiHidden/>
    <w:rsid w:val="001A2688"/>
    <w:rPr>
      <w:rFonts w:eastAsia="Times New Roman" w:cs="Times New Roman"/>
      <w:color w:val="595959"/>
      <w:lang w:val="en-GB"/>
    </w:rPr>
  </w:style>
  <w:style w:type="character" w:customStyle="1" w:styleId="Heading8Char">
    <w:name w:val="Heading 8 Char"/>
    <w:link w:val="Heading8"/>
    <w:uiPriority w:val="9"/>
    <w:semiHidden/>
    <w:rsid w:val="001A2688"/>
    <w:rPr>
      <w:rFonts w:eastAsia="Times New Roman" w:cs="Times New Roman"/>
      <w:i/>
      <w:iCs/>
      <w:color w:val="272727"/>
      <w:lang w:val="en-GB"/>
    </w:rPr>
  </w:style>
  <w:style w:type="character" w:customStyle="1" w:styleId="Heading9Char">
    <w:name w:val="Heading 9 Char"/>
    <w:link w:val="Heading9"/>
    <w:uiPriority w:val="9"/>
    <w:semiHidden/>
    <w:rsid w:val="001A2688"/>
    <w:rPr>
      <w:rFonts w:eastAsia="Times New Roman" w:cs="Times New Roman"/>
      <w:color w:val="272727"/>
      <w:lang w:val="en-GB"/>
    </w:rPr>
  </w:style>
  <w:style w:type="paragraph" w:styleId="Title">
    <w:name w:val="Title"/>
    <w:basedOn w:val="Normal"/>
    <w:next w:val="Normal"/>
    <w:link w:val="TitleChar"/>
    <w:uiPriority w:val="10"/>
    <w:qFormat/>
    <w:rsid w:val="001A2688"/>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1A2688"/>
    <w:rPr>
      <w:rFonts w:ascii="Aptos Display" w:eastAsia="Times New Roman" w:hAnsi="Aptos Display" w:cs="Times New Roman"/>
      <w:spacing w:val="-10"/>
      <w:kern w:val="28"/>
      <w:sz w:val="56"/>
      <w:szCs w:val="56"/>
      <w:lang w:val="en-GB"/>
    </w:rPr>
  </w:style>
  <w:style w:type="paragraph" w:styleId="Subtitle">
    <w:name w:val="Subtitle"/>
    <w:basedOn w:val="Normal"/>
    <w:next w:val="Normal"/>
    <w:link w:val="SubtitleChar"/>
    <w:uiPriority w:val="11"/>
    <w:qFormat/>
    <w:rsid w:val="001A2688"/>
    <w:pPr>
      <w:numPr>
        <w:ilvl w:val="1"/>
      </w:numPr>
    </w:pPr>
    <w:rPr>
      <w:rFonts w:eastAsia="Times New Roman"/>
      <w:color w:val="595959"/>
      <w:spacing w:val="15"/>
      <w:sz w:val="28"/>
      <w:szCs w:val="28"/>
    </w:rPr>
  </w:style>
  <w:style w:type="character" w:customStyle="1" w:styleId="SubtitleChar">
    <w:name w:val="Subtitle Char"/>
    <w:link w:val="Subtitle"/>
    <w:uiPriority w:val="11"/>
    <w:rsid w:val="001A2688"/>
    <w:rPr>
      <w:rFonts w:eastAsia="Times New Roman" w:cs="Times New Roman"/>
      <w:color w:val="595959"/>
      <w:spacing w:val="15"/>
      <w:sz w:val="28"/>
      <w:szCs w:val="28"/>
      <w:lang w:val="en-GB"/>
    </w:rPr>
  </w:style>
  <w:style w:type="paragraph" w:styleId="Quote">
    <w:name w:val="Quote"/>
    <w:basedOn w:val="Normal"/>
    <w:next w:val="Normal"/>
    <w:link w:val="QuoteChar"/>
    <w:uiPriority w:val="29"/>
    <w:qFormat/>
    <w:rsid w:val="001A2688"/>
    <w:pPr>
      <w:spacing w:before="160"/>
      <w:jc w:val="center"/>
    </w:pPr>
    <w:rPr>
      <w:i/>
      <w:iCs/>
      <w:color w:val="404040"/>
    </w:rPr>
  </w:style>
  <w:style w:type="character" w:customStyle="1" w:styleId="QuoteChar">
    <w:name w:val="Quote Char"/>
    <w:link w:val="Quote"/>
    <w:uiPriority w:val="29"/>
    <w:rsid w:val="001A2688"/>
    <w:rPr>
      <w:i/>
      <w:iCs/>
      <w:color w:val="404040"/>
      <w:lang w:val="en-GB"/>
    </w:rPr>
  </w:style>
  <w:style w:type="paragraph" w:styleId="ListParagraph">
    <w:name w:val="List Paragraph"/>
    <w:basedOn w:val="Normal"/>
    <w:uiPriority w:val="34"/>
    <w:qFormat/>
    <w:rsid w:val="001A2688"/>
    <w:pPr>
      <w:ind w:left="720"/>
      <w:contextualSpacing/>
    </w:pPr>
  </w:style>
  <w:style w:type="character" w:styleId="IntenseEmphasis">
    <w:name w:val="Intense Emphasis"/>
    <w:uiPriority w:val="21"/>
    <w:qFormat/>
    <w:rsid w:val="001A2688"/>
    <w:rPr>
      <w:i/>
      <w:iCs/>
      <w:color w:val="0F4761"/>
    </w:rPr>
  </w:style>
  <w:style w:type="paragraph" w:styleId="IntenseQuote">
    <w:name w:val="Intense Quote"/>
    <w:basedOn w:val="Normal"/>
    <w:next w:val="Normal"/>
    <w:link w:val="IntenseQuoteChar"/>
    <w:uiPriority w:val="30"/>
    <w:qFormat/>
    <w:rsid w:val="001A268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1A2688"/>
    <w:rPr>
      <w:i/>
      <w:iCs/>
      <w:color w:val="0F4761"/>
      <w:lang w:val="en-GB"/>
    </w:rPr>
  </w:style>
  <w:style w:type="character" w:styleId="IntenseReference">
    <w:name w:val="Intense Reference"/>
    <w:uiPriority w:val="32"/>
    <w:qFormat/>
    <w:rsid w:val="001A2688"/>
    <w:rPr>
      <w:b/>
      <w:bCs/>
      <w:smallCaps/>
      <w:color w:val="0F4761"/>
      <w:spacing w:val="5"/>
    </w:rPr>
  </w:style>
  <w:style w:type="character" w:styleId="CommentReference">
    <w:name w:val="annotation reference"/>
    <w:uiPriority w:val="99"/>
    <w:semiHidden/>
    <w:unhideWhenUsed/>
    <w:rsid w:val="00B143D0"/>
    <w:rPr>
      <w:sz w:val="16"/>
      <w:szCs w:val="16"/>
    </w:rPr>
  </w:style>
  <w:style w:type="paragraph" w:styleId="CommentText">
    <w:name w:val="annotation text"/>
    <w:basedOn w:val="Normal"/>
    <w:link w:val="CommentTextChar"/>
    <w:uiPriority w:val="99"/>
    <w:unhideWhenUsed/>
    <w:rsid w:val="00892A41"/>
    <w:pPr>
      <w:spacing w:line="240" w:lineRule="auto"/>
    </w:pPr>
    <w:rPr>
      <w:sz w:val="20"/>
      <w:szCs w:val="20"/>
    </w:rPr>
  </w:style>
  <w:style w:type="character" w:customStyle="1" w:styleId="CommentTextChar">
    <w:name w:val="Comment Text Char"/>
    <w:link w:val="CommentText"/>
    <w:uiPriority w:val="99"/>
    <w:rsid w:val="00B143D0"/>
    <w:rPr>
      <w:sz w:val="20"/>
      <w:szCs w:val="20"/>
      <w:lang w:val="en-GB"/>
    </w:rPr>
  </w:style>
  <w:style w:type="paragraph" w:styleId="CommentSubject">
    <w:name w:val="annotation subject"/>
    <w:basedOn w:val="CommentText"/>
    <w:next w:val="CommentText"/>
    <w:link w:val="CommentSubjectChar"/>
    <w:uiPriority w:val="99"/>
    <w:semiHidden/>
    <w:unhideWhenUsed/>
    <w:rsid w:val="00DE3B1D"/>
    <w:rPr>
      <w:b/>
      <w:bCs/>
    </w:rPr>
  </w:style>
  <w:style w:type="character" w:customStyle="1" w:styleId="CommentSubjectChar">
    <w:name w:val="Comment Subject Char"/>
    <w:link w:val="CommentSubject"/>
    <w:uiPriority w:val="99"/>
    <w:semiHidden/>
    <w:rsid w:val="00DE3B1D"/>
    <w:rPr>
      <w:b/>
      <w:bCs/>
      <w:sz w:val="20"/>
      <w:szCs w:val="20"/>
      <w:lang w:val="en-GB"/>
    </w:rPr>
  </w:style>
  <w:style w:type="character" w:styleId="Hyperlink">
    <w:name w:val="Hyperlink"/>
    <w:uiPriority w:val="99"/>
    <w:unhideWhenUsed/>
    <w:rsid w:val="00224B1E"/>
    <w:rPr>
      <w:color w:val="467886"/>
      <w:u w:val="single"/>
    </w:rPr>
  </w:style>
  <w:style w:type="character" w:customStyle="1" w:styleId="UnresolvedMention">
    <w:name w:val="Unresolved Mention"/>
    <w:uiPriority w:val="99"/>
    <w:semiHidden/>
    <w:unhideWhenUsed/>
    <w:rsid w:val="00224B1E"/>
    <w:rPr>
      <w:color w:val="605E5C"/>
      <w:shd w:val="clear" w:color="auto" w:fill="E1DFDD"/>
    </w:rPr>
  </w:style>
  <w:style w:type="character" w:styleId="LineNumber">
    <w:name w:val="line number"/>
    <w:basedOn w:val="DefaultParagraphFont"/>
    <w:uiPriority w:val="99"/>
    <w:semiHidden/>
    <w:unhideWhenUsed/>
    <w:rsid w:val="009C6147"/>
  </w:style>
  <w:style w:type="paragraph" w:styleId="Revision">
    <w:name w:val="Revision"/>
    <w:hidden/>
    <w:uiPriority w:val="99"/>
    <w:semiHidden/>
    <w:rsid w:val="00892A41"/>
    <w:rPr>
      <w:kern w:val="2"/>
      <w:sz w:val="22"/>
      <w:szCs w:val="22"/>
      <w:lang w:val="en-GB" w:eastAsia="en-US"/>
    </w:rPr>
  </w:style>
  <w:style w:type="paragraph" w:styleId="Header">
    <w:name w:val="header"/>
    <w:basedOn w:val="Normal"/>
    <w:link w:val="HeaderChar"/>
    <w:uiPriority w:val="99"/>
    <w:unhideWhenUsed/>
    <w:rsid w:val="00892A41"/>
    <w:pPr>
      <w:tabs>
        <w:tab w:val="center" w:pos="4513"/>
        <w:tab w:val="right" w:pos="9026"/>
      </w:tabs>
      <w:spacing w:after="0" w:line="240" w:lineRule="auto"/>
    </w:pPr>
  </w:style>
  <w:style w:type="character" w:customStyle="1" w:styleId="HeaderChar">
    <w:name w:val="Header Char"/>
    <w:link w:val="Header"/>
    <w:uiPriority w:val="99"/>
    <w:rsid w:val="00892A41"/>
    <w:rPr>
      <w:lang w:val="en-GB"/>
    </w:rPr>
  </w:style>
  <w:style w:type="paragraph" w:styleId="Footer">
    <w:name w:val="footer"/>
    <w:basedOn w:val="Normal"/>
    <w:link w:val="FooterChar"/>
    <w:uiPriority w:val="99"/>
    <w:unhideWhenUsed/>
    <w:rsid w:val="00892A41"/>
    <w:pPr>
      <w:tabs>
        <w:tab w:val="center" w:pos="4513"/>
        <w:tab w:val="right" w:pos="9026"/>
      </w:tabs>
      <w:spacing w:after="0" w:line="240" w:lineRule="auto"/>
    </w:pPr>
  </w:style>
  <w:style w:type="character" w:customStyle="1" w:styleId="FooterChar">
    <w:name w:val="Footer Char"/>
    <w:link w:val="Footer"/>
    <w:uiPriority w:val="99"/>
    <w:rsid w:val="00892A41"/>
    <w:rPr>
      <w:lang w:val="en-GB"/>
    </w:rPr>
  </w:style>
  <w:style w:type="table" w:styleId="TableGrid">
    <w:name w:val="Table Grid"/>
    <w:basedOn w:val="TableNormal"/>
    <w:uiPriority w:val="39"/>
    <w:rsid w:val="00FF2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56835"/>
    <w:pPr>
      <w:spacing w:after="200" w:line="240" w:lineRule="auto"/>
    </w:pPr>
    <w:rPr>
      <w:i/>
      <w:iCs/>
      <w:color w:val="0E2841"/>
      <w:sz w:val="18"/>
      <w:szCs w:val="18"/>
    </w:rPr>
  </w:style>
  <w:style w:type="paragraph" w:styleId="NoSpacing">
    <w:name w:val="No Spacing"/>
    <w:uiPriority w:val="1"/>
    <w:qFormat/>
    <w:rsid w:val="00056835"/>
    <w:rPr>
      <w:kern w:val="2"/>
      <w:sz w:val="22"/>
      <w:szCs w:val="22"/>
      <w:lang w:val="en-GB" w:eastAsia="en-US"/>
    </w:rPr>
  </w:style>
  <w:style w:type="paragraph" w:styleId="Bibliography">
    <w:name w:val="Bibliography"/>
    <w:basedOn w:val="Normal"/>
    <w:next w:val="Normal"/>
    <w:uiPriority w:val="37"/>
    <w:semiHidden/>
    <w:unhideWhenUsed/>
    <w:rsid w:val="00056835"/>
  </w:style>
  <w:style w:type="paragraph" w:customStyle="1" w:styleId="SupplementaryMaterial">
    <w:name w:val="Supplementary Material"/>
    <w:basedOn w:val="Title"/>
    <w:next w:val="Title"/>
    <w:qFormat/>
    <w:rsid w:val="00056835"/>
    <w:pPr>
      <w:suppressLineNumbers/>
      <w:spacing w:before="240" w:after="120"/>
      <w:contextualSpacing w:val="0"/>
      <w:jc w:val="center"/>
    </w:pPr>
    <w:rPr>
      <w:rFonts w:ascii="Times New Roman" w:eastAsia="Calibri" w:hAnsi="Times New Roman"/>
      <w:b/>
      <w:i/>
      <w:spacing w:val="0"/>
      <w:kern w:val="0"/>
      <w:sz w:val="32"/>
      <w:szCs w:val="32"/>
    </w:rPr>
  </w:style>
  <w:style w:type="numbering" w:customStyle="1" w:styleId="Headings">
    <w:name w:val="Headings"/>
    <w:uiPriority w:val="99"/>
    <w:rsid w:val="00056835"/>
    <w:pPr>
      <w:numPr>
        <w:numId w:val="5"/>
      </w:numPr>
    </w:pPr>
  </w:style>
  <w:style w:type="paragraph" w:styleId="NormalWeb">
    <w:name w:val="Normal (Web)"/>
    <w:basedOn w:val="Normal"/>
    <w:uiPriority w:val="99"/>
    <w:semiHidden/>
    <w:unhideWhenUsed/>
    <w:rsid w:val="00056D8A"/>
    <w:rPr>
      <w:rFonts w:ascii="Times New Roman" w:hAnsi="Times New Roman"/>
      <w:sz w:val="24"/>
      <w:szCs w:val="24"/>
    </w:rPr>
  </w:style>
  <w:style w:type="paragraph" w:styleId="FootnoteText">
    <w:name w:val="footnote text"/>
    <w:basedOn w:val="Normal"/>
    <w:link w:val="FootnoteTextChar"/>
    <w:uiPriority w:val="99"/>
    <w:semiHidden/>
    <w:unhideWhenUsed/>
    <w:rsid w:val="00DF32F8"/>
    <w:pPr>
      <w:spacing w:after="0" w:line="240" w:lineRule="auto"/>
    </w:pPr>
    <w:rPr>
      <w:sz w:val="20"/>
      <w:szCs w:val="20"/>
    </w:rPr>
  </w:style>
  <w:style w:type="character" w:customStyle="1" w:styleId="FootnoteTextChar">
    <w:name w:val="Footnote Text Char"/>
    <w:link w:val="FootnoteText"/>
    <w:uiPriority w:val="99"/>
    <w:semiHidden/>
    <w:rsid w:val="00DF32F8"/>
    <w:rPr>
      <w:kern w:val="2"/>
      <w:lang w:val="en-US" w:eastAsia="en-US"/>
    </w:rPr>
  </w:style>
  <w:style w:type="character" w:styleId="FootnoteReference">
    <w:name w:val="footnote reference"/>
    <w:uiPriority w:val="99"/>
    <w:semiHidden/>
    <w:unhideWhenUsed/>
    <w:rsid w:val="00DF3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25568">
      <w:bodyDiv w:val="1"/>
      <w:marLeft w:val="0"/>
      <w:marRight w:val="0"/>
      <w:marTop w:val="0"/>
      <w:marBottom w:val="0"/>
      <w:divBdr>
        <w:top w:val="none" w:sz="0" w:space="0" w:color="auto"/>
        <w:left w:val="none" w:sz="0" w:space="0" w:color="auto"/>
        <w:bottom w:val="none" w:sz="0" w:space="0" w:color="auto"/>
        <w:right w:val="none" w:sz="0" w:space="0" w:color="auto"/>
      </w:divBdr>
    </w:div>
    <w:div w:id="235363957">
      <w:bodyDiv w:val="1"/>
      <w:marLeft w:val="0"/>
      <w:marRight w:val="0"/>
      <w:marTop w:val="0"/>
      <w:marBottom w:val="0"/>
      <w:divBdr>
        <w:top w:val="none" w:sz="0" w:space="0" w:color="auto"/>
        <w:left w:val="none" w:sz="0" w:space="0" w:color="auto"/>
        <w:bottom w:val="none" w:sz="0" w:space="0" w:color="auto"/>
        <w:right w:val="none" w:sz="0" w:space="0" w:color="auto"/>
      </w:divBdr>
    </w:div>
    <w:div w:id="333344130">
      <w:bodyDiv w:val="1"/>
      <w:marLeft w:val="0"/>
      <w:marRight w:val="0"/>
      <w:marTop w:val="0"/>
      <w:marBottom w:val="0"/>
      <w:divBdr>
        <w:top w:val="none" w:sz="0" w:space="0" w:color="auto"/>
        <w:left w:val="none" w:sz="0" w:space="0" w:color="auto"/>
        <w:bottom w:val="none" w:sz="0" w:space="0" w:color="auto"/>
        <w:right w:val="none" w:sz="0" w:space="0" w:color="auto"/>
      </w:divBdr>
    </w:div>
    <w:div w:id="447117865">
      <w:bodyDiv w:val="1"/>
      <w:marLeft w:val="0"/>
      <w:marRight w:val="0"/>
      <w:marTop w:val="0"/>
      <w:marBottom w:val="0"/>
      <w:divBdr>
        <w:top w:val="none" w:sz="0" w:space="0" w:color="auto"/>
        <w:left w:val="none" w:sz="0" w:space="0" w:color="auto"/>
        <w:bottom w:val="none" w:sz="0" w:space="0" w:color="auto"/>
        <w:right w:val="none" w:sz="0" w:space="0" w:color="auto"/>
      </w:divBdr>
    </w:div>
    <w:div w:id="679696774">
      <w:bodyDiv w:val="1"/>
      <w:marLeft w:val="0"/>
      <w:marRight w:val="0"/>
      <w:marTop w:val="0"/>
      <w:marBottom w:val="0"/>
      <w:divBdr>
        <w:top w:val="none" w:sz="0" w:space="0" w:color="auto"/>
        <w:left w:val="none" w:sz="0" w:space="0" w:color="auto"/>
        <w:bottom w:val="none" w:sz="0" w:space="0" w:color="auto"/>
        <w:right w:val="none" w:sz="0" w:space="0" w:color="auto"/>
      </w:divBdr>
    </w:div>
    <w:div w:id="732654273">
      <w:bodyDiv w:val="1"/>
      <w:marLeft w:val="0"/>
      <w:marRight w:val="0"/>
      <w:marTop w:val="0"/>
      <w:marBottom w:val="0"/>
      <w:divBdr>
        <w:top w:val="none" w:sz="0" w:space="0" w:color="auto"/>
        <w:left w:val="none" w:sz="0" w:space="0" w:color="auto"/>
        <w:bottom w:val="none" w:sz="0" w:space="0" w:color="auto"/>
        <w:right w:val="none" w:sz="0" w:space="0" w:color="auto"/>
      </w:divBdr>
    </w:div>
    <w:div w:id="813063554">
      <w:bodyDiv w:val="1"/>
      <w:marLeft w:val="0"/>
      <w:marRight w:val="0"/>
      <w:marTop w:val="0"/>
      <w:marBottom w:val="0"/>
      <w:divBdr>
        <w:top w:val="none" w:sz="0" w:space="0" w:color="auto"/>
        <w:left w:val="none" w:sz="0" w:space="0" w:color="auto"/>
        <w:bottom w:val="none" w:sz="0" w:space="0" w:color="auto"/>
        <w:right w:val="none" w:sz="0" w:space="0" w:color="auto"/>
      </w:divBdr>
    </w:div>
    <w:div w:id="914822692">
      <w:bodyDiv w:val="1"/>
      <w:marLeft w:val="0"/>
      <w:marRight w:val="0"/>
      <w:marTop w:val="0"/>
      <w:marBottom w:val="0"/>
      <w:divBdr>
        <w:top w:val="none" w:sz="0" w:space="0" w:color="auto"/>
        <w:left w:val="none" w:sz="0" w:space="0" w:color="auto"/>
        <w:bottom w:val="none" w:sz="0" w:space="0" w:color="auto"/>
        <w:right w:val="none" w:sz="0" w:space="0" w:color="auto"/>
      </w:divBdr>
    </w:div>
    <w:div w:id="1345397645">
      <w:bodyDiv w:val="1"/>
      <w:marLeft w:val="0"/>
      <w:marRight w:val="0"/>
      <w:marTop w:val="0"/>
      <w:marBottom w:val="0"/>
      <w:divBdr>
        <w:top w:val="none" w:sz="0" w:space="0" w:color="auto"/>
        <w:left w:val="none" w:sz="0" w:space="0" w:color="auto"/>
        <w:bottom w:val="none" w:sz="0" w:space="0" w:color="auto"/>
        <w:right w:val="none" w:sz="0" w:space="0" w:color="auto"/>
      </w:divBdr>
    </w:div>
    <w:div w:id="1425373804">
      <w:bodyDiv w:val="1"/>
      <w:marLeft w:val="0"/>
      <w:marRight w:val="0"/>
      <w:marTop w:val="0"/>
      <w:marBottom w:val="0"/>
      <w:divBdr>
        <w:top w:val="none" w:sz="0" w:space="0" w:color="auto"/>
        <w:left w:val="none" w:sz="0" w:space="0" w:color="auto"/>
        <w:bottom w:val="none" w:sz="0" w:space="0" w:color="auto"/>
        <w:right w:val="none" w:sz="0" w:space="0" w:color="auto"/>
      </w:divBdr>
    </w:div>
    <w:div w:id="1501920097">
      <w:bodyDiv w:val="1"/>
      <w:marLeft w:val="0"/>
      <w:marRight w:val="0"/>
      <w:marTop w:val="0"/>
      <w:marBottom w:val="0"/>
      <w:divBdr>
        <w:top w:val="none" w:sz="0" w:space="0" w:color="auto"/>
        <w:left w:val="none" w:sz="0" w:space="0" w:color="auto"/>
        <w:bottom w:val="none" w:sz="0" w:space="0" w:color="auto"/>
        <w:right w:val="none" w:sz="0" w:space="0" w:color="auto"/>
      </w:divBdr>
    </w:div>
    <w:div w:id="1533108092">
      <w:bodyDiv w:val="1"/>
      <w:marLeft w:val="0"/>
      <w:marRight w:val="0"/>
      <w:marTop w:val="0"/>
      <w:marBottom w:val="0"/>
      <w:divBdr>
        <w:top w:val="none" w:sz="0" w:space="0" w:color="auto"/>
        <w:left w:val="none" w:sz="0" w:space="0" w:color="auto"/>
        <w:bottom w:val="none" w:sz="0" w:space="0" w:color="auto"/>
        <w:right w:val="none" w:sz="0" w:space="0" w:color="auto"/>
      </w:divBdr>
    </w:div>
    <w:div w:id="1540430530">
      <w:bodyDiv w:val="1"/>
      <w:marLeft w:val="0"/>
      <w:marRight w:val="0"/>
      <w:marTop w:val="0"/>
      <w:marBottom w:val="0"/>
      <w:divBdr>
        <w:top w:val="none" w:sz="0" w:space="0" w:color="auto"/>
        <w:left w:val="none" w:sz="0" w:space="0" w:color="auto"/>
        <w:bottom w:val="none" w:sz="0" w:space="0" w:color="auto"/>
        <w:right w:val="none" w:sz="0" w:space="0" w:color="auto"/>
      </w:divBdr>
    </w:div>
    <w:div w:id="1706444377">
      <w:bodyDiv w:val="1"/>
      <w:marLeft w:val="0"/>
      <w:marRight w:val="0"/>
      <w:marTop w:val="0"/>
      <w:marBottom w:val="0"/>
      <w:divBdr>
        <w:top w:val="none" w:sz="0" w:space="0" w:color="auto"/>
        <w:left w:val="none" w:sz="0" w:space="0" w:color="auto"/>
        <w:bottom w:val="none" w:sz="0" w:space="0" w:color="auto"/>
        <w:right w:val="none" w:sz="0" w:space="0" w:color="auto"/>
      </w:divBdr>
    </w:div>
    <w:div w:id="1844591210">
      <w:bodyDiv w:val="1"/>
      <w:marLeft w:val="0"/>
      <w:marRight w:val="0"/>
      <w:marTop w:val="0"/>
      <w:marBottom w:val="0"/>
      <w:divBdr>
        <w:top w:val="none" w:sz="0" w:space="0" w:color="auto"/>
        <w:left w:val="none" w:sz="0" w:space="0" w:color="auto"/>
        <w:bottom w:val="none" w:sz="0" w:space="0" w:color="auto"/>
        <w:right w:val="none" w:sz="0" w:space="0" w:color="auto"/>
      </w:divBdr>
    </w:div>
    <w:div w:id="1880167830">
      <w:bodyDiv w:val="1"/>
      <w:marLeft w:val="0"/>
      <w:marRight w:val="0"/>
      <w:marTop w:val="0"/>
      <w:marBottom w:val="0"/>
      <w:divBdr>
        <w:top w:val="none" w:sz="0" w:space="0" w:color="auto"/>
        <w:left w:val="none" w:sz="0" w:space="0" w:color="auto"/>
        <w:bottom w:val="none" w:sz="0" w:space="0" w:color="auto"/>
        <w:right w:val="none" w:sz="0" w:space="0" w:color="auto"/>
      </w:divBdr>
    </w:div>
    <w:div w:id="1886209812">
      <w:bodyDiv w:val="1"/>
      <w:marLeft w:val="0"/>
      <w:marRight w:val="0"/>
      <w:marTop w:val="0"/>
      <w:marBottom w:val="0"/>
      <w:divBdr>
        <w:top w:val="none" w:sz="0" w:space="0" w:color="auto"/>
        <w:left w:val="none" w:sz="0" w:space="0" w:color="auto"/>
        <w:bottom w:val="none" w:sz="0" w:space="0" w:color="auto"/>
        <w:right w:val="none" w:sz="0" w:space="0" w:color="auto"/>
      </w:divBdr>
    </w:div>
    <w:div w:id="1905093933">
      <w:bodyDiv w:val="1"/>
      <w:marLeft w:val="0"/>
      <w:marRight w:val="0"/>
      <w:marTop w:val="0"/>
      <w:marBottom w:val="0"/>
      <w:divBdr>
        <w:top w:val="none" w:sz="0" w:space="0" w:color="auto"/>
        <w:left w:val="none" w:sz="0" w:space="0" w:color="auto"/>
        <w:bottom w:val="none" w:sz="0" w:space="0" w:color="auto"/>
        <w:right w:val="none" w:sz="0" w:space="0" w:color="auto"/>
      </w:divBdr>
    </w:div>
    <w:div w:id="1956401046">
      <w:bodyDiv w:val="1"/>
      <w:marLeft w:val="0"/>
      <w:marRight w:val="0"/>
      <w:marTop w:val="0"/>
      <w:marBottom w:val="0"/>
      <w:divBdr>
        <w:top w:val="none" w:sz="0" w:space="0" w:color="auto"/>
        <w:left w:val="none" w:sz="0" w:space="0" w:color="auto"/>
        <w:bottom w:val="none" w:sz="0" w:space="0" w:color="auto"/>
        <w:right w:val="none" w:sz="0" w:space="0" w:color="auto"/>
      </w:divBdr>
    </w:div>
    <w:div w:id="2056738122">
      <w:bodyDiv w:val="1"/>
      <w:marLeft w:val="0"/>
      <w:marRight w:val="0"/>
      <w:marTop w:val="0"/>
      <w:marBottom w:val="0"/>
      <w:divBdr>
        <w:top w:val="none" w:sz="0" w:space="0" w:color="auto"/>
        <w:left w:val="none" w:sz="0" w:space="0" w:color="auto"/>
        <w:bottom w:val="none" w:sz="0" w:space="0" w:color="auto"/>
        <w:right w:val="none" w:sz="0" w:space="0" w:color="auto"/>
      </w:divBdr>
    </w:div>
    <w:div w:id="2058696803">
      <w:bodyDiv w:val="1"/>
      <w:marLeft w:val="0"/>
      <w:marRight w:val="0"/>
      <w:marTop w:val="0"/>
      <w:marBottom w:val="0"/>
      <w:divBdr>
        <w:top w:val="none" w:sz="0" w:space="0" w:color="auto"/>
        <w:left w:val="none" w:sz="0" w:space="0" w:color="auto"/>
        <w:bottom w:val="none" w:sz="0" w:space="0" w:color="auto"/>
        <w:right w:val="none" w:sz="0" w:space="0" w:color="auto"/>
      </w:divBdr>
    </w:div>
    <w:div w:id="2084259963">
      <w:bodyDiv w:val="1"/>
      <w:marLeft w:val="0"/>
      <w:marRight w:val="0"/>
      <w:marTop w:val="0"/>
      <w:marBottom w:val="0"/>
      <w:divBdr>
        <w:top w:val="none" w:sz="0" w:space="0" w:color="auto"/>
        <w:left w:val="none" w:sz="0" w:space="0" w:color="auto"/>
        <w:bottom w:val="none" w:sz="0" w:space="0" w:color="auto"/>
        <w:right w:val="none" w:sz="0" w:space="0" w:color="auto"/>
      </w:divBdr>
    </w:div>
    <w:div w:id="21418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AAAABB82DB0F478A410E41F31D2A0E" ma:contentTypeVersion="14" ma:contentTypeDescription="Create a new document." ma:contentTypeScope="" ma:versionID="b093c99d2bf40a855ec4e557f8fbdba2">
  <xsd:schema xmlns:xsd="http://www.w3.org/2001/XMLSchema" xmlns:xs="http://www.w3.org/2001/XMLSchema" xmlns:p="http://schemas.microsoft.com/office/2006/metadata/properties" xmlns:ns3="50875999-c1ca-4779-a8e4-212b8a1bbe64" xmlns:ns4="251dec6a-22e2-49f3-86cb-aba7220c94be" targetNamespace="http://schemas.microsoft.com/office/2006/metadata/properties" ma:root="true" ma:fieldsID="c53c68165b68d80665927cc35c0688cf" ns3:_="" ns4:_="">
    <xsd:import namespace="50875999-c1ca-4779-a8e4-212b8a1bbe64"/>
    <xsd:import namespace="251dec6a-22e2-49f3-86cb-aba7220c94be"/>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GenerationTime" minOccurs="0"/>
                <xsd:element ref="ns3:MediaServiceEventHashCode" minOccurs="0"/>
                <xsd:element ref="ns3:MediaServiceDateTaken" minOccurs="0"/>
                <xsd:element ref="ns3:MediaServiceSystemTags"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75999-c1ca-4779-a8e4-212b8a1bb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1dec6a-22e2-49f3-86cb-aba7220c94b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0875999-c1ca-4779-a8e4-212b8a1bbe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AAAABB82DB0F478A410E41F31D2A0E" ma:contentTypeVersion="14" ma:contentTypeDescription="Create a new document." ma:contentTypeScope="" ma:versionID="b093c99d2bf40a855ec4e557f8fbdba2">
  <xsd:schema xmlns:xsd="http://www.w3.org/2001/XMLSchema" xmlns:xs="http://www.w3.org/2001/XMLSchema" xmlns:p="http://schemas.microsoft.com/office/2006/metadata/properties" xmlns:ns3="50875999-c1ca-4779-a8e4-212b8a1bbe64" xmlns:ns4="251dec6a-22e2-49f3-86cb-aba7220c94be" targetNamespace="http://schemas.microsoft.com/office/2006/metadata/properties" ma:root="true" ma:fieldsID="c53c68165b68d80665927cc35c0688cf" ns3:_="" ns4:_="">
    <xsd:import namespace="50875999-c1ca-4779-a8e4-212b8a1bbe64"/>
    <xsd:import namespace="251dec6a-22e2-49f3-86cb-aba7220c94be"/>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GenerationTime" minOccurs="0"/>
                <xsd:element ref="ns3:MediaServiceEventHashCode" minOccurs="0"/>
                <xsd:element ref="ns3:MediaServiceDateTaken" minOccurs="0"/>
                <xsd:element ref="ns3:MediaServiceSystemTags"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75999-c1ca-4779-a8e4-212b8a1bb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1dec6a-22e2-49f3-86cb-aba7220c94b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20A56-97DA-4533-B492-3E28378A5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75999-c1ca-4779-a8e4-212b8a1bbe64"/>
    <ds:schemaRef ds:uri="251dec6a-22e2-49f3-86cb-aba7220c9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CA347-5A59-4820-824E-CF5C1A94C86C}">
  <ds:schemaRefs>
    <ds:schemaRef ds:uri="http://schemas.microsoft.com/office/2006/metadata/properties"/>
    <ds:schemaRef ds:uri="http://schemas.microsoft.com/office/infopath/2007/PartnerControls"/>
    <ds:schemaRef ds:uri="50875999-c1ca-4779-a8e4-212b8a1bbe64"/>
  </ds:schemaRefs>
</ds:datastoreItem>
</file>

<file path=customXml/itemProps3.xml><?xml version="1.0" encoding="utf-8"?>
<ds:datastoreItem xmlns:ds="http://schemas.openxmlformats.org/officeDocument/2006/customXml" ds:itemID="{1E8905F7-2B3F-4DD7-8E03-9DD4667D8681}">
  <ds:schemaRefs>
    <ds:schemaRef ds:uri="http://schemas.microsoft.com/sharepoint/v3/contenttype/forms"/>
  </ds:schemaRefs>
</ds:datastoreItem>
</file>

<file path=customXml/itemProps4.xml><?xml version="1.0" encoding="utf-8"?>
<ds:datastoreItem xmlns:ds="http://schemas.openxmlformats.org/officeDocument/2006/customXml" ds:itemID="{8B64BDDD-EB67-44A2-9B38-1A24CC114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75999-c1ca-4779-a8e4-212b8a1bbe64"/>
    <ds:schemaRef ds:uri="251dec6a-22e2-49f3-86cb-aba7220c9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EE3BC6-E1A2-4939-80D9-B8B595B511C4}">
  <ds:schemaRefs>
    <ds:schemaRef ds:uri="http://schemas.microsoft.com/sharepoint/v3/contenttype/forms"/>
  </ds:schemaRefs>
</ds:datastoreItem>
</file>

<file path=customXml/itemProps6.xml><?xml version="1.0" encoding="utf-8"?>
<ds:datastoreItem xmlns:ds="http://schemas.openxmlformats.org/officeDocument/2006/customXml" ds:itemID="{E7A08BAD-ECEB-40F2-B9C7-220784690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1352</TotalTime>
  <Pages>10</Pages>
  <Words>11269</Words>
  <Characters>64237</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Rajdeep Das</dc:creator>
  <cp:keywords/>
  <dc:description/>
  <cp:lastModifiedBy>Sampath Kumar, DHANALAKSHMI</cp:lastModifiedBy>
  <cp:revision>24</cp:revision>
  <cp:lastPrinted>2025-07-31T04:50:00Z</cp:lastPrinted>
  <dcterms:created xsi:type="dcterms:W3CDTF">2025-08-25T08:01:00Z</dcterms:created>
  <dcterms:modified xsi:type="dcterms:W3CDTF">2025-09-19T00:21:00Z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ContentTypeId">
    <vt:lpwstr>0x010100FEAAAABB82DB0F478A410E41F31D2A0E</vt:lpwstr>
  </property>
  <property fmtid="{D5CDD505-2E9C-101B-9397-08002B2CF9AE}" pid="23" name="MSIP_Label_defa4170-0d19-0005-0004-bc88714345d2_Enabled">
    <vt:lpwstr>true</vt:lpwstr>
  </property>
  <property fmtid="{D5CDD505-2E9C-101B-9397-08002B2CF9AE}" pid="24" name="MSIP_Label_defa4170-0d19-0005-0004-bc88714345d2_SetDate">
    <vt:lpwstr>2025-07-08T04:34:10Z</vt:lpwstr>
  </property>
  <property fmtid="{D5CDD505-2E9C-101B-9397-08002B2CF9AE}" pid="25" name="MSIP_Label_defa4170-0d19-0005-0004-bc88714345d2_Method">
    <vt:lpwstr>Standard</vt:lpwstr>
  </property>
  <property fmtid="{D5CDD505-2E9C-101B-9397-08002B2CF9AE}" pid="26" name="MSIP_Label_defa4170-0d19-0005-0004-bc88714345d2_Name">
    <vt:lpwstr>defa4170-0d19-0005-0004-bc88714345d2</vt:lpwstr>
  </property>
  <property fmtid="{D5CDD505-2E9C-101B-9397-08002B2CF9AE}" pid="27" name="MSIP_Label_defa4170-0d19-0005-0004-bc88714345d2_SiteId">
    <vt:lpwstr>2155cc97-ff7d-4455-9029-b421152cde0c</vt:lpwstr>
  </property>
  <property fmtid="{D5CDD505-2E9C-101B-9397-08002B2CF9AE}" pid="28" name="MSIP_Label_defa4170-0d19-0005-0004-bc88714345d2_ActionId">
    <vt:lpwstr>91c65b03-b480-4502-ab29-2d0d681aea21</vt:lpwstr>
  </property>
  <property fmtid="{D5CDD505-2E9C-101B-9397-08002B2CF9AE}" pid="29" name="MSIP_Label_defa4170-0d19-0005-0004-bc88714345d2_ContentBits">
    <vt:lpwstr>0</vt:lpwstr>
  </property>
  <property fmtid="{D5CDD505-2E9C-101B-9397-08002B2CF9AE}" pid="30" name="MSIP_Label_defa4170-0d19-0005-0004-bc88714345d2_Tag">
    <vt:lpwstr>10, 3, 0, 1</vt:lpwstr>
  </property>
</Properties>
</file>