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>Neutrophil Extracellular Trap-Related Genes in NAFLD: Biomarkers and Therapeutic Targets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Huajing Rao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vertAlign w:val="superscript"/>
          <w:lang w:val="en-US" w:eastAsia="zh-CN" w:bidi="ar-SA"/>
        </w:rPr>
        <w:t>1</w:t>
      </w:r>
      <w:r>
        <w:rPr>
          <w:rFonts w:hint="default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, Juan Chen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vertAlign w:val="superscript"/>
          <w:lang w:val="en-US" w:eastAsia="zh-CN" w:bidi="ar-SA"/>
        </w:rPr>
        <w:t>2</w:t>
      </w:r>
      <w:r>
        <w:rPr>
          <w:rFonts w:hint="default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>Yongcheng Chen</w:t>
      </w:r>
      <w:r>
        <w:rPr>
          <w:rFonts w:hint="default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1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and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Jinfeng Jiang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vertAlign w:val="superscript"/>
          <w:lang w:val="en-US" w:eastAsia="zh-CN" w:bidi="ar-SA"/>
        </w:rPr>
        <w:t xml:space="preserve">1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 xml:space="preserve">*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i w:val="0"/>
          <w:strike w:val="0"/>
          <w:color w:val="auto"/>
          <w:sz w:val="20"/>
          <w:szCs w:val="20"/>
          <w:u w:val="none"/>
        </w:rPr>
      </w:pPr>
      <w:r>
        <w:rPr>
          <w:rFonts w:hint="default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1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Emergency Internal Medicine, Fuzhou First General Hospita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l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Affiliated with Fujian Medical Universi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>ty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 xml:space="preserve">, Fuzhou, Fujian, China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vertAlign w:val="superscript"/>
          <w:lang w:val="en-US" w:eastAsia="zh-CN" w:bidi="ar-SA"/>
        </w:rPr>
        <w:t>2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Department of Gastroenterology, Fuzhou University Affiliated Provincial Hospital, Fuzhou, Fujian, China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vertAlign w:val="superscript"/>
          <w:lang w:val="en-US" w:eastAsia="zh-CN" w:bidi="ar-SA"/>
        </w:rPr>
        <w:t>+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Huajing Rao and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Juan Chen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: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These authors contributed equally to this work and share first authorship.</w:t>
      </w: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 xml:space="preserve">*Corresponding Author: Jinfeng Jiang; Fax: 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0591-88301693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; Fuzhou First General Hospita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l 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>Affiliated with Fujian Medical Universi</w:t>
      </w:r>
      <w:r>
        <w:rPr>
          <w:rFonts w:hint="default" w:ascii="Times New Roman" w:hAnsi="Times New Roman" w:cs="Times New Roman"/>
          <w:kern w:val="2"/>
          <w:sz w:val="20"/>
          <w:szCs w:val="20"/>
          <w:lang w:val="en-US" w:eastAsia="zh-CN" w:bidi="ar-SA"/>
        </w:rPr>
        <w:t>ty</w:t>
      </w:r>
      <w:r>
        <w:rPr>
          <w:rFonts w:hint="default" w:ascii="Times New Roman" w:hAnsi="Times New Roman" w:cs="Times New Roman" w:eastAsiaTheme="minorEastAsia"/>
          <w:kern w:val="2"/>
          <w:sz w:val="20"/>
          <w:szCs w:val="20"/>
          <w:lang w:val="en-US" w:eastAsia="zh-CN" w:bidi="ar-SA"/>
        </w:rPr>
        <w:t xml:space="preserve">, Fuzhou, Fujian, 350000, China; Email:jjf304@fjmu.edu.cn </w:t>
      </w:r>
    </w:p>
    <w:p>
      <w:pPr>
        <w:numPr>
          <w:ilvl w:val="2"/>
          <w:numId w:val="0"/>
        </w:numPr>
        <w:spacing w:line="360" w:lineRule="auto"/>
        <w:jc w:val="center"/>
        <w:outlineLvl w:val="1"/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</w:pPr>
    </w:p>
    <w:p>
      <w:pPr>
        <w:numPr>
          <w:ilvl w:val="2"/>
          <w:numId w:val="0"/>
        </w:num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bCs/>
          <w:sz w:val="20"/>
          <w:szCs w:val="20"/>
        </w:rPr>
      </w:pPr>
      <w:bookmarkStart w:id="0" w:name="OLE_LINK2"/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 xml:space="preserve">Table 1 </w:t>
      </w:r>
      <w:bookmarkEnd w:id="0"/>
      <w:r>
        <w:rPr>
          <w:rFonts w:hint="default" w:ascii="Times New Roman" w:hAnsi="Times New Roman" w:eastAsia="宋体" w:cs="Times New Roman"/>
          <w:b/>
          <w:bCs/>
          <w:sz w:val="20"/>
          <w:szCs w:val="20"/>
        </w:rPr>
        <w:t>GEO Microarray Chip Information</w:t>
      </w:r>
    </w:p>
    <w:tbl>
      <w:tblPr>
        <w:tblStyle w:val="2"/>
        <w:tblW w:w="4842" w:type="pct"/>
        <w:tblInd w:w="1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4"/>
        <w:gridCol w:w="1932"/>
        <w:gridCol w:w="1932"/>
        <w:gridCol w:w="19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4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17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GSE89632</w:t>
            </w:r>
          </w:p>
        </w:tc>
        <w:tc>
          <w:tcPr>
            <w:tcW w:w="117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GSE37031</w:t>
            </w:r>
          </w:p>
        </w:tc>
        <w:tc>
          <w:tcPr>
            <w:tcW w:w="117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GSE48452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48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Platform</w:t>
            </w:r>
          </w:p>
        </w:tc>
        <w:tc>
          <w:tcPr>
            <w:tcW w:w="117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GPL14951</w:t>
            </w:r>
          </w:p>
        </w:tc>
        <w:tc>
          <w:tcPr>
            <w:tcW w:w="1170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GPL14877</w:t>
            </w:r>
          </w:p>
        </w:tc>
        <w:tc>
          <w:tcPr>
            <w:tcW w:w="1171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GPL11532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Species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Homo sapiens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Homo sapiens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Homo sapiens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Tissue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  <w:t>Liver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  <w:t>Liver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  <w:shd w:val="clear" w:color="auto" w:fill="FFFFFF"/>
              </w:rPr>
              <w:t>Liver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Samples in NAFLD group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39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8</w:t>
            </w:r>
          </w:p>
        </w:tc>
        <w:tc>
          <w:tcPr>
            <w:tcW w:w="11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8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Samples in Control group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24</w:t>
            </w:r>
          </w:p>
        </w:tc>
        <w:tc>
          <w:tcPr>
            <w:tcW w:w="1170" w:type="pct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7</w:t>
            </w:r>
          </w:p>
        </w:tc>
        <w:tc>
          <w:tcPr>
            <w:tcW w:w="1171" w:type="pct"/>
            <w:tcBorders>
              <w:top w:val="nil"/>
              <w:left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8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Reference</w:t>
            </w:r>
          </w:p>
        </w:tc>
        <w:tc>
          <w:tcPr>
            <w:tcW w:w="117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PMID: 25581263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PMID: 35166723</w:t>
            </w:r>
          </w:p>
        </w:tc>
        <w:tc>
          <w:tcPr>
            <w:tcW w:w="1170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PMID: 23492103</w:t>
            </w:r>
          </w:p>
        </w:tc>
        <w:tc>
          <w:tcPr>
            <w:tcW w:w="1171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z w:val="20"/>
                <w:szCs w:val="20"/>
              </w:rPr>
              <w:t>PMID: 23931760</w:t>
            </w:r>
          </w:p>
        </w:tc>
      </w:tr>
    </w:tbl>
    <w:p>
      <w:pPr>
        <w:spacing w:line="360" w:lineRule="auto"/>
        <w:ind w:firstLine="708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</w:rPr>
        <w:t>GEO，Gene Expression Omnibus；NAFLD，Non-Alcoholic Fatty Liver Disease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drawing>
          <wp:inline distT="0" distB="0" distL="114300" distR="114300">
            <wp:extent cx="5268595" cy="3386455"/>
            <wp:effectExtent l="0" t="0" r="8255" b="4445"/>
            <wp:docPr id="7" name="图片 7" descr="FigS1字母小写版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S1字母小写版_3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20"/>
          <w:szCs w:val="20"/>
        </w:rPr>
      </w:pPr>
      <w:bookmarkStart w:id="1" w:name="OLE_LINK1"/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>Supplementary</w:t>
      </w:r>
      <w:bookmarkEnd w:id="1"/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/>
        </w:rPr>
        <w:t>.1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Batch Effects Removal of GSE89632, GSE37031 and GSE48452</w:t>
      </w: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(A)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Box plot showing the distribution of gene-expression values for the combined GEO data sets (GSE89632, GSE37031 and GSE48452) prior to batch-effect correction.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(B)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Box plot illustrating the distribution of gene expression across combined GEO datasets after batch effect removal.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(C)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3D PCA plot of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c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ombined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atasets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before debatching.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(D)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3D PCA plot of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ombined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atasets after debatching. PCA, Principal Component Analysis; </w:t>
      </w:r>
    </w:p>
    <w:p>
      <w:pPr>
        <w:rPr>
          <w:rFonts w:hint="default" w:ascii="Times New Roman" w:hAnsi="Times New Roman" w:cs="Times New Roman"/>
          <w:sz w:val="20"/>
          <w:szCs w:val="20"/>
        </w:rPr>
      </w:pPr>
    </w:p>
    <w:p>
      <w:pPr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line="360" w:lineRule="auto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drawing>
          <wp:inline distT="0" distB="0" distL="114300" distR="114300">
            <wp:extent cx="5269865" cy="6459855"/>
            <wp:effectExtent l="0" t="0" r="6985" b="7620"/>
            <wp:docPr id="6" name="图片 6" descr="FigS2字母小写版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S2字母小写版_3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45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200" w:firstLineChars="100"/>
        <w:jc w:val="center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lang w:val="en-US" w:eastAsia="zh-CN"/>
        </w:rPr>
        <w:t>2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 xml:space="preserve"> Differential Gene Expression Analysis and GSEA for Risk Group</w:t>
      </w:r>
    </w:p>
    <w:p>
      <w:pPr>
        <w:spacing w:line="360" w:lineRule="auto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(A)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Volcano plot of differentially expressed genes analysis between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igh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isk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l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ow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isk groups in NAFLD samples.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(B)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Heatmap of logFC ranked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t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op10 up-regulated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t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op10 down-regulated differentially expressed genes in the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igh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isk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l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ow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isk groups of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NAFLD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samples.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(C)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GSEA mountain map of 4 biological functions in NAFLD samples.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(D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-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G)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The enrichement pathway of GSEA in high risk of NAFLD. NAFLD, Non-Alcoholic Fatty Liver Disease; GSEA, Gene Set Enrichment Analysis. </w:t>
      </w:r>
    </w:p>
    <w:p>
      <w:pPr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line="360" w:lineRule="auto"/>
        <w:outlineLvl w:val="1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drawing>
          <wp:inline distT="0" distB="0" distL="114300" distR="114300">
            <wp:extent cx="5273040" cy="6336030"/>
            <wp:effectExtent l="0" t="0" r="3810" b="7620"/>
            <wp:docPr id="5" name="图片 5" descr="FigS3字母小写版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S3字母小写版_3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33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 xml:space="preserve"> GSVA for Risk Group</w:t>
      </w:r>
    </w:p>
    <w:p>
      <w:pPr>
        <w:spacing w:line="360" w:lineRule="auto"/>
        <w:jc w:val="both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>Heat map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 and group comparison map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B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) of GSVA results between the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l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ow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-r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isk and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igh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-r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isk groups of NAFLD samples from the Combined GEO Datasets. NAFLD, Non-Alcoholic Fatty Liver Disease; GSVA, Gene Set Variation Analysis. *P &lt; 0.05; **P &lt; 0.01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zh-CN"/>
        </w:rPr>
        <w:t>,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**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zh-CN"/>
        </w:rPr>
        <w:t>*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P &lt; 0.0</w:t>
      </w:r>
      <w:r>
        <w:rPr>
          <w:rFonts w:hint="default" w:ascii="Times New Roman" w:hAnsi="Times New Roman" w:eastAsia="Times New Roman" w:cs="Times New Roman"/>
          <w:sz w:val="20"/>
          <w:szCs w:val="20"/>
          <w:lang w:val="en-US" w:eastAsia="zh-CN"/>
        </w:rPr>
        <w:t>0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1. </w:t>
      </w:r>
    </w:p>
    <w:p>
      <w:pPr>
        <w:rPr>
          <w:rFonts w:hint="default" w:ascii="Times New Roman" w:hAnsi="Times New Roman" w:cs="Times New Roman"/>
          <w:sz w:val="20"/>
          <w:szCs w:val="20"/>
        </w:rPr>
      </w:pPr>
    </w:p>
    <w:p>
      <w:pPr>
        <w:spacing w:line="360" w:lineRule="auto"/>
        <w:jc w:val="left"/>
        <w:rPr>
          <w:rFonts w:hint="default" w:ascii="Times New Roman" w:hAnsi="Times New Roman" w:eastAsia="Times New Roman" w:cs="Times New Roman"/>
          <w:sz w:val="20"/>
          <w:szCs w:val="20"/>
        </w:rPr>
      </w:pPr>
    </w:p>
    <w:p>
      <w:pPr>
        <w:spacing w:line="360" w:lineRule="auto"/>
        <w:jc w:val="left"/>
        <w:rPr>
          <w:rFonts w:hint="default" w:ascii="Times New Roman" w:hAnsi="Times New Roman" w:eastAsia="宋体" w:cs="Times New Roman"/>
          <w:sz w:val="20"/>
          <w:szCs w:val="20"/>
          <w:lang w:eastAsia="zh-CN"/>
        </w:rPr>
      </w:pPr>
      <w:r>
        <w:rPr>
          <w:rFonts w:hint="default" w:ascii="Times New Roman" w:hAnsi="Times New Roman" w:eastAsia="宋体" w:cs="Times New Roman"/>
          <w:sz w:val="20"/>
          <w:szCs w:val="20"/>
          <w:lang w:eastAsia="zh-CN"/>
        </w:rPr>
        <w:drawing>
          <wp:inline distT="0" distB="0" distL="114300" distR="114300">
            <wp:extent cx="5271770" cy="6500495"/>
            <wp:effectExtent l="0" t="0" r="5080" b="5080"/>
            <wp:docPr id="1" name="图片 1" descr="FigS4字母小写版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S4字母小写版_3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50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default" w:ascii="Times New Roman" w:hAnsi="Times New Roman" w:eastAsia="宋体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b/>
          <w:bCs/>
          <w:sz w:val="20"/>
          <w:szCs w:val="20"/>
          <w:lang w:val="en-US" w:eastAsia="zh-CN"/>
        </w:rPr>
        <w:t xml:space="preserve">Supplementary </w:t>
      </w:r>
      <w:r>
        <w:rPr>
          <w:rFonts w:hint="default" w:ascii="Times New Roman" w:hAnsi="Times New Roman" w:eastAsia="Times New Roman" w:cs="Times New Roman"/>
          <w:b/>
          <w:bCs/>
          <w:sz w:val="20"/>
          <w:szCs w:val="20"/>
        </w:rPr>
        <w:t>Fig</w:t>
      </w:r>
      <w:r>
        <w:rPr>
          <w:rFonts w:hint="eastAsia" w:ascii="Times New Roman" w:hAnsi="Times New Roman" w:eastAsia="宋体" w:cs="Times New Roman"/>
          <w:b/>
          <w:bCs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sz w:val="20"/>
          <w:szCs w:val="20"/>
          <w:lang w:val="en-US" w:eastAsia="zh-CN"/>
        </w:rPr>
        <w:t xml:space="preserve">4 </w:t>
      </w:r>
      <w:r>
        <w:rPr>
          <w:rFonts w:hint="default" w:ascii="Times New Roman" w:hAnsi="Times New Roman" w:eastAsia="Times New Roman" w:cs="Times New Roman"/>
          <w:b/>
          <w:sz w:val="20"/>
          <w:szCs w:val="20"/>
        </w:rPr>
        <w:t>Protein Structure of Model Genes</w:t>
      </w:r>
    </w:p>
    <w:p>
      <w:pPr>
        <w:numPr>
          <w:ilvl w:val="0"/>
          <w:numId w:val="0"/>
        </w:numPr>
        <w:spacing w:line="360" w:lineRule="auto"/>
        <w:rPr>
          <w:rFonts w:hint="default" w:ascii="Times New Roman" w:hAnsi="Times New Roman" w:eastAsia="Times New Roman" w:cs="Times New Roman"/>
          <w:sz w:val="20"/>
          <w:szCs w:val="20"/>
        </w:rPr>
      </w:pP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The protein domains of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m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odel 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g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enes TLR7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A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LDLR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B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CCL2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C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S100A8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D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PADI4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E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F3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F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), CD274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G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 and NFIL3 (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H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>)</w:t>
      </w:r>
      <w:r>
        <w:rPr>
          <w:rFonts w:hint="default" w:ascii="Times New Roman" w:hAnsi="Times New Roman" w:eastAsia="宋体" w:cs="Times New Roman"/>
          <w:sz w:val="20"/>
          <w:szCs w:val="20"/>
          <w:lang w:val="en-US" w:eastAsia="zh-CN"/>
        </w:rPr>
        <w:t>.</w:t>
      </w:r>
      <w:r>
        <w:rPr>
          <w:rFonts w:hint="default" w:ascii="Times New Roman" w:hAnsi="Times New Roman" w:eastAsia="Times New Roman" w:cs="Times New Roman"/>
          <w:sz w:val="20"/>
          <w:szCs w:val="20"/>
        </w:rPr>
        <w:t xml:space="preserve"> </w:t>
      </w:r>
    </w:p>
    <w:p>
      <w:pPr>
        <w:rPr>
          <w:rFonts w:hint="default" w:ascii="Times New Roman" w:hAnsi="Times New Roman" w:cs="Times New Roman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iN2EzOTIwNTFkMWRjYjlhM2M2MjEwMTAzOTAyMTAifQ=="/>
  </w:docVars>
  <w:rsids>
    <w:rsidRoot w:val="36321DD7"/>
    <w:rsid w:val="01BB1AF9"/>
    <w:rsid w:val="0F415BF3"/>
    <w:rsid w:val="1173042F"/>
    <w:rsid w:val="129640D0"/>
    <w:rsid w:val="1B5708F5"/>
    <w:rsid w:val="1E741E45"/>
    <w:rsid w:val="2D50517A"/>
    <w:rsid w:val="313326D3"/>
    <w:rsid w:val="34872339"/>
    <w:rsid w:val="36321DD7"/>
    <w:rsid w:val="37864C46"/>
    <w:rsid w:val="490E0B1B"/>
    <w:rsid w:val="4AE41175"/>
    <w:rsid w:val="4B333816"/>
    <w:rsid w:val="4F53178A"/>
    <w:rsid w:val="5DC028A9"/>
    <w:rsid w:val="5DF951F7"/>
    <w:rsid w:val="5FD027F8"/>
    <w:rsid w:val="65EE4046"/>
    <w:rsid w:val="735D365E"/>
    <w:rsid w:val="73C4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297</Words>
  <Characters>1651</Characters>
  <Lines>0</Lines>
  <Paragraphs>0</Paragraphs>
  <TotalTime>1</TotalTime>
  <ScaleCrop>false</ScaleCrop>
  <LinksUpToDate>false</LinksUpToDate>
  <CharactersWithSpaces>1908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2024-10-23T03:32:00Z</dcterms:created>
  <dc:creator>陈娟</dc:creator>
  <cp:lastModifiedBy>陈娟</cp:lastModifiedBy>
  <dcterms:modified xsi:type="dcterms:W3CDTF">2026-03-19T14:05:39Z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436F3E376BFD44FE9FE6D2F1C8E2F2E1_11</vt:lpwstr>
  </property>
  <property fmtid="{D5CDD505-2E9C-101B-9397-08002B2CF9AE}" pid="4" name="KSOTemplateDocerSaveRecord">
    <vt:lpwstr>eyJoZGlkIjoiNWRiN2EzOTIwNTFkMWRjYjlhM2M2MjEwMTAzOTAyMTAiLCJ1c2VySWQiOiIxNzkzNDg3Mjg0In0=</vt:lpwstr>
  </property>
</Properties>
</file>