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ECA8F" w14:textId="279BAF11" w:rsidR="009E4279" w:rsidRPr="002C4D66" w:rsidRDefault="006B35E0" w:rsidP="002C4D66">
      <w:pPr>
        <w:spacing w:after="0" w:line="240" w:lineRule="auto"/>
        <w:jc w:val="both"/>
        <w:rPr>
          <w:rFonts w:asciiTheme="majorBidi" w:hAnsiTheme="majorBidi" w:cstheme="majorBidi"/>
          <w:b/>
          <w:bCs/>
          <w:kern w:val="0"/>
          <w:sz w:val="24"/>
          <w:szCs w:val="24"/>
          <w:shd w:val="clear" w:color="auto" w:fill="FFFFFF"/>
          <w:lang w:val="en-US"/>
          <w14:ligatures w14:val="none"/>
        </w:rPr>
      </w:pPr>
      <w:r>
        <w:rPr>
          <w:rFonts w:asciiTheme="majorBidi" w:hAnsiTheme="majorBidi" w:cstheme="majorBidi"/>
          <w:b/>
          <w:bCs/>
          <w:kern w:val="0"/>
          <w:sz w:val="24"/>
          <w:szCs w:val="24"/>
          <w:shd w:val="clear" w:color="auto" w:fill="FFFFFF"/>
          <w:lang w:val="en-US"/>
          <w14:ligatures w14:val="none"/>
        </w:rPr>
        <w:t>S</w:t>
      </w:r>
      <w:r w:rsidR="002C4D66" w:rsidRPr="002C4D66">
        <w:rPr>
          <w:rFonts w:asciiTheme="majorBidi" w:hAnsiTheme="majorBidi" w:cstheme="majorBidi"/>
          <w:b/>
          <w:bCs/>
          <w:kern w:val="0"/>
          <w:sz w:val="24"/>
          <w:szCs w:val="24"/>
          <w:shd w:val="clear" w:color="auto" w:fill="FFFFFF"/>
          <w:lang w:val="en-US"/>
          <w14:ligatures w14:val="none"/>
        </w:rPr>
        <w:t>upplementary material</w:t>
      </w:r>
    </w:p>
    <w:p w14:paraId="451C918A" w14:textId="77777777" w:rsidR="002C4D66" w:rsidRDefault="002C4D66" w:rsidP="002C4D66">
      <w:pPr>
        <w:spacing w:after="0" w:line="240" w:lineRule="auto"/>
        <w:jc w:val="both"/>
        <w:rPr>
          <w:rFonts w:asciiTheme="majorBidi" w:hAnsiTheme="majorBidi" w:cstheme="majorBidi"/>
          <w:kern w:val="0"/>
          <w:sz w:val="24"/>
          <w:szCs w:val="24"/>
          <w:shd w:val="clear" w:color="auto" w:fill="FFFFFF"/>
          <w:lang w:val="en-US"/>
          <w14:ligatures w14:val="none"/>
        </w:rPr>
      </w:pPr>
    </w:p>
    <w:p w14:paraId="57ED0C0F" w14:textId="77777777" w:rsidR="002C4D66" w:rsidRDefault="002C4D66" w:rsidP="006B35E0">
      <w:pPr>
        <w:spacing w:after="0" w:line="240" w:lineRule="auto"/>
        <w:jc w:val="both"/>
        <w:rPr>
          <w:rFonts w:asciiTheme="majorBidi" w:hAnsiTheme="majorBidi" w:cstheme="majorBidi"/>
          <w:sz w:val="24"/>
          <w:szCs w:val="24"/>
          <w:shd w:val="clear" w:color="auto" w:fill="FFFFFF"/>
          <w:lang w:val="en-US"/>
        </w:rPr>
      </w:pPr>
      <w:bookmarkStart w:id="0" w:name="_Hlk195366565"/>
    </w:p>
    <w:p w14:paraId="548F6606" w14:textId="0B785202" w:rsidR="006B35E0" w:rsidRPr="006B35E0" w:rsidRDefault="006B35E0" w:rsidP="006B35E0">
      <w:pPr>
        <w:spacing w:after="0" w:line="240" w:lineRule="auto"/>
        <w:jc w:val="both"/>
        <w:rPr>
          <w:rFonts w:asciiTheme="majorBidi" w:hAnsiTheme="majorBidi" w:cstheme="majorBidi"/>
          <w:b/>
          <w:bCs/>
          <w:sz w:val="24"/>
          <w:szCs w:val="24"/>
          <w:shd w:val="clear" w:color="auto" w:fill="FFFFFF"/>
          <w:lang w:val="en-US"/>
        </w:rPr>
      </w:pPr>
      <w:r w:rsidRPr="006B35E0">
        <w:rPr>
          <w:rFonts w:asciiTheme="majorBidi" w:hAnsiTheme="majorBidi" w:cstheme="majorBidi"/>
          <w:b/>
          <w:bCs/>
          <w:sz w:val="24"/>
          <w:szCs w:val="24"/>
          <w:shd w:val="clear" w:color="auto" w:fill="FFFFFF"/>
          <w:lang w:val="en-US"/>
        </w:rPr>
        <w:t>Methodology</w:t>
      </w:r>
    </w:p>
    <w:p w14:paraId="52306C06" w14:textId="77777777" w:rsidR="006B35E0" w:rsidRDefault="006B35E0" w:rsidP="002C4D66">
      <w:pPr>
        <w:spacing w:after="0" w:line="240" w:lineRule="auto"/>
        <w:ind w:firstLine="510"/>
        <w:jc w:val="both"/>
        <w:rPr>
          <w:rFonts w:asciiTheme="majorBidi" w:hAnsiTheme="majorBidi" w:cstheme="majorBidi"/>
          <w:sz w:val="24"/>
          <w:szCs w:val="24"/>
          <w:shd w:val="clear" w:color="auto" w:fill="FFFFFF"/>
          <w:lang w:val="en-US"/>
        </w:rPr>
      </w:pPr>
    </w:p>
    <w:p w14:paraId="4DE44951" w14:textId="2F472898" w:rsidR="002C4D66" w:rsidRPr="002C4D66" w:rsidRDefault="002C4D66" w:rsidP="002C4D66">
      <w:pPr>
        <w:spacing w:after="0" w:line="240" w:lineRule="auto"/>
        <w:ind w:firstLine="510"/>
        <w:jc w:val="both"/>
        <w:rPr>
          <w:rFonts w:asciiTheme="majorBidi" w:hAnsiTheme="majorBidi" w:cstheme="majorBidi"/>
          <w:sz w:val="24"/>
          <w:szCs w:val="24"/>
          <w:shd w:val="clear" w:color="auto" w:fill="FFFFFF"/>
          <w:lang w:val="en-US"/>
        </w:rPr>
      </w:pPr>
      <w:r w:rsidRPr="002C4D66">
        <w:rPr>
          <w:rFonts w:asciiTheme="majorBidi" w:hAnsiTheme="majorBidi" w:cstheme="majorBidi"/>
          <w:sz w:val="24"/>
          <w:szCs w:val="24"/>
          <w:shd w:val="clear" w:color="auto" w:fill="FFFFFF"/>
          <w:lang w:val="en-US"/>
        </w:rPr>
        <w:t>Applying the QVAR model begins with data preparation, which entails collecting data, assessing its stationarity, and arranging it into a matrix format conducive to VAR analysis. Afterward, the optimal lag for the model is identified through several criteria, such as AIC, BIC, and FPE. Different quantiles are selected to illustrate various market conditions; for instance, the 5</w:t>
      </w:r>
      <w:r w:rsidRPr="002C4D66">
        <w:rPr>
          <w:rFonts w:asciiTheme="majorBidi" w:hAnsiTheme="majorBidi" w:cstheme="majorBidi"/>
          <w:sz w:val="24"/>
          <w:szCs w:val="24"/>
          <w:shd w:val="clear" w:color="auto" w:fill="FFFFFF"/>
          <w:vertAlign w:val="superscript"/>
          <w:lang w:val="en-US"/>
        </w:rPr>
        <w:t>th</w:t>
      </w:r>
      <w:r w:rsidRPr="002C4D66">
        <w:rPr>
          <w:rFonts w:asciiTheme="majorBidi" w:hAnsiTheme="majorBidi" w:cstheme="majorBidi"/>
          <w:sz w:val="24"/>
          <w:szCs w:val="24"/>
          <w:shd w:val="clear" w:color="auto" w:fill="FFFFFF"/>
          <w:lang w:val="en-US"/>
        </w:rPr>
        <w:t>, 50</w:t>
      </w:r>
      <w:r w:rsidRPr="002C4D66">
        <w:rPr>
          <w:rFonts w:asciiTheme="majorBidi" w:hAnsiTheme="majorBidi" w:cstheme="majorBidi"/>
          <w:sz w:val="24"/>
          <w:szCs w:val="24"/>
          <w:shd w:val="clear" w:color="auto" w:fill="FFFFFF"/>
          <w:vertAlign w:val="superscript"/>
          <w:lang w:val="en-US"/>
        </w:rPr>
        <w:t>th</w:t>
      </w:r>
      <w:r w:rsidRPr="002C4D66">
        <w:rPr>
          <w:rFonts w:asciiTheme="majorBidi" w:hAnsiTheme="majorBidi" w:cstheme="majorBidi"/>
          <w:sz w:val="24"/>
          <w:szCs w:val="24"/>
          <w:shd w:val="clear" w:color="auto" w:fill="FFFFFF"/>
          <w:lang w:val="en-US"/>
        </w:rPr>
        <w:t>, and 95</w:t>
      </w:r>
      <w:r w:rsidRPr="002C4D66">
        <w:rPr>
          <w:rFonts w:asciiTheme="majorBidi" w:hAnsiTheme="majorBidi" w:cstheme="majorBidi"/>
          <w:sz w:val="24"/>
          <w:szCs w:val="24"/>
          <w:shd w:val="clear" w:color="auto" w:fill="FFFFFF"/>
          <w:vertAlign w:val="superscript"/>
          <w:lang w:val="en-US"/>
        </w:rPr>
        <w:t>th</w:t>
      </w:r>
      <w:r w:rsidRPr="002C4D66">
        <w:rPr>
          <w:rFonts w:asciiTheme="majorBidi" w:hAnsiTheme="majorBidi" w:cstheme="majorBidi"/>
          <w:sz w:val="24"/>
          <w:szCs w:val="24"/>
          <w:shd w:val="clear" w:color="auto" w:fill="FFFFFF"/>
          <w:lang w:val="en-US"/>
        </w:rPr>
        <w:t xml:space="preserve"> quantiles signify bearish, normal, and bullish trends, respectively. The next step involves estimating a quantile VAR model. Therefore, </w:t>
      </w:r>
      <w:r w:rsidRPr="002C4D66">
        <w:rPr>
          <w:rFonts w:asciiTheme="majorBidi" w:hAnsiTheme="majorBidi" w:cstheme="majorBidi"/>
          <w:sz w:val="24"/>
          <w:szCs w:val="24"/>
          <w:lang w:val="en-US"/>
        </w:rPr>
        <w:t>QVAR(p) is obtained as follows for computing connectivity metrics:</w:t>
      </w:r>
    </w:p>
    <w:bookmarkEnd w:id="0"/>
    <w:p w14:paraId="49DD7E12" w14:textId="77777777" w:rsidR="002C4D66" w:rsidRPr="00E22C51" w:rsidRDefault="002C4D66" w:rsidP="002C4D66">
      <w:pPr>
        <w:pStyle w:val="MDPI31text"/>
        <w:spacing w:after="240" w:line="240" w:lineRule="auto"/>
        <w:rPr>
          <w:rFonts w:asciiTheme="majorBidi" w:hAnsiTheme="majorBidi" w:cstheme="majorBidi"/>
          <w:color w:val="auto"/>
          <w:sz w:val="24"/>
          <w:szCs w:val="24"/>
        </w:rPr>
      </w:pPr>
    </w:p>
    <w:tbl>
      <w:tblPr>
        <w:tblW w:w="9423" w:type="dxa"/>
        <w:tblInd w:w="-5" w:type="dxa"/>
        <w:tblLook w:val="0000" w:firstRow="0" w:lastRow="0" w:firstColumn="0" w:lastColumn="0" w:noHBand="0" w:noVBand="0"/>
      </w:tblPr>
      <w:tblGrid>
        <w:gridCol w:w="8452"/>
        <w:gridCol w:w="971"/>
      </w:tblGrid>
      <w:tr w:rsidR="002C4D66" w:rsidRPr="00E22C51" w14:paraId="2AA05B93" w14:textId="77777777" w:rsidTr="00B8290A">
        <w:trPr>
          <w:trHeight w:val="307"/>
        </w:trPr>
        <w:tc>
          <w:tcPr>
            <w:tcW w:w="8452" w:type="dxa"/>
          </w:tcPr>
          <w:p w14:paraId="513A439E" w14:textId="77777777" w:rsidR="002C4D66" w:rsidRPr="00E22C51" w:rsidRDefault="00000000" w:rsidP="00B8290A">
            <w:pPr>
              <w:pStyle w:val="MDPI31text"/>
              <w:spacing w:after="240" w:line="240" w:lineRule="auto"/>
              <w:rPr>
                <w:rFonts w:asciiTheme="majorBidi" w:hAnsiTheme="majorBidi" w:cstheme="majorBidi"/>
                <w:color w:val="auto"/>
                <w:sz w:val="24"/>
                <w:szCs w:val="24"/>
              </w:rPr>
            </w:pPr>
            <m:oMathPara>
              <m:oMathParaPr>
                <m:jc m:val="center"/>
              </m:oMathParaPr>
              <m:oMath>
                <m:sSub>
                  <m:sSubPr>
                    <m:ctrlPr>
                      <w:rPr>
                        <w:rFonts w:ascii="Cambria Math" w:hAnsi="Cambria Math" w:cstheme="majorBidi"/>
                        <w:i/>
                        <w:color w:val="auto"/>
                        <w:sz w:val="24"/>
                        <w:szCs w:val="24"/>
                      </w:rPr>
                    </m:ctrlPr>
                  </m:sSubPr>
                  <m:e>
                    <m:r>
                      <w:rPr>
                        <w:rFonts w:ascii="Cambria Math" w:hAnsi="Cambria Math" w:cstheme="majorBidi"/>
                        <w:color w:val="auto"/>
                        <w:sz w:val="24"/>
                        <w:szCs w:val="24"/>
                      </w:rPr>
                      <m:t>y</m:t>
                    </m:r>
                  </m:e>
                  <m:sub>
                    <m:r>
                      <w:rPr>
                        <w:rFonts w:ascii="Cambria Math" w:hAnsi="Cambria Math" w:cstheme="majorBidi"/>
                        <w:color w:val="auto"/>
                        <w:sz w:val="24"/>
                        <w:szCs w:val="24"/>
                      </w:rPr>
                      <m:t>t</m:t>
                    </m:r>
                  </m:sub>
                </m:sSub>
                <m:r>
                  <w:rPr>
                    <w:rFonts w:ascii="Cambria Math" w:hAnsi="Cambria Math" w:cstheme="majorBidi"/>
                    <w:color w:val="auto"/>
                    <w:sz w:val="24"/>
                    <w:szCs w:val="24"/>
                  </w:rPr>
                  <m:t>=μ</m:t>
                </m:r>
                <m:d>
                  <m:dPr>
                    <m:ctrlPr>
                      <w:rPr>
                        <w:rFonts w:ascii="Cambria Math" w:hAnsi="Cambria Math" w:cstheme="majorBidi"/>
                        <w:i/>
                        <w:color w:val="auto"/>
                        <w:sz w:val="24"/>
                        <w:szCs w:val="24"/>
                      </w:rPr>
                    </m:ctrlPr>
                  </m:dPr>
                  <m:e>
                    <m:r>
                      <w:rPr>
                        <w:rFonts w:ascii="Cambria Math" w:hAnsi="Cambria Math" w:cstheme="majorBidi"/>
                        <w:color w:val="auto"/>
                        <w:sz w:val="24"/>
                        <w:szCs w:val="24"/>
                      </w:rPr>
                      <m:t>τ</m:t>
                    </m:r>
                  </m:e>
                </m:d>
                <m:r>
                  <w:rPr>
                    <w:rFonts w:ascii="Cambria Math" w:hAnsi="Cambria Math" w:cstheme="majorBidi"/>
                    <w:color w:val="auto"/>
                    <w:sz w:val="24"/>
                    <w:szCs w:val="24"/>
                  </w:rPr>
                  <m:t>+</m:t>
                </m:r>
                <m:sSubSup>
                  <m:sSubSupPr>
                    <m:ctrlPr>
                      <w:rPr>
                        <w:rFonts w:ascii="Cambria Math" w:hAnsi="Cambria Math" w:cstheme="majorBidi"/>
                        <w:i/>
                        <w:color w:val="auto"/>
                        <w:sz w:val="24"/>
                        <w:szCs w:val="24"/>
                      </w:rPr>
                    </m:ctrlPr>
                  </m:sSubSupPr>
                  <m:e>
                    <m:r>
                      <w:rPr>
                        <w:rFonts w:ascii="Cambria Math" w:hAnsi="Cambria Math" w:cstheme="majorBidi"/>
                        <w:color w:val="auto"/>
                        <w:sz w:val="24"/>
                        <w:szCs w:val="24"/>
                      </w:rPr>
                      <m:t>Σ</m:t>
                    </m:r>
                  </m:e>
                  <m:sub>
                    <m:r>
                      <w:rPr>
                        <w:rFonts w:ascii="Cambria Math" w:hAnsi="Cambria Math" w:cstheme="majorBidi"/>
                        <w:color w:val="auto"/>
                        <w:sz w:val="24"/>
                        <w:szCs w:val="24"/>
                      </w:rPr>
                      <m:t>j=1</m:t>
                    </m:r>
                  </m:sub>
                  <m:sup>
                    <m:r>
                      <w:rPr>
                        <w:rFonts w:ascii="Cambria Math" w:hAnsi="Cambria Math" w:cstheme="majorBidi"/>
                        <w:color w:val="auto"/>
                        <w:sz w:val="24"/>
                        <w:szCs w:val="24"/>
                      </w:rPr>
                      <m:t>p</m:t>
                    </m:r>
                  </m:sup>
                </m:sSubSup>
                <m:sSub>
                  <m:sSubPr>
                    <m:ctrlPr>
                      <w:rPr>
                        <w:rFonts w:ascii="Cambria Math" w:hAnsi="Cambria Math" w:cstheme="majorBidi"/>
                        <w:i/>
                        <w:color w:val="auto"/>
                        <w:sz w:val="24"/>
                        <w:szCs w:val="24"/>
                      </w:rPr>
                    </m:ctrlPr>
                  </m:sSubPr>
                  <m:e>
                    <m:r>
                      <w:rPr>
                        <w:rFonts w:ascii="Cambria Math" w:hAnsi="Cambria Math" w:cstheme="majorBidi"/>
                        <w:color w:val="auto"/>
                        <w:sz w:val="24"/>
                        <w:szCs w:val="24"/>
                      </w:rPr>
                      <m:t>Φ</m:t>
                    </m:r>
                  </m:e>
                  <m:sub>
                    <m:r>
                      <w:rPr>
                        <w:rFonts w:ascii="Cambria Math" w:hAnsi="Cambria Math" w:cstheme="majorBidi"/>
                        <w:color w:val="auto"/>
                        <w:sz w:val="24"/>
                        <w:szCs w:val="24"/>
                      </w:rPr>
                      <m:t>j</m:t>
                    </m:r>
                  </m:sub>
                </m:sSub>
                <m:d>
                  <m:dPr>
                    <m:ctrlPr>
                      <w:rPr>
                        <w:rFonts w:ascii="Cambria Math" w:hAnsi="Cambria Math" w:cstheme="majorBidi"/>
                        <w:i/>
                        <w:color w:val="auto"/>
                        <w:sz w:val="24"/>
                        <w:szCs w:val="24"/>
                      </w:rPr>
                    </m:ctrlPr>
                  </m:dPr>
                  <m:e>
                    <m:r>
                      <w:rPr>
                        <w:rFonts w:ascii="Cambria Math" w:hAnsi="Cambria Math" w:cstheme="majorBidi"/>
                        <w:color w:val="auto"/>
                        <w:sz w:val="24"/>
                        <w:szCs w:val="24"/>
                      </w:rPr>
                      <m:t>τ</m:t>
                    </m:r>
                  </m:e>
                </m:d>
                <m:sSub>
                  <m:sSubPr>
                    <m:ctrlPr>
                      <w:rPr>
                        <w:rFonts w:ascii="Cambria Math" w:hAnsi="Cambria Math" w:cstheme="majorBidi"/>
                        <w:i/>
                        <w:color w:val="auto"/>
                        <w:sz w:val="24"/>
                        <w:szCs w:val="24"/>
                      </w:rPr>
                    </m:ctrlPr>
                  </m:sSubPr>
                  <m:e>
                    <m:r>
                      <w:rPr>
                        <w:rFonts w:ascii="Cambria Math" w:hAnsi="Cambria Math" w:cstheme="majorBidi"/>
                        <w:color w:val="auto"/>
                        <w:sz w:val="24"/>
                        <w:szCs w:val="24"/>
                      </w:rPr>
                      <m:t>y</m:t>
                    </m:r>
                  </m:e>
                  <m:sub>
                    <m:r>
                      <w:rPr>
                        <w:rFonts w:ascii="Cambria Math" w:hAnsi="Cambria Math" w:cstheme="majorBidi"/>
                        <w:color w:val="auto"/>
                        <w:sz w:val="24"/>
                        <w:szCs w:val="24"/>
                      </w:rPr>
                      <m:t>t-j</m:t>
                    </m:r>
                  </m:sub>
                </m:sSub>
                <m:r>
                  <w:rPr>
                    <w:rFonts w:ascii="Cambria Math" w:hAnsi="Cambria Math" w:cstheme="majorBidi"/>
                    <w:color w:val="auto"/>
                    <w:sz w:val="24"/>
                    <w:szCs w:val="24"/>
                  </w:rPr>
                  <m:t>+</m:t>
                </m:r>
                <m:sSub>
                  <m:sSubPr>
                    <m:ctrlPr>
                      <w:rPr>
                        <w:rFonts w:ascii="Cambria Math" w:hAnsi="Cambria Math" w:cstheme="majorBidi"/>
                        <w:i/>
                        <w:color w:val="auto"/>
                        <w:sz w:val="24"/>
                        <w:szCs w:val="24"/>
                      </w:rPr>
                    </m:ctrlPr>
                  </m:sSubPr>
                  <m:e>
                    <m:r>
                      <w:rPr>
                        <w:rFonts w:ascii="Cambria Math" w:hAnsi="Cambria Math" w:cstheme="majorBidi"/>
                        <w:color w:val="auto"/>
                        <w:sz w:val="24"/>
                        <w:szCs w:val="24"/>
                      </w:rPr>
                      <m:t>u</m:t>
                    </m:r>
                  </m:e>
                  <m:sub>
                    <m:r>
                      <w:rPr>
                        <w:rFonts w:ascii="Cambria Math" w:hAnsi="Cambria Math" w:cstheme="majorBidi"/>
                        <w:color w:val="auto"/>
                        <w:sz w:val="24"/>
                        <w:szCs w:val="24"/>
                      </w:rPr>
                      <m:t>t</m:t>
                    </m:r>
                  </m:sub>
                </m:sSub>
                <m:d>
                  <m:dPr>
                    <m:ctrlPr>
                      <w:rPr>
                        <w:rFonts w:ascii="Cambria Math" w:hAnsi="Cambria Math" w:cstheme="majorBidi"/>
                        <w:i/>
                        <w:color w:val="auto"/>
                        <w:sz w:val="24"/>
                        <w:szCs w:val="24"/>
                      </w:rPr>
                    </m:ctrlPr>
                  </m:dPr>
                  <m:e>
                    <m:r>
                      <w:rPr>
                        <w:rFonts w:ascii="Cambria Math" w:hAnsi="Cambria Math" w:cstheme="majorBidi"/>
                        <w:color w:val="auto"/>
                        <w:sz w:val="24"/>
                        <w:szCs w:val="24"/>
                      </w:rPr>
                      <m:t>τ</m:t>
                    </m:r>
                  </m:e>
                </m:d>
                <m:r>
                  <w:rPr>
                    <w:rFonts w:ascii="Cambria Math" w:hAnsi="Cambria Math" w:cstheme="majorBidi"/>
                    <w:color w:val="auto"/>
                    <w:sz w:val="24"/>
                    <w:szCs w:val="24"/>
                  </w:rPr>
                  <m:t>.</m:t>
                </m:r>
              </m:oMath>
            </m:oMathPara>
          </w:p>
        </w:tc>
        <w:tc>
          <w:tcPr>
            <w:tcW w:w="971" w:type="dxa"/>
          </w:tcPr>
          <w:p w14:paraId="4340DE63" w14:textId="77777777" w:rsidR="002C4D66" w:rsidRPr="00E22C51" w:rsidRDefault="002C4D66" w:rsidP="002C4D66">
            <w:pPr>
              <w:pStyle w:val="MDPI31text"/>
              <w:numPr>
                <w:ilvl w:val="0"/>
                <w:numId w:val="1"/>
              </w:numPr>
              <w:spacing w:after="240" w:line="240" w:lineRule="auto"/>
              <w:rPr>
                <w:rFonts w:asciiTheme="majorBidi" w:hAnsiTheme="majorBidi" w:cstheme="majorBidi"/>
                <w:color w:val="auto"/>
                <w:sz w:val="24"/>
                <w:szCs w:val="24"/>
              </w:rPr>
            </w:pPr>
          </w:p>
        </w:tc>
      </w:tr>
    </w:tbl>
    <w:p w14:paraId="64E5E78C" w14:textId="77777777" w:rsidR="002C4D66" w:rsidRPr="00E22C51" w:rsidRDefault="002C4D66" w:rsidP="002C4D66">
      <w:pPr>
        <w:spacing w:after="0" w:line="240" w:lineRule="auto"/>
        <w:ind w:firstLine="510"/>
        <w:jc w:val="both"/>
        <w:rPr>
          <w:rFonts w:asciiTheme="majorBidi" w:hAnsiTheme="majorBidi" w:cstheme="majorBidi"/>
          <w:sz w:val="24"/>
          <w:szCs w:val="24"/>
        </w:rPr>
      </w:pPr>
    </w:p>
    <w:p w14:paraId="62F0DB32" w14:textId="77777777" w:rsidR="002C4D66" w:rsidRPr="002C4D66" w:rsidRDefault="002C4D66" w:rsidP="002C4D66">
      <w:pPr>
        <w:spacing w:after="0" w:line="240" w:lineRule="auto"/>
        <w:ind w:firstLine="510"/>
        <w:jc w:val="both"/>
        <w:rPr>
          <w:rFonts w:asciiTheme="majorBidi" w:hAnsiTheme="majorBidi" w:cstheme="majorBidi"/>
          <w:sz w:val="24"/>
          <w:szCs w:val="24"/>
          <w:shd w:val="clear" w:color="auto" w:fill="FFFFFF"/>
          <w:lang w:val="en-US"/>
        </w:rPr>
      </w:pPr>
      <w:r w:rsidRPr="002C4D66">
        <w:rPr>
          <w:rFonts w:asciiTheme="majorBidi" w:hAnsiTheme="majorBidi" w:cstheme="majorBidi"/>
          <w:sz w:val="24"/>
          <w:szCs w:val="24"/>
          <w:lang w:val="en-US"/>
        </w:rPr>
        <w:t xml:space="preserve">Here, </w:t>
      </w:r>
      <w:proofErr w:type="spellStart"/>
      <w:r w:rsidRPr="002C4D66">
        <w:rPr>
          <w:rFonts w:asciiTheme="majorBidi" w:hAnsiTheme="majorBidi" w:cstheme="majorBidi"/>
          <w:i/>
          <w:iCs/>
          <w:sz w:val="24"/>
          <w:szCs w:val="24"/>
          <w:lang w:val="en-US"/>
        </w:rPr>
        <w:t>y</w:t>
      </w:r>
      <w:r w:rsidRPr="002C4D66">
        <w:rPr>
          <w:rFonts w:asciiTheme="majorBidi" w:hAnsiTheme="majorBidi" w:cstheme="majorBidi"/>
          <w:i/>
          <w:iCs/>
          <w:sz w:val="24"/>
          <w:szCs w:val="24"/>
          <w:vertAlign w:val="subscript"/>
          <w:lang w:val="en-US"/>
        </w:rPr>
        <w:t>t</w:t>
      </w:r>
      <w:proofErr w:type="spellEnd"/>
      <w:r w:rsidRPr="002C4D66">
        <w:rPr>
          <w:rFonts w:asciiTheme="majorBidi" w:hAnsiTheme="majorBidi" w:cstheme="majorBidi"/>
          <w:i/>
          <w:iCs/>
          <w:sz w:val="24"/>
          <w:szCs w:val="24"/>
          <w:lang w:val="en-US"/>
        </w:rPr>
        <w:t xml:space="preserve"> </w:t>
      </w:r>
      <w:r w:rsidRPr="002C4D66">
        <w:rPr>
          <w:rFonts w:asciiTheme="majorBidi" w:hAnsiTheme="majorBidi" w:cstheme="majorBidi"/>
          <w:sz w:val="24"/>
          <w:szCs w:val="24"/>
          <w:lang w:val="en-US"/>
        </w:rPr>
        <w:t xml:space="preserve">and </w:t>
      </w:r>
      <w:proofErr w:type="spellStart"/>
      <w:r w:rsidRPr="002C4D66">
        <w:rPr>
          <w:rFonts w:asciiTheme="majorBidi" w:hAnsiTheme="majorBidi" w:cstheme="majorBidi"/>
          <w:i/>
          <w:iCs/>
          <w:sz w:val="24"/>
          <w:szCs w:val="24"/>
          <w:lang w:val="en-US"/>
        </w:rPr>
        <w:t>y</w:t>
      </w:r>
      <w:r w:rsidRPr="002C4D66">
        <w:rPr>
          <w:rFonts w:asciiTheme="majorBidi" w:hAnsiTheme="majorBidi" w:cstheme="majorBidi"/>
          <w:i/>
          <w:iCs/>
          <w:sz w:val="24"/>
          <w:szCs w:val="24"/>
          <w:vertAlign w:val="subscript"/>
          <w:lang w:val="en-US"/>
        </w:rPr>
        <w:t>t</w:t>
      </w:r>
      <w:proofErr w:type="spellEnd"/>
      <w:r w:rsidRPr="002C4D66">
        <w:rPr>
          <w:rFonts w:asciiTheme="majorBidi" w:hAnsiTheme="majorBidi" w:cstheme="majorBidi"/>
          <w:i/>
          <w:iCs/>
          <w:sz w:val="24"/>
          <w:szCs w:val="24"/>
          <w:vertAlign w:val="subscript"/>
          <w:lang w:val="en-US"/>
        </w:rPr>
        <w:t>-j</w:t>
      </w:r>
      <w:r w:rsidRPr="002C4D66">
        <w:rPr>
          <w:rFonts w:asciiTheme="majorBidi" w:hAnsiTheme="majorBidi" w:cstheme="majorBidi"/>
          <w:sz w:val="24"/>
          <w:szCs w:val="24"/>
          <w:lang w:val="en-US"/>
        </w:rPr>
        <w:t xml:space="preserve"> are vectors of size </w:t>
      </w:r>
      <w:r w:rsidRPr="002C4D66">
        <w:rPr>
          <w:rFonts w:asciiTheme="majorBidi" w:hAnsiTheme="majorBidi" w:cstheme="majorBidi"/>
          <w:i/>
          <w:sz w:val="24"/>
          <w:szCs w:val="24"/>
          <w:lang w:val="en-US"/>
        </w:rPr>
        <w:t>k×1</w:t>
      </w:r>
      <w:r w:rsidRPr="002C4D66">
        <w:rPr>
          <w:rFonts w:asciiTheme="majorBidi" w:hAnsiTheme="majorBidi" w:cstheme="majorBidi"/>
          <w:sz w:val="24"/>
          <w:szCs w:val="24"/>
          <w:lang w:val="en-US"/>
        </w:rPr>
        <w:t xml:space="preserve"> that represent the values of endogenous variables at time </w:t>
      </w:r>
      <w:r w:rsidRPr="002C4D66">
        <w:rPr>
          <w:rFonts w:asciiTheme="majorBidi" w:hAnsiTheme="majorBidi" w:cstheme="majorBidi"/>
          <w:i/>
          <w:sz w:val="24"/>
          <w:szCs w:val="24"/>
          <w:lang w:val="en-US"/>
        </w:rPr>
        <w:t>t</w:t>
      </w:r>
      <w:r w:rsidRPr="002C4D66">
        <w:rPr>
          <w:rFonts w:asciiTheme="majorBidi" w:hAnsiTheme="majorBidi" w:cstheme="majorBidi"/>
          <w:sz w:val="24"/>
          <w:szCs w:val="24"/>
          <w:lang w:val="en-US"/>
        </w:rPr>
        <w:t xml:space="preserve"> and </w:t>
      </w:r>
      <w:r w:rsidRPr="002C4D66">
        <w:rPr>
          <w:rFonts w:asciiTheme="majorBidi" w:hAnsiTheme="majorBidi" w:cstheme="majorBidi"/>
          <w:i/>
          <w:sz w:val="24"/>
          <w:szCs w:val="24"/>
          <w:lang w:val="en-US"/>
        </w:rPr>
        <w:t>t-j</w:t>
      </w:r>
      <w:r w:rsidRPr="002C4D66">
        <w:rPr>
          <w:rFonts w:asciiTheme="majorBidi" w:hAnsiTheme="majorBidi" w:cstheme="majorBidi"/>
          <w:sz w:val="24"/>
          <w:szCs w:val="24"/>
          <w:lang w:val="en-US"/>
        </w:rPr>
        <w:t xml:space="preserve">, respectively. In this study, the time series consists of 12 green sectors, making both vectors of size </w:t>
      </w:r>
      <w:r w:rsidRPr="002C4D66">
        <w:rPr>
          <w:rFonts w:asciiTheme="majorBidi" w:hAnsiTheme="majorBidi" w:cstheme="majorBidi"/>
          <w:i/>
          <w:sz w:val="24"/>
          <w:szCs w:val="24"/>
          <w:lang w:val="en-US"/>
        </w:rPr>
        <w:t>12×1</w:t>
      </w:r>
      <w:r w:rsidRPr="002C4D66">
        <w:rPr>
          <w:rFonts w:asciiTheme="majorBidi" w:hAnsiTheme="majorBidi" w:cstheme="majorBidi"/>
          <w:sz w:val="24"/>
          <w:szCs w:val="24"/>
          <w:lang w:val="en-US"/>
        </w:rPr>
        <w:t xml:space="preserve">. The vector </w:t>
      </w:r>
      <w:proofErr w:type="spellStart"/>
      <w:r w:rsidRPr="002C4D66">
        <w:rPr>
          <w:rFonts w:asciiTheme="majorBidi" w:hAnsiTheme="majorBidi" w:cstheme="majorBidi"/>
          <w:i/>
          <w:iCs/>
          <w:sz w:val="24"/>
          <w:szCs w:val="24"/>
          <w:lang w:val="en-US"/>
        </w:rPr>
        <w:t>y</w:t>
      </w:r>
      <w:r w:rsidRPr="002C4D66">
        <w:rPr>
          <w:rFonts w:asciiTheme="majorBidi" w:hAnsiTheme="majorBidi" w:cstheme="majorBidi"/>
          <w:i/>
          <w:iCs/>
          <w:sz w:val="24"/>
          <w:szCs w:val="24"/>
          <w:vertAlign w:val="subscript"/>
          <w:lang w:val="en-US"/>
        </w:rPr>
        <w:t>t</w:t>
      </w:r>
      <w:proofErr w:type="spellEnd"/>
      <w:r w:rsidRPr="002C4D66">
        <w:rPr>
          <w:rFonts w:asciiTheme="majorBidi" w:hAnsiTheme="majorBidi" w:cstheme="majorBidi"/>
          <w:sz w:val="24"/>
          <w:szCs w:val="24"/>
          <w:lang w:val="en-US"/>
        </w:rPr>
        <w:t xml:space="preserve"> explains the joint behavior of all sectors. The vectors representing the quantiles of the conditional distribution for the variables in </w:t>
      </w:r>
      <w:proofErr w:type="spellStart"/>
      <w:r w:rsidRPr="002C4D66">
        <w:rPr>
          <w:rFonts w:asciiTheme="majorBidi" w:hAnsiTheme="majorBidi" w:cstheme="majorBidi"/>
          <w:i/>
          <w:iCs/>
          <w:sz w:val="24"/>
          <w:szCs w:val="24"/>
          <w:lang w:val="en-US"/>
        </w:rPr>
        <w:t>y</w:t>
      </w:r>
      <w:r w:rsidRPr="002C4D66">
        <w:rPr>
          <w:rFonts w:asciiTheme="majorBidi" w:hAnsiTheme="majorBidi" w:cstheme="majorBidi"/>
          <w:i/>
          <w:iCs/>
          <w:sz w:val="24"/>
          <w:szCs w:val="24"/>
          <w:vertAlign w:val="subscript"/>
          <w:lang w:val="en-US"/>
        </w:rPr>
        <w:t>t</w:t>
      </w:r>
      <w:proofErr w:type="spellEnd"/>
      <w:r w:rsidRPr="002C4D66">
        <w:rPr>
          <w:rFonts w:asciiTheme="majorBidi" w:hAnsiTheme="majorBidi" w:cstheme="majorBidi"/>
          <w:sz w:val="24"/>
          <w:szCs w:val="24"/>
          <w:lang w:val="en-US"/>
        </w:rPr>
        <w:t xml:space="preserve"> are indicated by </w:t>
      </w:r>
      <w:r w:rsidRPr="00E22C51">
        <w:rPr>
          <w:rFonts w:asciiTheme="majorBidi" w:hAnsiTheme="majorBidi" w:cstheme="majorBidi"/>
          <w:i/>
          <w:sz w:val="24"/>
          <w:szCs w:val="24"/>
        </w:rPr>
        <w:t>τ</w:t>
      </w:r>
      <w:r w:rsidRPr="002C4D66">
        <w:rPr>
          <w:rFonts w:asciiTheme="majorBidi" w:hAnsiTheme="majorBidi" w:cstheme="majorBidi"/>
          <w:sz w:val="24"/>
          <w:szCs w:val="24"/>
          <w:lang w:val="en-US"/>
        </w:rPr>
        <w:t xml:space="preserve">, with values that span the range [0, 1] and have an order of </w:t>
      </w:r>
      <w:r w:rsidRPr="002C4D66">
        <w:rPr>
          <w:rFonts w:asciiTheme="majorBidi" w:hAnsiTheme="majorBidi" w:cstheme="majorBidi"/>
          <w:i/>
          <w:iCs/>
          <w:sz w:val="24"/>
          <w:szCs w:val="24"/>
          <w:lang w:val="en-US"/>
        </w:rPr>
        <w:t>k×1.</w:t>
      </w:r>
      <w:r w:rsidRPr="002C4D66">
        <w:rPr>
          <w:rFonts w:asciiTheme="majorBidi" w:hAnsiTheme="majorBidi" w:cstheme="majorBidi"/>
          <w:sz w:val="24"/>
          <w:szCs w:val="24"/>
          <w:lang w:val="en-US"/>
        </w:rPr>
        <w:t xml:space="preserve"> This study employs quantile levels (</w:t>
      </w:r>
      <w:r w:rsidRPr="00E22C51">
        <w:rPr>
          <w:rFonts w:asciiTheme="majorBidi" w:hAnsiTheme="majorBidi" w:cstheme="majorBidi"/>
          <w:i/>
          <w:sz w:val="24"/>
          <w:szCs w:val="24"/>
        </w:rPr>
        <w:t>τ</w:t>
      </w:r>
      <w:r w:rsidRPr="002C4D66">
        <w:rPr>
          <w:rFonts w:asciiTheme="majorBidi" w:hAnsiTheme="majorBidi" w:cstheme="majorBidi"/>
          <w:sz w:val="24"/>
          <w:szCs w:val="24"/>
          <w:lang w:val="en-US"/>
        </w:rPr>
        <w:t>) of 0.50, 0.05, and 0.95 to analyze standard and extreme market conditions</w:t>
      </w:r>
      <w:r w:rsidRPr="002C4D66">
        <w:rPr>
          <w:rFonts w:ascii="Times New Roman" w:hAnsi="Times New Roman" w:cs="Times New Roman"/>
          <w:sz w:val="24"/>
          <w:szCs w:val="24"/>
          <w:lang w:val="en-US"/>
        </w:rPr>
        <w:t>. Moreover, the</w:t>
      </w:r>
      <w:r w:rsidRPr="002C4D66">
        <w:rPr>
          <w:rFonts w:asciiTheme="majorBidi" w:hAnsiTheme="majorBidi" w:cstheme="majorBidi"/>
          <w:sz w:val="24"/>
          <w:szCs w:val="24"/>
          <w:lang w:val="en-US"/>
        </w:rPr>
        <w:t xml:space="preserve"> optimal lag length of the QVAR model is denoted by </w:t>
      </w:r>
      <w:r w:rsidRPr="002C4D66">
        <w:rPr>
          <w:rFonts w:asciiTheme="majorBidi" w:hAnsiTheme="majorBidi" w:cstheme="majorBidi"/>
          <w:i/>
          <w:sz w:val="24"/>
          <w:szCs w:val="24"/>
          <w:lang w:val="en-US"/>
        </w:rPr>
        <w:t>p</w:t>
      </w:r>
      <w:r w:rsidRPr="002C4D66">
        <w:rPr>
          <w:rFonts w:asciiTheme="majorBidi" w:hAnsiTheme="majorBidi" w:cstheme="majorBidi"/>
          <w:sz w:val="24"/>
          <w:szCs w:val="24"/>
          <w:lang w:val="en-US"/>
        </w:rPr>
        <w:t xml:space="preserve">. Furthermore, </w:t>
      </w:r>
      <w:r w:rsidRPr="00E22C51">
        <w:rPr>
          <w:rFonts w:asciiTheme="majorBidi" w:hAnsiTheme="majorBidi" w:cstheme="majorBidi"/>
          <w:i/>
          <w:iCs/>
          <w:sz w:val="24"/>
          <w:szCs w:val="24"/>
        </w:rPr>
        <w:t>Φ</w:t>
      </w:r>
      <w:r w:rsidRPr="002C4D66">
        <w:rPr>
          <w:rFonts w:asciiTheme="majorBidi" w:hAnsiTheme="majorBidi" w:cstheme="majorBidi"/>
          <w:i/>
          <w:iCs/>
          <w:sz w:val="24"/>
          <w:szCs w:val="24"/>
          <w:vertAlign w:val="subscript"/>
          <w:lang w:val="en-US"/>
        </w:rPr>
        <w:t>j</w:t>
      </w:r>
      <w:r w:rsidRPr="002C4D66">
        <w:rPr>
          <w:rFonts w:asciiTheme="majorBidi" w:hAnsiTheme="majorBidi" w:cstheme="majorBidi"/>
          <w:i/>
          <w:iCs/>
          <w:sz w:val="24"/>
          <w:szCs w:val="24"/>
          <w:lang w:val="en-US"/>
        </w:rPr>
        <w:t xml:space="preserve"> (</w:t>
      </w:r>
      <w:r w:rsidRPr="00E22C51">
        <w:rPr>
          <w:rFonts w:asciiTheme="majorBidi" w:hAnsiTheme="majorBidi" w:cstheme="majorBidi"/>
          <w:i/>
          <w:iCs/>
          <w:sz w:val="24"/>
          <w:szCs w:val="24"/>
        </w:rPr>
        <w:t>τ</w:t>
      </w:r>
      <w:r w:rsidRPr="002C4D66">
        <w:rPr>
          <w:rFonts w:asciiTheme="majorBidi" w:hAnsiTheme="majorBidi" w:cstheme="majorBidi"/>
          <w:i/>
          <w:iCs/>
          <w:sz w:val="24"/>
          <w:szCs w:val="24"/>
          <w:lang w:val="en-US"/>
        </w:rPr>
        <w:t>)</w:t>
      </w:r>
      <w:r w:rsidRPr="002C4D66">
        <w:rPr>
          <w:rFonts w:asciiTheme="majorBidi" w:hAnsiTheme="majorBidi" w:cstheme="majorBidi"/>
          <w:sz w:val="24"/>
          <w:szCs w:val="24"/>
          <w:lang w:val="en-US"/>
        </w:rPr>
        <w:t xml:space="preserve"> refers to the </w:t>
      </w:r>
      <w:proofErr w:type="spellStart"/>
      <w:r w:rsidRPr="002C4D66">
        <w:rPr>
          <w:rFonts w:asciiTheme="majorBidi" w:hAnsiTheme="majorBidi" w:cstheme="majorBidi"/>
          <w:i/>
          <w:iCs/>
          <w:sz w:val="24"/>
          <w:szCs w:val="24"/>
          <w:lang w:val="en-US"/>
        </w:rPr>
        <w:t>k×k</w:t>
      </w:r>
      <w:proofErr w:type="spellEnd"/>
      <w:r w:rsidRPr="002C4D66">
        <w:rPr>
          <w:rFonts w:asciiTheme="majorBidi" w:hAnsiTheme="majorBidi" w:cstheme="majorBidi"/>
          <w:sz w:val="24"/>
          <w:szCs w:val="24"/>
          <w:lang w:val="en-US"/>
        </w:rPr>
        <w:t xml:space="preserve"> dimensional matrix that contains lagged coefficient of quantiles in </w:t>
      </w:r>
      <w:r w:rsidRPr="00E22C51">
        <w:rPr>
          <w:rFonts w:asciiTheme="majorBidi" w:hAnsiTheme="majorBidi" w:cstheme="majorBidi"/>
          <w:i/>
          <w:sz w:val="24"/>
          <w:szCs w:val="24"/>
        </w:rPr>
        <w:t>τ</w:t>
      </w:r>
      <w:r w:rsidRPr="002C4D66">
        <w:rPr>
          <w:rFonts w:asciiTheme="majorBidi" w:hAnsiTheme="majorBidi" w:cstheme="majorBidi"/>
          <w:sz w:val="24"/>
          <w:szCs w:val="24"/>
          <w:lang w:val="en-US"/>
        </w:rPr>
        <w:t xml:space="preserve">. The term </w:t>
      </w:r>
      <w:r w:rsidRPr="00E22C51">
        <w:rPr>
          <w:rFonts w:asciiTheme="majorBidi" w:hAnsiTheme="majorBidi" w:cstheme="majorBidi"/>
          <w:i/>
          <w:iCs/>
          <w:sz w:val="24"/>
          <w:szCs w:val="24"/>
        </w:rPr>
        <w:t>μ</w:t>
      </w:r>
      <w:r w:rsidRPr="002C4D66">
        <w:rPr>
          <w:rFonts w:asciiTheme="majorBidi" w:hAnsiTheme="majorBidi" w:cstheme="majorBidi"/>
          <w:i/>
          <w:iCs/>
          <w:sz w:val="24"/>
          <w:szCs w:val="24"/>
          <w:lang w:val="en-US"/>
        </w:rPr>
        <w:t>(</w:t>
      </w:r>
      <w:r w:rsidRPr="00E22C51">
        <w:rPr>
          <w:rFonts w:asciiTheme="majorBidi" w:hAnsiTheme="majorBidi" w:cstheme="majorBidi"/>
          <w:i/>
          <w:iCs/>
          <w:sz w:val="24"/>
          <w:szCs w:val="24"/>
        </w:rPr>
        <w:t>τ</w:t>
      </w:r>
      <w:r w:rsidRPr="002C4D66">
        <w:rPr>
          <w:rFonts w:asciiTheme="majorBidi" w:hAnsiTheme="majorBidi" w:cstheme="majorBidi"/>
          <w:i/>
          <w:iCs/>
          <w:sz w:val="24"/>
          <w:szCs w:val="24"/>
          <w:lang w:val="en-US"/>
        </w:rPr>
        <w:t>)</w:t>
      </w:r>
      <w:r w:rsidRPr="002C4D66">
        <w:rPr>
          <w:rFonts w:asciiTheme="majorBidi" w:hAnsiTheme="majorBidi" w:cstheme="majorBidi"/>
          <w:sz w:val="24"/>
          <w:szCs w:val="24"/>
          <w:lang w:val="en-US"/>
        </w:rPr>
        <w:t xml:space="preserve"> represents a </w:t>
      </w:r>
      <w:r w:rsidRPr="002C4D66">
        <w:rPr>
          <w:rFonts w:asciiTheme="majorBidi" w:hAnsiTheme="majorBidi" w:cstheme="majorBidi"/>
          <w:i/>
          <w:iCs/>
          <w:sz w:val="24"/>
          <w:szCs w:val="24"/>
          <w:lang w:val="en-US"/>
        </w:rPr>
        <w:t>k× 1</w:t>
      </w:r>
      <w:r w:rsidRPr="002C4D66">
        <w:rPr>
          <w:rFonts w:asciiTheme="majorBidi" w:hAnsiTheme="majorBidi" w:cstheme="majorBidi"/>
          <w:sz w:val="24"/>
          <w:szCs w:val="24"/>
          <w:lang w:val="en-US"/>
        </w:rPr>
        <w:t xml:space="preserve"> vector of intercepts at quantile </w:t>
      </w:r>
      <w:r w:rsidRPr="00E22C51">
        <w:rPr>
          <w:rFonts w:asciiTheme="majorBidi" w:hAnsiTheme="majorBidi" w:cstheme="majorBidi"/>
          <w:i/>
          <w:sz w:val="24"/>
          <w:szCs w:val="24"/>
        </w:rPr>
        <w:t>τ</w:t>
      </w:r>
      <w:r w:rsidRPr="002C4D66">
        <w:rPr>
          <w:rFonts w:asciiTheme="majorBidi" w:hAnsiTheme="majorBidi" w:cstheme="majorBidi"/>
          <w:sz w:val="24"/>
          <w:szCs w:val="24"/>
          <w:lang w:val="en-US"/>
        </w:rPr>
        <w:t xml:space="preserve">, </w:t>
      </w:r>
      <w:r w:rsidRPr="002C4D66">
        <w:rPr>
          <w:rFonts w:ascii="Times New Roman" w:hAnsi="Times New Roman" w:cs="Times New Roman"/>
          <w:sz w:val="24"/>
          <w:szCs w:val="24"/>
          <w:lang w:val="en-US"/>
        </w:rPr>
        <w:t xml:space="preserve">whereas </w:t>
      </w:r>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t</m:t>
            </m:r>
          </m:sub>
        </m:sSub>
        <m:d>
          <m:dPr>
            <m:ctrlPr>
              <w:rPr>
                <w:rFonts w:ascii="Cambria Math" w:hAnsi="Cambria Math" w:cs="Times New Roman"/>
                <w:i/>
                <w:sz w:val="24"/>
                <w:szCs w:val="24"/>
              </w:rPr>
            </m:ctrlPr>
          </m:dPr>
          <m:e>
            <m:r>
              <w:rPr>
                <w:rFonts w:ascii="Cambria Math" w:hAnsi="Cambria Math" w:cs="Times New Roman"/>
                <w:sz w:val="24"/>
                <w:szCs w:val="24"/>
              </w:rPr>
              <m:t>τ</m:t>
            </m:r>
          </m:e>
        </m:d>
      </m:oMath>
      <w:r w:rsidRPr="002C4D66">
        <w:rPr>
          <w:rFonts w:ascii="Times New Roman" w:hAnsi="Times New Roman" w:cs="Times New Roman"/>
          <w:sz w:val="24"/>
          <w:szCs w:val="24"/>
          <w:lang w:val="en-US"/>
        </w:rPr>
        <w:t xml:space="preserve"> is a vector of residuals at quantile </w:t>
      </w:r>
      <w:r w:rsidRPr="00E22C51">
        <w:rPr>
          <w:rFonts w:ascii="Times New Roman" w:hAnsi="Times New Roman" w:cs="Times New Roman"/>
          <w:i/>
          <w:sz w:val="24"/>
          <w:szCs w:val="24"/>
        </w:rPr>
        <w:t>τ</w:t>
      </w:r>
      <w:r w:rsidRPr="002C4D66">
        <w:rPr>
          <w:rFonts w:ascii="Times New Roman" w:hAnsi="Times New Roman" w:cs="Times New Roman"/>
          <w:sz w:val="24"/>
          <w:szCs w:val="24"/>
          <w:lang w:val="en-US"/>
        </w:rPr>
        <w:t xml:space="preserve"> </w:t>
      </w:r>
      <w:r w:rsidRPr="002C4D66">
        <w:rPr>
          <w:rFonts w:asciiTheme="majorBidi" w:hAnsiTheme="majorBidi" w:cstheme="majorBidi"/>
          <w:sz w:val="24"/>
          <w:szCs w:val="24"/>
          <w:lang w:val="en-US"/>
        </w:rPr>
        <w:t xml:space="preserve">and have the same size, accompanied by a variance–covariance matrix of dimensions </w:t>
      </w:r>
      <w:r w:rsidRPr="002C4D66">
        <w:rPr>
          <w:rFonts w:asciiTheme="majorBidi" w:hAnsiTheme="majorBidi" w:cstheme="majorBidi"/>
          <w:i/>
          <w:iCs/>
          <w:sz w:val="24"/>
          <w:szCs w:val="24"/>
          <w:lang w:val="en-US"/>
        </w:rPr>
        <w:t>k × k</w:t>
      </w:r>
      <w:r w:rsidRPr="002C4D66">
        <w:rPr>
          <w:rFonts w:asciiTheme="majorBidi" w:hAnsiTheme="majorBidi" w:cstheme="majorBidi"/>
          <w:sz w:val="24"/>
          <w:szCs w:val="24"/>
          <w:lang w:val="en-US"/>
        </w:rPr>
        <w:t xml:space="preserve">, represented as </w:t>
      </w:r>
      <w:r w:rsidRPr="00E22C51">
        <w:rPr>
          <w:rFonts w:asciiTheme="majorBidi" w:hAnsiTheme="majorBidi" w:cstheme="majorBidi"/>
          <w:i/>
          <w:iCs/>
          <w:sz w:val="24"/>
          <w:szCs w:val="24"/>
        </w:rPr>
        <w:t>Σ</w:t>
      </w:r>
      <w:r w:rsidRPr="002C4D66">
        <w:rPr>
          <w:rFonts w:asciiTheme="majorBidi" w:hAnsiTheme="majorBidi" w:cstheme="majorBidi"/>
          <w:i/>
          <w:iCs/>
          <w:sz w:val="24"/>
          <w:szCs w:val="24"/>
          <w:lang w:val="en-US"/>
        </w:rPr>
        <w:t>(</w:t>
      </w:r>
      <w:r w:rsidRPr="00E22C51">
        <w:rPr>
          <w:rFonts w:asciiTheme="majorBidi" w:hAnsiTheme="majorBidi" w:cstheme="majorBidi"/>
          <w:i/>
          <w:iCs/>
          <w:sz w:val="24"/>
          <w:szCs w:val="24"/>
        </w:rPr>
        <w:t>τ</w:t>
      </w:r>
      <w:r w:rsidRPr="002C4D66">
        <w:rPr>
          <w:rFonts w:asciiTheme="majorBidi" w:hAnsiTheme="majorBidi" w:cstheme="majorBidi"/>
          <w:i/>
          <w:iCs/>
          <w:sz w:val="24"/>
          <w:szCs w:val="24"/>
          <w:lang w:val="en-US"/>
        </w:rPr>
        <w:t>)</w:t>
      </w:r>
      <w:r w:rsidRPr="002C4D66">
        <w:rPr>
          <w:rFonts w:asciiTheme="majorBidi" w:hAnsiTheme="majorBidi" w:cstheme="majorBidi"/>
          <w:sz w:val="24"/>
          <w:szCs w:val="24"/>
          <w:lang w:val="en-US"/>
        </w:rPr>
        <w:t xml:space="preserve">. Furthermore, </w:t>
      </w:r>
      <w:proofErr w:type="spellStart"/>
      <w:r w:rsidRPr="002C4D66">
        <w:rPr>
          <w:rFonts w:asciiTheme="majorBidi" w:hAnsiTheme="majorBidi" w:cstheme="majorBidi"/>
          <w:sz w:val="24"/>
          <w:szCs w:val="24"/>
          <w:lang w:val="en-US"/>
        </w:rPr>
        <w:t>Wold's</w:t>
      </w:r>
      <w:proofErr w:type="spellEnd"/>
      <w:r w:rsidRPr="002C4D66">
        <w:rPr>
          <w:rFonts w:asciiTheme="majorBidi" w:hAnsiTheme="majorBidi" w:cstheme="majorBidi"/>
          <w:sz w:val="24"/>
          <w:szCs w:val="24"/>
          <w:lang w:val="en-US"/>
        </w:rPr>
        <w:t xml:space="preserve"> theorem is used to convert QVAR(p) into QVMA(</w:t>
      </w:r>
      <w:r w:rsidRPr="00E22C51">
        <w:rPr>
          <w:rFonts w:asciiTheme="majorBidi" w:hAnsiTheme="majorBidi" w:cstheme="majorBidi"/>
          <w:sz w:val="24"/>
          <w:szCs w:val="24"/>
        </w:rPr>
        <w:t>ꝏ</w:t>
      </w:r>
      <w:r w:rsidRPr="002C4D66">
        <w:rPr>
          <w:rFonts w:asciiTheme="majorBidi" w:hAnsiTheme="majorBidi" w:cstheme="majorBidi"/>
          <w:sz w:val="24"/>
          <w:szCs w:val="24"/>
          <w:lang w:val="en-US"/>
        </w:rPr>
        <w:t>) form:</w:t>
      </w:r>
    </w:p>
    <w:p w14:paraId="4D15F83C" w14:textId="77777777" w:rsidR="002C4D66" w:rsidRPr="00E22C51" w:rsidRDefault="002C4D66" w:rsidP="002C4D66">
      <w:pPr>
        <w:pStyle w:val="MDPI31text"/>
        <w:spacing w:after="240" w:line="240" w:lineRule="auto"/>
        <w:rPr>
          <w:rFonts w:asciiTheme="majorBidi" w:hAnsiTheme="majorBidi" w:cstheme="majorBidi"/>
          <w:color w:val="auto"/>
          <w:sz w:val="24"/>
          <w:szCs w:val="24"/>
        </w:rPr>
      </w:pPr>
    </w:p>
    <w:tbl>
      <w:tblPr>
        <w:tblW w:w="9423" w:type="dxa"/>
        <w:tblInd w:w="-5" w:type="dxa"/>
        <w:tblLook w:val="0000" w:firstRow="0" w:lastRow="0" w:firstColumn="0" w:lastColumn="0" w:noHBand="0" w:noVBand="0"/>
      </w:tblPr>
      <w:tblGrid>
        <w:gridCol w:w="8452"/>
        <w:gridCol w:w="971"/>
      </w:tblGrid>
      <w:tr w:rsidR="002C4D66" w:rsidRPr="00E22C51" w14:paraId="5C769541" w14:textId="77777777" w:rsidTr="00B8290A">
        <w:trPr>
          <w:trHeight w:val="307"/>
        </w:trPr>
        <w:tc>
          <w:tcPr>
            <w:tcW w:w="8452" w:type="dxa"/>
            <w:vAlign w:val="center"/>
          </w:tcPr>
          <w:p w14:paraId="5EE1054A" w14:textId="77777777" w:rsidR="002C4D66" w:rsidRPr="00E22C51" w:rsidRDefault="00000000" w:rsidP="00B8290A">
            <w:pPr>
              <w:pStyle w:val="MDPI31text"/>
              <w:spacing w:after="240" w:line="240" w:lineRule="auto"/>
              <w:rPr>
                <w:rFonts w:asciiTheme="majorBidi" w:hAnsiTheme="majorBidi" w:cstheme="majorBidi"/>
                <w:color w:val="auto"/>
                <w:sz w:val="24"/>
                <w:szCs w:val="24"/>
              </w:rPr>
            </w:pPr>
            <m:oMathPara>
              <m:oMathParaPr>
                <m:jc m:val="center"/>
              </m:oMathParaPr>
              <m:oMath>
                <m:sSub>
                  <m:sSubPr>
                    <m:ctrlPr>
                      <w:rPr>
                        <w:rFonts w:ascii="Cambria Math" w:hAnsi="Cambria Math" w:cstheme="majorBidi"/>
                        <w:i/>
                        <w:color w:val="auto"/>
                        <w:sz w:val="24"/>
                        <w:szCs w:val="24"/>
                      </w:rPr>
                    </m:ctrlPr>
                  </m:sSubPr>
                  <m:e>
                    <m:r>
                      <w:rPr>
                        <w:rFonts w:ascii="Cambria Math" w:hAnsi="Cambria Math" w:cstheme="majorBidi"/>
                        <w:color w:val="auto"/>
                        <w:sz w:val="24"/>
                        <w:szCs w:val="24"/>
                      </w:rPr>
                      <m:t>Y</m:t>
                    </m:r>
                  </m:e>
                  <m:sub>
                    <m:r>
                      <w:rPr>
                        <w:rFonts w:ascii="Cambria Math" w:hAnsi="Cambria Math" w:cstheme="majorBidi"/>
                        <w:color w:val="auto"/>
                        <w:sz w:val="24"/>
                        <w:szCs w:val="24"/>
                      </w:rPr>
                      <m:t>t</m:t>
                    </m:r>
                  </m:sub>
                </m:sSub>
                <m:r>
                  <w:rPr>
                    <w:rFonts w:ascii="Cambria Math" w:hAnsi="Cambria Math" w:cstheme="majorBidi"/>
                    <w:color w:val="auto"/>
                    <w:sz w:val="24"/>
                    <w:szCs w:val="24"/>
                  </w:rPr>
                  <m:t>=μ</m:t>
                </m:r>
                <m:d>
                  <m:dPr>
                    <m:ctrlPr>
                      <w:rPr>
                        <w:rFonts w:ascii="Cambria Math" w:hAnsi="Cambria Math" w:cstheme="majorBidi"/>
                        <w:i/>
                        <w:color w:val="auto"/>
                        <w:sz w:val="24"/>
                        <w:szCs w:val="24"/>
                      </w:rPr>
                    </m:ctrlPr>
                  </m:dPr>
                  <m:e>
                    <m:r>
                      <w:rPr>
                        <w:rFonts w:ascii="Cambria Math" w:hAnsi="Cambria Math" w:cstheme="majorBidi"/>
                        <w:color w:val="auto"/>
                        <w:sz w:val="24"/>
                        <w:szCs w:val="24"/>
                      </w:rPr>
                      <m:t>τ</m:t>
                    </m:r>
                  </m:e>
                </m:d>
                <m:r>
                  <w:rPr>
                    <w:rFonts w:ascii="Cambria Math" w:hAnsi="Cambria Math" w:cstheme="majorBidi"/>
                    <w:color w:val="auto"/>
                    <w:sz w:val="24"/>
                    <w:szCs w:val="24"/>
                  </w:rPr>
                  <m:t>+</m:t>
                </m:r>
                <m:sSubSup>
                  <m:sSubSupPr>
                    <m:ctrlPr>
                      <w:rPr>
                        <w:rFonts w:ascii="Cambria Math" w:hAnsi="Cambria Math" w:cstheme="majorBidi"/>
                        <w:i/>
                        <w:color w:val="auto"/>
                        <w:sz w:val="24"/>
                        <w:szCs w:val="24"/>
                      </w:rPr>
                    </m:ctrlPr>
                  </m:sSubSupPr>
                  <m:e>
                    <m:r>
                      <w:rPr>
                        <w:rFonts w:ascii="Cambria Math" w:hAnsi="Cambria Math" w:cstheme="majorBidi"/>
                        <w:color w:val="auto"/>
                        <w:sz w:val="24"/>
                        <w:szCs w:val="24"/>
                      </w:rPr>
                      <m:t>Σ</m:t>
                    </m:r>
                  </m:e>
                  <m:sub>
                    <m:r>
                      <w:rPr>
                        <w:rFonts w:ascii="Cambria Math" w:hAnsi="Cambria Math" w:cstheme="majorBidi"/>
                        <w:color w:val="auto"/>
                        <w:sz w:val="24"/>
                        <w:szCs w:val="24"/>
                      </w:rPr>
                      <m:t>j=1</m:t>
                    </m:r>
                  </m:sub>
                  <m:sup>
                    <m:r>
                      <w:rPr>
                        <w:rFonts w:ascii="Cambria Math" w:hAnsi="Cambria Math" w:cstheme="majorBidi"/>
                        <w:color w:val="auto"/>
                        <w:sz w:val="24"/>
                        <w:szCs w:val="24"/>
                      </w:rPr>
                      <m:t>p</m:t>
                    </m:r>
                  </m:sup>
                </m:sSubSup>
                <m:sSub>
                  <m:sSubPr>
                    <m:ctrlPr>
                      <w:rPr>
                        <w:rFonts w:ascii="Cambria Math" w:hAnsi="Cambria Math" w:cstheme="majorBidi"/>
                        <w:i/>
                        <w:color w:val="auto"/>
                        <w:sz w:val="24"/>
                        <w:szCs w:val="24"/>
                      </w:rPr>
                    </m:ctrlPr>
                  </m:sSubPr>
                  <m:e>
                    <m:r>
                      <w:rPr>
                        <w:rFonts w:ascii="Cambria Math" w:hAnsi="Cambria Math" w:cstheme="majorBidi"/>
                        <w:color w:val="auto"/>
                        <w:sz w:val="24"/>
                        <w:szCs w:val="24"/>
                      </w:rPr>
                      <m:t>Φ</m:t>
                    </m:r>
                  </m:e>
                  <m:sub>
                    <m:r>
                      <w:rPr>
                        <w:rFonts w:ascii="Cambria Math" w:hAnsi="Cambria Math" w:cstheme="majorBidi"/>
                        <w:color w:val="auto"/>
                        <w:sz w:val="24"/>
                        <w:szCs w:val="24"/>
                      </w:rPr>
                      <m:t>j</m:t>
                    </m:r>
                  </m:sub>
                </m:sSub>
                <m:d>
                  <m:dPr>
                    <m:ctrlPr>
                      <w:rPr>
                        <w:rFonts w:ascii="Cambria Math" w:hAnsi="Cambria Math" w:cstheme="majorBidi"/>
                        <w:i/>
                        <w:color w:val="auto"/>
                        <w:sz w:val="24"/>
                        <w:szCs w:val="24"/>
                      </w:rPr>
                    </m:ctrlPr>
                  </m:dPr>
                  <m:e>
                    <m:r>
                      <w:rPr>
                        <w:rFonts w:ascii="Cambria Math" w:hAnsi="Cambria Math" w:cstheme="majorBidi"/>
                        <w:color w:val="auto"/>
                        <w:sz w:val="24"/>
                        <w:szCs w:val="24"/>
                      </w:rPr>
                      <m:t>τ</m:t>
                    </m:r>
                  </m:e>
                </m:d>
                <m:sSub>
                  <m:sSubPr>
                    <m:ctrlPr>
                      <w:rPr>
                        <w:rFonts w:ascii="Cambria Math" w:hAnsi="Cambria Math" w:cstheme="majorBidi"/>
                        <w:i/>
                        <w:color w:val="auto"/>
                        <w:sz w:val="24"/>
                        <w:szCs w:val="24"/>
                      </w:rPr>
                    </m:ctrlPr>
                  </m:sSubPr>
                  <m:e>
                    <m:r>
                      <w:rPr>
                        <w:rFonts w:ascii="Cambria Math" w:hAnsi="Cambria Math" w:cstheme="majorBidi"/>
                        <w:color w:val="auto"/>
                        <w:sz w:val="24"/>
                        <w:szCs w:val="24"/>
                      </w:rPr>
                      <m:t>y</m:t>
                    </m:r>
                  </m:e>
                  <m:sub>
                    <m:r>
                      <w:rPr>
                        <w:rFonts w:ascii="Cambria Math" w:hAnsi="Cambria Math" w:cstheme="majorBidi"/>
                        <w:color w:val="auto"/>
                        <w:sz w:val="24"/>
                        <w:szCs w:val="24"/>
                      </w:rPr>
                      <m:t>t-j</m:t>
                    </m:r>
                  </m:sub>
                </m:sSub>
                <m:r>
                  <w:rPr>
                    <w:rFonts w:ascii="Cambria Math" w:hAnsi="Cambria Math" w:cstheme="majorBidi"/>
                    <w:color w:val="auto"/>
                    <w:sz w:val="24"/>
                    <w:szCs w:val="24"/>
                  </w:rPr>
                  <m:t>+</m:t>
                </m:r>
                <m:sSub>
                  <m:sSubPr>
                    <m:ctrlPr>
                      <w:rPr>
                        <w:rFonts w:ascii="Cambria Math" w:hAnsi="Cambria Math" w:cstheme="majorBidi"/>
                        <w:i/>
                        <w:color w:val="auto"/>
                        <w:sz w:val="24"/>
                        <w:szCs w:val="24"/>
                      </w:rPr>
                    </m:ctrlPr>
                  </m:sSubPr>
                  <m:e>
                    <m:r>
                      <w:rPr>
                        <w:rFonts w:ascii="Cambria Math" w:hAnsi="Cambria Math" w:cstheme="majorBidi"/>
                        <w:color w:val="auto"/>
                        <w:sz w:val="24"/>
                        <w:szCs w:val="24"/>
                      </w:rPr>
                      <m:t>u</m:t>
                    </m:r>
                  </m:e>
                  <m:sub>
                    <m:r>
                      <w:rPr>
                        <w:rFonts w:ascii="Cambria Math" w:hAnsi="Cambria Math" w:cstheme="majorBidi"/>
                        <w:color w:val="auto"/>
                        <w:sz w:val="24"/>
                        <w:szCs w:val="24"/>
                      </w:rPr>
                      <m:t>t</m:t>
                    </m:r>
                  </m:sub>
                </m:sSub>
                <m:d>
                  <m:dPr>
                    <m:ctrlPr>
                      <w:rPr>
                        <w:rFonts w:ascii="Cambria Math" w:hAnsi="Cambria Math" w:cstheme="majorBidi"/>
                        <w:i/>
                        <w:color w:val="auto"/>
                        <w:sz w:val="24"/>
                        <w:szCs w:val="24"/>
                      </w:rPr>
                    </m:ctrlPr>
                  </m:dPr>
                  <m:e>
                    <m:r>
                      <w:rPr>
                        <w:rFonts w:ascii="Cambria Math" w:hAnsi="Cambria Math" w:cstheme="majorBidi"/>
                        <w:color w:val="auto"/>
                        <w:sz w:val="24"/>
                        <w:szCs w:val="24"/>
                      </w:rPr>
                      <m:t>τ</m:t>
                    </m:r>
                  </m:e>
                </m:d>
                <m:r>
                  <w:rPr>
                    <w:rFonts w:ascii="Cambria Math" w:hAnsi="Cambria Math" w:cstheme="majorBidi"/>
                    <w:color w:val="auto"/>
                    <w:sz w:val="24"/>
                    <w:szCs w:val="24"/>
                  </w:rPr>
                  <m:t>=μ</m:t>
                </m:r>
                <m:d>
                  <m:dPr>
                    <m:ctrlPr>
                      <w:rPr>
                        <w:rFonts w:ascii="Cambria Math" w:hAnsi="Cambria Math" w:cstheme="majorBidi"/>
                        <w:i/>
                        <w:color w:val="auto"/>
                        <w:sz w:val="24"/>
                        <w:szCs w:val="24"/>
                      </w:rPr>
                    </m:ctrlPr>
                  </m:dPr>
                  <m:e>
                    <m:r>
                      <w:rPr>
                        <w:rFonts w:ascii="Cambria Math" w:hAnsi="Cambria Math" w:cstheme="majorBidi"/>
                        <w:color w:val="auto"/>
                        <w:sz w:val="24"/>
                        <w:szCs w:val="24"/>
                      </w:rPr>
                      <m:t>τ</m:t>
                    </m:r>
                  </m:e>
                </m:d>
                <m:r>
                  <w:rPr>
                    <w:rFonts w:ascii="Cambria Math" w:hAnsi="Cambria Math" w:cstheme="majorBidi"/>
                    <w:color w:val="auto"/>
                    <w:sz w:val="24"/>
                    <w:szCs w:val="24"/>
                  </w:rPr>
                  <m:t>+</m:t>
                </m:r>
                <m:sSubSup>
                  <m:sSubSupPr>
                    <m:ctrlPr>
                      <w:rPr>
                        <w:rFonts w:ascii="Cambria Math" w:hAnsi="Cambria Math" w:cstheme="majorBidi"/>
                        <w:i/>
                        <w:color w:val="auto"/>
                        <w:sz w:val="24"/>
                        <w:szCs w:val="24"/>
                      </w:rPr>
                    </m:ctrlPr>
                  </m:sSubSupPr>
                  <m:e>
                    <m:r>
                      <w:rPr>
                        <w:rFonts w:ascii="Cambria Math" w:hAnsi="Cambria Math" w:cstheme="majorBidi"/>
                        <w:color w:val="auto"/>
                        <w:sz w:val="24"/>
                        <w:szCs w:val="24"/>
                      </w:rPr>
                      <m:t>Σ</m:t>
                    </m:r>
                  </m:e>
                  <m:sub>
                    <m:r>
                      <w:rPr>
                        <w:rFonts w:ascii="Cambria Math" w:hAnsi="Cambria Math" w:cstheme="majorBidi"/>
                        <w:color w:val="auto"/>
                        <w:sz w:val="24"/>
                        <w:szCs w:val="24"/>
                      </w:rPr>
                      <m:t>i=1</m:t>
                    </m:r>
                  </m:sub>
                  <m:sup>
                    <m:r>
                      <w:rPr>
                        <w:rFonts w:ascii="Cambria Math" w:hAnsi="Cambria Math" w:cstheme="majorBidi"/>
                        <w:color w:val="auto"/>
                        <w:sz w:val="24"/>
                        <w:szCs w:val="24"/>
                      </w:rPr>
                      <m:t>∞</m:t>
                    </m:r>
                  </m:sup>
                </m:sSubSup>
                <m:r>
                  <w:rPr>
                    <w:rFonts w:ascii="Cambria Math" w:hAnsi="Cambria Math" w:cstheme="majorBidi"/>
                    <w:color w:val="auto"/>
                    <w:sz w:val="24"/>
                    <w:szCs w:val="24"/>
                  </w:rPr>
                  <m:t xml:space="preserve"> </m:t>
                </m:r>
                <m:sSub>
                  <m:sSubPr>
                    <m:ctrlPr>
                      <w:rPr>
                        <w:rFonts w:ascii="Cambria Math" w:hAnsi="Cambria Math" w:cstheme="majorBidi"/>
                        <w:i/>
                        <w:color w:val="auto"/>
                        <w:sz w:val="24"/>
                        <w:szCs w:val="24"/>
                      </w:rPr>
                    </m:ctrlPr>
                  </m:sSubPr>
                  <m:e>
                    <m:r>
                      <w:rPr>
                        <w:rFonts w:ascii="Cambria Math" w:hAnsi="Cambria Math" w:cstheme="majorBidi"/>
                        <w:color w:val="auto"/>
                        <w:sz w:val="24"/>
                        <w:szCs w:val="24"/>
                      </w:rPr>
                      <m:t>ψ</m:t>
                    </m:r>
                  </m:e>
                  <m:sub>
                    <m:r>
                      <w:rPr>
                        <w:rFonts w:ascii="Cambria Math" w:hAnsi="Cambria Math" w:cstheme="majorBidi"/>
                        <w:color w:val="auto"/>
                        <w:sz w:val="24"/>
                        <w:szCs w:val="24"/>
                      </w:rPr>
                      <m:t>i</m:t>
                    </m:r>
                  </m:sub>
                </m:sSub>
                <m:d>
                  <m:dPr>
                    <m:ctrlPr>
                      <w:rPr>
                        <w:rFonts w:ascii="Cambria Math" w:hAnsi="Cambria Math" w:cstheme="majorBidi"/>
                        <w:i/>
                        <w:color w:val="auto"/>
                        <w:sz w:val="24"/>
                        <w:szCs w:val="24"/>
                      </w:rPr>
                    </m:ctrlPr>
                  </m:dPr>
                  <m:e>
                    <m:r>
                      <w:rPr>
                        <w:rFonts w:ascii="Cambria Math" w:hAnsi="Cambria Math" w:cstheme="majorBidi"/>
                        <w:color w:val="auto"/>
                        <w:sz w:val="24"/>
                        <w:szCs w:val="24"/>
                      </w:rPr>
                      <m:t>τ</m:t>
                    </m:r>
                  </m:e>
                </m:d>
                <m:sSub>
                  <m:sSubPr>
                    <m:ctrlPr>
                      <w:rPr>
                        <w:rFonts w:ascii="Cambria Math" w:hAnsi="Cambria Math" w:cstheme="majorBidi"/>
                        <w:i/>
                        <w:color w:val="auto"/>
                        <w:sz w:val="24"/>
                        <w:szCs w:val="24"/>
                      </w:rPr>
                    </m:ctrlPr>
                  </m:sSubPr>
                  <m:e>
                    <m:r>
                      <w:rPr>
                        <w:rFonts w:ascii="Cambria Math" w:hAnsi="Cambria Math" w:cstheme="majorBidi"/>
                        <w:color w:val="auto"/>
                        <w:sz w:val="24"/>
                        <w:szCs w:val="24"/>
                      </w:rPr>
                      <m:t>u</m:t>
                    </m:r>
                  </m:e>
                  <m:sub>
                    <m:r>
                      <w:rPr>
                        <w:rFonts w:ascii="Cambria Math" w:hAnsi="Cambria Math" w:cstheme="majorBidi"/>
                        <w:color w:val="auto"/>
                        <w:sz w:val="24"/>
                        <w:szCs w:val="24"/>
                      </w:rPr>
                      <m:t>t-i</m:t>
                    </m:r>
                  </m:sub>
                </m:sSub>
              </m:oMath>
            </m:oMathPara>
          </w:p>
        </w:tc>
        <w:tc>
          <w:tcPr>
            <w:tcW w:w="971" w:type="dxa"/>
            <w:vAlign w:val="center"/>
          </w:tcPr>
          <w:p w14:paraId="7994CC82" w14:textId="77777777" w:rsidR="002C4D66" w:rsidRPr="00E22C51" w:rsidRDefault="002C4D66" w:rsidP="002C4D66">
            <w:pPr>
              <w:pStyle w:val="MDPI31text"/>
              <w:numPr>
                <w:ilvl w:val="0"/>
                <w:numId w:val="1"/>
              </w:numPr>
              <w:spacing w:after="240" w:line="240" w:lineRule="auto"/>
              <w:rPr>
                <w:rFonts w:asciiTheme="majorBidi" w:hAnsiTheme="majorBidi" w:cstheme="majorBidi"/>
                <w:color w:val="auto"/>
                <w:sz w:val="24"/>
                <w:szCs w:val="24"/>
              </w:rPr>
            </w:pPr>
          </w:p>
        </w:tc>
      </w:tr>
    </w:tbl>
    <w:p w14:paraId="4C48CC88" w14:textId="77777777" w:rsidR="002C4D66" w:rsidRPr="002C4D66" w:rsidRDefault="002C4D66" w:rsidP="002C4D66">
      <w:pPr>
        <w:spacing w:after="0" w:line="240" w:lineRule="auto"/>
        <w:ind w:firstLine="510"/>
        <w:jc w:val="both"/>
        <w:rPr>
          <w:rFonts w:asciiTheme="majorBidi" w:hAnsiTheme="majorBidi" w:cstheme="majorBidi"/>
          <w:sz w:val="24"/>
          <w:szCs w:val="24"/>
          <w:lang w:val="en-US"/>
        </w:rPr>
      </w:pPr>
      <w:r w:rsidRPr="002C4D66">
        <w:rPr>
          <w:rFonts w:asciiTheme="majorBidi" w:hAnsiTheme="majorBidi" w:cstheme="majorBidi"/>
          <w:sz w:val="24"/>
          <w:szCs w:val="24"/>
          <w:lang w:val="en-US"/>
        </w:rPr>
        <w:t xml:space="preserve">After that, to understand the effect of a shock in the </w:t>
      </w:r>
      <w:r w:rsidRPr="00E22C51">
        <w:rPr>
          <w:rFonts w:asciiTheme="majorBidi" w:hAnsiTheme="majorBidi" w:cstheme="majorBidi"/>
          <w:i/>
          <w:sz w:val="24"/>
          <w:szCs w:val="24"/>
        </w:rPr>
        <w:t>τ</w:t>
      </w:r>
      <w:proofErr w:type="spellStart"/>
      <w:r w:rsidRPr="002C4D66">
        <w:rPr>
          <w:rFonts w:asciiTheme="majorBidi" w:hAnsiTheme="majorBidi" w:cstheme="majorBidi"/>
          <w:i/>
          <w:sz w:val="24"/>
          <w:szCs w:val="24"/>
          <w:vertAlign w:val="superscript"/>
          <w:lang w:val="en-US"/>
        </w:rPr>
        <w:t>th</w:t>
      </w:r>
      <w:proofErr w:type="spellEnd"/>
      <w:r w:rsidRPr="002C4D66">
        <w:rPr>
          <w:rFonts w:asciiTheme="majorBidi" w:hAnsiTheme="majorBidi" w:cstheme="majorBidi"/>
          <w:sz w:val="24"/>
          <w:szCs w:val="24"/>
          <w:lang w:val="en-US"/>
        </w:rPr>
        <w:t xml:space="preserve"> quantile of variable </w:t>
      </w:r>
      <w:r w:rsidRPr="002C4D66">
        <w:rPr>
          <w:rFonts w:asciiTheme="majorBidi" w:hAnsiTheme="majorBidi" w:cstheme="majorBidi"/>
          <w:i/>
          <w:iCs/>
          <w:sz w:val="24"/>
          <w:szCs w:val="24"/>
          <w:lang w:val="en-US"/>
        </w:rPr>
        <w:t>j</w:t>
      </w:r>
      <w:r w:rsidRPr="002C4D66">
        <w:rPr>
          <w:rFonts w:asciiTheme="majorBidi" w:hAnsiTheme="majorBidi" w:cstheme="majorBidi"/>
          <w:sz w:val="24"/>
          <w:szCs w:val="24"/>
          <w:lang w:val="en-US"/>
        </w:rPr>
        <w:t xml:space="preserve"> on variable</w:t>
      </w:r>
      <w:r w:rsidRPr="002C4D66">
        <w:rPr>
          <w:rFonts w:asciiTheme="majorBidi" w:hAnsiTheme="majorBidi" w:cstheme="majorBidi"/>
          <w:i/>
          <w:iCs/>
          <w:sz w:val="24"/>
          <w:szCs w:val="24"/>
          <w:lang w:val="en-US"/>
        </w:rPr>
        <w:t xml:space="preserve"> </w:t>
      </w:r>
      <w:proofErr w:type="spellStart"/>
      <w:r w:rsidRPr="002C4D66">
        <w:rPr>
          <w:rFonts w:asciiTheme="majorBidi" w:hAnsiTheme="majorBidi" w:cstheme="majorBidi"/>
          <w:i/>
          <w:iCs/>
          <w:sz w:val="24"/>
          <w:szCs w:val="24"/>
          <w:lang w:val="en-US"/>
        </w:rPr>
        <w:t>i</w:t>
      </w:r>
      <w:proofErr w:type="spellEnd"/>
      <w:r w:rsidRPr="002C4D66">
        <w:rPr>
          <w:rFonts w:asciiTheme="majorBidi" w:hAnsiTheme="majorBidi" w:cstheme="majorBidi"/>
          <w:sz w:val="24"/>
          <w:szCs w:val="24"/>
          <w:lang w:val="en-US"/>
        </w:rPr>
        <w:t xml:space="preserve">, the H-step forward Generalized Forecast Error Variance Decomposition (GFEVD) of </w:t>
      </w:r>
      <w:r w:rsidRPr="00E22C51">
        <w:rPr>
          <w:rFonts w:asciiTheme="majorBidi" w:hAnsiTheme="majorBidi" w:cstheme="majorBidi"/>
          <w:sz w:val="24"/>
          <w:szCs w:val="24"/>
        </w:rPr>
        <w:fldChar w:fldCharType="begin" w:fldLock="1"/>
      </w:r>
      <w:r w:rsidRPr="002C4D66">
        <w:rPr>
          <w:rFonts w:asciiTheme="majorBidi" w:hAnsiTheme="majorBidi" w:cstheme="majorBidi"/>
          <w:sz w:val="24"/>
          <w:szCs w:val="24"/>
          <w:lang w:val="en-US"/>
        </w:rPr>
        <w:instrText>ADDIN CSL_CITATION {"citationItems":[{"id":"ITEM-1","itemData":{"DOI":"10.1016/0304-4076(95)01753-4","ISSN":"03044076","author":[{"dropping-particle":"","family":"Koop","given":"Gary","non-dropping-particle":"","parse-names":false,"suffix":""},{"dropping-particle":"","family":"Pesaran","given":"M.Hashem","non-dropping-particle":"","parse-names":false,"suffix":""},{"dropping-particle":"","family":"Potter","given":"Simon M.","non-dropping-particle":"","parse-names":false,"suffix":""}],"container-title":"Journal of Econometrics","id":"ITEM-1","issue":"1","issued":{"date-parts":[["1996","9"]]},"page":"119-147","title":"Impulse response analysis in nonlinear multivariate models","type":"article-journal","volume":"74"},"uris":["http://www.mendeley.com/documents/?uuid=3c5ff56f-b1f2-480e-abcd-2e9db1ed7472"]}],"mendeley":{"formattedCitation":"(Koop et al., 1996)","manualFormatting":"Koop et al. (1996)","plainTextFormattedCitation":"(Koop et al., 1996)","previouslyFormattedCitation":"(Koop et al., 1996)"},"properties":{"noteIndex":0},"schema":"https://github.com/citation-style-language/schema/raw/master/csl-citation.json"}</w:instrText>
      </w:r>
      <w:r w:rsidRPr="00E22C51">
        <w:rPr>
          <w:rFonts w:asciiTheme="majorBidi" w:hAnsiTheme="majorBidi" w:cstheme="majorBidi"/>
          <w:sz w:val="24"/>
          <w:szCs w:val="24"/>
        </w:rPr>
        <w:fldChar w:fldCharType="separate"/>
      </w:r>
      <w:r w:rsidRPr="002C4D66">
        <w:rPr>
          <w:rFonts w:asciiTheme="majorBidi" w:hAnsiTheme="majorBidi" w:cstheme="majorBidi"/>
          <w:noProof/>
          <w:sz w:val="24"/>
          <w:szCs w:val="24"/>
          <w:lang w:val="en-US"/>
        </w:rPr>
        <w:t>Koop et al. (1996)</w:t>
      </w:r>
      <w:r w:rsidRPr="00E22C51">
        <w:rPr>
          <w:rFonts w:asciiTheme="majorBidi" w:hAnsiTheme="majorBidi" w:cstheme="majorBidi"/>
          <w:sz w:val="24"/>
          <w:szCs w:val="24"/>
        </w:rPr>
        <w:fldChar w:fldCharType="end"/>
      </w:r>
      <w:r w:rsidRPr="002C4D66">
        <w:rPr>
          <w:rFonts w:asciiTheme="majorBidi" w:hAnsiTheme="majorBidi" w:cstheme="majorBidi"/>
          <w:sz w:val="24"/>
          <w:szCs w:val="24"/>
          <w:lang w:val="en-US"/>
        </w:rPr>
        <w:t xml:space="preserve"> and </w:t>
      </w:r>
      <w:r w:rsidRPr="00E22C51">
        <w:rPr>
          <w:rFonts w:asciiTheme="majorBidi" w:hAnsiTheme="majorBidi" w:cstheme="majorBidi"/>
          <w:sz w:val="24"/>
          <w:szCs w:val="24"/>
        </w:rPr>
        <w:fldChar w:fldCharType="begin" w:fldLock="1"/>
      </w:r>
      <w:r w:rsidRPr="002C4D66">
        <w:rPr>
          <w:rFonts w:asciiTheme="majorBidi" w:hAnsiTheme="majorBidi" w:cstheme="majorBidi"/>
          <w:sz w:val="24"/>
          <w:szCs w:val="24"/>
          <w:lang w:val="en-US"/>
        </w:rPr>
        <w:instrText>ADDIN CSL_CITATION {"citationItems":[{"id":"ITEM-1","itemData":{"DOI":"10.1016/S0165-1765(97)00214-0","ISSN":"01651765","author":[{"dropping-particle":"","family":"Pesaran","given":"H.Hashem","non-dropping-particle":"","parse-names":false,"suffix":""},{"dropping-particle":"","family":"Shin","given":"Yongcheol","non-dropping-particle":"","parse-names":false,"suffix":""}],"container-title":"Economics Letters","id":"ITEM-1","issue":"1","issued":{"date-parts":[["1998","1"]]},"page":"17-29","title":"Generalized impulse response analysis in linear multivariate models","type":"article-journal","volume":"58"},"uris":["http://www.mendeley.com/documents/?uuid=412ce775-84fb-4ba5-a129-d6db5eb6471e"]}],"mendeley":{"formattedCitation":"(Pesaran &amp; Shin, 1998)","manualFormatting":"Pesaran and Shin (1998)","plainTextFormattedCitation":"(Pesaran &amp; Shin, 1998)","previouslyFormattedCitation":"(Pesaran &amp; Shin, 1998)"},"properties":{"noteIndex":0},"schema":"https://github.com/citation-style-language/schema/raw/master/csl-citation.json"}</w:instrText>
      </w:r>
      <w:r w:rsidRPr="00E22C51">
        <w:rPr>
          <w:rFonts w:asciiTheme="majorBidi" w:hAnsiTheme="majorBidi" w:cstheme="majorBidi"/>
          <w:sz w:val="24"/>
          <w:szCs w:val="24"/>
        </w:rPr>
        <w:fldChar w:fldCharType="separate"/>
      </w:r>
      <w:r w:rsidRPr="002C4D66">
        <w:rPr>
          <w:rFonts w:asciiTheme="majorBidi" w:hAnsiTheme="majorBidi" w:cstheme="majorBidi"/>
          <w:noProof/>
          <w:sz w:val="24"/>
          <w:szCs w:val="24"/>
          <w:lang w:val="en-US"/>
        </w:rPr>
        <w:t>Pesaran and Shin (1998)</w:t>
      </w:r>
      <w:r w:rsidRPr="00E22C51">
        <w:rPr>
          <w:rFonts w:asciiTheme="majorBidi" w:hAnsiTheme="majorBidi" w:cstheme="majorBidi"/>
          <w:sz w:val="24"/>
          <w:szCs w:val="24"/>
        </w:rPr>
        <w:fldChar w:fldCharType="end"/>
      </w:r>
      <w:r w:rsidRPr="002C4D66">
        <w:rPr>
          <w:rFonts w:asciiTheme="majorBidi" w:hAnsiTheme="majorBidi" w:cstheme="majorBidi"/>
          <w:sz w:val="24"/>
          <w:szCs w:val="24"/>
          <w:lang w:val="en-US"/>
        </w:rPr>
        <w:t xml:space="preserve"> is calculated using the equations below:</w:t>
      </w:r>
    </w:p>
    <w:p w14:paraId="1FDB6928" w14:textId="77777777" w:rsidR="002C4D66" w:rsidRPr="00E22C51" w:rsidRDefault="002C4D66" w:rsidP="002C4D66">
      <w:pPr>
        <w:pStyle w:val="MDPI31text"/>
        <w:spacing w:after="240" w:line="240" w:lineRule="auto"/>
        <w:rPr>
          <w:rFonts w:asciiTheme="majorBidi" w:hAnsiTheme="majorBidi" w:cstheme="majorBidi"/>
          <w:color w:val="auto"/>
          <w:sz w:val="24"/>
          <w:szCs w:val="24"/>
        </w:rPr>
      </w:pPr>
    </w:p>
    <w:tbl>
      <w:tblPr>
        <w:tblW w:w="9423" w:type="dxa"/>
        <w:tblInd w:w="-5" w:type="dxa"/>
        <w:tblLook w:val="0000" w:firstRow="0" w:lastRow="0" w:firstColumn="0" w:lastColumn="0" w:noHBand="0" w:noVBand="0"/>
      </w:tblPr>
      <w:tblGrid>
        <w:gridCol w:w="8452"/>
        <w:gridCol w:w="971"/>
      </w:tblGrid>
      <w:tr w:rsidR="002C4D66" w:rsidRPr="00E22C51" w14:paraId="42CB084B" w14:textId="77777777" w:rsidTr="00B8290A">
        <w:trPr>
          <w:trHeight w:val="307"/>
        </w:trPr>
        <w:tc>
          <w:tcPr>
            <w:tcW w:w="8452" w:type="dxa"/>
            <w:vAlign w:val="center"/>
          </w:tcPr>
          <w:p w14:paraId="3F5DDEA6" w14:textId="77777777" w:rsidR="002C4D66" w:rsidRPr="00E22C51" w:rsidRDefault="00000000" w:rsidP="00B8290A">
            <w:pPr>
              <w:pStyle w:val="MDPI31text"/>
              <w:spacing w:after="240" w:line="240" w:lineRule="auto"/>
              <w:rPr>
                <w:rFonts w:asciiTheme="majorBidi" w:hAnsiTheme="majorBidi" w:cstheme="majorBidi"/>
                <w:color w:val="auto"/>
                <w:sz w:val="24"/>
                <w:szCs w:val="24"/>
              </w:rPr>
            </w:pPr>
            <m:oMathPara>
              <m:oMathParaPr>
                <m:jc m:val="center"/>
              </m:oMathParaPr>
              <m:oMath>
                <m:sSubSup>
                  <m:sSubSupPr>
                    <m:ctrlPr>
                      <w:rPr>
                        <w:rFonts w:ascii="Cambria Math" w:hAnsi="Cambria Math" w:cstheme="majorBidi"/>
                        <w:i/>
                        <w:color w:val="auto"/>
                        <w:sz w:val="24"/>
                        <w:szCs w:val="24"/>
                      </w:rPr>
                    </m:ctrlPr>
                  </m:sSubSupPr>
                  <m:e>
                    <m:r>
                      <w:rPr>
                        <w:rFonts w:ascii="Cambria Math" w:hAnsi="Cambria Math" w:cstheme="majorBidi"/>
                        <w:color w:val="auto"/>
                        <w:sz w:val="24"/>
                        <w:szCs w:val="24"/>
                      </w:rPr>
                      <m:t>ψ</m:t>
                    </m:r>
                  </m:e>
                  <m:sub>
                    <m:r>
                      <w:rPr>
                        <w:rFonts w:ascii="Cambria Math" w:hAnsi="Cambria Math" w:cstheme="majorBidi"/>
                        <w:color w:val="auto"/>
                        <w:sz w:val="24"/>
                        <w:szCs w:val="24"/>
                      </w:rPr>
                      <m:t>ij</m:t>
                    </m:r>
                  </m:sub>
                  <m:sup>
                    <m:r>
                      <w:rPr>
                        <w:rFonts w:ascii="Cambria Math" w:hAnsi="Cambria Math" w:cstheme="majorBidi"/>
                        <w:color w:val="auto"/>
                        <w:sz w:val="24"/>
                        <w:szCs w:val="24"/>
                      </w:rPr>
                      <m:t>g</m:t>
                    </m:r>
                  </m:sup>
                </m:sSubSup>
                <m:r>
                  <w:rPr>
                    <w:rFonts w:ascii="Cambria Math" w:hAnsi="Cambria Math" w:cstheme="majorBidi"/>
                    <w:color w:val="auto"/>
                    <w:sz w:val="24"/>
                    <w:szCs w:val="24"/>
                  </w:rPr>
                  <m:t>(H)=</m:t>
                </m:r>
                <m:f>
                  <m:fPr>
                    <m:ctrlPr>
                      <w:rPr>
                        <w:rFonts w:ascii="Cambria Math" w:hAnsi="Cambria Math" w:cstheme="majorBidi"/>
                        <w:i/>
                        <w:color w:val="auto"/>
                        <w:sz w:val="24"/>
                        <w:szCs w:val="24"/>
                      </w:rPr>
                    </m:ctrlPr>
                  </m:fPr>
                  <m:num>
                    <m:sSubSup>
                      <m:sSubSupPr>
                        <m:ctrlPr>
                          <w:rPr>
                            <w:rFonts w:ascii="Cambria Math" w:hAnsi="Cambria Math" w:cstheme="majorBidi"/>
                            <w:i/>
                            <w:color w:val="auto"/>
                            <w:sz w:val="24"/>
                            <w:szCs w:val="24"/>
                          </w:rPr>
                        </m:ctrlPr>
                      </m:sSubSupPr>
                      <m:e>
                        <m:r>
                          <w:rPr>
                            <w:rFonts w:ascii="Cambria Math" w:hAnsi="Cambria Math" w:cstheme="majorBidi"/>
                            <w:color w:val="auto"/>
                            <w:sz w:val="24"/>
                            <w:szCs w:val="24"/>
                          </w:rPr>
                          <m:t>∑(τ)</m:t>
                        </m:r>
                      </m:e>
                      <m:sub>
                        <m:r>
                          <w:rPr>
                            <w:rFonts w:ascii="Cambria Math" w:hAnsi="Cambria Math" w:cstheme="majorBidi"/>
                            <w:color w:val="auto"/>
                            <w:sz w:val="24"/>
                            <w:szCs w:val="24"/>
                          </w:rPr>
                          <m:t>ii</m:t>
                        </m:r>
                      </m:sub>
                      <m:sup>
                        <m:r>
                          <w:rPr>
                            <w:rFonts w:ascii="Cambria Math" w:hAnsi="Cambria Math" w:cstheme="majorBidi"/>
                            <w:color w:val="auto"/>
                            <w:sz w:val="24"/>
                            <w:szCs w:val="24"/>
                          </w:rPr>
                          <m:t>-1</m:t>
                        </m:r>
                      </m:sup>
                    </m:sSubSup>
                    <m:r>
                      <w:rPr>
                        <w:rFonts w:ascii="Cambria Math" w:hAnsi="Cambria Math" w:cstheme="majorBidi"/>
                        <w:color w:val="auto"/>
                        <w:sz w:val="24"/>
                        <w:szCs w:val="24"/>
                      </w:rPr>
                      <m:t xml:space="preserve"> </m:t>
                    </m:r>
                    <m:sSubSup>
                      <m:sSubSupPr>
                        <m:ctrlPr>
                          <w:rPr>
                            <w:rFonts w:ascii="Cambria Math" w:hAnsi="Cambria Math" w:cstheme="majorBidi"/>
                            <w:i/>
                            <w:color w:val="auto"/>
                            <w:sz w:val="24"/>
                            <w:szCs w:val="24"/>
                          </w:rPr>
                        </m:ctrlPr>
                      </m:sSubSupPr>
                      <m:e>
                        <m:r>
                          <w:rPr>
                            <w:rFonts w:ascii="Cambria Math" w:hAnsi="Cambria Math" w:cstheme="majorBidi"/>
                            <w:color w:val="auto"/>
                            <w:sz w:val="24"/>
                            <w:szCs w:val="24"/>
                          </w:rPr>
                          <m:t>∑</m:t>
                        </m:r>
                      </m:e>
                      <m:sub>
                        <m:r>
                          <w:rPr>
                            <w:rFonts w:ascii="Cambria Math" w:hAnsi="Cambria Math" w:cstheme="majorBidi"/>
                            <w:color w:val="auto"/>
                            <w:sz w:val="24"/>
                            <w:szCs w:val="24"/>
                          </w:rPr>
                          <m:t>h=</m:t>
                        </m:r>
                        <m:r>
                          <w:rPr>
                            <w:rFonts w:ascii="Cambria Math" w:hAnsi="Cambria Math" w:cstheme="majorBidi"/>
                            <w:color w:val="auto"/>
                            <w:sz w:val="24"/>
                            <w:szCs w:val="24"/>
                          </w:rPr>
                          <m:t>0</m:t>
                        </m:r>
                      </m:sub>
                      <m:sup>
                        <m:r>
                          <w:rPr>
                            <w:rFonts w:ascii="Cambria Math" w:hAnsi="Cambria Math" w:cstheme="majorBidi"/>
                            <w:color w:val="auto"/>
                            <w:sz w:val="24"/>
                            <w:szCs w:val="24"/>
                          </w:rPr>
                          <m:t>H-1</m:t>
                        </m:r>
                      </m:sup>
                    </m:sSubSup>
                    <m:r>
                      <w:rPr>
                        <w:rFonts w:ascii="Cambria Math" w:hAnsi="Cambria Math" w:cstheme="majorBidi"/>
                        <w:color w:val="auto"/>
                        <w:sz w:val="24"/>
                        <w:szCs w:val="24"/>
                      </w:rPr>
                      <m:t xml:space="preserve"> </m:t>
                    </m:r>
                    <m:sSup>
                      <m:sSupPr>
                        <m:ctrlPr>
                          <w:rPr>
                            <w:rFonts w:ascii="Cambria Math" w:hAnsi="Cambria Math" w:cstheme="majorBidi"/>
                            <w:i/>
                            <w:color w:val="auto"/>
                            <w:sz w:val="24"/>
                            <w:szCs w:val="24"/>
                          </w:rPr>
                        </m:ctrlPr>
                      </m:sSupPr>
                      <m:e>
                        <m:r>
                          <w:rPr>
                            <w:rFonts w:ascii="Cambria Math" w:hAnsi="Cambria Math" w:cstheme="majorBidi"/>
                            <w:color w:val="auto"/>
                            <w:sz w:val="24"/>
                            <w:szCs w:val="24"/>
                          </w:rPr>
                          <m:t>(</m:t>
                        </m:r>
                        <m:sSubSup>
                          <m:sSubSupPr>
                            <m:ctrlPr>
                              <w:rPr>
                                <w:rFonts w:ascii="Cambria Math" w:hAnsi="Cambria Math" w:cstheme="majorBidi"/>
                                <w:i/>
                                <w:color w:val="auto"/>
                                <w:sz w:val="24"/>
                                <w:szCs w:val="24"/>
                              </w:rPr>
                            </m:ctrlPr>
                          </m:sSubSupPr>
                          <m:e>
                            <m:r>
                              <w:rPr>
                                <w:rFonts w:ascii="Cambria Math" w:hAnsi="Cambria Math" w:cstheme="majorBidi"/>
                                <w:color w:val="auto"/>
                                <w:sz w:val="24"/>
                                <w:szCs w:val="24"/>
                              </w:rPr>
                              <m:t>e</m:t>
                            </m:r>
                          </m:e>
                          <m:sub>
                            <m:r>
                              <w:rPr>
                                <w:rFonts w:ascii="Cambria Math" w:hAnsi="Cambria Math" w:cstheme="majorBidi"/>
                                <w:color w:val="auto"/>
                                <w:sz w:val="24"/>
                                <w:szCs w:val="24"/>
                              </w:rPr>
                              <m:t>i</m:t>
                            </m:r>
                          </m:sub>
                          <m:sup>
                            <m:r>
                              <w:rPr>
                                <w:rFonts w:ascii="Cambria Math" w:hAnsi="Cambria Math" w:cstheme="majorBidi"/>
                                <w:color w:val="auto"/>
                                <w:sz w:val="24"/>
                                <w:szCs w:val="24"/>
                              </w:rPr>
                              <m:t>'</m:t>
                            </m:r>
                          </m:sup>
                        </m:sSubSup>
                        <m:sSub>
                          <m:sSubPr>
                            <m:ctrlPr>
                              <w:rPr>
                                <w:rFonts w:ascii="Cambria Math" w:hAnsi="Cambria Math" w:cstheme="majorBidi"/>
                                <w:i/>
                                <w:color w:val="auto"/>
                                <w:sz w:val="24"/>
                                <w:szCs w:val="24"/>
                              </w:rPr>
                            </m:ctrlPr>
                          </m:sSubPr>
                          <m:e>
                            <m:r>
                              <w:rPr>
                                <w:rFonts w:ascii="Cambria Math" w:hAnsi="Cambria Math" w:cstheme="majorBidi"/>
                                <w:color w:val="auto"/>
                                <w:sz w:val="24"/>
                                <w:szCs w:val="24"/>
                              </w:rPr>
                              <m:t>ψ</m:t>
                            </m:r>
                          </m:e>
                          <m:sub>
                            <m:r>
                              <w:rPr>
                                <w:rFonts w:ascii="Cambria Math" w:hAnsi="Cambria Math" w:cstheme="majorBidi"/>
                                <w:color w:val="auto"/>
                                <w:sz w:val="24"/>
                                <w:szCs w:val="24"/>
                              </w:rPr>
                              <m:t>h</m:t>
                            </m:r>
                          </m:sub>
                        </m:sSub>
                        <m:r>
                          <w:rPr>
                            <w:rFonts w:ascii="Cambria Math" w:hAnsi="Cambria Math" w:cstheme="majorBidi"/>
                            <w:color w:val="auto"/>
                            <w:sz w:val="24"/>
                            <w:szCs w:val="24"/>
                          </w:rPr>
                          <m:t>(τ)Σ(</m:t>
                        </m:r>
                        <m:sSub>
                          <m:sSubPr>
                            <m:ctrlPr>
                              <w:rPr>
                                <w:rFonts w:ascii="Cambria Math" w:hAnsi="Cambria Math" w:cstheme="majorBidi"/>
                                <w:i/>
                                <w:color w:val="auto"/>
                                <w:sz w:val="24"/>
                                <w:szCs w:val="24"/>
                              </w:rPr>
                            </m:ctrlPr>
                          </m:sSubPr>
                          <m:e>
                            <m:r>
                              <w:rPr>
                                <w:rFonts w:ascii="Cambria Math" w:hAnsi="Cambria Math" w:cstheme="majorBidi"/>
                                <w:color w:val="auto"/>
                                <w:sz w:val="24"/>
                                <w:szCs w:val="24"/>
                              </w:rPr>
                              <m:t>e</m:t>
                            </m:r>
                          </m:e>
                          <m:sub>
                            <m:r>
                              <w:rPr>
                                <w:rFonts w:ascii="Cambria Math" w:hAnsi="Cambria Math" w:cstheme="majorBidi"/>
                                <w:color w:val="auto"/>
                                <w:sz w:val="24"/>
                                <w:szCs w:val="24"/>
                              </w:rPr>
                              <m:t>j</m:t>
                            </m:r>
                          </m:sub>
                        </m:sSub>
                        <m:r>
                          <w:rPr>
                            <w:rFonts w:ascii="Cambria Math" w:hAnsi="Cambria Math" w:cstheme="majorBidi"/>
                            <w:color w:val="auto"/>
                            <w:sz w:val="24"/>
                            <w:szCs w:val="24"/>
                          </w:rPr>
                          <m:t>)</m:t>
                        </m:r>
                      </m:e>
                      <m:sup>
                        <m:r>
                          <w:rPr>
                            <w:rFonts w:ascii="Cambria Math" w:hAnsi="Cambria Math" w:cstheme="majorBidi"/>
                            <w:color w:val="auto"/>
                            <w:sz w:val="24"/>
                            <w:szCs w:val="24"/>
                          </w:rPr>
                          <m:t>2</m:t>
                        </m:r>
                      </m:sup>
                    </m:sSup>
                  </m:num>
                  <m:den>
                    <m:sSubSup>
                      <m:sSubSupPr>
                        <m:ctrlPr>
                          <w:rPr>
                            <w:rFonts w:ascii="Cambria Math" w:hAnsi="Cambria Math" w:cstheme="majorBidi"/>
                            <w:i/>
                            <w:color w:val="auto"/>
                            <w:sz w:val="24"/>
                            <w:szCs w:val="24"/>
                          </w:rPr>
                        </m:ctrlPr>
                      </m:sSubSupPr>
                      <m:e>
                        <m:r>
                          <w:rPr>
                            <w:rFonts w:ascii="Cambria Math" w:hAnsi="Cambria Math" w:cstheme="majorBidi"/>
                            <w:color w:val="auto"/>
                            <w:sz w:val="24"/>
                            <w:szCs w:val="24"/>
                          </w:rPr>
                          <m:t>∑</m:t>
                        </m:r>
                      </m:e>
                      <m:sub>
                        <m:r>
                          <w:rPr>
                            <w:rFonts w:ascii="Cambria Math" w:hAnsi="Cambria Math" w:cstheme="majorBidi"/>
                            <w:color w:val="auto"/>
                            <w:sz w:val="24"/>
                            <w:szCs w:val="24"/>
                          </w:rPr>
                          <m:t>h=</m:t>
                        </m:r>
                        <m:r>
                          <w:rPr>
                            <w:rFonts w:ascii="Cambria Math" w:hAnsi="Cambria Math" w:cstheme="majorBidi"/>
                            <w:color w:val="auto"/>
                            <w:sz w:val="24"/>
                            <w:szCs w:val="24"/>
                          </w:rPr>
                          <m:t>0</m:t>
                        </m:r>
                      </m:sub>
                      <m:sup>
                        <m:r>
                          <w:rPr>
                            <w:rFonts w:ascii="Cambria Math" w:hAnsi="Cambria Math" w:cstheme="majorBidi"/>
                            <w:color w:val="auto"/>
                            <w:sz w:val="24"/>
                            <w:szCs w:val="24"/>
                          </w:rPr>
                          <m:t>H-1</m:t>
                        </m:r>
                      </m:sup>
                    </m:sSubSup>
                    <m:r>
                      <w:rPr>
                        <w:rFonts w:ascii="Cambria Math" w:hAnsi="Cambria Math" w:cstheme="majorBidi"/>
                        <w:color w:val="auto"/>
                        <w:sz w:val="24"/>
                        <w:szCs w:val="24"/>
                      </w:rPr>
                      <m:t xml:space="preserve"> (</m:t>
                    </m:r>
                    <m:sSubSup>
                      <m:sSubSupPr>
                        <m:ctrlPr>
                          <w:rPr>
                            <w:rFonts w:ascii="Cambria Math" w:hAnsi="Cambria Math" w:cstheme="majorBidi"/>
                            <w:i/>
                            <w:color w:val="auto"/>
                            <w:sz w:val="24"/>
                            <w:szCs w:val="24"/>
                          </w:rPr>
                        </m:ctrlPr>
                      </m:sSubSupPr>
                      <m:e>
                        <m:r>
                          <w:rPr>
                            <w:rFonts w:ascii="Cambria Math" w:hAnsi="Cambria Math" w:cstheme="majorBidi"/>
                            <w:color w:val="auto"/>
                            <w:sz w:val="24"/>
                            <w:szCs w:val="24"/>
                          </w:rPr>
                          <m:t>e</m:t>
                        </m:r>
                      </m:e>
                      <m:sub>
                        <m:r>
                          <w:rPr>
                            <w:rFonts w:ascii="Cambria Math" w:hAnsi="Cambria Math" w:cstheme="majorBidi"/>
                            <w:color w:val="auto"/>
                            <w:sz w:val="24"/>
                            <w:szCs w:val="24"/>
                          </w:rPr>
                          <m:t>i</m:t>
                        </m:r>
                      </m:sub>
                      <m:sup>
                        <m:r>
                          <w:rPr>
                            <w:rFonts w:ascii="Cambria Math" w:hAnsi="Cambria Math" w:cstheme="majorBidi"/>
                            <w:color w:val="auto"/>
                            <w:sz w:val="24"/>
                            <w:szCs w:val="24"/>
                          </w:rPr>
                          <m:t>'</m:t>
                        </m:r>
                      </m:sup>
                    </m:sSubSup>
                    <m:sSub>
                      <m:sSubPr>
                        <m:ctrlPr>
                          <w:rPr>
                            <w:rFonts w:ascii="Cambria Math" w:hAnsi="Cambria Math" w:cstheme="majorBidi"/>
                            <w:i/>
                            <w:color w:val="auto"/>
                            <w:sz w:val="24"/>
                            <w:szCs w:val="24"/>
                          </w:rPr>
                        </m:ctrlPr>
                      </m:sSubPr>
                      <m:e>
                        <m:r>
                          <w:rPr>
                            <w:rFonts w:ascii="Cambria Math" w:hAnsi="Cambria Math" w:cstheme="majorBidi"/>
                            <w:color w:val="auto"/>
                            <w:sz w:val="24"/>
                            <w:szCs w:val="24"/>
                          </w:rPr>
                          <m:t>ψ</m:t>
                        </m:r>
                      </m:e>
                      <m:sub>
                        <m:r>
                          <w:rPr>
                            <w:rFonts w:ascii="Cambria Math" w:hAnsi="Cambria Math" w:cstheme="majorBidi"/>
                            <w:color w:val="auto"/>
                            <w:sz w:val="24"/>
                            <w:szCs w:val="24"/>
                          </w:rPr>
                          <m:t>h</m:t>
                        </m:r>
                      </m:sub>
                    </m:sSub>
                    <m:r>
                      <w:rPr>
                        <w:rFonts w:ascii="Cambria Math" w:hAnsi="Cambria Math" w:cstheme="majorBidi"/>
                        <w:color w:val="auto"/>
                        <w:sz w:val="24"/>
                        <w:szCs w:val="24"/>
                      </w:rPr>
                      <m:t>(τ)Σ(τ)</m:t>
                    </m:r>
                    <m:sSub>
                      <m:sSubPr>
                        <m:ctrlPr>
                          <w:rPr>
                            <w:rFonts w:ascii="Cambria Math" w:hAnsi="Cambria Math" w:cstheme="majorBidi"/>
                            <w:i/>
                            <w:color w:val="auto"/>
                            <w:sz w:val="24"/>
                            <w:szCs w:val="24"/>
                          </w:rPr>
                        </m:ctrlPr>
                      </m:sSubPr>
                      <m:e>
                        <m:r>
                          <w:rPr>
                            <w:rFonts w:ascii="Cambria Math" w:hAnsi="Cambria Math" w:cstheme="majorBidi"/>
                            <w:color w:val="auto"/>
                            <w:sz w:val="24"/>
                            <w:szCs w:val="24"/>
                          </w:rPr>
                          <m:t>ψ</m:t>
                        </m:r>
                      </m:e>
                      <m:sub>
                        <m:r>
                          <w:rPr>
                            <w:rFonts w:ascii="Cambria Math" w:hAnsi="Cambria Math" w:cstheme="majorBidi"/>
                            <w:color w:val="auto"/>
                            <w:sz w:val="24"/>
                            <w:szCs w:val="24"/>
                          </w:rPr>
                          <m:t>h</m:t>
                        </m:r>
                      </m:sub>
                    </m:sSub>
                    <m:sSup>
                      <m:sSupPr>
                        <m:ctrlPr>
                          <w:rPr>
                            <w:rFonts w:ascii="Cambria Math" w:hAnsi="Cambria Math" w:cstheme="majorBidi"/>
                            <w:i/>
                            <w:color w:val="auto"/>
                            <w:sz w:val="24"/>
                            <w:szCs w:val="24"/>
                          </w:rPr>
                        </m:ctrlPr>
                      </m:sSupPr>
                      <m:e>
                        <m:d>
                          <m:dPr>
                            <m:ctrlPr>
                              <w:rPr>
                                <w:rFonts w:ascii="Cambria Math" w:hAnsi="Cambria Math" w:cstheme="majorBidi"/>
                                <w:i/>
                                <w:color w:val="auto"/>
                                <w:sz w:val="24"/>
                                <w:szCs w:val="24"/>
                              </w:rPr>
                            </m:ctrlPr>
                          </m:dPr>
                          <m:e>
                            <m:r>
                              <w:rPr>
                                <w:rFonts w:ascii="Cambria Math" w:hAnsi="Cambria Math" w:cstheme="majorBidi"/>
                                <w:color w:val="auto"/>
                                <w:sz w:val="24"/>
                                <w:szCs w:val="24"/>
                              </w:rPr>
                              <m:t>τ</m:t>
                            </m:r>
                          </m:e>
                        </m:d>
                      </m:e>
                      <m:sup>
                        <m:r>
                          <w:rPr>
                            <w:rFonts w:ascii="Cambria Math" w:hAnsi="Cambria Math" w:cstheme="majorBidi"/>
                            <w:color w:val="auto"/>
                            <w:sz w:val="24"/>
                            <w:szCs w:val="24"/>
                          </w:rPr>
                          <m:t>'</m:t>
                        </m:r>
                      </m:sup>
                    </m:sSup>
                    <m:sSub>
                      <m:sSubPr>
                        <m:ctrlPr>
                          <w:rPr>
                            <w:rFonts w:ascii="Cambria Math" w:hAnsi="Cambria Math" w:cstheme="majorBidi"/>
                            <w:i/>
                            <w:color w:val="auto"/>
                            <w:sz w:val="24"/>
                            <w:szCs w:val="24"/>
                          </w:rPr>
                        </m:ctrlPr>
                      </m:sSubPr>
                      <m:e>
                        <m:r>
                          <w:rPr>
                            <w:rFonts w:ascii="Cambria Math" w:hAnsi="Cambria Math" w:cstheme="majorBidi"/>
                            <w:color w:val="auto"/>
                            <w:sz w:val="24"/>
                            <w:szCs w:val="24"/>
                          </w:rPr>
                          <m:t>ⅇ</m:t>
                        </m:r>
                      </m:e>
                      <m:sub>
                        <m:r>
                          <w:rPr>
                            <w:rFonts w:ascii="Cambria Math" w:hAnsi="Cambria Math" w:cstheme="majorBidi"/>
                            <w:color w:val="auto"/>
                            <w:sz w:val="24"/>
                            <w:szCs w:val="24"/>
                          </w:rPr>
                          <m:t>i</m:t>
                        </m:r>
                      </m:sub>
                    </m:sSub>
                    <m:r>
                      <w:rPr>
                        <w:rFonts w:ascii="Cambria Math" w:hAnsi="Cambria Math" w:cstheme="majorBidi"/>
                        <w:color w:val="auto"/>
                        <w:sz w:val="24"/>
                        <w:szCs w:val="24"/>
                      </w:rPr>
                      <m:t>)</m:t>
                    </m:r>
                  </m:den>
                </m:f>
              </m:oMath>
            </m:oMathPara>
          </w:p>
        </w:tc>
        <w:tc>
          <w:tcPr>
            <w:tcW w:w="971" w:type="dxa"/>
            <w:vAlign w:val="center"/>
          </w:tcPr>
          <w:p w14:paraId="0F336C36" w14:textId="77777777" w:rsidR="002C4D66" w:rsidRPr="00E22C51" w:rsidRDefault="002C4D66" w:rsidP="002C4D66">
            <w:pPr>
              <w:pStyle w:val="MDPI31text"/>
              <w:numPr>
                <w:ilvl w:val="0"/>
                <w:numId w:val="1"/>
              </w:numPr>
              <w:spacing w:after="240" w:line="240" w:lineRule="auto"/>
              <w:rPr>
                <w:rFonts w:asciiTheme="majorBidi" w:hAnsiTheme="majorBidi" w:cstheme="majorBidi"/>
                <w:color w:val="auto"/>
                <w:sz w:val="24"/>
                <w:szCs w:val="24"/>
              </w:rPr>
            </w:pPr>
          </w:p>
        </w:tc>
      </w:tr>
      <w:tr w:rsidR="002C4D66" w:rsidRPr="00E22C51" w14:paraId="6F3C2250" w14:textId="77777777" w:rsidTr="00B8290A">
        <w:trPr>
          <w:trHeight w:val="307"/>
        </w:trPr>
        <w:tc>
          <w:tcPr>
            <w:tcW w:w="8452" w:type="dxa"/>
            <w:vAlign w:val="center"/>
          </w:tcPr>
          <w:p w14:paraId="0209F353" w14:textId="77777777" w:rsidR="002C4D66" w:rsidRPr="00E22C51" w:rsidRDefault="00000000" w:rsidP="00B8290A">
            <w:pPr>
              <w:pStyle w:val="MDPI31text"/>
              <w:spacing w:after="240" w:line="240" w:lineRule="auto"/>
              <w:rPr>
                <w:rFonts w:asciiTheme="majorBidi" w:hAnsiTheme="majorBidi" w:cstheme="majorBidi"/>
                <w:color w:val="auto"/>
                <w:sz w:val="24"/>
                <w:szCs w:val="24"/>
              </w:rPr>
            </w:pPr>
            <m:oMathPara>
              <m:oMathParaPr>
                <m:jc m:val="center"/>
              </m:oMathParaPr>
              <m:oMath>
                <m:sSubSup>
                  <m:sSubSupPr>
                    <m:ctrlPr>
                      <w:rPr>
                        <w:rFonts w:ascii="Cambria Math" w:hAnsi="Cambria Math" w:cstheme="majorBidi"/>
                        <w:i/>
                        <w:color w:val="auto"/>
                        <w:sz w:val="24"/>
                        <w:szCs w:val="24"/>
                      </w:rPr>
                    </m:ctrlPr>
                  </m:sSubSupPr>
                  <m:e>
                    <m:acc>
                      <m:accPr>
                        <m:chr m:val="̃"/>
                        <m:ctrlPr>
                          <w:rPr>
                            <w:rFonts w:ascii="Cambria Math" w:hAnsi="Cambria Math" w:cstheme="majorBidi"/>
                            <w:i/>
                            <w:color w:val="auto"/>
                            <w:sz w:val="24"/>
                            <w:szCs w:val="24"/>
                          </w:rPr>
                        </m:ctrlPr>
                      </m:accPr>
                      <m:e>
                        <m:r>
                          <w:rPr>
                            <w:rFonts w:ascii="Cambria Math" w:hAnsi="Cambria Math" w:cstheme="majorBidi"/>
                            <w:color w:val="auto"/>
                            <w:sz w:val="24"/>
                            <w:szCs w:val="24"/>
                          </w:rPr>
                          <m:t>ψ</m:t>
                        </m:r>
                      </m:e>
                    </m:acc>
                  </m:e>
                  <m:sub>
                    <m:r>
                      <w:rPr>
                        <w:rFonts w:ascii="Cambria Math" w:hAnsi="Cambria Math" w:cstheme="majorBidi"/>
                        <w:color w:val="auto"/>
                        <w:sz w:val="24"/>
                        <w:szCs w:val="24"/>
                      </w:rPr>
                      <m:t>ij</m:t>
                    </m:r>
                  </m:sub>
                  <m:sup>
                    <m:r>
                      <w:rPr>
                        <w:rFonts w:ascii="Cambria Math" w:hAnsi="Cambria Math" w:cstheme="majorBidi"/>
                        <w:color w:val="auto"/>
                        <w:sz w:val="24"/>
                        <w:szCs w:val="24"/>
                      </w:rPr>
                      <m:t>g</m:t>
                    </m:r>
                  </m:sup>
                </m:sSubSup>
                <m:d>
                  <m:dPr>
                    <m:ctrlPr>
                      <w:rPr>
                        <w:rFonts w:ascii="Cambria Math" w:hAnsi="Cambria Math" w:cstheme="majorBidi"/>
                        <w:i/>
                        <w:color w:val="auto"/>
                        <w:sz w:val="24"/>
                        <w:szCs w:val="24"/>
                      </w:rPr>
                    </m:ctrlPr>
                  </m:dPr>
                  <m:e>
                    <m:r>
                      <w:rPr>
                        <w:rFonts w:ascii="Cambria Math" w:hAnsi="Cambria Math" w:cstheme="majorBidi"/>
                        <w:color w:val="auto"/>
                        <w:sz w:val="24"/>
                        <w:szCs w:val="24"/>
                      </w:rPr>
                      <m:t>H</m:t>
                    </m:r>
                  </m:e>
                </m:d>
                <m:r>
                  <w:rPr>
                    <w:rFonts w:ascii="Cambria Math" w:hAnsi="Cambria Math" w:cstheme="majorBidi"/>
                    <w:color w:val="auto"/>
                    <w:sz w:val="24"/>
                    <w:szCs w:val="24"/>
                  </w:rPr>
                  <m:t xml:space="preserve">= </m:t>
                </m:r>
                <m:f>
                  <m:fPr>
                    <m:ctrlPr>
                      <w:rPr>
                        <w:rFonts w:ascii="Cambria Math" w:hAnsi="Cambria Math" w:cstheme="majorBidi"/>
                        <w:i/>
                        <w:color w:val="auto"/>
                        <w:sz w:val="24"/>
                        <w:szCs w:val="24"/>
                      </w:rPr>
                    </m:ctrlPr>
                  </m:fPr>
                  <m:num>
                    <m:sSubSup>
                      <m:sSubSupPr>
                        <m:ctrlPr>
                          <w:rPr>
                            <w:rFonts w:ascii="Cambria Math" w:hAnsi="Cambria Math" w:cstheme="majorBidi"/>
                            <w:i/>
                            <w:color w:val="auto"/>
                            <w:sz w:val="24"/>
                            <w:szCs w:val="24"/>
                          </w:rPr>
                        </m:ctrlPr>
                      </m:sSubSupPr>
                      <m:e>
                        <m:r>
                          <w:rPr>
                            <w:rFonts w:ascii="Cambria Math" w:hAnsi="Cambria Math" w:cstheme="majorBidi"/>
                            <w:color w:val="auto"/>
                            <w:sz w:val="24"/>
                            <w:szCs w:val="24"/>
                          </w:rPr>
                          <m:t>ψ</m:t>
                        </m:r>
                      </m:e>
                      <m:sub>
                        <m:r>
                          <w:rPr>
                            <w:rFonts w:ascii="Cambria Math" w:hAnsi="Cambria Math" w:cstheme="majorBidi"/>
                            <w:color w:val="auto"/>
                            <w:sz w:val="24"/>
                            <w:szCs w:val="24"/>
                          </w:rPr>
                          <m:t>ij</m:t>
                        </m:r>
                      </m:sub>
                      <m:sup>
                        <m:r>
                          <w:rPr>
                            <w:rFonts w:ascii="Cambria Math" w:hAnsi="Cambria Math" w:cstheme="majorBidi"/>
                            <w:color w:val="auto"/>
                            <w:sz w:val="24"/>
                            <w:szCs w:val="24"/>
                          </w:rPr>
                          <m:t>g</m:t>
                        </m:r>
                      </m:sup>
                    </m:sSubSup>
                    <m:r>
                      <w:rPr>
                        <w:rFonts w:ascii="Cambria Math" w:hAnsi="Cambria Math" w:cstheme="majorBidi"/>
                        <w:color w:val="auto"/>
                        <w:sz w:val="24"/>
                        <w:szCs w:val="24"/>
                      </w:rPr>
                      <m:t>(H)</m:t>
                    </m:r>
                  </m:num>
                  <m:den>
                    <m:sSubSup>
                      <m:sSubSupPr>
                        <m:ctrlPr>
                          <w:rPr>
                            <w:rFonts w:ascii="Cambria Math" w:hAnsi="Cambria Math" w:cstheme="majorBidi"/>
                            <w:i/>
                            <w:color w:val="auto"/>
                            <w:sz w:val="24"/>
                            <w:szCs w:val="24"/>
                          </w:rPr>
                        </m:ctrlPr>
                      </m:sSubSupPr>
                      <m:e>
                        <m:r>
                          <w:rPr>
                            <w:rFonts w:ascii="Cambria Math" w:hAnsi="Cambria Math" w:cstheme="majorBidi"/>
                            <w:color w:val="auto"/>
                            <w:sz w:val="24"/>
                            <w:szCs w:val="24"/>
                          </w:rPr>
                          <m:t>∑</m:t>
                        </m:r>
                      </m:e>
                      <m:sub>
                        <m:r>
                          <w:rPr>
                            <w:rFonts w:ascii="Cambria Math" w:hAnsi="Cambria Math" w:cstheme="majorBidi"/>
                            <w:color w:val="auto"/>
                            <w:sz w:val="24"/>
                            <w:szCs w:val="24"/>
                          </w:rPr>
                          <m:t>j=1</m:t>
                        </m:r>
                      </m:sub>
                      <m:sup>
                        <m:r>
                          <w:rPr>
                            <w:rFonts w:ascii="Cambria Math" w:hAnsi="Cambria Math" w:cstheme="majorBidi"/>
                            <w:color w:val="auto"/>
                            <w:sz w:val="24"/>
                            <w:szCs w:val="24"/>
                          </w:rPr>
                          <m:t>k</m:t>
                        </m:r>
                      </m:sup>
                    </m:sSubSup>
                    <m:sSubSup>
                      <m:sSubSupPr>
                        <m:ctrlPr>
                          <w:rPr>
                            <w:rFonts w:ascii="Cambria Math" w:hAnsi="Cambria Math" w:cstheme="majorBidi"/>
                            <w:i/>
                            <w:color w:val="auto"/>
                            <w:sz w:val="24"/>
                            <w:szCs w:val="24"/>
                          </w:rPr>
                        </m:ctrlPr>
                      </m:sSubSupPr>
                      <m:e>
                        <m:r>
                          <w:rPr>
                            <w:rFonts w:ascii="Cambria Math" w:hAnsi="Cambria Math" w:cstheme="majorBidi"/>
                            <w:color w:val="auto"/>
                            <w:sz w:val="24"/>
                            <w:szCs w:val="24"/>
                          </w:rPr>
                          <m:t>∅</m:t>
                        </m:r>
                      </m:e>
                      <m:sub>
                        <m:r>
                          <w:rPr>
                            <w:rFonts w:ascii="Cambria Math" w:hAnsi="Cambria Math" w:cstheme="majorBidi"/>
                            <w:color w:val="auto"/>
                            <w:sz w:val="24"/>
                            <w:szCs w:val="24"/>
                          </w:rPr>
                          <m:t>ij</m:t>
                        </m:r>
                      </m:sub>
                      <m:sup>
                        <m:r>
                          <w:rPr>
                            <w:rFonts w:ascii="Cambria Math" w:hAnsi="Cambria Math" w:cstheme="majorBidi"/>
                            <w:color w:val="auto"/>
                            <w:sz w:val="24"/>
                            <w:szCs w:val="24"/>
                          </w:rPr>
                          <m:t>g</m:t>
                        </m:r>
                      </m:sup>
                    </m:sSubSup>
                    <m:r>
                      <w:rPr>
                        <w:rFonts w:ascii="Cambria Math" w:hAnsi="Cambria Math" w:cstheme="majorBidi"/>
                        <w:color w:val="auto"/>
                        <w:sz w:val="24"/>
                        <w:szCs w:val="24"/>
                      </w:rPr>
                      <m:t>(H)</m:t>
                    </m:r>
                  </m:den>
                </m:f>
              </m:oMath>
            </m:oMathPara>
          </w:p>
        </w:tc>
        <w:tc>
          <w:tcPr>
            <w:tcW w:w="971" w:type="dxa"/>
            <w:vAlign w:val="center"/>
          </w:tcPr>
          <w:p w14:paraId="52C874F8" w14:textId="77777777" w:rsidR="002C4D66" w:rsidRPr="00E22C51" w:rsidRDefault="002C4D66" w:rsidP="002C4D66">
            <w:pPr>
              <w:pStyle w:val="MDPI31text"/>
              <w:numPr>
                <w:ilvl w:val="0"/>
                <w:numId w:val="1"/>
              </w:numPr>
              <w:spacing w:after="240" w:line="240" w:lineRule="auto"/>
              <w:rPr>
                <w:rFonts w:asciiTheme="majorBidi" w:hAnsiTheme="majorBidi" w:cstheme="majorBidi"/>
                <w:color w:val="auto"/>
                <w:sz w:val="24"/>
                <w:szCs w:val="24"/>
              </w:rPr>
            </w:pPr>
          </w:p>
        </w:tc>
      </w:tr>
    </w:tbl>
    <w:p w14:paraId="70FD4E32" w14:textId="77777777" w:rsidR="002C4D66" w:rsidRPr="00E22C51" w:rsidRDefault="002C4D66" w:rsidP="002C4D66">
      <w:pPr>
        <w:pStyle w:val="MDPI31text"/>
        <w:spacing w:after="240" w:line="240" w:lineRule="auto"/>
        <w:rPr>
          <w:rFonts w:asciiTheme="majorBidi" w:hAnsiTheme="majorBidi" w:cstheme="majorBidi"/>
          <w:color w:val="auto"/>
          <w:sz w:val="24"/>
          <w:szCs w:val="24"/>
        </w:rPr>
      </w:pPr>
      <w:r w:rsidRPr="00E22C51">
        <w:rPr>
          <w:rFonts w:asciiTheme="majorBidi" w:hAnsiTheme="majorBidi" w:cstheme="majorBidi"/>
          <w:color w:val="auto"/>
          <w:sz w:val="24"/>
          <w:szCs w:val="24"/>
        </w:rPr>
        <w:t xml:space="preserve">In this case, </w:t>
      </w:r>
      <w:proofErr w:type="spellStart"/>
      <w:r w:rsidRPr="00E22C51">
        <w:rPr>
          <w:rFonts w:asciiTheme="majorBidi" w:hAnsiTheme="majorBidi" w:cstheme="majorBidi"/>
          <w:i/>
          <w:color w:val="auto"/>
          <w:sz w:val="24"/>
          <w:szCs w:val="24"/>
        </w:rPr>
        <w:t>e</w:t>
      </w:r>
      <w:r w:rsidRPr="00E22C51">
        <w:rPr>
          <w:rFonts w:asciiTheme="majorBidi" w:hAnsiTheme="majorBidi" w:cstheme="majorBidi"/>
          <w:i/>
          <w:color w:val="auto"/>
          <w:sz w:val="24"/>
          <w:szCs w:val="24"/>
          <w:vertAlign w:val="subscript"/>
        </w:rPr>
        <w:t>i</w:t>
      </w:r>
      <w:proofErr w:type="spellEnd"/>
      <w:r w:rsidRPr="00E22C51">
        <w:rPr>
          <w:rFonts w:asciiTheme="majorBidi" w:hAnsiTheme="majorBidi" w:cstheme="majorBidi"/>
          <w:color w:val="auto"/>
          <w:sz w:val="24"/>
          <w:szCs w:val="24"/>
        </w:rPr>
        <w:t xml:space="preserve"> refers to a zero vector with unity on the </w:t>
      </w:r>
      <w:proofErr w:type="spellStart"/>
      <w:r w:rsidRPr="00E22C51">
        <w:rPr>
          <w:rFonts w:asciiTheme="majorBidi" w:hAnsiTheme="majorBidi" w:cstheme="majorBidi"/>
          <w:i/>
          <w:color w:val="auto"/>
          <w:sz w:val="24"/>
          <w:szCs w:val="24"/>
        </w:rPr>
        <w:t>i</w:t>
      </w:r>
      <w:r w:rsidRPr="00E22C51">
        <w:rPr>
          <w:rFonts w:asciiTheme="majorBidi" w:hAnsiTheme="majorBidi" w:cstheme="majorBidi"/>
          <w:i/>
          <w:color w:val="auto"/>
          <w:sz w:val="24"/>
          <w:szCs w:val="24"/>
          <w:vertAlign w:val="superscript"/>
        </w:rPr>
        <w:t>th</w:t>
      </w:r>
      <w:proofErr w:type="spellEnd"/>
      <w:r w:rsidRPr="00E22C51">
        <w:rPr>
          <w:rFonts w:asciiTheme="majorBidi" w:hAnsiTheme="majorBidi" w:cstheme="majorBidi"/>
          <w:color w:val="auto"/>
          <w:sz w:val="24"/>
          <w:szCs w:val="24"/>
        </w:rPr>
        <w:t xml:space="preserve"> position. The following equations result from this normalizing process:</w:t>
      </w:r>
    </w:p>
    <w:tbl>
      <w:tblPr>
        <w:tblW w:w="9423" w:type="dxa"/>
        <w:tblInd w:w="-5" w:type="dxa"/>
        <w:tblLook w:val="0000" w:firstRow="0" w:lastRow="0" w:firstColumn="0" w:lastColumn="0" w:noHBand="0" w:noVBand="0"/>
      </w:tblPr>
      <w:tblGrid>
        <w:gridCol w:w="8452"/>
        <w:gridCol w:w="971"/>
      </w:tblGrid>
      <w:tr w:rsidR="002C4D66" w:rsidRPr="00E22C51" w14:paraId="61D6DB0B" w14:textId="77777777" w:rsidTr="00B8290A">
        <w:trPr>
          <w:trHeight w:val="307"/>
        </w:trPr>
        <w:tc>
          <w:tcPr>
            <w:tcW w:w="8452" w:type="dxa"/>
            <w:vAlign w:val="center"/>
          </w:tcPr>
          <w:p w14:paraId="40ADCD2C" w14:textId="77777777" w:rsidR="002C4D66" w:rsidRPr="00E22C51" w:rsidRDefault="00000000" w:rsidP="00B8290A">
            <w:pPr>
              <w:pStyle w:val="MDPI31text"/>
              <w:spacing w:after="240" w:line="240" w:lineRule="auto"/>
              <w:rPr>
                <w:rFonts w:asciiTheme="majorBidi" w:hAnsiTheme="majorBidi" w:cstheme="majorBidi"/>
                <w:color w:val="auto"/>
                <w:sz w:val="24"/>
                <w:szCs w:val="24"/>
              </w:rPr>
            </w:pPr>
            <m:oMathPara>
              <m:oMathParaPr>
                <m:jc m:val="center"/>
              </m:oMathParaPr>
              <m:oMath>
                <m:sSubSup>
                  <m:sSubSupPr>
                    <m:ctrlPr>
                      <w:rPr>
                        <w:rFonts w:ascii="Cambria Math" w:hAnsi="Cambria Math" w:cstheme="majorBidi"/>
                        <w:i/>
                        <w:color w:val="auto"/>
                        <w:sz w:val="24"/>
                        <w:szCs w:val="24"/>
                      </w:rPr>
                    </m:ctrlPr>
                  </m:sSubSupPr>
                  <m:e>
                    <m:r>
                      <w:rPr>
                        <w:rFonts w:ascii="Cambria Math" w:hAnsi="Cambria Math" w:cstheme="majorBidi"/>
                        <w:color w:val="auto"/>
                        <w:sz w:val="24"/>
                        <w:szCs w:val="24"/>
                      </w:rPr>
                      <m:t>∑</m:t>
                    </m:r>
                  </m:e>
                  <m:sub>
                    <m:r>
                      <w:rPr>
                        <w:rFonts w:ascii="Cambria Math" w:hAnsi="Cambria Math" w:cstheme="majorBidi"/>
                        <w:color w:val="auto"/>
                        <w:sz w:val="24"/>
                        <w:szCs w:val="24"/>
                      </w:rPr>
                      <m:t>j=1</m:t>
                    </m:r>
                  </m:sub>
                  <m:sup>
                    <m:r>
                      <w:rPr>
                        <w:rFonts w:ascii="Cambria Math" w:hAnsi="Cambria Math" w:cstheme="majorBidi"/>
                        <w:color w:val="auto"/>
                        <w:sz w:val="24"/>
                        <w:szCs w:val="24"/>
                      </w:rPr>
                      <m:t>k</m:t>
                    </m:r>
                  </m:sup>
                </m:sSubSup>
                <m:r>
                  <w:rPr>
                    <w:rFonts w:ascii="Cambria Math" w:hAnsi="Cambria Math" w:cstheme="majorBidi"/>
                    <w:color w:val="auto"/>
                    <w:sz w:val="24"/>
                    <w:szCs w:val="24"/>
                  </w:rPr>
                  <m:t xml:space="preserve"> </m:t>
                </m:r>
                <m:sSubSup>
                  <m:sSubSupPr>
                    <m:ctrlPr>
                      <w:rPr>
                        <w:rFonts w:ascii="Cambria Math" w:hAnsi="Cambria Math" w:cstheme="majorBidi"/>
                        <w:i/>
                        <w:color w:val="auto"/>
                        <w:sz w:val="24"/>
                        <w:szCs w:val="24"/>
                      </w:rPr>
                    </m:ctrlPr>
                  </m:sSubSupPr>
                  <m:e>
                    <m:acc>
                      <m:accPr>
                        <m:chr m:val="̃"/>
                        <m:ctrlPr>
                          <w:rPr>
                            <w:rFonts w:ascii="Cambria Math" w:hAnsi="Cambria Math" w:cstheme="majorBidi"/>
                            <w:i/>
                            <w:color w:val="auto"/>
                            <w:sz w:val="24"/>
                            <w:szCs w:val="24"/>
                          </w:rPr>
                        </m:ctrlPr>
                      </m:accPr>
                      <m:e>
                        <m:r>
                          <w:rPr>
                            <w:rFonts w:ascii="Cambria Math" w:hAnsi="Cambria Math" w:cstheme="majorBidi"/>
                            <w:color w:val="auto"/>
                            <w:sz w:val="24"/>
                            <w:szCs w:val="24"/>
                          </w:rPr>
                          <m:t>ψ</m:t>
                        </m:r>
                      </m:e>
                    </m:acc>
                  </m:e>
                  <m:sub>
                    <m:r>
                      <w:rPr>
                        <w:rFonts w:ascii="Cambria Math" w:hAnsi="Cambria Math" w:cstheme="majorBidi"/>
                        <w:color w:val="auto"/>
                        <w:sz w:val="24"/>
                        <w:szCs w:val="24"/>
                      </w:rPr>
                      <m:t>ij</m:t>
                    </m:r>
                  </m:sub>
                  <m:sup>
                    <m:r>
                      <w:rPr>
                        <w:rFonts w:ascii="Cambria Math" w:hAnsi="Cambria Math" w:cstheme="majorBidi"/>
                        <w:color w:val="auto"/>
                        <w:sz w:val="24"/>
                        <w:szCs w:val="24"/>
                      </w:rPr>
                      <m:t>g</m:t>
                    </m:r>
                  </m:sup>
                </m:sSubSup>
                <m:d>
                  <m:dPr>
                    <m:ctrlPr>
                      <w:rPr>
                        <w:rFonts w:ascii="Cambria Math" w:hAnsi="Cambria Math" w:cstheme="majorBidi"/>
                        <w:i/>
                        <w:color w:val="auto"/>
                        <w:sz w:val="24"/>
                        <w:szCs w:val="24"/>
                      </w:rPr>
                    </m:ctrlPr>
                  </m:dPr>
                  <m:e>
                    <m:r>
                      <w:rPr>
                        <w:rFonts w:ascii="Cambria Math" w:hAnsi="Cambria Math" w:cstheme="majorBidi"/>
                        <w:color w:val="auto"/>
                        <w:sz w:val="24"/>
                        <w:szCs w:val="24"/>
                      </w:rPr>
                      <m:t>H</m:t>
                    </m:r>
                  </m:e>
                </m:d>
                <m:r>
                  <w:rPr>
                    <w:rFonts w:ascii="Cambria Math" w:hAnsi="Cambria Math" w:cstheme="majorBidi"/>
                    <w:color w:val="auto"/>
                    <w:sz w:val="24"/>
                    <w:szCs w:val="24"/>
                  </w:rPr>
                  <m:t>=1</m:t>
                </m:r>
              </m:oMath>
            </m:oMathPara>
          </w:p>
        </w:tc>
        <w:tc>
          <w:tcPr>
            <w:tcW w:w="971" w:type="dxa"/>
            <w:vAlign w:val="center"/>
          </w:tcPr>
          <w:p w14:paraId="66A4F84F" w14:textId="77777777" w:rsidR="002C4D66" w:rsidRPr="00E22C51" w:rsidRDefault="002C4D66" w:rsidP="002C4D66">
            <w:pPr>
              <w:pStyle w:val="MDPI31text"/>
              <w:numPr>
                <w:ilvl w:val="0"/>
                <w:numId w:val="1"/>
              </w:numPr>
              <w:spacing w:after="240" w:line="240" w:lineRule="auto"/>
              <w:rPr>
                <w:rFonts w:asciiTheme="majorBidi" w:hAnsiTheme="majorBidi" w:cstheme="majorBidi"/>
                <w:color w:val="auto"/>
                <w:sz w:val="24"/>
                <w:szCs w:val="24"/>
              </w:rPr>
            </w:pPr>
          </w:p>
        </w:tc>
      </w:tr>
      <w:tr w:rsidR="002C4D66" w:rsidRPr="00E22C51" w14:paraId="7C6A5860" w14:textId="77777777" w:rsidTr="00B8290A">
        <w:trPr>
          <w:trHeight w:val="307"/>
        </w:trPr>
        <w:tc>
          <w:tcPr>
            <w:tcW w:w="8452" w:type="dxa"/>
            <w:vAlign w:val="center"/>
          </w:tcPr>
          <w:p w14:paraId="0A9E27DD" w14:textId="77777777" w:rsidR="002C4D66" w:rsidRPr="00E22C51" w:rsidRDefault="00000000" w:rsidP="00B8290A">
            <w:pPr>
              <w:pStyle w:val="MDPI31text"/>
              <w:spacing w:after="240" w:line="240" w:lineRule="auto"/>
              <w:rPr>
                <w:rFonts w:asciiTheme="majorBidi" w:hAnsiTheme="majorBidi" w:cstheme="majorBidi"/>
                <w:color w:val="auto"/>
                <w:sz w:val="24"/>
                <w:szCs w:val="24"/>
              </w:rPr>
            </w:pPr>
            <m:oMathPara>
              <m:oMathParaPr>
                <m:jc m:val="center"/>
              </m:oMathParaPr>
              <m:oMath>
                <m:sSubSup>
                  <m:sSubSupPr>
                    <m:ctrlPr>
                      <w:rPr>
                        <w:rFonts w:ascii="Cambria Math" w:hAnsi="Cambria Math" w:cstheme="majorBidi"/>
                        <w:i/>
                        <w:color w:val="auto"/>
                        <w:sz w:val="24"/>
                        <w:szCs w:val="24"/>
                      </w:rPr>
                    </m:ctrlPr>
                  </m:sSubSupPr>
                  <m:e>
                    <m:r>
                      <w:rPr>
                        <w:rFonts w:ascii="Cambria Math" w:hAnsi="Cambria Math" w:cstheme="majorBidi"/>
                        <w:color w:val="auto"/>
                        <w:sz w:val="24"/>
                        <w:szCs w:val="24"/>
                      </w:rPr>
                      <m:t>∑</m:t>
                    </m:r>
                  </m:e>
                  <m:sub>
                    <m:r>
                      <w:rPr>
                        <w:rFonts w:ascii="Cambria Math" w:hAnsi="Cambria Math" w:cstheme="majorBidi"/>
                        <w:color w:val="auto"/>
                        <w:sz w:val="24"/>
                        <w:szCs w:val="24"/>
                      </w:rPr>
                      <m:t>i,j=1</m:t>
                    </m:r>
                  </m:sub>
                  <m:sup>
                    <m:r>
                      <w:rPr>
                        <w:rFonts w:ascii="Cambria Math" w:hAnsi="Cambria Math" w:cstheme="majorBidi"/>
                        <w:color w:val="auto"/>
                        <w:sz w:val="24"/>
                        <w:szCs w:val="24"/>
                      </w:rPr>
                      <m:t>k</m:t>
                    </m:r>
                  </m:sup>
                </m:sSubSup>
                <m:sSubSup>
                  <m:sSubSupPr>
                    <m:ctrlPr>
                      <w:rPr>
                        <w:rFonts w:ascii="Cambria Math" w:hAnsi="Cambria Math" w:cstheme="majorBidi"/>
                        <w:i/>
                        <w:color w:val="auto"/>
                        <w:sz w:val="24"/>
                        <w:szCs w:val="24"/>
                      </w:rPr>
                    </m:ctrlPr>
                  </m:sSubSupPr>
                  <m:e>
                    <m:acc>
                      <m:accPr>
                        <m:chr m:val="̃"/>
                        <m:ctrlPr>
                          <w:rPr>
                            <w:rFonts w:ascii="Cambria Math" w:hAnsi="Cambria Math" w:cstheme="majorBidi"/>
                            <w:i/>
                            <w:color w:val="auto"/>
                            <w:sz w:val="24"/>
                            <w:szCs w:val="24"/>
                          </w:rPr>
                        </m:ctrlPr>
                      </m:accPr>
                      <m:e>
                        <m:r>
                          <w:rPr>
                            <w:rFonts w:ascii="Cambria Math" w:hAnsi="Cambria Math" w:cstheme="majorBidi"/>
                            <w:color w:val="auto"/>
                            <w:sz w:val="24"/>
                            <w:szCs w:val="24"/>
                          </w:rPr>
                          <m:t>ψ</m:t>
                        </m:r>
                      </m:e>
                    </m:acc>
                  </m:e>
                  <m:sub>
                    <m:r>
                      <w:rPr>
                        <w:rFonts w:ascii="Cambria Math" w:hAnsi="Cambria Math" w:cstheme="majorBidi"/>
                        <w:color w:val="auto"/>
                        <w:sz w:val="24"/>
                        <w:szCs w:val="24"/>
                      </w:rPr>
                      <m:t>ij</m:t>
                    </m:r>
                  </m:sub>
                  <m:sup>
                    <m:r>
                      <w:rPr>
                        <w:rFonts w:ascii="Cambria Math" w:hAnsi="Cambria Math" w:cstheme="majorBidi"/>
                        <w:color w:val="auto"/>
                        <w:sz w:val="24"/>
                        <w:szCs w:val="24"/>
                      </w:rPr>
                      <m:t>g</m:t>
                    </m:r>
                  </m:sup>
                </m:sSubSup>
                <m:d>
                  <m:dPr>
                    <m:ctrlPr>
                      <w:rPr>
                        <w:rFonts w:ascii="Cambria Math" w:hAnsi="Cambria Math" w:cstheme="majorBidi"/>
                        <w:i/>
                        <w:color w:val="auto"/>
                        <w:sz w:val="24"/>
                        <w:szCs w:val="24"/>
                      </w:rPr>
                    </m:ctrlPr>
                  </m:dPr>
                  <m:e>
                    <m:r>
                      <w:rPr>
                        <w:rFonts w:ascii="Cambria Math" w:hAnsi="Cambria Math" w:cstheme="majorBidi"/>
                        <w:color w:val="auto"/>
                        <w:sz w:val="24"/>
                        <w:szCs w:val="24"/>
                      </w:rPr>
                      <m:t>H</m:t>
                    </m:r>
                  </m:e>
                </m:d>
                <m:r>
                  <w:rPr>
                    <w:rFonts w:ascii="Cambria Math" w:hAnsi="Cambria Math" w:cstheme="majorBidi"/>
                    <w:color w:val="auto"/>
                    <w:sz w:val="24"/>
                    <w:szCs w:val="24"/>
                  </w:rPr>
                  <m:t>=k</m:t>
                </m:r>
              </m:oMath>
            </m:oMathPara>
          </w:p>
        </w:tc>
        <w:tc>
          <w:tcPr>
            <w:tcW w:w="971" w:type="dxa"/>
            <w:vAlign w:val="center"/>
          </w:tcPr>
          <w:p w14:paraId="706C0E37" w14:textId="77777777" w:rsidR="002C4D66" w:rsidRPr="00E22C51" w:rsidRDefault="002C4D66" w:rsidP="002C4D66">
            <w:pPr>
              <w:pStyle w:val="MDPI31text"/>
              <w:numPr>
                <w:ilvl w:val="0"/>
                <w:numId w:val="1"/>
              </w:numPr>
              <w:spacing w:after="240" w:line="240" w:lineRule="auto"/>
              <w:rPr>
                <w:rFonts w:asciiTheme="majorBidi" w:hAnsiTheme="majorBidi" w:cstheme="majorBidi"/>
                <w:color w:val="auto"/>
                <w:sz w:val="24"/>
                <w:szCs w:val="24"/>
              </w:rPr>
            </w:pPr>
          </w:p>
        </w:tc>
      </w:tr>
    </w:tbl>
    <w:p w14:paraId="16CD5995" w14:textId="77777777" w:rsidR="002C4D66" w:rsidRPr="00E22C51" w:rsidRDefault="002C4D66" w:rsidP="002C4D66">
      <w:pPr>
        <w:spacing w:line="240" w:lineRule="auto"/>
        <w:ind w:firstLine="510"/>
        <w:jc w:val="both"/>
        <w:rPr>
          <w:rFonts w:asciiTheme="majorBidi" w:hAnsiTheme="majorBidi" w:cstheme="majorBidi"/>
          <w:sz w:val="24"/>
          <w:szCs w:val="24"/>
        </w:rPr>
      </w:pPr>
      <w:r w:rsidRPr="002C4D66">
        <w:rPr>
          <w:rFonts w:asciiTheme="majorBidi" w:hAnsiTheme="majorBidi" w:cstheme="majorBidi"/>
          <w:sz w:val="24"/>
          <w:szCs w:val="24"/>
          <w:lang w:val="en-US"/>
        </w:rPr>
        <w:t xml:space="preserve">Afterward, the calculation of total directional connectedness (TO) to others quantifies the extent to which an impact of a shock to the variable </w:t>
      </w:r>
      <w:proofErr w:type="spellStart"/>
      <w:r w:rsidRPr="002C4D66">
        <w:rPr>
          <w:rFonts w:asciiTheme="majorBidi" w:hAnsiTheme="majorBidi" w:cstheme="majorBidi"/>
          <w:i/>
          <w:iCs/>
          <w:sz w:val="24"/>
          <w:szCs w:val="24"/>
          <w:lang w:val="en-US"/>
        </w:rPr>
        <w:t>i</w:t>
      </w:r>
      <w:proofErr w:type="spellEnd"/>
      <w:r w:rsidRPr="002C4D66">
        <w:rPr>
          <w:rFonts w:asciiTheme="majorBidi" w:hAnsiTheme="majorBidi" w:cstheme="majorBidi"/>
          <w:sz w:val="24"/>
          <w:szCs w:val="24"/>
          <w:lang w:val="en-US"/>
        </w:rPr>
        <w:t xml:space="preserve"> spillovers to all other variables </w:t>
      </w:r>
      <w:r w:rsidRPr="002C4D66">
        <w:rPr>
          <w:rFonts w:asciiTheme="majorBidi" w:hAnsiTheme="majorBidi" w:cstheme="majorBidi"/>
          <w:i/>
          <w:iCs/>
          <w:sz w:val="24"/>
          <w:szCs w:val="24"/>
          <w:lang w:val="en-US"/>
        </w:rPr>
        <w:t>j</w:t>
      </w:r>
      <w:r w:rsidRPr="002C4D66">
        <w:rPr>
          <w:rFonts w:asciiTheme="majorBidi" w:hAnsiTheme="majorBidi" w:cstheme="majorBidi"/>
          <w:sz w:val="24"/>
          <w:szCs w:val="24"/>
          <w:lang w:val="en-US"/>
        </w:rPr>
        <w:t xml:space="preserve">. A variable exhibits a high "TO" value is crucial in influencing the network’s other variables. Any instability in this sector suggests a greater risk of contagion spreading to other variables. Furthermore, with the help of the "TO" value, policymakers and investors can recognize variables that serve as the key determinants of information flow or systemic risk. </w:t>
      </w:r>
      <w:proofErr w:type="spellStart"/>
      <w:r w:rsidRPr="00E22C51">
        <w:rPr>
          <w:rFonts w:asciiTheme="majorBidi" w:hAnsiTheme="majorBidi" w:cstheme="majorBidi"/>
          <w:sz w:val="24"/>
          <w:szCs w:val="24"/>
        </w:rPr>
        <w:t>This</w:t>
      </w:r>
      <w:proofErr w:type="spellEnd"/>
      <w:r w:rsidRPr="00E22C51">
        <w:rPr>
          <w:rFonts w:asciiTheme="majorBidi" w:hAnsiTheme="majorBidi" w:cstheme="majorBidi"/>
          <w:sz w:val="24"/>
          <w:szCs w:val="24"/>
        </w:rPr>
        <w:t xml:space="preserve"> </w:t>
      </w:r>
      <w:proofErr w:type="spellStart"/>
      <w:r w:rsidRPr="00E22C51">
        <w:rPr>
          <w:rFonts w:asciiTheme="majorBidi" w:hAnsiTheme="majorBidi" w:cstheme="majorBidi"/>
          <w:sz w:val="24"/>
          <w:szCs w:val="24"/>
        </w:rPr>
        <w:t>value</w:t>
      </w:r>
      <w:proofErr w:type="spellEnd"/>
      <w:r w:rsidRPr="00E22C51">
        <w:rPr>
          <w:rFonts w:asciiTheme="majorBidi" w:hAnsiTheme="majorBidi" w:cstheme="majorBidi"/>
          <w:sz w:val="24"/>
          <w:szCs w:val="24"/>
        </w:rPr>
        <w:t xml:space="preserve"> can </w:t>
      </w:r>
      <w:proofErr w:type="spellStart"/>
      <w:r w:rsidRPr="00E22C51">
        <w:rPr>
          <w:rFonts w:asciiTheme="majorBidi" w:hAnsiTheme="majorBidi" w:cstheme="majorBidi"/>
          <w:sz w:val="24"/>
          <w:szCs w:val="24"/>
        </w:rPr>
        <w:t>be</w:t>
      </w:r>
      <w:proofErr w:type="spellEnd"/>
      <w:r w:rsidRPr="00E22C51">
        <w:rPr>
          <w:rFonts w:asciiTheme="majorBidi" w:hAnsiTheme="majorBidi" w:cstheme="majorBidi"/>
          <w:sz w:val="24"/>
          <w:szCs w:val="24"/>
        </w:rPr>
        <w:t xml:space="preserve"> </w:t>
      </w:r>
      <w:proofErr w:type="spellStart"/>
      <w:r w:rsidRPr="00E22C51">
        <w:rPr>
          <w:rFonts w:asciiTheme="majorBidi" w:hAnsiTheme="majorBidi" w:cstheme="majorBidi"/>
          <w:sz w:val="24"/>
          <w:szCs w:val="24"/>
        </w:rPr>
        <w:t>obtained</w:t>
      </w:r>
      <w:proofErr w:type="spellEnd"/>
      <w:r w:rsidRPr="00E22C51">
        <w:rPr>
          <w:rFonts w:asciiTheme="majorBidi" w:hAnsiTheme="majorBidi" w:cstheme="majorBidi"/>
          <w:sz w:val="24"/>
          <w:szCs w:val="24"/>
        </w:rPr>
        <w:t xml:space="preserve"> </w:t>
      </w:r>
      <w:proofErr w:type="spellStart"/>
      <w:r w:rsidRPr="00E22C51">
        <w:rPr>
          <w:rFonts w:asciiTheme="majorBidi" w:hAnsiTheme="majorBidi" w:cstheme="majorBidi"/>
          <w:sz w:val="24"/>
          <w:szCs w:val="24"/>
        </w:rPr>
        <w:t>using</w:t>
      </w:r>
      <w:proofErr w:type="spellEnd"/>
      <w:r w:rsidRPr="00E22C51">
        <w:rPr>
          <w:rFonts w:asciiTheme="majorBidi" w:hAnsiTheme="majorBidi" w:cstheme="majorBidi"/>
          <w:sz w:val="24"/>
          <w:szCs w:val="24"/>
        </w:rPr>
        <w:t xml:space="preserve"> the </w:t>
      </w:r>
      <w:proofErr w:type="spellStart"/>
      <w:r w:rsidRPr="00E22C51">
        <w:rPr>
          <w:rFonts w:asciiTheme="majorBidi" w:hAnsiTheme="majorBidi" w:cstheme="majorBidi"/>
          <w:sz w:val="24"/>
          <w:szCs w:val="24"/>
        </w:rPr>
        <w:t>following</w:t>
      </w:r>
      <w:proofErr w:type="spellEnd"/>
      <w:r w:rsidRPr="00E22C51">
        <w:rPr>
          <w:rFonts w:asciiTheme="majorBidi" w:hAnsiTheme="majorBidi" w:cstheme="majorBidi"/>
          <w:sz w:val="24"/>
          <w:szCs w:val="24"/>
        </w:rPr>
        <w:t xml:space="preserve"> </w:t>
      </w:r>
      <w:proofErr w:type="spellStart"/>
      <w:r w:rsidRPr="00E22C51">
        <w:rPr>
          <w:rFonts w:asciiTheme="majorBidi" w:hAnsiTheme="majorBidi" w:cstheme="majorBidi"/>
          <w:sz w:val="24"/>
          <w:szCs w:val="24"/>
        </w:rPr>
        <w:t>equation</w:t>
      </w:r>
      <w:proofErr w:type="spellEnd"/>
      <w:r w:rsidRPr="00E22C51">
        <w:rPr>
          <w:rFonts w:asciiTheme="majorBidi" w:hAnsiTheme="majorBidi" w:cstheme="majorBidi"/>
          <w:sz w:val="24"/>
          <w:szCs w:val="24"/>
        </w:rPr>
        <w:t>:</w:t>
      </w:r>
    </w:p>
    <w:tbl>
      <w:tblPr>
        <w:tblW w:w="9423" w:type="dxa"/>
        <w:tblInd w:w="-5" w:type="dxa"/>
        <w:tblLook w:val="0000" w:firstRow="0" w:lastRow="0" w:firstColumn="0" w:lastColumn="0" w:noHBand="0" w:noVBand="0"/>
      </w:tblPr>
      <w:tblGrid>
        <w:gridCol w:w="8452"/>
        <w:gridCol w:w="971"/>
      </w:tblGrid>
      <w:tr w:rsidR="002C4D66" w:rsidRPr="00E22C51" w14:paraId="6523C8D3" w14:textId="77777777" w:rsidTr="00B8290A">
        <w:trPr>
          <w:trHeight w:val="307"/>
        </w:trPr>
        <w:tc>
          <w:tcPr>
            <w:tcW w:w="8452" w:type="dxa"/>
          </w:tcPr>
          <w:p w14:paraId="5EF26299" w14:textId="77777777" w:rsidR="002C4D66" w:rsidRPr="00E22C51" w:rsidRDefault="00000000" w:rsidP="00B8290A">
            <w:pPr>
              <w:pStyle w:val="MDPI31text"/>
              <w:spacing w:after="240" w:line="240" w:lineRule="auto"/>
              <w:rPr>
                <w:rFonts w:asciiTheme="majorBidi" w:hAnsiTheme="majorBidi" w:cstheme="majorBidi"/>
                <w:color w:val="auto"/>
                <w:sz w:val="24"/>
                <w:szCs w:val="24"/>
              </w:rPr>
            </w:pPr>
            <m:oMathPara>
              <m:oMathParaPr>
                <m:jc m:val="center"/>
              </m:oMathParaPr>
              <m:oMath>
                <m:sSubSup>
                  <m:sSubSupPr>
                    <m:ctrlPr>
                      <w:rPr>
                        <w:rFonts w:ascii="Cambria Math" w:hAnsi="Cambria Math" w:cstheme="majorBidi"/>
                        <w:i/>
                        <w:color w:val="auto"/>
                        <w:sz w:val="24"/>
                        <w:szCs w:val="24"/>
                      </w:rPr>
                    </m:ctrlPr>
                  </m:sSubSupPr>
                  <m:e>
                    <m:r>
                      <w:rPr>
                        <w:rFonts w:ascii="Cambria Math" w:hAnsi="Cambria Math" w:cstheme="majorBidi"/>
                        <w:color w:val="auto"/>
                        <w:sz w:val="24"/>
                        <w:szCs w:val="24"/>
                      </w:rPr>
                      <m:t>C</m:t>
                    </m:r>
                  </m:e>
                  <m:sub>
                    <m:r>
                      <w:rPr>
                        <w:rFonts w:ascii="Cambria Math" w:hAnsi="Cambria Math" w:cstheme="majorBidi"/>
                        <w:color w:val="auto"/>
                        <w:sz w:val="24"/>
                        <w:szCs w:val="24"/>
                      </w:rPr>
                      <m:t>i→j</m:t>
                    </m:r>
                  </m:sub>
                  <m:sup>
                    <m:r>
                      <w:rPr>
                        <w:rFonts w:ascii="Cambria Math" w:hAnsi="Cambria Math" w:cstheme="majorBidi"/>
                        <w:color w:val="auto"/>
                        <w:sz w:val="24"/>
                        <w:szCs w:val="24"/>
                      </w:rPr>
                      <m:t>g</m:t>
                    </m:r>
                  </m:sup>
                </m:sSubSup>
                <m:d>
                  <m:dPr>
                    <m:ctrlPr>
                      <w:rPr>
                        <w:rFonts w:ascii="Cambria Math" w:hAnsi="Cambria Math" w:cstheme="majorBidi"/>
                        <w:i/>
                        <w:color w:val="auto"/>
                        <w:sz w:val="24"/>
                        <w:szCs w:val="24"/>
                      </w:rPr>
                    </m:ctrlPr>
                  </m:dPr>
                  <m:e>
                    <m:r>
                      <w:rPr>
                        <w:rFonts w:ascii="Cambria Math" w:hAnsi="Cambria Math" w:cstheme="majorBidi"/>
                        <w:color w:val="auto"/>
                        <w:sz w:val="24"/>
                        <w:szCs w:val="24"/>
                      </w:rPr>
                      <m:t>H</m:t>
                    </m:r>
                  </m:e>
                </m:d>
                <m:r>
                  <w:rPr>
                    <w:rFonts w:ascii="Cambria Math" w:hAnsi="Cambria Math" w:cstheme="majorBidi"/>
                    <w:color w:val="auto"/>
                    <w:sz w:val="24"/>
                    <w:szCs w:val="24"/>
                  </w:rPr>
                  <m:t>=</m:t>
                </m:r>
                <m:sSubSup>
                  <m:sSubSupPr>
                    <m:ctrlPr>
                      <w:rPr>
                        <w:rFonts w:ascii="Cambria Math" w:hAnsi="Cambria Math" w:cstheme="majorBidi"/>
                        <w:i/>
                        <w:color w:val="auto"/>
                        <w:sz w:val="24"/>
                        <w:szCs w:val="24"/>
                      </w:rPr>
                    </m:ctrlPr>
                  </m:sSubSupPr>
                  <m:e>
                    <m:r>
                      <w:rPr>
                        <w:rFonts w:ascii="Cambria Math" w:hAnsi="Cambria Math" w:cstheme="majorBidi"/>
                        <w:color w:val="auto"/>
                        <w:sz w:val="24"/>
                        <w:szCs w:val="24"/>
                      </w:rPr>
                      <m:t>∑</m:t>
                    </m:r>
                  </m:e>
                  <m:sub>
                    <m:r>
                      <w:rPr>
                        <w:rFonts w:ascii="Cambria Math" w:hAnsi="Cambria Math" w:cstheme="majorBidi"/>
                        <w:color w:val="auto"/>
                        <w:sz w:val="24"/>
                        <w:szCs w:val="24"/>
                      </w:rPr>
                      <m:t>j=1,i≠j</m:t>
                    </m:r>
                  </m:sub>
                  <m:sup>
                    <m:r>
                      <w:rPr>
                        <w:rFonts w:ascii="Cambria Math" w:hAnsi="Cambria Math" w:cstheme="majorBidi"/>
                        <w:color w:val="auto"/>
                        <w:sz w:val="24"/>
                        <w:szCs w:val="24"/>
                      </w:rPr>
                      <m:t>k</m:t>
                    </m:r>
                  </m:sup>
                </m:sSubSup>
                <m:r>
                  <w:rPr>
                    <w:rFonts w:ascii="Cambria Math" w:hAnsi="Cambria Math" w:cstheme="majorBidi"/>
                    <w:color w:val="auto"/>
                    <w:sz w:val="24"/>
                    <w:szCs w:val="24"/>
                  </w:rPr>
                  <m:t xml:space="preserve"> </m:t>
                </m:r>
                <m:sSubSup>
                  <m:sSubSupPr>
                    <m:ctrlPr>
                      <w:rPr>
                        <w:rFonts w:ascii="Cambria Math" w:hAnsi="Cambria Math" w:cstheme="majorBidi"/>
                        <w:i/>
                        <w:color w:val="auto"/>
                        <w:sz w:val="24"/>
                        <w:szCs w:val="24"/>
                      </w:rPr>
                    </m:ctrlPr>
                  </m:sSubSupPr>
                  <m:e>
                    <m:acc>
                      <m:accPr>
                        <m:chr m:val="̃"/>
                        <m:ctrlPr>
                          <w:rPr>
                            <w:rFonts w:ascii="Cambria Math" w:hAnsi="Cambria Math" w:cstheme="majorBidi"/>
                            <w:i/>
                            <w:color w:val="auto"/>
                            <w:sz w:val="24"/>
                            <w:szCs w:val="24"/>
                          </w:rPr>
                        </m:ctrlPr>
                      </m:accPr>
                      <m:e>
                        <m:r>
                          <w:rPr>
                            <w:rFonts w:ascii="Cambria Math" w:hAnsi="Cambria Math" w:cstheme="majorBidi"/>
                            <w:color w:val="auto"/>
                            <w:sz w:val="24"/>
                            <w:szCs w:val="24"/>
                          </w:rPr>
                          <m:t>ψ</m:t>
                        </m:r>
                      </m:e>
                    </m:acc>
                  </m:e>
                  <m:sub>
                    <m:r>
                      <w:rPr>
                        <w:rFonts w:ascii="Cambria Math" w:hAnsi="Cambria Math" w:cstheme="majorBidi"/>
                        <w:color w:val="auto"/>
                        <w:sz w:val="24"/>
                        <w:szCs w:val="24"/>
                      </w:rPr>
                      <m:t>ji</m:t>
                    </m:r>
                  </m:sub>
                  <m:sup>
                    <m:r>
                      <w:rPr>
                        <w:rFonts w:ascii="Cambria Math" w:hAnsi="Cambria Math" w:cstheme="majorBidi"/>
                        <w:color w:val="auto"/>
                        <w:sz w:val="24"/>
                        <w:szCs w:val="24"/>
                      </w:rPr>
                      <m:t>g</m:t>
                    </m:r>
                  </m:sup>
                </m:sSubSup>
                <m:d>
                  <m:dPr>
                    <m:ctrlPr>
                      <w:rPr>
                        <w:rFonts w:ascii="Cambria Math" w:hAnsi="Cambria Math" w:cstheme="majorBidi"/>
                        <w:i/>
                        <w:color w:val="auto"/>
                        <w:sz w:val="24"/>
                        <w:szCs w:val="24"/>
                      </w:rPr>
                    </m:ctrlPr>
                  </m:dPr>
                  <m:e>
                    <m:r>
                      <w:rPr>
                        <w:rFonts w:ascii="Cambria Math" w:hAnsi="Cambria Math" w:cstheme="majorBidi"/>
                        <w:color w:val="auto"/>
                        <w:sz w:val="24"/>
                        <w:szCs w:val="24"/>
                      </w:rPr>
                      <m:t>H</m:t>
                    </m:r>
                  </m:e>
                </m:d>
              </m:oMath>
            </m:oMathPara>
          </w:p>
        </w:tc>
        <w:tc>
          <w:tcPr>
            <w:tcW w:w="971" w:type="dxa"/>
            <w:vAlign w:val="center"/>
          </w:tcPr>
          <w:p w14:paraId="13BD6DA3" w14:textId="77777777" w:rsidR="002C4D66" w:rsidRPr="00E22C51" w:rsidRDefault="002C4D66" w:rsidP="002C4D66">
            <w:pPr>
              <w:pStyle w:val="MDPI31text"/>
              <w:numPr>
                <w:ilvl w:val="0"/>
                <w:numId w:val="1"/>
              </w:numPr>
              <w:spacing w:after="240" w:line="240" w:lineRule="auto"/>
              <w:rPr>
                <w:rFonts w:asciiTheme="majorBidi" w:hAnsiTheme="majorBidi" w:cstheme="majorBidi"/>
                <w:color w:val="auto"/>
                <w:sz w:val="24"/>
                <w:szCs w:val="24"/>
              </w:rPr>
            </w:pPr>
          </w:p>
        </w:tc>
      </w:tr>
    </w:tbl>
    <w:p w14:paraId="28DC32DA" w14:textId="77777777" w:rsidR="002C4D66" w:rsidRPr="00E22C51" w:rsidRDefault="002C4D66" w:rsidP="002C4D66">
      <w:pPr>
        <w:spacing w:after="0" w:line="240" w:lineRule="auto"/>
        <w:ind w:firstLine="510"/>
        <w:jc w:val="both"/>
        <w:rPr>
          <w:rFonts w:asciiTheme="majorBidi" w:hAnsiTheme="majorBidi" w:cstheme="majorBidi"/>
          <w:sz w:val="24"/>
          <w:szCs w:val="24"/>
        </w:rPr>
      </w:pPr>
      <w:r w:rsidRPr="002C4D66">
        <w:rPr>
          <w:rFonts w:asciiTheme="majorBidi" w:hAnsiTheme="majorBidi" w:cstheme="majorBidi"/>
          <w:sz w:val="24"/>
          <w:szCs w:val="24"/>
          <w:lang w:val="en-US"/>
        </w:rPr>
        <w:t xml:space="preserve">Following, the total directional connectedness (FROM) others, which describes how much shock spillovers are received by variable </w:t>
      </w:r>
      <w:proofErr w:type="spellStart"/>
      <w:r w:rsidRPr="002C4D66">
        <w:rPr>
          <w:rFonts w:asciiTheme="majorBidi" w:hAnsiTheme="majorBidi" w:cstheme="majorBidi"/>
          <w:i/>
          <w:sz w:val="24"/>
          <w:szCs w:val="24"/>
          <w:lang w:val="en-US"/>
        </w:rPr>
        <w:t>i</w:t>
      </w:r>
      <w:proofErr w:type="spellEnd"/>
      <w:r w:rsidRPr="002C4D66">
        <w:rPr>
          <w:rFonts w:asciiTheme="majorBidi" w:hAnsiTheme="majorBidi" w:cstheme="majorBidi"/>
          <w:sz w:val="24"/>
          <w:szCs w:val="24"/>
          <w:lang w:val="en-US"/>
        </w:rPr>
        <w:t xml:space="preserve"> from all other variables </w:t>
      </w:r>
      <w:r w:rsidRPr="002C4D66">
        <w:rPr>
          <w:rFonts w:asciiTheme="majorBidi" w:hAnsiTheme="majorBidi" w:cstheme="majorBidi"/>
          <w:i/>
          <w:sz w:val="24"/>
          <w:szCs w:val="24"/>
          <w:lang w:val="en-US"/>
        </w:rPr>
        <w:t>j</w:t>
      </w:r>
      <w:r w:rsidRPr="002C4D66">
        <w:rPr>
          <w:rFonts w:asciiTheme="majorBidi" w:hAnsiTheme="majorBidi" w:cstheme="majorBidi"/>
          <w:iCs/>
          <w:sz w:val="24"/>
          <w:szCs w:val="24"/>
          <w:lang w:val="en-US"/>
        </w:rPr>
        <w:t xml:space="preserve">. </w:t>
      </w:r>
      <w:r w:rsidRPr="002C4D66">
        <w:rPr>
          <w:rFonts w:asciiTheme="majorBidi" w:hAnsiTheme="majorBidi" w:cstheme="majorBidi"/>
          <w:sz w:val="24"/>
          <w:szCs w:val="26"/>
          <w:lang w:val="en-US"/>
        </w:rPr>
        <w:t xml:space="preserve">When a variable exhibits a high "FROM" value, it implies that it is particularly sensitive to disturbances in other variables and is greatly impacted by external factors. </w:t>
      </w:r>
      <w:proofErr w:type="spellStart"/>
      <w:r w:rsidRPr="00E22C51">
        <w:rPr>
          <w:rFonts w:asciiTheme="majorBidi" w:hAnsiTheme="majorBidi" w:cstheme="majorBidi"/>
          <w:sz w:val="24"/>
          <w:szCs w:val="26"/>
        </w:rPr>
        <w:t>This</w:t>
      </w:r>
      <w:proofErr w:type="spellEnd"/>
      <w:r w:rsidRPr="00E22C51">
        <w:rPr>
          <w:rFonts w:asciiTheme="majorBidi" w:hAnsiTheme="majorBidi" w:cstheme="majorBidi"/>
          <w:sz w:val="24"/>
          <w:szCs w:val="26"/>
        </w:rPr>
        <w:t xml:space="preserve"> </w:t>
      </w:r>
      <w:proofErr w:type="spellStart"/>
      <w:r w:rsidRPr="00E22C51">
        <w:rPr>
          <w:rFonts w:asciiTheme="majorBidi" w:hAnsiTheme="majorBidi" w:cstheme="majorBidi"/>
          <w:sz w:val="24"/>
          <w:szCs w:val="26"/>
        </w:rPr>
        <w:t>value</w:t>
      </w:r>
      <w:proofErr w:type="spellEnd"/>
      <w:r w:rsidRPr="00E22C51">
        <w:rPr>
          <w:rFonts w:asciiTheme="majorBidi" w:hAnsiTheme="majorBidi" w:cstheme="majorBidi"/>
          <w:i/>
          <w:sz w:val="28"/>
          <w:szCs w:val="28"/>
        </w:rPr>
        <w:t xml:space="preserve"> </w:t>
      </w:r>
      <w:r w:rsidRPr="00E22C51">
        <w:rPr>
          <w:rFonts w:asciiTheme="majorBidi" w:hAnsiTheme="majorBidi" w:cstheme="majorBidi"/>
          <w:sz w:val="24"/>
          <w:szCs w:val="24"/>
        </w:rPr>
        <w:t xml:space="preserve">can </w:t>
      </w:r>
      <w:proofErr w:type="spellStart"/>
      <w:r w:rsidRPr="00E22C51">
        <w:rPr>
          <w:rFonts w:asciiTheme="majorBidi" w:hAnsiTheme="majorBidi" w:cstheme="majorBidi"/>
          <w:sz w:val="24"/>
          <w:szCs w:val="24"/>
        </w:rPr>
        <w:t>be</w:t>
      </w:r>
      <w:proofErr w:type="spellEnd"/>
      <w:r w:rsidRPr="00E22C51">
        <w:rPr>
          <w:rFonts w:asciiTheme="majorBidi" w:hAnsiTheme="majorBidi" w:cstheme="majorBidi"/>
          <w:sz w:val="24"/>
          <w:szCs w:val="24"/>
        </w:rPr>
        <w:t xml:space="preserve"> </w:t>
      </w:r>
      <w:proofErr w:type="spellStart"/>
      <w:r w:rsidRPr="00E22C51">
        <w:rPr>
          <w:rFonts w:asciiTheme="majorBidi" w:hAnsiTheme="majorBidi" w:cstheme="majorBidi"/>
          <w:sz w:val="24"/>
          <w:szCs w:val="24"/>
        </w:rPr>
        <w:t>obtained</w:t>
      </w:r>
      <w:proofErr w:type="spellEnd"/>
      <w:r w:rsidRPr="00E22C51">
        <w:rPr>
          <w:rFonts w:asciiTheme="majorBidi" w:hAnsiTheme="majorBidi" w:cstheme="majorBidi"/>
          <w:iCs/>
          <w:sz w:val="24"/>
          <w:szCs w:val="24"/>
        </w:rPr>
        <w:t xml:space="preserve"> </w:t>
      </w:r>
      <w:proofErr w:type="spellStart"/>
      <w:r w:rsidRPr="00E22C51">
        <w:rPr>
          <w:rFonts w:asciiTheme="majorBidi" w:hAnsiTheme="majorBidi" w:cstheme="majorBidi"/>
          <w:sz w:val="24"/>
          <w:szCs w:val="24"/>
        </w:rPr>
        <w:t>using</w:t>
      </w:r>
      <w:proofErr w:type="spellEnd"/>
      <w:r w:rsidRPr="00E22C51">
        <w:rPr>
          <w:rFonts w:asciiTheme="majorBidi" w:hAnsiTheme="majorBidi" w:cstheme="majorBidi"/>
          <w:sz w:val="24"/>
          <w:szCs w:val="24"/>
        </w:rPr>
        <w:t xml:space="preserve"> the </w:t>
      </w:r>
      <w:proofErr w:type="spellStart"/>
      <w:r w:rsidRPr="00E22C51">
        <w:rPr>
          <w:rFonts w:asciiTheme="majorBidi" w:hAnsiTheme="majorBidi" w:cstheme="majorBidi"/>
          <w:sz w:val="24"/>
          <w:szCs w:val="24"/>
        </w:rPr>
        <w:t>following</w:t>
      </w:r>
      <w:proofErr w:type="spellEnd"/>
      <w:r w:rsidRPr="00E22C51">
        <w:rPr>
          <w:rFonts w:asciiTheme="majorBidi" w:hAnsiTheme="majorBidi" w:cstheme="majorBidi"/>
          <w:sz w:val="24"/>
          <w:szCs w:val="24"/>
        </w:rPr>
        <w:t xml:space="preserve"> </w:t>
      </w:r>
      <w:proofErr w:type="spellStart"/>
      <w:r w:rsidRPr="00E22C51">
        <w:rPr>
          <w:rFonts w:asciiTheme="majorBidi" w:hAnsiTheme="majorBidi" w:cstheme="majorBidi"/>
          <w:sz w:val="24"/>
          <w:szCs w:val="24"/>
        </w:rPr>
        <w:t>equation</w:t>
      </w:r>
      <w:proofErr w:type="spellEnd"/>
      <w:r w:rsidRPr="00E22C51">
        <w:rPr>
          <w:rFonts w:asciiTheme="majorBidi" w:hAnsiTheme="majorBidi" w:cstheme="majorBidi"/>
          <w:sz w:val="24"/>
          <w:szCs w:val="24"/>
        </w:rPr>
        <w:t>:</w:t>
      </w:r>
    </w:p>
    <w:tbl>
      <w:tblPr>
        <w:tblW w:w="9423" w:type="dxa"/>
        <w:tblInd w:w="-5" w:type="dxa"/>
        <w:tblLook w:val="0000" w:firstRow="0" w:lastRow="0" w:firstColumn="0" w:lastColumn="0" w:noHBand="0" w:noVBand="0"/>
      </w:tblPr>
      <w:tblGrid>
        <w:gridCol w:w="8452"/>
        <w:gridCol w:w="971"/>
      </w:tblGrid>
      <w:tr w:rsidR="002C4D66" w:rsidRPr="00E22C51" w14:paraId="73BF0FBC" w14:textId="77777777" w:rsidTr="00B8290A">
        <w:trPr>
          <w:trHeight w:val="307"/>
        </w:trPr>
        <w:tc>
          <w:tcPr>
            <w:tcW w:w="8452" w:type="dxa"/>
            <w:vAlign w:val="center"/>
          </w:tcPr>
          <w:p w14:paraId="229793C3" w14:textId="77777777" w:rsidR="002C4D66" w:rsidRPr="00E22C51" w:rsidRDefault="00000000" w:rsidP="00B8290A">
            <w:pPr>
              <w:pStyle w:val="MDPI31text"/>
              <w:spacing w:after="240" w:line="240" w:lineRule="auto"/>
              <w:rPr>
                <w:rFonts w:asciiTheme="majorBidi" w:hAnsiTheme="majorBidi" w:cstheme="majorBidi"/>
                <w:color w:val="auto"/>
                <w:sz w:val="24"/>
                <w:szCs w:val="24"/>
              </w:rPr>
            </w:pPr>
            <m:oMathPara>
              <m:oMathParaPr>
                <m:jc m:val="center"/>
              </m:oMathParaPr>
              <m:oMath>
                <m:sSubSup>
                  <m:sSubSupPr>
                    <m:ctrlPr>
                      <w:rPr>
                        <w:rFonts w:ascii="Cambria Math" w:hAnsi="Cambria Math" w:cstheme="majorBidi"/>
                        <w:i/>
                        <w:color w:val="auto"/>
                        <w:sz w:val="24"/>
                        <w:szCs w:val="24"/>
                      </w:rPr>
                    </m:ctrlPr>
                  </m:sSubSupPr>
                  <m:e>
                    <m:r>
                      <w:rPr>
                        <w:rFonts w:ascii="Cambria Math" w:hAnsi="Cambria Math" w:cstheme="majorBidi"/>
                        <w:color w:val="auto"/>
                        <w:sz w:val="24"/>
                        <w:szCs w:val="24"/>
                      </w:rPr>
                      <m:t>C</m:t>
                    </m:r>
                  </m:e>
                  <m:sub>
                    <m:r>
                      <w:rPr>
                        <w:rFonts w:ascii="Cambria Math" w:hAnsi="Cambria Math" w:cstheme="majorBidi"/>
                        <w:color w:val="auto"/>
                        <w:sz w:val="24"/>
                        <w:szCs w:val="24"/>
                      </w:rPr>
                      <m:t>i←j</m:t>
                    </m:r>
                  </m:sub>
                  <m:sup>
                    <m:r>
                      <w:rPr>
                        <w:rFonts w:ascii="Cambria Math" w:hAnsi="Cambria Math" w:cstheme="majorBidi"/>
                        <w:color w:val="auto"/>
                        <w:sz w:val="24"/>
                        <w:szCs w:val="24"/>
                      </w:rPr>
                      <m:t>g</m:t>
                    </m:r>
                  </m:sup>
                </m:sSubSup>
                <m:d>
                  <m:dPr>
                    <m:ctrlPr>
                      <w:rPr>
                        <w:rFonts w:ascii="Cambria Math" w:hAnsi="Cambria Math" w:cstheme="majorBidi"/>
                        <w:i/>
                        <w:color w:val="auto"/>
                        <w:sz w:val="24"/>
                        <w:szCs w:val="24"/>
                      </w:rPr>
                    </m:ctrlPr>
                  </m:dPr>
                  <m:e>
                    <m:r>
                      <w:rPr>
                        <w:rFonts w:ascii="Cambria Math" w:hAnsi="Cambria Math" w:cstheme="majorBidi"/>
                        <w:color w:val="auto"/>
                        <w:sz w:val="24"/>
                        <w:szCs w:val="24"/>
                      </w:rPr>
                      <m:t>H</m:t>
                    </m:r>
                  </m:e>
                </m:d>
                <m:r>
                  <w:rPr>
                    <w:rFonts w:ascii="Cambria Math" w:hAnsi="Cambria Math" w:cstheme="majorBidi"/>
                    <w:color w:val="auto"/>
                    <w:sz w:val="24"/>
                    <w:szCs w:val="24"/>
                  </w:rPr>
                  <m:t>=</m:t>
                </m:r>
                <m:sSubSup>
                  <m:sSubSupPr>
                    <m:ctrlPr>
                      <w:rPr>
                        <w:rFonts w:ascii="Cambria Math" w:hAnsi="Cambria Math" w:cstheme="majorBidi"/>
                        <w:i/>
                        <w:color w:val="auto"/>
                        <w:sz w:val="24"/>
                        <w:szCs w:val="24"/>
                      </w:rPr>
                    </m:ctrlPr>
                  </m:sSubSupPr>
                  <m:e>
                    <m:r>
                      <w:rPr>
                        <w:rFonts w:ascii="Cambria Math" w:hAnsi="Cambria Math" w:cstheme="majorBidi"/>
                        <w:color w:val="auto"/>
                        <w:sz w:val="24"/>
                        <w:szCs w:val="24"/>
                      </w:rPr>
                      <m:t>∑</m:t>
                    </m:r>
                  </m:e>
                  <m:sub>
                    <m:r>
                      <w:rPr>
                        <w:rFonts w:ascii="Cambria Math" w:hAnsi="Cambria Math" w:cstheme="majorBidi"/>
                        <w:color w:val="auto"/>
                        <w:sz w:val="24"/>
                        <w:szCs w:val="24"/>
                      </w:rPr>
                      <m:t>j=1,i≠j</m:t>
                    </m:r>
                  </m:sub>
                  <m:sup>
                    <m:r>
                      <w:rPr>
                        <w:rFonts w:ascii="Cambria Math" w:hAnsi="Cambria Math" w:cstheme="majorBidi"/>
                        <w:color w:val="auto"/>
                        <w:sz w:val="24"/>
                        <w:szCs w:val="24"/>
                      </w:rPr>
                      <m:t>k</m:t>
                    </m:r>
                  </m:sup>
                </m:sSubSup>
                <m:r>
                  <w:rPr>
                    <w:rFonts w:ascii="Cambria Math" w:hAnsi="Cambria Math" w:cstheme="majorBidi"/>
                    <w:color w:val="auto"/>
                    <w:sz w:val="24"/>
                    <w:szCs w:val="24"/>
                  </w:rPr>
                  <m:t xml:space="preserve"> </m:t>
                </m:r>
                <m:sSubSup>
                  <m:sSubSupPr>
                    <m:ctrlPr>
                      <w:rPr>
                        <w:rFonts w:ascii="Cambria Math" w:hAnsi="Cambria Math" w:cstheme="majorBidi"/>
                        <w:i/>
                        <w:color w:val="auto"/>
                        <w:sz w:val="24"/>
                        <w:szCs w:val="24"/>
                      </w:rPr>
                    </m:ctrlPr>
                  </m:sSubSupPr>
                  <m:e>
                    <m:acc>
                      <m:accPr>
                        <m:chr m:val="̃"/>
                        <m:ctrlPr>
                          <w:rPr>
                            <w:rFonts w:ascii="Cambria Math" w:hAnsi="Cambria Math" w:cstheme="majorBidi"/>
                            <w:i/>
                            <w:color w:val="auto"/>
                            <w:sz w:val="24"/>
                            <w:szCs w:val="24"/>
                          </w:rPr>
                        </m:ctrlPr>
                      </m:accPr>
                      <m:e>
                        <m:r>
                          <w:rPr>
                            <w:rFonts w:ascii="Cambria Math" w:hAnsi="Cambria Math" w:cstheme="majorBidi"/>
                            <w:color w:val="auto"/>
                            <w:sz w:val="24"/>
                            <w:szCs w:val="24"/>
                          </w:rPr>
                          <m:t>ψ</m:t>
                        </m:r>
                      </m:e>
                    </m:acc>
                  </m:e>
                  <m:sub>
                    <m:r>
                      <w:rPr>
                        <w:rFonts w:ascii="Cambria Math" w:hAnsi="Cambria Math" w:cstheme="majorBidi"/>
                        <w:color w:val="auto"/>
                        <w:sz w:val="24"/>
                        <w:szCs w:val="24"/>
                      </w:rPr>
                      <m:t>ij,</m:t>
                    </m:r>
                  </m:sub>
                  <m:sup>
                    <m:r>
                      <w:rPr>
                        <w:rFonts w:ascii="Cambria Math" w:hAnsi="Cambria Math" w:cstheme="majorBidi"/>
                        <w:color w:val="auto"/>
                        <w:sz w:val="24"/>
                        <w:szCs w:val="24"/>
                      </w:rPr>
                      <m:t>g</m:t>
                    </m:r>
                  </m:sup>
                </m:sSubSup>
                <m:d>
                  <m:dPr>
                    <m:ctrlPr>
                      <w:rPr>
                        <w:rFonts w:ascii="Cambria Math" w:hAnsi="Cambria Math" w:cstheme="majorBidi"/>
                        <w:i/>
                        <w:color w:val="auto"/>
                        <w:sz w:val="24"/>
                        <w:szCs w:val="24"/>
                      </w:rPr>
                    </m:ctrlPr>
                  </m:dPr>
                  <m:e>
                    <m:r>
                      <w:rPr>
                        <w:rFonts w:ascii="Cambria Math" w:hAnsi="Cambria Math" w:cstheme="majorBidi"/>
                        <w:color w:val="auto"/>
                        <w:sz w:val="24"/>
                        <w:szCs w:val="24"/>
                      </w:rPr>
                      <m:t>H</m:t>
                    </m:r>
                  </m:e>
                </m:d>
              </m:oMath>
            </m:oMathPara>
          </w:p>
        </w:tc>
        <w:tc>
          <w:tcPr>
            <w:tcW w:w="971" w:type="dxa"/>
            <w:vAlign w:val="center"/>
          </w:tcPr>
          <w:p w14:paraId="2C0C6D04" w14:textId="77777777" w:rsidR="002C4D66" w:rsidRPr="00E22C51" w:rsidRDefault="002C4D66" w:rsidP="002C4D66">
            <w:pPr>
              <w:pStyle w:val="MDPI31text"/>
              <w:numPr>
                <w:ilvl w:val="0"/>
                <w:numId w:val="1"/>
              </w:numPr>
              <w:spacing w:after="240" w:line="240" w:lineRule="auto"/>
              <w:rPr>
                <w:rFonts w:asciiTheme="majorBidi" w:hAnsiTheme="majorBidi" w:cstheme="majorBidi"/>
                <w:color w:val="auto"/>
                <w:sz w:val="24"/>
                <w:szCs w:val="24"/>
              </w:rPr>
            </w:pPr>
          </w:p>
        </w:tc>
      </w:tr>
    </w:tbl>
    <w:p w14:paraId="03CBA4F9" w14:textId="77777777" w:rsidR="002C4D66" w:rsidRPr="002C4D66" w:rsidRDefault="002C4D66" w:rsidP="002C4D66">
      <w:pPr>
        <w:spacing w:after="0" w:line="240" w:lineRule="auto"/>
        <w:ind w:firstLine="510"/>
        <w:jc w:val="both"/>
        <w:rPr>
          <w:rFonts w:asciiTheme="majorBidi" w:hAnsiTheme="majorBidi" w:cstheme="majorBidi"/>
          <w:sz w:val="24"/>
          <w:szCs w:val="24"/>
          <w:lang w:val="en-US"/>
        </w:rPr>
      </w:pPr>
      <w:r w:rsidRPr="002C4D66">
        <w:rPr>
          <w:rFonts w:asciiTheme="majorBidi" w:hAnsiTheme="majorBidi" w:cstheme="majorBidi"/>
          <w:sz w:val="24"/>
          <w:szCs w:val="24"/>
          <w:lang w:val="en-US"/>
        </w:rPr>
        <w:t xml:space="preserve">Moreover, the NET total directional connectivity represents the difference between total directional connectedness TO others and FROM others. It calculates the net influence of variable </w:t>
      </w:r>
      <w:proofErr w:type="spellStart"/>
      <w:r w:rsidRPr="002C4D66">
        <w:rPr>
          <w:rFonts w:asciiTheme="majorBidi" w:hAnsiTheme="majorBidi" w:cstheme="majorBidi"/>
          <w:i/>
          <w:iCs/>
          <w:sz w:val="24"/>
          <w:szCs w:val="24"/>
          <w:lang w:val="en-US"/>
        </w:rPr>
        <w:t>i</w:t>
      </w:r>
      <w:proofErr w:type="spellEnd"/>
      <w:r w:rsidRPr="002C4D66">
        <w:rPr>
          <w:rFonts w:asciiTheme="majorBidi" w:hAnsiTheme="majorBidi" w:cstheme="majorBidi"/>
          <w:sz w:val="24"/>
          <w:szCs w:val="24"/>
          <w:lang w:val="en-US"/>
        </w:rPr>
        <w:t xml:space="preserve"> on the system network. The net positive (negative) contribution value refers to the role of a variable as a shock transmitter (receiver), as explained by </w:t>
      </w:r>
      <w:r w:rsidRPr="00E22C51">
        <w:rPr>
          <w:rFonts w:asciiTheme="majorBidi" w:hAnsiTheme="majorBidi" w:cstheme="majorBidi"/>
          <w:sz w:val="24"/>
          <w:szCs w:val="24"/>
        </w:rPr>
        <w:fldChar w:fldCharType="begin" w:fldLock="1"/>
      </w:r>
      <w:r w:rsidRPr="002C4D66">
        <w:rPr>
          <w:rFonts w:asciiTheme="majorBidi" w:hAnsiTheme="majorBidi" w:cstheme="majorBidi"/>
          <w:sz w:val="24"/>
          <w:szCs w:val="24"/>
          <w:lang w:val="en-US"/>
        </w:rPr>
        <w:instrText>ADDIN CSL_CITATION {"citationItems":[{"id":"ITEM-1","itemData":{"DOI":"10.1016/j.irfa.2019.101382","ISSN":"10575219","author":[{"dropping-particle":"","family":"Antonakakis","given":"Nikolaos","non-dropping-particle":"","parse-names":false,"suffix":""},{"dropping-particle":"","family":"Gabauer","given":"David","non-dropping-particle":"","parse-names":false,"suffix":""},{"dropping-particle":"","family":"Gupta","given":"Rangan","non-dropping-particle":"","parse-names":false,"suffix":""}],"container-title":"International Review of Financial Analysis","id":"ITEM-1","issued":{"date-parts":[["2019","10"]]},"page":"101382","title":"International monetary policy spillovers: Evidence from a time-varying parameter vector autoregression","type":"article-journal","volume":"65"},"uris":["http://www.mendeley.com/documents/?uuid=a77ab130-1e90-4ada-bd46-4ce77c68d6df"]}],"mendeley":{"formattedCitation":"(Antonakakis et al., 2019)","manualFormatting":"Antonakakis et al. (2019)","plainTextFormattedCitation":"(Antonakakis et al., 2019)","previouslyFormattedCitation":"(Antonakakis et al., 2019)"},"properties":{"noteIndex":0},"schema":"https://github.com/citation-style-language/schema/raw/master/csl-citation.json"}</w:instrText>
      </w:r>
      <w:r w:rsidRPr="00E22C51">
        <w:rPr>
          <w:rFonts w:asciiTheme="majorBidi" w:hAnsiTheme="majorBidi" w:cstheme="majorBidi"/>
          <w:sz w:val="24"/>
          <w:szCs w:val="24"/>
        </w:rPr>
        <w:fldChar w:fldCharType="separate"/>
      </w:r>
      <w:r w:rsidRPr="002C4D66">
        <w:rPr>
          <w:rFonts w:asciiTheme="majorBidi" w:hAnsiTheme="majorBidi" w:cstheme="majorBidi"/>
          <w:noProof/>
          <w:sz w:val="24"/>
          <w:szCs w:val="24"/>
          <w:lang w:val="en-US"/>
        </w:rPr>
        <w:t>Antonakakis et al. (2019)</w:t>
      </w:r>
      <w:r w:rsidRPr="00E22C51">
        <w:rPr>
          <w:rFonts w:asciiTheme="majorBidi" w:hAnsiTheme="majorBidi" w:cstheme="majorBidi"/>
          <w:sz w:val="24"/>
          <w:szCs w:val="24"/>
        </w:rPr>
        <w:fldChar w:fldCharType="end"/>
      </w:r>
      <w:r w:rsidRPr="002C4D66">
        <w:rPr>
          <w:rFonts w:asciiTheme="majorBidi" w:hAnsiTheme="majorBidi" w:cstheme="majorBidi"/>
          <w:sz w:val="24"/>
          <w:szCs w:val="24"/>
          <w:lang w:val="en-US"/>
        </w:rPr>
        <w:t xml:space="preserve">. A consistently high positive NET connectedness value in certain variables indicates their role as major contributors to systemic risk. </w:t>
      </w:r>
      <w:r w:rsidRPr="002C4D66">
        <w:rPr>
          <w:rFonts w:asciiTheme="majorBidi" w:hAnsiTheme="majorBidi" w:cstheme="majorBidi"/>
          <w:sz w:val="24"/>
          <w:szCs w:val="26"/>
          <w:lang w:val="en-US"/>
        </w:rPr>
        <w:t xml:space="preserve">Here, systemic risk is defined as the possibility that a failure or crisis occurring in one or more areas of the financial system may extend and result in extensive disruption across the whole system. </w:t>
      </w:r>
      <w:r w:rsidRPr="002C4D66">
        <w:rPr>
          <w:rFonts w:asciiTheme="majorBidi" w:hAnsiTheme="majorBidi" w:cstheme="majorBidi"/>
          <w:sz w:val="24"/>
          <w:szCs w:val="24"/>
          <w:lang w:val="en-US"/>
        </w:rPr>
        <w:t>By concentrating on these variables, policymakers can effectively lessen the dissemination of negative shocks. The net contribution of each variable can be estimated using the undermentioned equation:</w:t>
      </w:r>
    </w:p>
    <w:p w14:paraId="368499BB" w14:textId="77777777" w:rsidR="002C4D66" w:rsidRPr="002C4D66" w:rsidRDefault="002C4D66" w:rsidP="002C4D66">
      <w:pPr>
        <w:spacing w:after="0" w:line="240" w:lineRule="auto"/>
        <w:ind w:firstLine="510"/>
        <w:jc w:val="both"/>
        <w:rPr>
          <w:rFonts w:asciiTheme="majorBidi" w:hAnsiTheme="majorBidi" w:cstheme="majorBidi"/>
          <w:sz w:val="24"/>
          <w:szCs w:val="24"/>
          <w:lang w:val="en-US"/>
        </w:rPr>
      </w:pPr>
    </w:p>
    <w:tbl>
      <w:tblPr>
        <w:tblW w:w="9423" w:type="dxa"/>
        <w:tblInd w:w="-5" w:type="dxa"/>
        <w:tblLook w:val="0000" w:firstRow="0" w:lastRow="0" w:firstColumn="0" w:lastColumn="0" w:noHBand="0" w:noVBand="0"/>
      </w:tblPr>
      <w:tblGrid>
        <w:gridCol w:w="8452"/>
        <w:gridCol w:w="971"/>
      </w:tblGrid>
      <w:tr w:rsidR="002C4D66" w:rsidRPr="00E22C51" w14:paraId="3A9B7023" w14:textId="77777777" w:rsidTr="00B8290A">
        <w:trPr>
          <w:trHeight w:val="307"/>
        </w:trPr>
        <w:tc>
          <w:tcPr>
            <w:tcW w:w="8452" w:type="dxa"/>
            <w:vAlign w:val="center"/>
          </w:tcPr>
          <w:p w14:paraId="180A7A65" w14:textId="77777777" w:rsidR="002C4D66" w:rsidRPr="00E22C51" w:rsidRDefault="00000000" w:rsidP="00B8290A">
            <w:pPr>
              <w:pStyle w:val="MDPI31text"/>
              <w:spacing w:after="240" w:line="240" w:lineRule="auto"/>
              <w:rPr>
                <w:rFonts w:asciiTheme="majorBidi" w:hAnsiTheme="majorBidi" w:cstheme="majorBidi"/>
                <w:color w:val="auto"/>
                <w:sz w:val="24"/>
                <w:szCs w:val="24"/>
              </w:rPr>
            </w:pPr>
            <m:oMathPara>
              <m:oMathParaPr>
                <m:jc m:val="center"/>
              </m:oMathParaPr>
              <m:oMath>
                <m:sSubSup>
                  <m:sSubSupPr>
                    <m:ctrlPr>
                      <w:rPr>
                        <w:rFonts w:ascii="Cambria Math" w:hAnsi="Cambria Math" w:cstheme="majorBidi"/>
                        <w:i/>
                        <w:color w:val="auto"/>
                        <w:sz w:val="24"/>
                        <w:szCs w:val="24"/>
                      </w:rPr>
                    </m:ctrlPr>
                  </m:sSubSupPr>
                  <m:e>
                    <m:r>
                      <w:rPr>
                        <w:rFonts w:ascii="Cambria Math" w:hAnsi="Cambria Math" w:cstheme="majorBidi"/>
                        <w:color w:val="auto"/>
                        <w:sz w:val="24"/>
                        <w:szCs w:val="24"/>
                      </w:rPr>
                      <m:t>C</m:t>
                    </m:r>
                  </m:e>
                  <m:sub>
                    <m:r>
                      <w:rPr>
                        <w:rFonts w:ascii="Cambria Math" w:hAnsi="Cambria Math" w:cstheme="majorBidi"/>
                        <w:color w:val="auto"/>
                        <w:sz w:val="24"/>
                        <w:szCs w:val="24"/>
                      </w:rPr>
                      <m:t>i</m:t>
                    </m:r>
                  </m:sub>
                  <m:sup>
                    <m:r>
                      <w:rPr>
                        <w:rFonts w:ascii="Cambria Math" w:hAnsi="Cambria Math" w:cstheme="majorBidi"/>
                        <w:color w:val="auto"/>
                        <w:sz w:val="24"/>
                        <w:szCs w:val="24"/>
                      </w:rPr>
                      <m:t>g</m:t>
                    </m:r>
                  </m:sup>
                </m:sSubSup>
                <m:d>
                  <m:dPr>
                    <m:ctrlPr>
                      <w:rPr>
                        <w:rFonts w:ascii="Cambria Math" w:hAnsi="Cambria Math" w:cstheme="majorBidi"/>
                        <w:i/>
                        <w:color w:val="auto"/>
                        <w:sz w:val="24"/>
                        <w:szCs w:val="24"/>
                      </w:rPr>
                    </m:ctrlPr>
                  </m:dPr>
                  <m:e>
                    <m:r>
                      <w:rPr>
                        <w:rFonts w:ascii="Cambria Math" w:hAnsi="Cambria Math" w:cstheme="majorBidi"/>
                        <w:color w:val="auto"/>
                        <w:sz w:val="24"/>
                        <w:szCs w:val="24"/>
                      </w:rPr>
                      <m:t>H</m:t>
                    </m:r>
                  </m:e>
                </m:d>
                <m:r>
                  <w:rPr>
                    <w:rFonts w:ascii="Cambria Math" w:hAnsi="Cambria Math" w:cstheme="majorBidi"/>
                    <w:color w:val="auto"/>
                    <w:sz w:val="24"/>
                    <w:szCs w:val="24"/>
                  </w:rPr>
                  <m:t>=</m:t>
                </m:r>
                <m:sSubSup>
                  <m:sSubSupPr>
                    <m:ctrlPr>
                      <w:rPr>
                        <w:rFonts w:ascii="Cambria Math" w:hAnsi="Cambria Math" w:cstheme="majorBidi"/>
                        <w:i/>
                        <w:color w:val="auto"/>
                        <w:sz w:val="24"/>
                        <w:szCs w:val="24"/>
                      </w:rPr>
                    </m:ctrlPr>
                  </m:sSubSupPr>
                  <m:e>
                    <m:r>
                      <w:rPr>
                        <w:rFonts w:ascii="Cambria Math" w:hAnsi="Cambria Math" w:cstheme="majorBidi"/>
                        <w:color w:val="auto"/>
                        <w:sz w:val="24"/>
                        <w:szCs w:val="24"/>
                      </w:rPr>
                      <m:t>C</m:t>
                    </m:r>
                  </m:e>
                  <m:sub>
                    <m:r>
                      <w:rPr>
                        <w:rFonts w:ascii="Cambria Math" w:hAnsi="Cambria Math" w:cstheme="majorBidi"/>
                        <w:color w:val="auto"/>
                        <w:sz w:val="24"/>
                        <w:szCs w:val="24"/>
                      </w:rPr>
                      <m:t>i→j</m:t>
                    </m:r>
                  </m:sub>
                  <m:sup>
                    <m:r>
                      <w:rPr>
                        <w:rFonts w:ascii="Cambria Math" w:hAnsi="Cambria Math" w:cstheme="majorBidi"/>
                        <w:color w:val="auto"/>
                        <w:sz w:val="24"/>
                        <w:szCs w:val="24"/>
                      </w:rPr>
                      <m:t>g</m:t>
                    </m:r>
                  </m:sup>
                </m:sSubSup>
                <m:d>
                  <m:dPr>
                    <m:ctrlPr>
                      <w:rPr>
                        <w:rFonts w:ascii="Cambria Math" w:hAnsi="Cambria Math" w:cstheme="majorBidi"/>
                        <w:i/>
                        <w:color w:val="auto"/>
                        <w:sz w:val="24"/>
                        <w:szCs w:val="24"/>
                      </w:rPr>
                    </m:ctrlPr>
                  </m:dPr>
                  <m:e>
                    <m:r>
                      <w:rPr>
                        <w:rFonts w:ascii="Cambria Math" w:hAnsi="Cambria Math" w:cstheme="majorBidi"/>
                        <w:color w:val="auto"/>
                        <w:sz w:val="24"/>
                        <w:szCs w:val="24"/>
                      </w:rPr>
                      <m:t>H</m:t>
                    </m:r>
                  </m:e>
                </m:d>
                <m:r>
                  <w:rPr>
                    <w:rFonts w:ascii="Cambria Math" w:hAnsi="Cambria Math" w:cstheme="majorBidi"/>
                    <w:color w:val="auto"/>
                    <w:sz w:val="24"/>
                    <w:szCs w:val="24"/>
                  </w:rPr>
                  <m:t xml:space="preserve"> </m:t>
                </m:r>
                <m:sSubSup>
                  <m:sSubSupPr>
                    <m:ctrlPr>
                      <w:rPr>
                        <w:rFonts w:ascii="Cambria Math" w:hAnsi="Cambria Math" w:cstheme="majorBidi"/>
                        <w:i/>
                        <w:color w:val="auto"/>
                        <w:sz w:val="24"/>
                        <w:szCs w:val="24"/>
                      </w:rPr>
                    </m:ctrlPr>
                  </m:sSubSupPr>
                  <m:e>
                    <m:r>
                      <w:rPr>
                        <w:rFonts w:ascii="Cambria Math" w:hAnsi="Cambria Math" w:cstheme="majorBidi"/>
                        <w:color w:val="auto"/>
                        <w:sz w:val="24"/>
                        <w:szCs w:val="24"/>
                      </w:rPr>
                      <m:t>- C</m:t>
                    </m:r>
                  </m:e>
                  <m:sub>
                    <m:r>
                      <w:rPr>
                        <w:rFonts w:ascii="Cambria Math" w:hAnsi="Cambria Math" w:cstheme="majorBidi"/>
                        <w:color w:val="auto"/>
                        <w:sz w:val="24"/>
                        <w:szCs w:val="24"/>
                      </w:rPr>
                      <m:t>i←j</m:t>
                    </m:r>
                  </m:sub>
                  <m:sup>
                    <m:r>
                      <w:rPr>
                        <w:rFonts w:ascii="Cambria Math" w:hAnsi="Cambria Math" w:cstheme="majorBidi"/>
                        <w:color w:val="auto"/>
                        <w:sz w:val="24"/>
                        <w:szCs w:val="24"/>
                      </w:rPr>
                      <m:t>g</m:t>
                    </m:r>
                  </m:sup>
                </m:sSubSup>
                <m:d>
                  <m:dPr>
                    <m:ctrlPr>
                      <w:rPr>
                        <w:rFonts w:ascii="Cambria Math" w:hAnsi="Cambria Math" w:cstheme="majorBidi"/>
                        <w:i/>
                        <w:color w:val="auto"/>
                        <w:sz w:val="24"/>
                        <w:szCs w:val="24"/>
                      </w:rPr>
                    </m:ctrlPr>
                  </m:dPr>
                  <m:e>
                    <m:r>
                      <w:rPr>
                        <w:rFonts w:ascii="Cambria Math" w:hAnsi="Cambria Math" w:cstheme="majorBidi"/>
                        <w:color w:val="auto"/>
                        <w:sz w:val="24"/>
                        <w:szCs w:val="24"/>
                      </w:rPr>
                      <m:t>H</m:t>
                    </m:r>
                  </m:e>
                </m:d>
              </m:oMath>
            </m:oMathPara>
          </w:p>
        </w:tc>
        <w:tc>
          <w:tcPr>
            <w:tcW w:w="971" w:type="dxa"/>
            <w:vAlign w:val="center"/>
          </w:tcPr>
          <w:p w14:paraId="650637E6" w14:textId="77777777" w:rsidR="002C4D66" w:rsidRPr="00E22C51" w:rsidRDefault="002C4D66" w:rsidP="002C4D66">
            <w:pPr>
              <w:pStyle w:val="MDPI31text"/>
              <w:numPr>
                <w:ilvl w:val="0"/>
                <w:numId w:val="1"/>
              </w:numPr>
              <w:spacing w:after="240" w:line="240" w:lineRule="auto"/>
              <w:rPr>
                <w:rFonts w:asciiTheme="majorBidi" w:hAnsiTheme="majorBidi" w:cstheme="majorBidi"/>
                <w:color w:val="auto"/>
                <w:sz w:val="24"/>
                <w:szCs w:val="24"/>
              </w:rPr>
            </w:pPr>
          </w:p>
        </w:tc>
      </w:tr>
    </w:tbl>
    <w:p w14:paraId="7829B2AC" w14:textId="77777777" w:rsidR="002C4D66" w:rsidRPr="002C4D66" w:rsidRDefault="002C4D66" w:rsidP="002C4D66">
      <w:pPr>
        <w:spacing w:line="240" w:lineRule="auto"/>
        <w:ind w:firstLine="510"/>
        <w:jc w:val="both"/>
        <w:rPr>
          <w:rFonts w:asciiTheme="majorBidi" w:hAnsiTheme="majorBidi" w:cstheme="majorBidi"/>
          <w:sz w:val="24"/>
          <w:szCs w:val="24"/>
          <w:lang w:val="en-US"/>
        </w:rPr>
      </w:pPr>
      <w:r w:rsidRPr="002C4D66">
        <w:rPr>
          <w:rFonts w:asciiTheme="majorBidi" w:hAnsiTheme="majorBidi" w:cstheme="majorBidi"/>
          <w:sz w:val="24"/>
          <w:szCs w:val="24"/>
          <w:lang w:val="en-US"/>
        </w:rPr>
        <w:t xml:space="preserve">Finally, the adjusted total connectedness index (TCI), ranging from 0 to 1, is derived according to </w:t>
      </w:r>
      <w:r w:rsidRPr="00E22C51">
        <w:rPr>
          <w:rFonts w:asciiTheme="majorBidi" w:hAnsiTheme="majorBidi" w:cstheme="majorBidi"/>
          <w:sz w:val="24"/>
          <w:szCs w:val="24"/>
        </w:rPr>
        <w:fldChar w:fldCharType="begin" w:fldLock="1"/>
      </w:r>
      <w:r w:rsidRPr="002C4D66">
        <w:rPr>
          <w:rFonts w:asciiTheme="majorBidi" w:hAnsiTheme="majorBidi" w:cstheme="majorBidi"/>
          <w:sz w:val="24"/>
          <w:szCs w:val="24"/>
          <w:lang w:val="en-US"/>
        </w:rPr>
        <w:instrText>ADDIN CSL_CITATION {"citationItems":[{"id":"ITEM-1","itemData":{"DOI":"10.1016/j.qref.2020.12.003","ISSN":"10629769","author":[{"dropping-particle":"","family":"Chatziantoniou","given":"Ioannis","non-dropping-particle":"","parse-names":false,"suffix":""},{"dropping-particle":"","family":"Gabauer","given":"David","non-dropping-particle":"","parse-names":false,"suffix":""}],"container-title":"The Quarterly Review of Economics and Finance","id":"ITEM-1","issued":{"date-parts":[["2021","2"]]},"page":"1-14","title":"EMU risk-synchronisation and financial fragility through the prism of dynamic connectedness","type":"article-journal","volume":"79"},"uris":["http://www.mendeley.com/documents/?uuid=0f6c683e-1d29-4e22-b522-80cfc20e4818"]}],"mendeley":{"formattedCitation":"(Chatziantoniou &amp; Gabauer, 2021)","manualFormatting":"Chatziantoniou and Gabauer (2021)","plainTextFormattedCitation":"(Chatziantoniou &amp; Gabauer, 2021)","previouslyFormattedCitation":"(Chatziantoniou &amp; Gabauer, 2021)"},"properties":{"noteIndex":0},"schema":"https://github.com/citation-style-language/schema/raw/master/csl-citation.json"}</w:instrText>
      </w:r>
      <w:r w:rsidRPr="00E22C51">
        <w:rPr>
          <w:rFonts w:asciiTheme="majorBidi" w:hAnsiTheme="majorBidi" w:cstheme="majorBidi"/>
          <w:sz w:val="24"/>
          <w:szCs w:val="24"/>
        </w:rPr>
        <w:fldChar w:fldCharType="separate"/>
      </w:r>
      <w:r w:rsidRPr="002C4D66">
        <w:rPr>
          <w:rFonts w:asciiTheme="majorBidi" w:hAnsiTheme="majorBidi" w:cstheme="majorBidi"/>
          <w:noProof/>
          <w:sz w:val="24"/>
          <w:szCs w:val="24"/>
          <w:lang w:val="en-US"/>
        </w:rPr>
        <w:t>Chatziantoniou and Gabauer (2021)</w:t>
      </w:r>
      <w:r w:rsidRPr="00E22C51">
        <w:rPr>
          <w:rFonts w:asciiTheme="majorBidi" w:hAnsiTheme="majorBidi" w:cstheme="majorBidi"/>
          <w:sz w:val="24"/>
          <w:szCs w:val="24"/>
        </w:rPr>
        <w:fldChar w:fldCharType="end"/>
      </w:r>
      <w:r w:rsidRPr="002C4D66">
        <w:rPr>
          <w:rFonts w:asciiTheme="majorBidi" w:hAnsiTheme="majorBidi" w:cstheme="majorBidi"/>
          <w:sz w:val="24"/>
          <w:szCs w:val="24"/>
          <w:lang w:val="en-US"/>
        </w:rPr>
        <w:t>. The TCI serves as a measure of market risk, often utilized to illustrate the overall interconnectedness within the system. Higher values indicate a close relationship between variables. This metric can be computed using the following equation:</w:t>
      </w:r>
    </w:p>
    <w:tbl>
      <w:tblPr>
        <w:tblW w:w="9423" w:type="dxa"/>
        <w:tblInd w:w="-5" w:type="dxa"/>
        <w:tblLook w:val="0000" w:firstRow="0" w:lastRow="0" w:firstColumn="0" w:lastColumn="0" w:noHBand="0" w:noVBand="0"/>
      </w:tblPr>
      <w:tblGrid>
        <w:gridCol w:w="8452"/>
        <w:gridCol w:w="971"/>
      </w:tblGrid>
      <w:tr w:rsidR="002C4D66" w:rsidRPr="00E22C51" w14:paraId="05B15AFC" w14:textId="77777777" w:rsidTr="00B8290A">
        <w:trPr>
          <w:trHeight w:val="307"/>
        </w:trPr>
        <w:tc>
          <w:tcPr>
            <w:tcW w:w="8452" w:type="dxa"/>
            <w:vAlign w:val="center"/>
          </w:tcPr>
          <w:p w14:paraId="72B86705" w14:textId="77777777" w:rsidR="002C4D66" w:rsidRPr="00E22C51" w:rsidRDefault="002C4D66" w:rsidP="00B8290A">
            <w:pPr>
              <w:pStyle w:val="MDPI31text"/>
              <w:spacing w:after="240" w:line="240" w:lineRule="auto"/>
              <w:rPr>
                <w:rFonts w:asciiTheme="majorBidi" w:hAnsiTheme="majorBidi" w:cstheme="majorBidi"/>
                <w:color w:val="auto"/>
                <w:sz w:val="24"/>
                <w:szCs w:val="24"/>
              </w:rPr>
            </w:pPr>
            <m:oMathPara>
              <m:oMathParaPr>
                <m:jc m:val="center"/>
              </m:oMathParaPr>
              <m:oMath>
                <m:r>
                  <w:rPr>
                    <w:rFonts w:ascii="Cambria Math" w:hAnsi="Cambria Math" w:cstheme="majorBidi"/>
                    <w:color w:val="auto"/>
                    <w:sz w:val="24"/>
                    <w:szCs w:val="24"/>
                  </w:rPr>
                  <m:t>TCI</m:t>
                </m:r>
                <m:d>
                  <m:dPr>
                    <m:ctrlPr>
                      <w:rPr>
                        <w:rFonts w:ascii="Cambria Math" w:hAnsi="Cambria Math" w:cstheme="majorBidi"/>
                        <w:i/>
                        <w:color w:val="auto"/>
                        <w:sz w:val="24"/>
                        <w:szCs w:val="24"/>
                      </w:rPr>
                    </m:ctrlPr>
                  </m:dPr>
                  <m:e>
                    <m:r>
                      <w:rPr>
                        <w:rFonts w:ascii="Cambria Math" w:hAnsi="Cambria Math" w:cstheme="majorBidi"/>
                        <w:color w:val="auto"/>
                        <w:sz w:val="24"/>
                        <w:szCs w:val="24"/>
                      </w:rPr>
                      <m:t>H</m:t>
                    </m:r>
                  </m:e>
                </m:d>
                <m:r>
                  <w:rPr>
                    <w:rFonts w:ascii="Cambria Math" w:hAnsi="Cambria Math" w:cstheme="majorBidi"/>
                    <w:color w:val="auto"/>
                    <w:sz w:val="24"/>
                    <w:szCs w:val="24"/>
                  </w:rPr>
                  <m:t>=</m:t>
                </m:r>
                <m:f>
                  <m:fPr>
                    <m:ctrlPr>
                      <w:rPr>
                        <w:rFonts w:ascii="Cambria Math" w:hAnsi="Cambria Math" w:cstheme="majorBidi"/>
                        <w:i/>
                        <w:color w:val="auto"/>
                        <w:sz w:val="24"/>
                        <w:szCs w:val="24"/>
                      </w:rPr>
                    </m:ctrlPr>
                  </m:fPr>
                  <m:num>
                    <m:sSubSup>
                      <m:sSubSupPr>
                        <m:ctrlPr>
                          <w:rPr>
                            <w:rFonts w:ascii="Cambria Math" w:hAnsi="Cambria Math" w:cstheme="majorBidi"/>
                            <w:i/>
                            <w:color w:val="auto"/>
                            <w:sz w:val="24"/>
                            <w:szCs w:val="24"/>
                          </w:rPr>
                        </m:ctrlPr>
                      </m:sSubSupPr>
                      <m:e>
                        <m:r>
                          <w:rPr>
                            <w:rFonts w:ascii="Cambria Math" w:hAnsi="Cambria Math" w:cstheme="majorBidi"/>
                            <w:color w:val="auto"/>
                            <w:sz w:val="24"/>
                            <w:szCs w:val="24"/>
                          </w:rPr>
                          <m:t>∑</m:t>
                        </m:r>
                      </m:e>
                      <m:sub>
                        <m:r>
                          <w:rPr>
                            <w:rFonts w:ascii="Cambria Math" w:hAnsi="Cambria Math" w:cstheme="majorBidi"/>
                            <w:color w:val="auto"/>
                            <w:sz w:val="24"/>
                            <w:szCs w:val="24"/>
                          </w:rPr>
                          <m:t>i,j=1, i≠j</m:t>
                        </m:r>
                      </m:sub>
                      <m:sup>
                        <m:r>
                          <w:rPr>
                            <w:rFonts w:ascii="Cambria Math" w:hAnsi="Cambria Math" w:cstheme="majorBidi"/>
                            <w:color w:val="auto"/>
                            <w:sz w:val="24"/>
                            <w:szCs w:val="24"/>
                          </w:rPr>
                          <m:t>k</m:t>
                        </m:r>
                      </m:sup>
                    </m:sSubSup>
                    <m:r>
                      <w:rPr>
                        <w:rFonts w:ascii="Cambria Math" w:hAnsi="Cambria Math" w:cstheme="majorBidi"/>
                        <w:color w:val="auto"/>
                        <w:sz w:val="24"/>
                        <w:szCs w:val="24"/>
                      </w:rPr>
                      <m:t xml:space="preserve"> </m:t>
                    </m:r>
                    <m:sSubSup>
                      <m:sSubSupPr>
                        <m:ctrlPr>
                          <w:rPr>
                            <w:rFonts w:ascii="Cambria Math" w:hAnsi="Cambria Math" w:cstheme="majorBidi"/>
                            <w:i/>
                            <w:color w:val="auto"/>
                            <w:sz w:val="24"/>
                            <w:szCs w:val="24"/>
                          </w:rPr>
                        </m:ctrlPr>
                      </m:sSubSupPr>
                      <m:e>
                        <m:acc>
                          <m:accPr>
                            <m:chr m:val="̃"/>
                            <m:ctrlPr>
                              <w:rPr>
                                <w:rFonts w:ascii="Cambria Math" w:hAnsi="Cambria Math" w:cstheme="majorBidi"/>
                                <w:i/>
                                <w:color w:val="auto"/>
                                <w:sz w:val="24"/>
                                <w:szCs w:val="24"/>
                              </w:rPr>
                            </m:ctrlPr>
                          </m:accPr>
                          <m:e>
                            <m:r>
                              <w:rPr>
                                <w:rFonts w:ascii="Cambria Math" w:hAnsi="Cambria Math" w:cstheme="majorBidi"/>
                                <w:color w:val="auto"/>
                                <w:sz w:val="24"/>
                                <w:szCs w:val="24"/>
                              </w:rPr>
                              <m:t>ψ</m:t>
                            </m:r>
                          </m:e>
                        </m:acc>
                      </m:e>
                      <m:sub>
                        <m:r>
                          <w:rPr>
                            <w:rFonts w:ascii="Cambria Math" w:hAnsi="Cambria Math" w:cstheme="majorBidi"/>
                            <w:color w:val="auto"/>
                            <w:sz w:val="24"/>
                            <w:szCs w:val="24"/>
                          </w:rPr>
                          <m:t>ij</m:t>
                        </m:r>
                      </m:sub>
                      <m:sup>
                        <m:r>
                          <w:rPr>
                            <w:rFonts w:ascii="Cambria Math" w:hAnsi="Cambria Math" w:cstheme="majorBidi"/>
                            <w:color w:val="auto"/>
                            <w:sz w:val="24"/>
                            <w:szCs w:val="24"/>
                          </w:rPr>
                          <m:t>g</m:t>
                        </m:r>
                      </m:sup>
                    </m:sSubSup>
                    <m:d>
                      <m:dPr>
                        <m:ctrlPr>
                          <w:rPr>
                            <w:rFonts w:ascii="Cambria Math" w:hAnsi="Cambria Math" w:cstheme="majorBidi"/>
                            <w:i/>
                            <w:color w:val="auto"/>
                            <w:sz w:val="24"/>
                            <w:szCs w:val="24"/>
                          </w:rPr>
                        </m:ctrlPr>
                      </m:dPr>
                      <m:e>
                        <m:r>
                          <w:rPr>
                            <w:rFonts w:ascii="Cambria Math" w:hAnsi="Cambria Math" w:cstheme="majorBidi"/>
                            <w:color w:val="auto"/>
                            <w:sz w:val="24"/>
                            <w:szCs w:val="24"/>
                          </w:rPr>
                          <m:t>H</m:t>
                        </m:r>
                      </m:e>
                    </m:d>
                  </m:num>
                  <m:den>
                    <m:r>
                      <w:rPr>
                        <w:rFonts w:ascii="Cambria Math" w:hAnsi="Cambria Math" w:cstheme="majorBidi"/>
                        <w:color w:val="auto"/>
                        <w:sz w:val="24"/>
                        <w:szCs w:val="24"/>
                      </w:rPr>
                      <m:t>K-1</m:t>
                    </m:r>
                  </m:den>
                </m:f>
              </m:oMath>
            </m:oMathPara>
          </w:p>
        </w:tc>
        <w:tc>
          <w:tcPr>
            <w:tcW w:w="971" w:type="dxa"/>
            <w:vAlign w:val="center"/>
          </w:tcPr>
          <w:p w14:paraId="27551272" w14:textId="77777777" w:rsidR="002C4D66" w:rsidRPr="00E22C51" w:rsidRDefault="002C4D66" w:rsidP="002C4D66">
            <w:pPr>
              <w:pStyle w:val="MDPI31text"/>
              <w:numPr>
                <w:ilvl w:val="0"/>
                <w:numId w:val="1"/>
              </w:numPr>
              <w:spacing w:after="240" w:line="240" w:lineRule="auto"/>
              <w:jc w:val="center"/>
              <w:rPr>
                <w:rFonts w:asciiTheme="majorBidi" w:hAnsiTheme="majorBidi" w:cstheme="majorBidi"/>
                <w:color w:val="auto"/>
                <w:sz w:val="24"/>
                <w:szCs w:val="24"/>
              </w:rPr>
            </w:pPr>
          </w:p>
        </w:tc>
      </w:tr>
    </w:tbl>
    <w:p w14:paraId="7FFC3887" w14:textId="77777777" w:rsidR="002C4D66" w:rsidRDefault="002C4D66" w:rsidP="002C4D66">
      <w:pPr>
        <w:pStyle w:val="PargrafodaLista"/>
        <w:spacing w:before="240" w:after="240" w:line="240" w:lineRule="auto"/>
        <w:ind w:left="0" w:firstLine="510"/>
        <w:jc w:val="both"/>
        <w:rPr>
          <w:rFonts w:asciiTheme="majorBidi" w:eastAsia="Times New Roman" w:hAnsiTheme="majorBidi" w:cstheme="majorBidi"/>
          <w:sz w:val="24"/>
          <w:szCs w:val="24"/>
          <w:lang w:val="en-US"/>
        </w:rPr>
      </w:pPr>
      <w:r w:rsidRPr="002C4D66">
        <w:rPr>
          <w:rFonts w:asciiTheme="majorBidi" w:eastAsia="Times New Roman" w:hAnsiTheme="majorBidi" w:cstheme="majorBidi"/>
          <w:sz w:val="24"/>
          <w:szCs w:val="24"/>
          <w:lang w:val="en-US"/>
        </w:rPr>
        <w:t>Additionally, robustness tests are performed, including the validation of quantile thresholds and the examination of various rolling window sizes, to enhance the reliability of the analyses.</w:t>
      </w:r>
    </w:p>
    <w:p w14:paraId="00B9F9DF" w14:textId="77777777" w:rsidR="006B35E0" w:rsidRDefault="006B35E0" w:rsidP="002C4D66">
      <w:pPr>
        <w:pStyle w:val="PargrafodaLista"/>
        <w:spacing w:before="240" w:after="240" w:line="240" w:lineRule="auto"/>
        <w:ind w:left="0" w:firstLine="510"/>
        <w:jc w:val="both"/>
        <w:rPr>
          <w:rFonts w:asciiTheme="majorBidi" w:eastAsia="Times New Roman" w:hAnsiTheme="majorBidi" w:cstheme="majorBidi"/>
          <w:sz w:val="24"/>
          <w:szCs w:val="24"/>
          <w:lang w:val="en-US"/>
        </w:rPr>
      </w:pPr>
    </w:p>
    <w:p w14:paraId="336B1317" w14:textId="77777777" w:rsidR="006B35E0" w:rsidRDefault="006B35E0" w:rsidP="006B35E0">
      <w:pPr>
        <w:spacing w:before="240" w:after="240" w:line="240" w:lineRule="auto"/>
        <w:jc w:val="both"/>
        <w:rPr>
          <w:rFonts w:asciiTheme="majorBidi" w:eastAsia="Times New Roman" w:hAnsiTheme="majorBidi" w:cstheme="majorBidi"/>
          <w:sz w:val="24"/>
          <w:szCs w:val="24"/>
          <w:lang w:val="en-US"/>
        </w:rPr>
      </w:pPr>
    </w:p>
    <w:p w14:paraId="77060CE9" w14:textId="246C2743" w:rsidR="006B35E0" w:rsidRPr="006B35E0" w:rsidRDefault="00F37C90" w:rsidP="006B35E0">
      <w:pPr>
        <w:spacing w:before="240" w:after="240" w:line="240" w:lineRule="auto"/>
        <w:jc w:val="both"/>
        <w:rPr>
          <w:rFonts w:asciiTheme="majorBidi" w:eastAsia="Times New Roman" w:hAnsiTheme="majorBidi" w:cstheme="majorBidi"/>
          <w:b/>
          <w:bCs/>
          <w:sz w:val="24"/>
          <w:szCs w:val="24"/>
          <w:lang w:val="en-US"/>
        </w:rPr>
      </w:pPr>
      <w:r>
        <w:rPr>
          <w:rFonts w:asciiTheme="majorBidi" w:eastAsia="Times New Roman" w:hAnsiTheme="majorBidi" w:cstheme="majorBidi"/>
          <w:b/>
          <w:bCs/>
          <w:sz w:val="24"/>
          <w:szCs w:val="24"/>
          <w:lang w:val="en-US"/>
        </w:rPr>
        <w:lastRenderedPageBreak/>
        <w:t>Tables and Figures</w:t>
      </w:r>
    </w:p>
    <w:p w14:paraId="30441B0D" w14:textId="77777777" w:rsidR="006B35E0" w:rsidRDefault="006B35E0" w:rsidP="002C4D66">
      <w:pPr>
        <w:pStyle w:val="PargrafodaLista"/>
        <w:spacing w:before="240" w:after="240" w:line="240" w:lineRule="auto"/>
        <w:ind w:left="0" w:firstLine="510"/>
        <w:jc w:val="both"/>
        <w:rPr>
          <w:rFonts w:asciiTheme="majorBidi" w:eastAsia="Times New Roman" w:hAnsiTheme="majorBidi" w:cstheme="majorBidi"/>
          <w:sz w:val="24"/>
          <w:szCs w:val="24"/>
          <w:lang w:val="en-US"/>
        </w:rPr>
      </w:pPr>
    </w:p>
    <w:p w14:paraId="3E1506D6" w14:textId="77777777" w:rsidR="001F01D5" w:rsidRPr="00F37C90" w:rsidRDefault="001F01D5" w:rsidP="001F01D5">
      <w:pPr>
        <w:shd w:val="clear" w:color="auto" w:fill="FFFFFF"/>
        <w:spacing w:after="0" w:line="240" w:lineRule="auto"/>
        <w:ind w:firstLine="510"/>
        <w:rPr>
          <w:rFonts w:asciiTheme="majorBidi" w:hAnsiTheme="majorBidi" w:cstheme="majorBidi"/>
          <w:szCs w:val="24"/>
          <w:lang w:val="en-US"/>
        </w:rPr>
      </w:pPr>
      <w:r w:rsidRPr="00F37C90">
        <w:rPr>
          <w:rFonts w:asciiTheme="majorBidi" w:hAnsiTheme="majorBidi" w:cstheme="majorBidi"/>
          <w:b/>
          <w:bCs/>
          <w:szCs w:val="24"/>
          <w:lang w:val="en-US"/>
        </w:rPr>
        <w:t>Table S</w:t>
      </w:r>
      <w:r>
        <w:rPr>
          <w:rFonts w:asciiTheme="majorBidi" w:hAnsiTheme="majorBidi" w:cstheme="majorBidi"/>
          <w:b/>
          <w:bCs/>
          <w:szCs w:val="24"/>
          <w:lang w:val="en-US"/>
        </w:rPr>
        <w:t>1.</w:t>
      </w:r>
      <w:r w:rsidRPr="00F37C90">
        <w:rPr>
          <w:rFonts w:asciiTheme="majorBidi" w:hAnsiTheme="majorBidi" w:cstheme="majorBidi"/>
          <w:szCs w:val="24"/>
          <w:lang w:val="en-US"/>
        </w:rPr>
        <w:t xml:space="preserve"> Details of NASDAQ OMX Green Economic Sector Indices</w:t>
      </w: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9"/>
        <w:gridCol w:w="6375"/>
      </w:tblGrid>
      <w:tr w:rsidR="001F01D5" w:rsidRPr="00E22C51" w14:paraId="323B5BC3" w14:textId="77777777" w:rsidTr="003F7C0D">
        <w:tc>
          <w:tcPr>
            <w:tcW w:w="2160" w:type="dxa"/>
            <w:tcBorders>
              <w:top w:val="single" w:sz="4" w:space="0" w:color="auto"/>
              <w:bottom w:val="single" w:sz="4" w:space="0" w:color="auto"/>
            </w:tcBorders>
          </w:tcPr>
          <w:p w14:paraId="47B40BF2" w14:textId="77777777" w:rsidR="001F01D5" w:rsidRPr="00E22C51" w:rsidRDefault="001F01D5" w:rsidP="003F7C0D">
            <w:pPr>
              <w:jc w:val="both"/>
              <w:rPr>
                <w:rFonts w:asciiTheme="majorBidi" w:hAnsiTheme="majorBidi" w:cstheme="majorBidi"/>
                <w:sz w:val="24"/>
                <w:szCs w:val="24"/>
              </w:rPr>
            </w:pPr>
            <w:r w:rsidRPr="00E22C51">
              <w:rPr>
                <w:rFonts w:asciiTheme="majorBidi" w:hAnsiTheme="majorBidi" w:cstheme="majorBidi"/>
                <w:sz w:val="24"/>
                <w:szCs w:val="24"/>
              </w:rPr>
              <w:t>Index</w:t>
            </w:r>
          </w:p>
        </w:tc>
        <w:tc>
          <w:tcPr>
            <w:tcW w:w="6674" w:type="dxa"/>
            <w:tcBorders>
              <w:top w:val="single" w:sz="4" w:space="0" w:color="auto"/>
              <w:bottom w:val="single" w:sz="4" w:space="0" w:color="auto"/>
            </w:tcBorders>
          </w:tcPr>
          <w:p w14:paraId="613B1256" w14:textId="77777777" w:rsidR="001F01D5" w:rsidRPr="00E22C51" w:rsidRDefault="001F01D5" w:rsidP="003F7C0D">
            <w:pPr>
              <w:jc w:val="both"/>
              <w:rPr>
                <w:rFonts w:asciiTheme="majorBidi" w:hAnsiTheme="majorBidi" w:cstheme="majorBidi"/>
                <w:sz w:val="24"/>
                <w:szCs w:val="24"/>
              </w:rPr>
            </w:pPr>
            <w:r w:rsidRPr="00E22C51">
              <w:rPr>
                <w:rFonts w:asciiTheme="majorBidi" w:hAnsiTheme="majorBidi" w:cstheme="majorBidi"/>
                <w:sz w:val="24"/>
                <w:szCs w:val="24"/>
              </w:rPr>
              <w:t>Description</w:t>
            </w:r>
          </w:p>
        </w:tc>
      </w:tr>
      <w:tr w:rsidR="001F01D5" w:rsidRPr="006B37A1" w14:paraId="41737EF9" w14:textId="77777777" w:rsidTr="003F7C0D">
        <w:tc>
          <w:tcPr>
            <w:tcW w:w="2160" w:type="dxa"/>
            <w:tcBorders>
              <w:top w:val="single" w:sz="4" w:space="0" w:color="auto"/>
            </w:tcBorders>
          </w:tcPr>
          <w:p w14:paraId="2A3C1E9C" w14:textId="77777777" w:rsidR="001F01D5" w:rsidRPr="00E22C51" w:rsidRDefault="001F01D5" w:rsidP="003F7C0D">
            <w:pPr>
              <w:jc w:val="both"/>
              <w:rPr>
                <w:rFonts w:asciiTheme="majorBidi" w:hAnsiTheme="majorBidi" w:cstheme="majorBidi"/>
                <w:sz w:val="24"/>
                <w:szCs w:val="24"/>
              </w:rPr>
            </w:pPr>
            <w:r w:rsidRPr="00E22C51">
              <w:rPr>
                <w:rFonts w:asciiTheme="majorBidi" w:hAnsiTheme="majorBidi" w:cstheme="majorBidi"/>
                <w:sz w:val="24"/>
                <w:szCs w:val="24"/>
              </w:rPr>
              <w:t>Advanced Materials</w:t>
            </w:r>
          </w:p>
        </w:tc>
        <w:tc>
          <w:tcPr>
            <w:tcW w:w="6674" w:type="dxa"/>
            <w:tcBorders>
              <w:top w:val="single" w:sz="4" w:space="0" w:color="auto"/>
            </w:tcBorders>
          </w:tcPr>
          <w:p w14:paraId="5F6F072F" w14:textId="77777777" w:rsidR="001F01D5" w:rsidRPr="00E22C51" w:rsidRDefault="001F01D5" w:rsidP="003F7C0D">
            <w:pPr>
              <w:jc w:val="both"/>
              <w:rPr>
                <w:rFonts w:asciiTheme="majorBidi" w:hAnsiTheme="majorBidi" w:cstheme="majorBidi"/>
                <w:sz w:val="24"/>
                <w:szCs w:val="24"/>
              </w:rPr>
            </w:pPr>
            <w:r w:rsidRPr="00E22C51">
              <w:rPr>
                <w:rFonts w:asciiTheme="majorBidi" w:hAnsiTheme="majorBidi" w:cstheme="majorBidi"/>
                <w:sz w:val="24"/>
                <w:szCs w:val="24"/>
              </w:rPr>
              <w:t>This green sector index monitors the performance of companies that manufacture materials supporting renewable technologies or promoting reduced reliance on petroleum-based products.</w:t>
            </w:r>
          </w:p>
        </w:tc>
      </w:tr>
      <w:tr w:rsidR="001F01D5" w:rsidRPr="006B37A1" w14:paraId="19A633EE" w14:textId="77777777" w:rsidTr="003F7C0D">
        <w:tc>
          <w:tcPr>
            <w:tcW w:w="2160" w:type="dxa"/>
          </w:tcPr>
          <w:p w14:paraId="06DAFBB0" w14:textId="77777777" w:rsidR="001F01D5" w:rsidRPr="00E22C51" w:rsidRDefault="001F01D5" w:rsidP="003F7C0D">
            <w:pPr>
              <w:jc w:val="both"/>
              <w:rPr>
                <w:rFonts w:asciiTheme="majorBidi" w:hAnsiTheme="majorBidi" w:cstheme="majorBidi"/>
                <w:sz w:val="24"/>
                <w:szCs w:val="24"/>
              </w:rPr>
            </w:pPr>
            <w:r w:rsidRPr="00E22C51">
              <w:rPr>
                <w:rFonts w:asciiTheme="majorBidi" w:hAnsiTheme="majorBidi" w:cstheme="majorBidi"/>
                <w:sz w:val="24"/>
                <w:szCs w:val="24"/>
              </w:rPr>
              <w:t>Bio/Clean Fuels</w:t>
            </w:r>
          </w:p>
        </w:tc>
        <w:tc>
          <w:tcPr>
            <w:tcW w:w="6674" w:type="dxa"/>
          </w:tcPr>
          <w:p w14:paraId="19F651A0" w14:textId="77777777" w:rsidR="001F01D5" w:rsidRPr="00E22C51" w:rsidRDefault="001F01D5" w:rsidP="003F7C0D">
            <w:pPr>
              <w:jc w:val="both"/>
              <w:rPr>
                <w:rFonts w:asciiTheme="majorBidi" w:hAnsiTheme="majorBidi" w:cstheme="majorBidi"/>
                <w:sz w:val="24"/>
                <w:szCs w:val="24"/>
              </w:rPr>
            </w:pPr>
            <w:r w:rsidRPr="00E22C51">
              <w:rPr>
                <w:rFonts w:asciiTheme="majorBidi" w:hAnsiTheme="majorBidi" w:cstheme="majorBidi"/>
                <w:sz w:val="24"/>
                <w:szCs w:val="24"/>
              </w:rPr>
              <w:t>This index monitors companies that produce fuel from plant-based materials for transportation, serving as a substitute for petroleum-based fuels.</w:t>
            </w:r>
          </w:p>
        </w:tc>
      </w:tr>
      <w:tr w:rsidR="001F01D5" w:rsidRPr="006B37A1" w14:paraId="1AE3F525" w14:textId="77777777" w:rsidTr="003F7C0D">
        <w:tc>
          <w:tcPr>
            <w:tcW w:w="2160" w:type="dxa"/>
          </w:tcPr>
          <w:p w14:paraId="1822EBE8" w14:textId="77777777" w:rsidR="001F01D5" w:rsidRPr="00E22C51" w:rsidRDefault="001F01D5" w:rsidP="003F7C0D">
            <w:pPr>
              <w:jc w:val="both"/>
              <w:rPr>
                <w:rFonts w:asciiTheme="majorBidi" w:hAnsiTheme="majorBidi" w:cstheme="majorBidi"/>
                <w:sz w:val="24"/>
                <w:szCs w:val="24"/>
              </w:rPr>
            </w:pPr>
            <w:r w:rsidRPr="00E22C51">
              <w:rPr>
                <w:rFonts w:asciiTheme="majorBidi" w:hAnsiTheme="majorBidi" w:cstheme="majorBidi"/>
                <w:sz w:val="24"/>
                <w:szCs w:val="24"/>
              </w:rPr>
              <w:t>Energy Efficiency</w:t>
            </w:r>
          </w:p>
        </w:tc>
        <w:tc>
          <w:tcPr>
            <w:tcW w:w="6674" w:type="dxa"/>
          </w:tcPr>
          <w:p w14:paraId="0EC0F0D6" w14:textId="77777777" w:rsidR="001F01D5" w:rsidRPr="00E22C51" w:rsidRDefault="001F01D5" w:rsidP="003F7C0D">
            <w:pPr>
              <w:jc w:val="both"/>
              <w:rPr>
                <w:rFonts w:asciiTheme="majorBidi" w:hAnsiTheme="majorBidi" w:cstheme="majorBidi"/>
                <w:sz w:val="24"/>
                <w:szCs w:val="24"/>
              </w:rPr>
            </w:pPr>
            <w:r w:rsidRPr="00E22C51">
              <w:rPr>
                <w:rFonts w:asciiTheme="majorBidi" w:hAnsiTheme="majorBidi" w:cstheme="majorBidi"/>
                <w:sz w:val="24"/>
                <w:szCs w:val="24"/>
              </w:rPr>
              <w:t>This index comprises companies focused on energy efficiency, divided into four subsectors: Energy Storage, Energy Management, Green IT, and Smart Grid.</w:t>
            </w:r>
          </w:p>
        </w:tc>
      </w:tr>
      <w:tr w:rsidR="001F01D5" w:rsidRPr="006B37A1" w14:paraId="2E10757E" w14:textId="77777777" w:rsidTr="003F7C0D">
        <w:tc>
          <w:tcPr>
            <w:tcW w:w="2160" w:type="dxa"/>
          </w:tcPr>
          <w:p w14:paraId="36405725" w14:textId="77777777" w:rsidR="001F01D5" w:rsidRPr="00E22C51" w:rsidRDefault="001F01D5" w:rsidP="003F7C0D">
            <w:pPr>
              <w:jc w:val="both"/>
              <w:rPr>
                <w:rFonts w:asciiTheme="majorBidi" w:hAnsiTheme="majorBidi" w:cstheme="majorBidi"/>
                <w:sz w:val="24"/>
                <w:szCs w:val="24"/>
              </w:rPr>
            </w:pPr>
            <w:r w:rsidRPr="00E22C51">
              <w:rPr>
                <w:rFonts w:asciiTheme="majorBidi" w:hAnsiTheme="majorBidi" w:cstheme="majorBidi"/>
                <w:sz w:val="24"/>
                <w:szCs w:val="24"/>
              </w:rPr>
              <w:t>Green Building</w:t>
            </w:r>
          </w:p>
        </w:tc>
        <w:tc>
          <w:tcPr>
            <w:tcW w:w="6674" w:type="dxa"/>
          </w:tcPr>
          <w:p w14:paraId="5D5C03F3" w14:textId="77777777" w:rsidR="001F01D5" w:rsidRPr="00E22C51" w:rsidRDefault="001F01D5" w:rsidP="003F7C0D">
            <w:pPr>
              <w:jc w:val="both"/>
              <w:rPr>
                <w:rFonts w:asciiTheme="majorBidi" w:hAnsiTheme="majorBidi" w:cstheme="majorBidi"/>
                <w:sz w:val="24"/>
                <w:szCs w:val="24"/>
              </w:rPr>
            </w:pPr>
            <w:r w:rsidRPr="00E22C51">
              <w:rPr>
                <w:rFonts w:asciiTheme="majorBidi" w:hAnsiTheme="majorBidi" w:cstheme="majorBidi"/>
                <w:sz w:val="24"/>
                <w:szCs w:val="24"/>
              </w:rPr>
              <w:t>This index monitors companies that focus on constructing buildings with innovative designs aimed at improving water and energy efficiency.</w:t>
            </w:r>
          </w:p>
        </w:tc>
      </w:tr>
      <w:tr w:rsidR="001F01D5" w:rsidRPr="006B37A1" w14:paraId="0E56BA90" w14:textId="77777777" w:rsidTr="003F7C0D">
        <w:tc>
          <w:tcPr>
            <w:tcW w:w="2160" w:type="dxa"/>
          </w:tcPr>
          <w:p w14:paraId="4878320C" w14:textId="77777777" w:rsidR="001F01D5" w:rsidRPr="00E22C51" w:rsidRDefault="001F01D5" w:rsidP="003F7C0D">
            <w:pPr>
              <w:jc w:val="both"/>
              <w:rPr>
                <w:rFonts w:asciiTheme="majorBidi" w:hAnsiTheme="majorBidi" w:cstheme="majorBidi"/>
                <w:sz w:val="24"/>
                <w:szCs w:val="24"/>
              </w:rPr>
            </w:pPr>
            <w:r w:rsidRPr="00E22C51">
              <w:rPr>
                <w:rFonts w:asciiTheme="majorBidi" w:hAnsiTheme="majorBidi" w:cstheme="majorBidi"/>
                <w:sz w:val="24"/>
                <w:szCs w:val="24"/>
              </w:rPr>
              <w:t>Green Transportation</w:t>
            </w:r>
          </w:p>
        </w:tc>
        <w:tc>
          <w:tcPr>
            <w:tcW w:w="6674" w:type="dxa"/>
          </w:tcPr>
          <w:p w14:paraId="4624D6F1" w14:textId="77777777" w:rsidR="001F01D5" w:rsidRPr="00E22C51" w:rsidRDefault="001F01D5" w:rsidP="003F7C0D">
            <w:pPr>
              <w:jc w:val="both"/>
              <w:rPr>
                <w:rFonts w:asciiTheme="majorBidi" w:hAnsiTheme="majorBidi" w:cstheme="majorBidi"/>
                <w:sz w:val="24"/>
                <w:szCs w:val="24"/>
              </w:rPr>
            </w:pPr>
            <w:r w:rsidRPr="00E22C51">
              <w:rPr>
                <w:rFonts w:asciiTheme="majorBidi" w:hAnsiTheme="majorBidi" w:cstheme="majorBidi"/>
                <w:sz w:val="24"/>
                <w:szCs w:val="24"/>
              </w:rPr>
              <w:t>This index features companies dedicated to improving energy efficiency and minimizing pollution from trains, vehicles, and other modes of transportation.</w:t>
            </w:r>
          </w:p>
        </w:tc>
      </w:tr>
      <w:tr w:rsidR="001F01D5" w:rsidRPr="006B37A1" w14:paraId="7092848B" w14:textId="77777777" w:rsidTr="003F7C0D">
        <w:tc>
          <w:tcPr>
            <w:tcW w:w="2160" w:type="dxa"/>
          </w:tcPr>
          <w:p w14:paraId="303FE614" w14:textId="77777777" w:rsidR="001F01D5" w:rsidRPr="00E22C51" w:rsidRDefault="001F01D5" w:rsidP="003F7C0D">
            <w:pPr>
              <w:jc w:val="both"/>
              <w:rPr>
                <w:rFonts w:asciiTheme="majorBidi" w:hAnsiTheme="majorBidi" w:cstheme="majorBidi"/>
                <w:sz w:val="24"/>
                <w:szCs w:val="24"/>
              </w:rPr>
            </w:pPr>
            <w:r w:rsidRPr="00E22C51">
              <w:rPr>
                <w:rFonts w:asciiTheme="majorBidi" w:hAnsiTheme="majorBidi" w:cstheme="majorBidi"/>
                <w:sz w:val="24"/>
                <w:szCs w:val="24"/>
              </w:rPr>
              <w:t>Healthy Living</w:t>
            </w:r>
          </w:p>
        </w:tc>
        <w:tc>
          <w:tcPr>
            <w:tcW w:w="6674" w:type="dxa"/>
          </w:tcPr>
          <w:p w14:paraId="1E6A56D9" w14:textId="77777777" w:rsidR="001F01D5" w:rsidRPr="00E22C51" w:rsidRDefault="001F01D5" w:rsidP="003F7C0D">
            <w:pPr>
              <w:jc w:val="both"/>
              <w:rPr>
                <w:rFonts w:asciiTheme="majorBidi" w:hAnsiTheme="majorBidi" w:cstheme="majorBidi"/>
                <w:sz w:val="24"/>
                <w:szCs w:val="24"/>
              </w:rPr>
            </w:pPr>
            <w:r w:rsidRPr="00E22C51">
              <w:rPr>
                <w:rFonts w:asciiTheme="majorBidi" w:hAnsiTheme="majorBidi" w:cstheme="majorBidi"/>
                <w:sz w:val="24"/>
                <w:szCs w:val="24"/>
              </w:rPr>
              <w:t>This index involves businesses that manufacture personal care items, food, and other associated products using natural, safe, and certified ingredients, all sourced through sustainable farming methods.</w:t>
            </w:r>
          </w:p>
        </w:tc>
      </w:tr>
      <w:tr w:rsidR="001F01D5" w:rsidRPr="006B37A1" w14:paraId="1F37C9AC" w14:textId="77777777" w:rsidTr="003F7C0D">
        <w:tc>
          <w:tcPr>
            <w:tcW w:w="2160" w:type="dxa"/>
          </w:tcPr>
          <w:p w14:paraId="3FF3ADCD" w14:textId="77777777" w:rsidR="001F01D5" w:rsidRPr="00E22C51" w:rsidRDefault="001F01D5" w:rsidP="003F7C0D">
            <w:pPr>
              <w:jc w:val="both"/>
              <w:rPr>
                <w:rFonts w:asciiTheme="majorBidi" w:hAnsiTheme="majorBidi" w:cstheme="majorBidi"/>
                <w:sz w:val="24"/>
                <w:szCs w:val="24"/>
              </w:rPr>
            </w:pPr>
            <w:r w:rsidRPr="00E22C51">
              <w:rPr>
                <w:rFonts w:asciiTheme="majorBidi" w:hAnsiTheme="majorBidi" w:cstheme="majorBidi"/>
                <w:sz w:val="24"/>
                <w:szCs w:val="24"/>
              </w:rPr>
              <w:t>Lighting</w:t>
            </w:r>
          </w:p>
        </w:tc>
        <w:tc>
          <w:tcPr>
            <w:tcW w:w="6674" w:type="dxa"/>
          </w:tcPr>
          <w:p w14:paraId="025F5B22" w14:textId="77777777" w:rsidR="001F01D5" w:rsidRPr="00E22C51" w:rsidRDefault="001F01D5" w:rsidP="003F7C0D">
            <w:pPr>
              <w:jc w:val="both"/>
              <w:rPr>
                <w:rFonts w:asciiTheme="majorBidi" w:hAnsiTheme="majorBidi" w:cstheme="majorBidi"/>
                <w:sz w:val="24"/>
                <w:szCs w:val="24"/>
              </w:rPr>
            </w:pPr>
            <w:r w:rsidRPr="00E22C51">
              <w:rPr>
                <w:rFonts w:asciiTheme="majorBidi" w:hAnsiTheme="majorBidi" w:cstheme="majorBidi"/>
                <w:sz w:val="24"/>
                <w:szCs w:val="24"/>
              </w:rPr>
              <w:t>This index focuses on firms that produce cutting-edge lighting solutions aimed at enhancing energy efficiency, including LED and compact fluorescent technologies.</w:t>
            </w:r>
          </w:p>
        </w:tc>
      </w:tr>
      <w:tr w:rsidR="001F01D5" w:rsidRPr="006B37A1" w14:paraId="7224DB9A" w14:textId="77777777" w:rsidTr="003F7C0D">
        <w:tc>
          <w:tcPr>
            <w:tcW w:w="2160" w:type="dxa"/>
          </w:tcPr>
          <w:p w14:paraId="3A40864E" w14:textId="77777777" w:rsidR="001F01D5" w:rsidRPr="00E22C51" w:rsidRDefault="001F01D5" w:rsidP="003F7C0D">
            <w:pPr>
              <w:jc w:val="both"/>
              <w:rPr>
                <w:rFonts w:asciiTheme="majorBidi" w:hAnsiTheme="majorBidi" w:cstheme="majorBidi"/>
                <w:sz w:val="24"/>
                <w:szCs w:val="24"/>
              </w:rPr>
            </w:pPr>
            <w:r w:rsidRPr="00E22C51">
              <w:rPr>
                <w:rFonts w:asciiTheme="majorBidi" w:hAnsiTheme="majorBidi" w:cstheme="majorBidi"/>
                <w:sz w:val="24"/>
                <w:szCs w:val="24"/>
              </w:rPr>
              <w:t>Natural Resources</w:t>
            </w:r>
          </w:p>
        </w:tc>
        <w:tc>
          <w:tcPr>
            <w:tcW w:w="6674" w:type="dxa"/>
          </w:tcPr>
          <w:p w14:paraId="586D3F5E" w14:textId="77777777" w:rsidR="001F01D5" w:rsidRPr="00E22C51" w:rsidRDefault="001F01D5" w:rsidP="003F7C0D">
            <w:pPr>
              <w:jc w:val="both"/>
              <w:rPr>
                <w:rFonts w:asciiTheme="majorBidi" w:hAnsiTheme="majorBidi" w:cstheme="majorBidi"/>
                <w:sz w:val="24"/>
                <w:szCs w:val="24"/>
              </w:rPr>
            </w:pPr>
            <w:r w:rsidRPr="00E22C51">
              <w:rPr>
                <w:rFonts w:asciiTheme="majorBidi" w:hAnsiTheme="majorBidi" w:cstheme="majorBidi"/>
                <w:sz w:val="24"/>
                <w:szCs w:val="24"/>
              </w:rPr>
              <w:t>This index comprises businesses involved in forestry, agriculture, and the production of natural products while employing sustainable practices, such as Forest Stewardship Council certified forestry and certified organic farming.</w:t>
            </w:r>
          </w:p>
        </w:tc>
      </w:tr>
      <w:tr w:rsidR="001F01D5" w:rsidRPr="006B37A1" w14:paraId="138CE9BC" w14:textId="77777777" w:rsidTr="003F7C0D">
        <w:tc>
          <w:tcPr>
            <w:tcW w:w="2160" w:type="dxa"/>
          </w:tcPr>
          <w:p w14:paraId="0B0996B7" w14:textId="77777777" w:rsidR="001F01D5" w:rsidRPr="00E22C51" w:rsidRDefault="001F01D5" w:rsidP="003F7C0D">
            <w:pPr>
              <w:jc w:val="both"/>
              <w:rPr>
                <w:rFonts w:asciiTheme="majorBidi" w:hAnsiTheme="majorBidi" w:cstheme="majorBidi"/>
                <w:sz w:val="24"/>
                <w:szCs w:val="24"/>
              </w:rPr>
            </w:pPr>
            <w:r w:rsidRPr="00E22C51">
              <w:rPr>
                <w:rFonts w:asciiTheme="majorBidi" w:hAnsiTheme="majorBidi" w:cstheme="majorBidi"/>
                <w:sz w:val="24"/>
                <w:szCs w:val="24"/>
              </w:rPr>
              <w:t>Pollution Mitigation</w:t>
            </w:r>
          </w:p>
        </w:tc>
        <w:tc>
          <w:tcPr>
            <w:tcW w:w="6674" w:type="dxa"/>
          </w:tcPr>
          <w:p w14:paraId="09E79006" w14:textId="77777777" w:rsidR="001F01D5" w:rsidRPr="00E22C51" w:rsidRDefault="001F01D5" w:rsidP="003F7C0D">
            <w:pPr>
              <w:jc w:val="both"/>
              <w:rPr>
                <w:rFonts w:asciiTheme="majorBidi" w:hAnsiTheme="majorBidi" w:cstheme="majorBidi"/>
                <w:sz w:val="24"/>
                <w:szCs w:val="24"/>
              </w:rPr>
            </w:pPr>
            <w:r w:rsidRPr="00E22C51">
              <w:rPr>
                <w:rFonts w:asciiTheme="majorBidi" w:hAnsiTheme="majorBidi" w:cstheme="majorBidi"/>
                <w:sz w:val="24"/>
                <w:szCs w:val="24"/>
              </w:rPr>
              <w:t>This index includes companies that offer products and services aimed at reducing pollution from conventional plants, factories, and industries.</w:t>
            </w:r>
          </w:p>
        </w:tc>
      </w:tr>
      <w:tr w:rsidR="001F01D5" w:rsidRPr="006B37A1" w14:paraId="473D5C16" w14:textId="77777777" w:rsidTr="003F7C0D">
        <w:tc>
          <w:tcPr>
            <w:tcW w:w="2160" w:type="dxa"/>
          </w:tcPr>
          <w:p w14:paraId="1FEF8393" w14:textId="77777777" w:rsidR="001F01D5" w:rsidRPr="00E22C51" w:rsidRDefault="001F01D5" w:rsidP="003F7C0D">
            <w:pPr>
              <w:jc w:val="both"/>
              <w:rPr>
                <w:rFonts w:asciiTheme="majorBidi" w:hAnsiTheme="majorBidi" w:cstheme="majorBidi"/>
                <w:sz w:val="24"/>
                <w:szCs w:val="24"/>
              </w:rPr>
            </w:pPr>
            <w:r w:rsidRPr="00E22C51">
              <w:rPr>
                <w:rFonts w:asciiTheme="majorBidi" w:hAnsiTheme="majorBidi" w:cstheme="majorBidi"/>
                <w:sz w:val="24"/>
                <w:szCs w:val="24"/>
              </w:rPr>
              <w:t>Recycling</w:t>
            </w:r>
          </w:p>
        </w:tc>
        <w:tc>
          <w:tcPr>
            <w:tcW w:w="6674" w:type="dxa"/>
          </w:tcPr>
          <w:p w14:paraId="429773AC" w14:textId="77777777" w:rsidR="001F01D5" w:rsidRPr="00E22C51" w:rsidRDefault="001F01D5" w:rsidP="003F7C0D">
            <w:pPr>
              <w:jc w:val="both"/>
              <w:rPr>
                <w:rFonts w:asciiTheme="majorBidi" w:hAnsiTheme="majorBidi" w:cstheme="majorBidi"/>
                <w:sz w:val="24"/>
                <w:szCs w:val="24"/>
              </w:rPr>
            </w:pPr>
            <w:r w:rsidRPr="00E22C51">
              <w:rPr>
                <w:rFonts w:asciiTheme="majorBidi" w:hAnsiTheme="majorBidi" w:cstheme="majorBidi"/>
                <w:sz w:val="24"/>
                <w:szCs w:val="24"/>
              </w:rPr>
              <w:t>This index consists of companies that help minimize waste and extend the lifespan of components from precious metal products, as well as reuse, recover, and recycle materials for future use.</w:t>
            </w:r>
          </w:p>
        </w:tc>
      </w:tr>
      <w:tr w:rsidR="001F01D5" w:rsidRPr="006B37A1" w14:paraId="51CB19CE" w14:textId="77777777" w:rsidTr="003F7C0D">
        <w:tc>
          <w:tcPr>
            <w:tcW w:w="2160" w:type="dxa"/>
          </w:tcPr>
          <w:p w14:paraId="1802803A" w14:textId="77777777" w:rsidR="001F01D5" w:rsidRPr="00E22C51" w:rsidRDefault="001F01D5" w:rsidP="003F7C0D">
            <w:pPr>
              <w:jc w:val="both"/>
              <w:rPr>
                <w:rFonts w:asciiTheme="majorBidi" w:hAnsiTheme="majorBidi" w:cstheme="majorBidi"/>
                <w:sz w:val="24"/>
                <w:szCs w:val="24"/>
              </w:rPr>
            </w:pPr>
            <w:r w:rsidRPr="00E22C51">
              <w:rPr>
                <w:rFonts w:asciiTheme="majorBidi" w:hAnsiTheme="majorBidi" w:cstheme="majorBidi"/>
                <w:sz w:val="24"/>
                <w:szCs w:val="24"/>
              </w:rPr>
              <w:t>Renewable Energy Generation</w:t>
            </w:r>
          </w:p>
        </w:tc>
        <w:tc>
          <w:tcPr>
            <w:tcW w:w="6674" w:type="dxa"/>
          </w:tcPr>
          <w:p w14:paraId="32FDE872" w14:textId="77777777" w:rsidR="001F01D5" w:rsidRPr="00E22C51" w:rsidRDefault="001F01D5" w:rsidP="003F7C0D">
            <w:pPr>
              <w:jc w:val="both"/>
              <w:rPr>
                <w:rFonts w:asciiTheme="majorBidi" w:hAnsiTheme="majorBidi" w:cstheme="majorBidi"/>
                <w:sz w:val="24"/>
                <w:szCs w:val="24"/>
              </w:rPr>
            </w:pPr>
            <w:r w:rsidRPr="00E22C51">
              <w:rPr>
                <w:rFonts w:asciiTheme="majorBidi" w:hAnsiTheme="majorBidi" w:cstheme="majorBidi"/>
                <w:sz w:val="24"/>
                <w:szCs w:val="24"/>
              </w:rPr>
              <w:t>This index monitors companies involved in generating energy from renewable sources like fuel cells, waves, wind, solar, and geothermal.</w:t>
            </w:r>
          </w:p>
        </w:tc>
      </w:tr>
      <w:tr w:rsidR="001F01D5" w:rsidRPr="006B37A1" w14:paraId="38BBF82F" w14:textId="77777777" w:rsidTr="003F7C0D">
        <w:tc>
          <w:tcPr>
            <w:tcW w:w="2160" w:type="dxa"/>
            <w:tcBorders>
              <w:bottom w:val="single" w:sz="4" w:space="0" w:color="auto"/>
            </w:tcBorders>
          </w:tcPr>
          <w:p w14:paraId="77A9DD1B" w14:textId="77777777" w:rsidR="001F01D5" w:rsidRPr="00E22C51" w:rsidRDefault="001F01D5" w:rsidP="003F7C0D">
            <w:pPr>
              <w:jc w:val="both"/>
              <w:rPr>
                <w:rFonts w:asciiTheme="majorBidi" w:hAnsiTheme="majorBidi" w:cstheme="majorBidi"/>
                <w:sz w:val="24"/>
                <w:szCs w:val="24"/>
              </w:rPr>
            </w:pPr>
            <w:r w:rsidRPr="00E22C51">
              <w:rPr>
                <w:rFonts w:asciiTheme="majorBidi" w:hAnsiTheme="majorBidi" w:cstheme="majorBidi"/>
                <w:sz w:val="24"/>
                <w:szCs w:val="24"/>
              </w:rPr>
              <w:t>Water</w:t>
            </w:r>
          </w:p>
        </w:tc>
        <w:tc>
          <w:tcPr>
            <w:tcW w:w="6674" w:type="dxa"/>
            <w:tcBorders>
              <w:bottom w:val="single" w:sz="4" w:space="0" w:color="auto"/>
            </w:tcBorders>
          </w:tcPr>
          <w:p w14:paraId="4A945CE1" w14:textId="77777777" w:rsidR="001F01D5" w:rsidRPr="00E22C51" w:rsidRDefault="001F01D5" w:rsidP="003F7C0D">
            <w:pPr>
              <w:jc w:val="both"/>
              <w:rPr>
                <w:rFonts w:asciiTheme="majorBidi" w:hAnsiTheme="majorBidi" w:cstheme="majorBidi"/>
                <w:sz w:val="24"/>
                <w:szCs w:val="24"/>
              </w:rPr>
            </w:pPr>
            <w:r w:rsidRPr="00E22C51">
              <w:rPr>
                <w:rFonts w:asciiTheme="majorBidi" w:hAnsiTheme="majorBidi" w:cstheme="majorBidi"/>
                <w:sz w:val="24"/>
                <w:szCs w:val="24"/>
              </w:rPr>
              <w:t>This index includes companies focused on purifying and conserving water for industries, businesses, and households.</w:t>
            </w:r>
          </w:p>
        </w:tc>
      </w:tr>
    </w:tbl>
    <w:p w14:paraId="47D47EE6" w14:textId="77777777" w:rsidR="001F01D5" w:rsidRDefault="001F01D5" w:rsidP="002C4D66">
      <w:pPr>
        <w:pStyle w:val="PargrafodaLista"/>
        <w:spacing w:before="240" w:after="240" w:line="240" w:lineRule="auto"/>
        <w:ind w:left="0" w:firstLine="510"/>
        <w:jc w:val="both"/>
        <w:rPr>
          <w:rFonts w:asciiTheme="majorBidi" w:eastAsia="Times New Roman" w:hAnsiTheme="majorBidi" w:cstheme="majorBidi"/>
          <w:sz w:val="24"/>
          <w:szCs w:val="24"/>
          <w:lang w:val="en-US"/>
        </w:rPr>
      </w:pPr>
    </w:p>
    <w:p w14:paraId="3D4321F3" w14:textId="77777777" w:rsidR="001F01D5" w:rsidRDefault="001F01D5">
      <w:pPr>
        <w:rPr>
          <w:rFonts w:asciiTheme="majorBidi" w:hAnsiTheme="majorBidi" w:cstheme="majorBidi"/>
          <w:b/>
          <w:bCs/>
          <w:szCs w:val="24"/>
          <w:lang w:val="en-US"/>
        </w:rPr>
      </w:pPr>
      <w:r>
        <w:rPr>
          <w:rFonts w:asciiTheme="majorBidi" w:hAnsiTheme="majorBidi" w:cstheme="majorBidi"/>
          <w:b/>
          <w:bCs/>
          <w:szCs w:val="24"/>
          <w:lang w:val="en-US"/>
        </w:rPr>
        <w:br w:type="page"/>
      </w:r>
    </w:p>
    <w:p w14:paraId="4B66FEB2" w14:textId="3B573F2A" w:rsidR="00BA00BD" w:rsidRPr="00BA00BD" w:rsidRDefault="00BA00BD" w:rsidP="00BA00BD">
      <w:pPr>
        <w:shd w:val="clear" w:color="auto" w:fill="FFFFFF"/>
        <w:spacing w:after="0" w:line="240" w:lineRule="auto"/>
        <w:ind w:firstLine="510"/>
        <w:rPr>
          <w:rFonts w:asciiTheme="majorBidi" w:hAnsiTheme="majorBidi" w:cstheme="majorBidi"/>
          <w:szCs w:val="24"/>
          <w:lang w:val="en-US"/>
        </w:rPr>
      </w:pPr>
      <w:r w:rsidRPr="00BA00BD">
        <w:rPr>
          <w:rFonts w:asciiTheme="majorBidi" w:hAnsiTheme="majorBidi" w:cstheme="majorBidi"/>
          <w:b/>
          <w:bCs/>
          <w:szCs w:val="24"/>
          <w:lang w:val="en-US"/>
        </w:rPr>
        <w:lastRenderedPageBreak/>
        <w:t xml:space="preserve">Table </w:t>
      </w:r>
      <w:r w:rsidR="006C1859">
        <w:rPr>
          <w:rFonts w:asciiTheme="majorBidi" w:hAnsiTheme="majorBidi" w:cstheme="majorBidi"/>
          <w:b/>
          <w:bCs/>
          <w:szCs w:val="24"/>
          <w:lang w:val="en-US"/>
        </w:rPr>
        <w:t>S</w:t>
      </w:r>
      <w:r w:rsidR="001F01D5">
        <w:rPr>
          <w:rFonts w:asciiTheme="majorBidi" w:hAnsiTheme="majorBidi" w:cstheme="majorBidi"/>
          <w:b/>
          <w:bCs/>
          <w:szCs w:val="24"/>
          <w:lang w:val="en-US"/>
        </w:rPr>
        <w:t>2</w:t>
      </w:r>
      <w:r w:rsidRPr="00BA00BD">
        <w:rPr>
          <w:rFonts w:asciiTheme="majorBidi" w:hAnsiTheme="majorBidi" w:cstheme="majorBidi"/>
          <w:szCs w:val="24"/>
          <w:lang w:val="en-US"/>
        </w:rPr>
        <w:t>. Descriptive Statistics of Green Sectoral Equities.</w:t>
      </w:r>
    </w:p>
    <w:tbl>
      <w:tblPr>
        <w:tblStyle w:val="TableGridLight1"/>
        <w:tblpPr w:leftFromText="180" w:rightFromText="180" w:vertAnchor="text" w:horzAnchor="margin" w:tblpY="16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6" w:type="dxa"/>
          <w:right w:w="43" w:type="dxa"/>
        </w:tblCellMar>
        <w:tblLook w:val="04A0" w:firstRow="1" w:lastRow="0" w:firstColumn="1" w:lastColumn="0" w:noHBand="0" w:noVBand="1"/>
      </w:tblPr>
      <w:tblGrid>
        <w:gridCol w:w="1918"/>
        <w:gridCol w:w="749"/>
        <w:gridCol w:w="514"/>
        <w:gridCol w:w="826"/>
        <w:gridCol w:w="961"/>
        <w:gridCol w:w="1079"/>
        <w:gridCol w:w="1284"/>
        <w:gridCol w:w="1163"/>
      </w:tblGrid>
      <w:tr w:rsidR="00BA00BD" w:rsidRPr="00E22C51" w14:paraId="368FAC9D" w14:textId="77777777" w:rsidTr="00B8290A">
        <w:trPr>
          <w:trHeight w:val="144"/>
        </w:trPr>
        <w:tc>
          <w:tcPr>
            <w:tcW w:w="1168" w:type="pct"/>
            <w:vAlign w:val="center"/>
          </w:tcPr>
          <w:p w14:paraId="4945D14C" w14:textId="77777777" w:rsidR="00BA00BD" w:rsidRPr="00E22C51" w:rsidRDefault="00BA00BD" w:rsidP="00B8290A">
            <w:pPr>
              <w:pStyle w:val="MDPI31text"/>
              <w:spacing w:after="120" w:line="240" w:lineRule="auto"/>
              <w:contextualSpacing/>
              <w:jc w:val="left"/>
              <w:rPr>
                <w:rFonts w:ascii="Times New Roman" w:hAnsi="Times New Roman"/>
                <w:color w:val="auto"/>
                <w:sz w:val="22"/>
              </w:rPr>
            </w:pPr>
          </w:p>
        </w:tc>
        <w:tc>
          <w:tcPr>
            <w:tcW w:w="408" w:type="pct"/>
            <w:vAlign w:val="center"/>
          </w:tcPr>
          <w:p w14:paraId="167B3A43" w14:textId="77777777" w:rsidR="00BA00BD" w:rsidRPr="00E22C51" w:rsidRDefault="00BA00BD" w:rsidP="00B8290A">
            <w:pPr>
              <w:pStyle w:val="MDPI31text"/>
              <w:spacing w:after="120" w:line="240" w:lineRule="auto"/>
              <w:ind w:firstLine="0"/>
              <w:contextualSpacing/>
              <w:jc w:val="left"/>
              <w:rPr>
                <w:rFonts w:ascii="Times New Roman" w:hAnsi="Times New Roman"/>
                <w:color w:val="auto"/>
                <w:sz w:val="22"/>
              </w:rPr>
            </w:pPr>
            <w:r w:rsidRPr="00E22C51">
              <w:rPr>
                <w:rFonts w:ascii="Times New Roman" w:hAnsi="Times New Roman"/>
                <w:color w:val="auto"/>
                <w:sz w:val="22"/>
              </w:rPr>
              <w:t>Mean</w:t>
            </w:r>
          </w:p>
        </w:tc>
        <w:tc>
          <w:tcPr>
            <w:tcW w:w="267" w:type="pct"/>
            <w:vAlign w:val="center"/>
          </w:tcPr>
          <w:p w14:paraId="1076D42A" w14:textId="77777777" w:rsidR="00BA00BD" w:rsidRPr="00E22C51" w:rsidRDefault="00BA00BD" w:rsidP="00B8290A">
            <w:pPr>
              <w:pStyle w:val="MDPI31text"/>
              <w:spacing w:after="120" w:line="240" w:lineRule="auto"/>
              <w:ind w:firstLine="0"/>
              <w:contextualSpacing/>
              <w:jc w:val="left"/>
              <w:rPr>
                <w:rFonts w:ascii="Times New Roman" w:hAnsi="Times New Roman"/>
                <w:color w:val="auto"/>
                <w:sz w:val="22"/>
              </w:rPr>
            </w:pPr>
            <w:r w:rsidRPr="00E22C51">
              <w:rPr>
                <w:rFonts w:ascii="Times New Roman" w:hAnsi="Times New Roman"/>
                <w:color w:val="auto"/>
                <w:sz w:val="22"/>
              </w:rPr>
              <w:t>SD</w:t>
            </w:r>
          </w:p>
        </w:tc>
        <w:tc>
          <w:tcPr>
            <w:tcW w:w="446" w:type="pct"/>
            <w:vAlign w:val="center"/>
          </w:tcPr>
          <w:p w14:paraId="39B60F19" w14:textId="77777777" w:rsidR="00BA00BD" w:rsidRPr="00E22C51" w:rsidRDefault="00BA00BD" w:rsidP="00B8290A">
            <w:pPr>
              <w:pStyle w:val="MDPI31text"/>
              <w:spacing w:after="120" w:line="240" w:lineRule="auto"/>
              <w:ind w:firstLine="0"/>
              <w:contextualSpacing/>
              <w:jc w:val="left"/>
              <w:rPr>
                <w:rFonts w:ascii="Times New Roman" w:hAnsi="Times New Roman"/>
                <w:color w:val="auto"/>
                <w:sz w:val="22"/>
              </w:rPr>
            </w:pPr>
            <w:r w:rsidRPr="00E22C51">
              <w:rPr>
                <w:rFonts w:ascii="Times New Roman" w:hAnsi="Times New Roman"/>
                <w:color w:val="auto"/>
                <w:sz w:val="22"/>
              </w:rPr>
              <w:t>kurtosis</w:t>
            </w:r>
          </w:p>
        </w:tc>
        <w:tc>
          <w:tcPr>
            <w:tcW w:w="520" w:type="pct"/>
            <w:vAlign w:val="center"/>
          </w:tcPr>
          <w:p w14:paraId="186E02A2" w14:textId="77777777" w:rsidR="00BA00BD" w:rsidRPr="00E22C51" w:rsidRDefault="00BA00BD" w:rsidP="00B8290A">
            <w:pPr>
              <w:pStyle w:val="MDPI31text"/>
              <w:spacing w:after="120" w:line="240" w:lineRule="auto"/>
              <w:ind w:firstLine="0"/>
              <w:contextualSpacing/>
              <w:jc w:val="left"/>
              <w:rPr>
                <w:rFonts w:ascii="Times New Roman" w:hAnsi="Times New Roman"/>
                <w:color w:val="auto"/>
                <w:sz w:val="22"/>
              </w:rPr>
            </w:pPr>
            <w:r w:rsidRPr="00E22C51">
              <w:rPr>
                <w:rFonts w:ascii="Times New Roman" w:hAnsi="Times New Roman"/>
                <w:color w:val="auto"/>
                <w:sz w:val="22"/>
              </w:rPr>
              <w:t>skewness</w:t>
            </w:r>
          </w:p>
        </w:tc>
        <w:tc>
          <w:tcPr>
            <w:tcW w:w="652" w:type="pct"/>
            <w:vAlign w:val="center"/>
          </w:tcPr>
          <w:p w14:paraId="4F67BE71" w14:textId="77777777" w:rsidR="00BA00BD" w:rsidRPr="00E22C51" w:rsidRDefault="00BA00BD" w:rsidP="00B8290A">
            <w:pPr>
              <w:pStyle w:val="MDPI31text"/>
              <w:spacing w:after="120" w:line="240" w:lineRule="auto"/>
              <w:ind w:firstLine="0"/>
              <w:contextualSpacing/>
              <w:jc w:val="left"/>
              <w:rPr>
                <w:rFonts w:ascii="Times New Roman" w:hAnsi="Times New Roman"/>
                <w:color w:val="auto"/>
                <w:sz w:val="22"/>
              </w:rPr>
            </w:pPr>
            <w:r w:rsidRPr="00E22C51">
              <w:rPr>
                <w:rFonts w:ascii="Times New Roman" w:hAnsi="Times New Roman"/>
                <w:color w:val="auto"/>
                <w:sz w:val="22"/>
              </w:rPr>
              <w:t>ADF</w:t>
            </w:r>
          </w:p>
        </w:tc>
        <w:tc>
          <w:tcPr>
            <w:tcW w:w="764" w:type="pct"/>
            <w:vAlign w:val="center"/>
          </w:tcPr>
          <w:p w14:paraId="5A01DABA" w14:textId="77777777" w:rsidR="00BA00BD" w:rsidRPr="00E22C51" w:rsidRDefault="00BA00BD" w:rsidP="00B8290A">
            <w:pPr>
              <w:pStyle w:val="MDPI31text"/>
              <w:spacing w:after="120" w:line="240" w:lineRule="auto"/>
              <w:ind w:firstLine="0"/>
              <w:contextualSpacing/>
              <w:jc w:val="left"/>
              <w:rPr>
                <w:rFonts w:ascii="Times New Roman" w:hAnsi="Times New Roman"/>
                <w:color w:val="auto"/>
                <w:sz w:val="22"/>
              </w:rPr>
            </w:pPr>
            <w:r w:rsidRPr="00E22C51">
              <w:rPr>
                <w:rFonts w:ascii="Times New Roman" w:hAnsi="Times New Roman"/>
                <w:color w:val="auto"/>
                <w:sz w:val="22"/>
              </w:rPr>
              <w:t>Jarque–Bera</w:t>
            </w:r>
          </w:p>
        </w:tc>
        <w:tc>
          <w:tcPr>
            <w:tcW w:w="775" w:type="pct"/>
            <w:vAlign w:val="center"/>
          </w:tcPr>
          <w:p w14:paraId="1430FE12" w14:textId="77777777" w:rsidR="00BA00BD" w:rsidRPr="00E22C51" w:rsidRDefault="00BA00BD" w:rsidP="00B8290A">
            <w:pPr>
              <w:pStyle w:val="MDPI31text"/>
              <w:spacing w:line="240" w:lineRule="auto"/>
              <w:ind w:firstLine="0"/>
              <w:contextualSpacing/>
              <w:jc w:val="left"/>
              <w:rPr>
                <w:rFonts w:ascii="Times New Roman" w:hAnsi="Times New Roman"/>
                <w:color w:val="auto"/>
                <w:sz w:val="22"/>
              </w:rPr>
            </w:pPr>
            <w:r w:rsidRPr="00E22C51">
              <w:rPr>
                <w:rFonts w:ascii="Times New Roman" w:hAnsi="Times New Roman"/>
                <w:color w:val="auto"/>
                <w:sz w:val="22"/>
              </w:rPr>
              <w:t>Stability test</w:t>
            </w:r>
          </w:p>
        </w:tc>
      </w:tr>
      <w:tr w:rsidR="00BA00BD" w:rsidRPr="00E22C51" w14:paraId="0A721670" w14:textId="77777777" w:rsidTr="00B8290A">
        <w:tc>
          <w:tcPr>
            <w:tcW w:w="1168" w:type="pct"/>
            <w:vAlign w:val="center"/>
          </w:tcPr>
          <w:p w14:paraId="40DDE617"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Advanced Materials</w:t>
            </w:r>
          </w:p>
        </w:tc>
        <w:tc>
          <w:tcPr>
            <w:tcW w:w="408" w:type="pct"/>
            <w:vAlign w:val="center"/>
          </w:tcPr>
          <w:p w14:paraId="1BD0DF24"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0.011</w:t>
            </w:r>
          </w:p>
        </w:tc>
        <w:tc>
          <w:tcPr>
            <w:tcW w:w="267" w:type="pct"/>
            <w:vAlign w:val="center"/>
          </w:tcPr>
          <w:p w14:paraId="370D394D"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1.47</w:t>
            </w:r>
          </w:p>
        </w:tc>
        <w:tc>
          <w:tcPr>
            <w:tcW w:w="446" w:type="pct"/>
            <w:vAlign w:val="center"/>
          </w:tcPr>
          <w:p w14:paraId="115C14EB"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5.8</w:t>
            </w:r>
          </w:p>
        </w:tc>
        <w:tc>
          <w:tcPr>
            <w:tcW w:w="520" w:type="pct"/>
            <w:vAlign w:val="center"/>
          </w:tcPr>
          <w:p w14:paraId="149B3BF6"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−0.46</w:t>
            </w:r>
          </w:p>
        </w:tc>
        <w:tc>
          <w:tcPr>
            <w:tcW w:w="652" w:type="pct"/>
            <w:vAlign w:val="center"/>
          </w:tcPr>
          <w:p w14:paraId="225815E0"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−14.85***</w:t>
            </w:r>
          </w:p>
        </w:tc>
        <w:tc>
          <w:tcPr>
            <w:tcW w:w="764" w:type="pct"/>
            <w:vAlign w:val="center"/>
          </w:tcPr>
          <w:p w14:paraId="284BED1F"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4827.4***</w:t>
            </w:r>
          </w:p>
        </w:tc>
        <w:tc>
          <w:tcPr>
            <w:tcW w:w="775" w:type="pct"/>
            <w:vAlign w:val="center"/>
          </w:tcPr>
          <w:p w14:paraId="03D48154" w14:textId="77777777" w:rsidR="00BA00BD" w:rsidRPr="00E22C51" w:rsidRDefault="00BA00BD" w:rsidP="00B829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tLeast"/>
              <w:rPr>
                <w:rFonts w:ascii="Times New Roman" w:eastAsia="Times New Roman" w:hAnsi="Times New Roman" w:cs="Times New Roman"/>
              </w:rPr>
            </w:pPr>
            <w:r w:rsidRPr="00E22C51">
              <w:rPr>
                <w:rFonts w:ascii="Times New Roman" w:eastAsia="Times New Roman" w:hAnsi="Times New Roman" w:cs="Times New Roman"/>
                <w:bdr w:val="none" w:sz="0" w:space="0" w:color="auto" w:frame="1"/>
              </w:rPr>
              <w:t xml:space="preserve">0.1281 </w:t>
            </w:r>
          </w:p>
        </w:tc>
      </w:tr>
      <w:tr w:rsidR="00BA00BD" w:rsidRPr="00E22C51" w14:paraId="20EE5860" w14:textId="77777777" w:rsidTr="00B8290A">
        <w:tc>
          <w:tcPr>
            <w:tcW w:w="1168" w:type="pct"/>
            <w:vAlign w:val="center"/>
          </w:tcPr>
          <w:p w14:paraId="55D36C86"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Bio/Clean Fuels</w:t>
            </w:r>
          </w:p>
        </w:tc>
        <w:tc>
          <w:tcPr>
            <w:tcW w:w="408" w:type="pct"/>
            <w:vAlign w:val="center"/>
          </w:tcPr>
          <w:p w14:paraId="2AF74678"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−0.002</w:t>
            </w:r>
          </w:p>
        </w:tc>
        <w:tc>
          <w:tcPr>
            <w:tcW w:w="267" w:type="pct"/>
            <w:vAlign w:val="center"/>
          </w:tcPr>
          <w:p w14:paraId="6B5731BF"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1.84</w:t>
            </w:r>
          </w:p>
        </w:tc>
        <w:tc>
          <w:tcPr>
            <w:tcW w:w="446" w:type="pct"/>
            <w:vAlign w:val="center"/>
          </w:tcPr>
          <w:p w14:paraId="0B1C6985"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10.9</w:t>
            </w:r>
          </w:p>
        </w:tc>
        <w:tc>
          <w:tcPr>
            <w:tcW w:w="520" w:type="pct"/>
            <w:vAlign w:val="center"/>
          </w:tcPr>
          <w:p w14:paraId="5C08D3FA"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−0.82</w:t>
            </w:r>
          </w:p>
        </w:tc>
        <w:tc>
          <w:tcPr>
            <w:tcW w:w="652" w:type="pct"/>
            <w:vAlign w:val="center"/>
          </w:tcPr>
          <w:p w14:paraId="59B914A8"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−14.28***</w:t>
            </w:r>
          </w:p>
        </w:tc>
        <w:tc>
          <w:tcPr>
            <w:tcW w:w="764" w:type="pct"/>
            <w:vAlign w:val="center"/>
          </w:tcPr>
          <w:p w14:paraId="2C5A4E05"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16956.0***</w:t>
            </w:r>
          </w:p>
        </w:tc>
        <w:tc>
          <w:tcPr>
            <w:tcW w:w="775" w:type="pct"/>
            <w:vAlign w:val="center"/>
          </w:tcPr>
          <w:p w14:paraId="1F6FD941"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bdr w:val="none" w:sz="0" w:space="0" w:color="auto" w:frame="1"/>
              </w:rPr>
              <w:t>0.1281</w:t>
            </w:r>
          </w:p>
        </w:tc>
      </w:tr>
      <w:tr w:rsidR="00BA00BD" w:rsidRPr="00E22C51" w14:paraId="6050DCB5" w14:textId="77777777" w:rsidTr="00B8290A">
        <w:tc>
          <w:tcPr>
            <w:tcW w:w="1168" w:type="pct"/>
            <w:vAlign w:val="center"/>
          </w:tcPr>
          <w:p w14:paraId="72C11278"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Energy Efficiency</w:t>
            </w:r>
          </w:p>
        </w:tc>
        <w:tc>
          <w:tcPr>
            <w:tcW w:w="408" w:type="pct"/>
            <w:vAlign w:val="center"/>
          </w:tcPr>
          <w:p w14:paraId="73EE7D40"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0.030</w:t>
            </w:r>
          </w:p>
        </w:tc>
        <w:tc>
          <w:tcPr>
            <w:tcW w:w="267" w:type="pct"/>
            <w:vAlign w:val="center"/>
          </w:tcPr>
          <w:p w14:paraId="1F48039A"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1.28</w:t>
            </w:r>
          </w:p>
        </w:tc>
        <w:tc>
          <w:tcPr>
            <w:tcW w:w="446" w:type="pct"/>
            <w:vAlign w:val="center"/>
          </w:tcPr>
          <w:p w14:paraId="28BEEE75"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7.9</w:t>
            </w:r>
          </w:p>
        </w:tc>
        <w:tc>
          <w:tcPr>
            <w:tcW w:w="520" w:type="pct"/>
            <w:vAlign w:val="center"/>
          </w:tcPr>
          <w:p w14:paraId="3FCECB3B"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−0.37</w:t>
            </w:r>
          </w:p>
        </w:tc>
        <w:tc>
          <w:tcPr>
            <w:tcW w:w="652" w:type="pct"/>
            <w:vAlign w:val="center"/>
          </w:tcPr>
          <w:p w14:paraId="7B577045"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−14.64***</w:t>
            </w:r>
          </w:p>
        </w:tc>
        <w:tc>
          <w:tcPr>
            <w:tcW w:w="764" w:type="pct"/>
            <w:vAlign w:val="center"/>
          </w:tcPr>
          <w:p w14:paraId="647AFF1A"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8804.5***</w:t>
            </w:r>
          </w:p>
        </w:tc>
        <w:tc>
          <w:tcPr>
            <w:tcW w:w="775" w:type="pct"/>
            <w:vAlign w:val="center"/>
          </w:tcPr>
          <w:p w14:paraId="5D9961FC" w14:textId="77777777" w:rsidR="00BA00BD" w:rsidRPr="00E22C51" w:rsidRDefault="00BA00BD" w:rsidP="00B8290A">
            <w:pPr>
              <w:pStyle w:val="HTMLpr-formatado"/>
              <w:shd w:val="clear" w:color="auto" w:fill="FFFFFF"/>
              <w:wordWrap w:val="0"/>
              <w:spacing w:line="240" w:lineRule="atLeast"/>
              <w:rPr>
                <w:rFonts w:ascii="Times New Roman" w:hAnsi="Times New Roman" w:cs="Times New Roman"/>
                <w:sz w:val="22"/>
                <w:szCs w:val="22"/>
              </w:rPr>
            </w:pPr>
            <w:r w:rsidRPr="00E22C51">
              <w:rPr>
                <w:rStyle w:val="go2hclqbb5b"/>
                <w:rFonts w:ascii="Times New Roman" w:hAnsi="Times New Roman" w:cs="Times New Roman"/>
                <w:sz w:val="22"/>
                <w:szCs w:val="22"/>
                <w:bdr w:val="none" w:sz="0" w:space="0" w:color="auto" w:frame="1"/>
              </w:rPr>
              <w:t>0.1276</w:t>
            </w:r>
          </w:p>
        </w:tc>
      </w:tr>
      <w:tr w:rsidR="00BA00BD" w:rsidRPr="00E22C51" w14:paraId="53A4307E" w14:textId="77777777" w:rsidTr="00B8290A">
        <w:tc>
          <w:tcPr>
            <w:tcW w:w="1168" w:type="pct"/>
            <w:vAlign w:val="center"/>
          </w:tcPr>
          <w:p w14:paraId="192FF5A1"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Green Transportation</w:t>
            </w:r>
          </w:p>
        </w:tc>
        <w:tc>
          <w:tcPr>
            <w:tcW w:w="408" w:type="pct"/>
            <w:vAlign w:val="center"/>
          </w:tcPr>
          <w:p w14:paraId="5FEEEE37"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0.051</w:t>
            </w:r>
          </w:p>
        </w:tc>
        <w:tc>
          <w:tcPr>
            <w:tcW w:w="267" w:type="pct"/>
            <w:vAlign w:val="center"/>
          </w:tcPr>
          <w:p w14:paraId="6C358DD1"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1.69</w:t>
            </w:r>
          </w:p>
        </w:tc>
        <w:tc>
          <w:tcPr>
            <w:tcW w:w="446" w:type="pct"/>
            <w:vAlign w:val="center"/>
          </w:tcPr>
          <w:p w14:paraId="5D8E82F6"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7.8</w:t>
            </w:r>
          </w:p>
        </w:tc>
        <w:tc>
          <w:tcPr>
            <w:tcW w:w="520" w:type="pct"/>
            <w:vAlign w:val="center"/>
          </w:tcPr>
          <w:p w14:paraId="3F42F0E8"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−0.38</w:t>
            </w:r>
          </w:p>
        </w:tc>
        <w:tc>
          <w:tcPr>
            <w:tcW w:w="652" w:type="pct"/>
            <w:vAlign w:val="center"/>
          </w:tcPr>
          <w:p w14:paraId="0620D072"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−14.18***</w:t>
            </w:r>
          </w:p>
        </w:tc>
        <w:tc>
          <w:tcPr>
            <w:tcW w:w="764" w:type="pct"/>
            <w:vAlign w:val="center"/>
          </w:tcPr>
          <w:p w14:paraId="33E968ED"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8612.5***</w:t>
            </w:r>
          </w:p>
        </w:tc>
        <w:tc>
          <w:tcPr>
            <w:tcW w:w="775" w:type="pct"/>
            <w:vAlign w:val="center"/>
          </w:tcPr>
          <w:p w14:paraId="1C6B18D4" w14:textId="77777777" w:rsidR="00BA00BD" w:rsidRPr="00E22C51" w:rsidRDefault="00BA00BD" w:rsidP="00B8290A">
            <w:pPr>
              <w:pStyle w:val="HTMLpr-formatado"/>
              <w:shd w:val="clear" w:color="auto" w:fill="FFFFFF"/>
              <w:wordWrap w:val="0"/>
              <w:spacing w:line="240" w:lineRule="atLeast"/>
              <w:rPr>
                <w:rFonts w:ascii="Times New Roman" w:hAnsi="Times New Roman" w:cs="Times New Roman"/>
                <w:sz w:val="22"/>
                <w:szCs w:val="22"/>
              </w:rPr>
            </w:pPr>
            <w:r w:rsidRPr="00E22C51">
              <w:rPr>
                <w:rStyle w:val="go2hclqbb5b"/>
                <w:rFonts w:ascii="Times New Roman" w:hAnsi="Times New Roman" w:cs="Times New Roman"/>
                <w:sz w:val="22"/>
                <w:szCs w:val="22"/>
                <w:bdr w:val="none" w:sz="0" w:space="0" w:color="auto" w:frame="1"/>
              </w:rPr>
              <w:t>0.0759</w:t>
            </w:r>
          </w:p>
        </w:tc>
      </w:tr>
      <w:tr w:rsidR="00BA00BD" w:rsidRPr="00E22C51" w14:paraId="03FED234" w14:textId="77777777" w:rsidTr="00B8290A">
        <w:tc>
          <w:tcPr>
            <w:tcW w:w="1168" w:type="pct"/>
            <w:vAlign w:val="center"/>
          </w:tcPr>
          <w:p w14:paraId="5CE52372"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Green Building</w:t>
            </w:r>
          </w:p>
        </w:tc>
        <w:tc>
          <w:tcPr>
            <w:tcW w:w="408" w:type="pct"/>
            <w:vAlign w:val="center"/>
          </w:tcPr>
          <w:p w14:paraId="5D8DA5CD"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0.011</w:t>
            </w:r>
          </w:p>
        </w:tc>
        <w:tc>
          <w:tcPr>
            <w:tcW w:w="267" w:type="pct"/>
            <w:vAlign w:val="center"/>
          </w:tcPr>
          <w:p w14:paraId="1E1E9E10"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1.32</w:t>
            </w:r>
          </w:p>
        </w:tc>
        <w:tc>
          <w:tcPr>
            <w:tcW w:w="446" w:type="pct"/>
            <w:vAlign w:val="center"/>
          </w:tcPr>
          <w:p w14:paraId="17A29791"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21.7</w:t>
            </w:r>
          </w:p>
        </w:tc>
        <w:tc>
          <w:tcPr>
            <w:tcW w:w="520" w:type="pct"/>
            <w:vAlign w:val="center"/>
          </w:tcPr>
          <w:p w14:paraId="539D61A7"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−1.41</w:t>
            </w:r>
          </w:p>
        </w:tc>
        <w:tc>
          <w:tcPr>
            <w:tcW w:w="652" w:type="pct"/>
            <w:vAlign w:val="center"/>
          </w:tcPr>
          <w:p w14:paraId="57B8248D"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−13.74***</w:t>
            </w:r>
          </w:p>
        </w:tc>
        <w:tc>
          <w:tcPr>
            <w:tcW w:w="764" w:type="pct"/>
            <w:vAlign w:val="center"/>
          </w:tcPr>
          <w:p w14:paraId="4E5F09BE"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66403.0***</w:t>
            </w:r>
          </w:p>
        </w:tc>
        <w:tc>
          <w:tcPr>
            <w:tcW w:w="775" w:type="pct"/>
            <w:vAlign w:val="center"/>
          </w:tcPr>
          <w:p w14:paraId="2F0593AB" w14:textId="77777777" w:rsidR="00BA00BD" w:rsidRPr="00E22C51" w:rsidRDefault="00BA00BD" w:rsidP="00B8290A">
            <w:pPr>
              <w:pStyle w:val="HTMLpr-formatado"/>
              <w:shd w:val="clear" w:color="auto" w:fill="FFFFFF"/>
              <w:wordWrap w:val="0"/>
              <w:spacing w:line="240" w:lineRule="atLeast"/>
              <w:rPr>
                <w:rFonts w:ascii="Times New Roman" w:hAnsi="Times New Roman" w:cs="Times New Roman"/>
                <w:sz w:val="22"/>
                <w:szCs w:val="22"/>
              </w:rPr>
            </w:pPr>
            <w:r w:rsidRPr="00E22C51">
              <w:rPr>
                <w:rStyle w:val="go2hclqbb5b"/>
                <w:rFonts w:ascii="Times New Roman" w:hAnsi="Times New Roman" w:cs="Times New Roman"/>
                <w:sz w:val="22"/>
                <w:szCs w:val="22"/>
                <w:bdr w:val="none" w:sz="0" w:space="0" w:color="auto" w:frame="1"/>
              </w:rPr>
              <w:t>0.0759</w:t>
            </w:r>
          </w:p>
        </w:tc>
      </w:tr>
      <w:tr w:rsidR="00BA00BD" w:rsidRPr="00E22C51" w14:paraId="5A654D9D" w14:textId="77777777" w:rsidTr="00B8290A">
        <w:tc>
          <w:tcPr>
            <w:tcW w:w="1168" w:type="pct"/>
            <w:vAlign w:val="center"/>
          </w:tcPr>
          <w:p w14:paraId="61D2C884"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Lighting</w:t>
            </w:r>
          </w:p>
        </w:tc>
        <w:tc>
          <w:tcPr>
            <w:tcW w:w="408" w:type="pct"/>
            <w:vAlign w:val="center"/>
          </w:tcPr>
          <w:p w14:paraId="6E634F8F"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0.010</w:t>
            </w:r>
          </w:p>
        </w:tc>
        <w:tc>
          <w:tcPr>
            <w:tcW w:w="267" w:type="pct"/>
            <w:vAlign w:val="center"/>
          </w:tcPr>
          <w:p w14:paraId="72F01875"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1.57</w:t>
            </w:r>
          </w:p>
        </w:tc>
        <w:tc>
          <w:tcPr>
            <w:tcW w:w="446" w:type="pct"/>
            <w:vAlign w:val="center"/>
          </w:tcPr>
          <w:p w14:paraId="7FE735EA"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4.0</w:t>
            </w:r>
          </w:p>
        </w:tc>
        <w:tc>
          <w:tcPr>
            <w:tcW w:w="520" w:type="pct"/>
            <w:vAlign w:val="center"/>
          </w:tcPr>
          <w:p w14:paraId="640C441F"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−0.22</w:t>
            </w:r>
          </w:p>
        </w:tc>
        <w:tc>
          <w:tcPr>
            <w:tcW w:w="652" w:type="pct"/>
            <w:vAlign w:val="center"/>
          </w:tcPr>
          <w:p w14:paraId="459E4BAD"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−15.53***</w:t>
            </w:r>
          </w:p>
        </w:tc>
        <w:tc>
          <w:tcPr>
            <w:tcW w:w="764" w:type="pct"/>
            <w:vAlign w:val="center"/>
          </w:tcPr>
          <w:p w14:paraId="64CA13B2"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2232.6***</w:t>
            </w:r>
          </w:p>
        </w:tc>
        <w:tc>
          <w:tcPr>
            <w:tcW w:w="775" w:type="pct"/>
            <w:vAlign w:val="center"/>
          </w:tcPr>
          <w:p w14:paraId="37628A6D" w14:textId="77777777" w:rsidR="00BA00BD" w:rsidRPr="00E22C51" w:rsidRDefault="00BA00BD" w:rsidP="00B8290A">
            <w:pPr>
              <w:pStyle w:val="HTMLpr-formatado"/>
              <w:shd w:val="clear" w:color="auto" w:fill="FFFFFF"/>
              <w:wordWrap w:val="0"/>
              <w:spacing w:line="240" w:lineRule="atLeast"/>
              <w:rPr>
                <w:rFonts w:ascii="Times New Roman" w:hAnsi="Times New Roman" w:cs="Times New Roman"/>
                <w:sz w:val="22"/>
                <w:szCs w:val="22"/>
              </w:rPr>
            </w:pPr>
            <w:r w:rsidRPr="00E22C51">
              <w:rPr>
                <w:rStyle w:val="go2hclqbb5b"/>
                <w:rFonts w:ascii="Times New Roman" w:hAnsi="Times New Roman" w:cs="Times New Roman"/>
                <w:sz w:val="22"/>
                <w:szCs w:val="22"/>
                <w:bdr w:val="none" w:sz="0" w:space="0" w:color="auto" w:frame="1"/>
              </w:rPr>
              <w:t>0.0603</w:t>
            </w:r>
          </w:p>
        </w:tc>
      </w:tr>
      <w:tr w:rsidR="00BA00BD" w:rsidRPr="00E22C51" w14:paraId="5C630B2A" w14:textId="77777777" w:rsidTr="00B8290A">
        <w:tc>
          <w:tcPr>
            <w:tcW w:w="1168" w:type="pct"/>
            <w:vAlign w:val="center"/>
          </w:tcPr>
          <w:p w14:paraId="7B5F6DF4"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Healthy Living</w:t>
            </w:r>
          </w:p>
        </w:tc>
        <w:tc>
          <w:tcPr>
            <w:tcW w:w="408" w:type="pct"/>
            <w:vAlign w:val="center"/>
          </w:tcPr>
          <w:p w14:paraId="170A1564"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0.020</w:t>
            </w:r>
          </w:p>
        </w:tc>
        <w:tc>
          <w:tcPr>
            <w:tcW w:w="267" w:type="pct"/>
            <w:vAlign w:val="center"/>
          </w:tcPr>
          <w:p w14:paraId="78E35898"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1.22</w:t>
            </w:r>
          </w:p>
        </w:tc>
        <w:tc>
          <w:tcPr>
            <w:tcW w:w="446" w:type="pct"/>
            <w:vAlign w:val="center"/>
          </w:tcPr>
          <w:p w14:paraId="44CAB30F"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9.5</w:t>
            </w:r>
          </w:p>
        </w:tc>
        <w:tc>
          <w:tcPr>
            <w:tcW w:w="520" w:type="pct"/>
            <w:vAlign w:val="center"/>
          </w:tcPr>
          <w:p w14:paraId="2F441965"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−0.38</w:t>
            </w:r>
          </w:p>
        </w:tc>
        <w:tc>
          <w:tcPr>
            <w:tcW w:w="652" w:type="pct"/>
            <w:vAlign w:val="center"/>
          </w:tcPr>
          <w:p w14:paraId="628F1473"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−14.72***</w:t>
            </w:r>
          </w:p>
        </w:tc>
        <w:tc>
          <w:tcPr>
            <w:tcW w:w="764" w:type="pct"/>
            <w:vAlign w:val="center"/>
          </w:tcPr>
          <w:p w14:paraId="26107B09"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12564.0***</w:t>
            </w:r>
          </w:p>
        </w:tc>
        <w:tc>
          <w:tcPr>
            <w:tcW w:w="775" w:type="pct"/>
            <w:vAlign w:val="center"/>
          </w:tcPr>
          <w:p w14:paraId="614CDA64" w14:textId="77777777" w:rsidR="00BA00BD" w:rsidRPr="00E22C51" w:rsidRDefault="00BA00BD" w:rsidP="00B8290A">
            <w:pPr>
              <w:pStyle w:val="HTMLpr-formatado"/>
              <w:shd w:val="clear" w:color="auto" w:fill="FFFFFF"/>
              <w:wordWrap w:val="0"/>
              <w:spacing w:line="240" w:lineRule="atLeast"/>
              <w:rPr>
                <w:rFonts w:ascii="Times New Roman" w:hAnsi="Times New Roman" w:cs="Times New Roman"/>
                <w:sz w:val="22"/>
                <w:szCs w:val="22"/>
              </w:rPr>
            </w:pPr>
            <w:r w:rsidRPr="00E22C51">
              <w:rPr>
                <w:rStyle w:val="go2hclqbb5b"/>
                <w:rFonts w:ascii="Times New Roman" w:hAnsi="Times New Roman" w:cs="Times New Roman"/>
                <w:sz w:val="22"/>
                <w:szCs w:val="22"/>
                <w:bdr w:val="none" w:sz="0" w:space="0" w:color="auto" w:frame="1"/>
              </w:rPr>
              <w:t xml:space="preserve">0.0597 </w:t>
            </w:r>
          </w:p>
        </w:tc>
      </w:tr>
      <w:tr w:rsidR="00BA00BD" w:rsidRPr="00E22C51" w14:paraId="3EC3CCB0" w14:textId="77777777" w:rsidTr="00B8290A">
        <w:tc>
          <w:tcPr>
            <w:tcW w:w="1168" w:type="pct"/>
            <w:vAlign w:val="center"/>
          </w:tcPr>
          <w:p w14:paraId="5EB0261E"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Pollution Mitigation</w:t>
            </w:r>
          </w:p>
        </w:tc>
        <w:tc>
          <w:tcPr>
            <w:tcW w:w="408" w:type="pct"/>
            <w:vAlign w:val="center"/>
          </w:tcPr>
          <w:p w14:paraId="26B34144"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0.024</w:t>
            </w:r>
          </w:p>
        </w:tc>
        <w:tc>
          <w:tcPr>
            <w:tcW w:w="267" w:type="pct"/>
            <w:vAlign w:val="center"/>
          </w:tcPr>
          <w:p w14:paraId="45DB848D"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1.17</w:t>
            </w:r>
          </w:p>
        </w:tc>
        <w:tc>
          <w:tcPr>
            <w:tcW w:w="446" w:type="pct"/>
            <w:vAlign w:val="center"/>
          </w:tcPr>
          <w:p w14:paraId="1178ED91"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7.6</w:t>
            </w:r>
          </w:p>
        </w:tc>
        <w:tc>
          <w:tcPr>
            <w:tcW w:w="520" w:type="pct"/>
            <w:vAlign w:val="center"/>
          </w:tcPr>
          <w:p w14:paraId="673E8D12"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−0.51</w:t>
            </w:r>
          </w:p>
        </w:tc>
        <w:tc>
          <w:tcPr>
            <w:tcW w:w="652" w:type="pct"/>
            <w:vAlign w:val="center"/>
          </w:tcPr>
          <w:p w14:paraId="65B6CA9F"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−14.87***</w:t>
            </w:r>
          </w:p>
        </w:tc>
        <w:tc>
          <w:tcPr>
            <w:tcW w:w="764" w:type="pct"/>
            <w:vAlign w:val="center"/>
          </w:tcPr>
          <w:p w14:paraId="308822DC"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8174.4***</w:t>
            </w:r>
          </w:p>
        </w:tc>
        <w:tc>
          <w:tcPr>
            <w:tcW w:w="775" w:type="pct"/>
            <w:vAlign w:val="center"/>
          </w:tcPr>
          <w:p w14:paraId="71AE1761" w14:textId="77777777" w:rsidR="00BA00BD" w:rsidRPr="00E22C51" w:rsidRDefault="00BA00BD" w:rsidP="00B8290A">
            <w:pPr>
              <w:pStyle w:val="HTMLpr-formatado"/>
              <w:shd w:val="clear" w:color="auto" w:fill="FFFFFF"/>
              <w:wordWrap w:val="0"/>
              <w:spacing w:line="240" w:lineRule="atLeast"/>
              <w:rPr>
                <w:rFonts w:ascii="Times New Roman" w:hAnsi="Times New Roman" w:cs="Times New Roman"/>
                <w:sz w:val="22"/>
                <w:szCs w:val="22"/>
              </w:rPr>
            </w:pPr>
            <w:r w:rsidRPr="00E22C51">
              <w:rPr>
                <w:rStyle w:val="go2hclqbb5b"/>
                <w:rFonts w:ascii="Times New Roman" w:hAnsi="Times New Roman" w:cs="Times New Roman"/>
                <w:sz w:val="22"/>
                <w:szCs w:val="22"/>
                <w:bdr w:val="none" w:sz="0" w:space="0" w:color="auto" w:frame="1"/>
              </w:rPr>
              <w:t>0.0597</w:t>
            </w:r>
          </w:p>
        </w:tc>
      </w:tr>
      <w:tr w:rsidR="00BA00BD" w:rsidRPr="00E22C51" w14:paraId="3EFBBFCA" w14:textId="77777777" w:rsidTr="00B8290A">
        <w:tc>
          <w:tcPr>
            <w:tcW w:w="1168" w:type="pct"/>
            <w:vAlign w:val="center"/>
          </w:tcPr>
          <w:p w14:paraId="78905DDE"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Natural Resources</w:t>
            </w:r>
          </w:p>
        </w:tc>
        <w:tc>
          <w:tcPr>
            <w:tcW w:w="408" w:type="pct"/>
            <w:vAlign w:val="center"/>
          </w:tcPr>
          <w:p w14:paraId="556DF6FF"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0.035</w:t>
            </w:r>
          </w:p>
        </w:tc>
        <w:tc>
          <w:tcPr>
            <w:tcW w:w="267" w:type="pct"/>
            <w:vAlign w:val="center"/>
          </w:tcPr>
          <w:p w14:paraId="76A97D75"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1.67</w:t>
            </w:r>
          </w:p>
        </w:tc>
        <w:tc>
          <w:tcPr>
            <w:tcW w:w="446" w:type="pct"/>
            <w:vAlign w:val="center"/>
          </w:tcPr>
          <w:p w14:paraId="5F3EF620"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45.8</w:t>
            </w:r>
          </w:p>
        </w:tc>
        <w:tc>
          <w:tcPr>
            <w:tcW w:w="520" w:type="pct"/>
            <w:vAlign w:val="center"/>
          </w:tcPr>
          <w:p w14:paraId="0D7516F3"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−2.48</w:t>
            </w:r>
          </w:p>
        </w:tc>
        <w:tc>
          <w:tcPr>
            <w:tcW w:w="652" w:type="pct"/>
            <w:vAlign w:val="center"/>
          </w:tcPr>
          <w:p w14:paraId="5FFE1C47"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−15.41***</w:t>
            </w:r>
          </w:p>
        </w:tc>
        <w:tc>
          <w:tcPr>
            <w:tcW w:w="764" w:type="pct"/>
            <w:vAlign w:val="center"/>
          </w:tcPr>
          <w:p w14:paraId="328FABE2"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294528.0***</w:t>
            </w:r>
          </w:p>
        </w:tc>
        <w:tc>
          <w:tcPr>
            <w:tcW w:w="775" w:type="pct"/>
            <w:vAlign w:val="center"/>
          </w:tcPr>
          <w:p w14:paraId="4CC1B9A5" w14:textId="77777777" w:rsidR="00BA00BD" w:rsidRPr="00E22C51" w:rsidRDefault="00BA00BD" w:rsidP="00B8290A">
            <w:pPr>
              <w:pStyle w:val="HTMLpr-formatado"/>
              <w:shd w:val="clear" w:color="auto" w:fill="FFFFFF"/>
              <w:wordWrap w:val="0"/>
              <w:spacing w:line="240" w:lineRule="atLeast"/>
              <w:rPr>
                <w:rFonts w:ascii="Times New Roman" w:hAnsi="Times New Roman" w:cs="Times New Roman"/>
                <w:sz w:val="22"/>
                <w:szCs w:val="22"/>
              </w:rPr>
            </w:pPr>
            <w:r w:rsidRPr="00E22C51">
              <w:rPr>
                <w:rStyle w:val="go2hclqbb5b"/>
                <w:rFonts w:ascii="Times New Roman" w:hAnsi="Times New Roman" w:cs="Times New Roman"/>
                <w:sz w:val="22"/>
                <w:szCs w:val="22"/>
                <w:bdr w:val="none" w:sz="0" w:space="0" w:color="auto" w:frame="1"/>
              </w:rPr>
              <w:t>0.0451</w:t>
            </w:r>
          </w:p>
        </w:tc>
      </w:tr>
      <w:tr w:rsidR="00BA00BD" w:rsidRPr="00E22C51" w14:paraId="0D7152D1" w14:textId="77777777" w:rsidTr="00B8290A">
        <w:tc>
          <w:tcPr>
            <w:tcW w:w="1168" w:type="pct"/>
            <w:vAlign w:val="center"/>
          </w:tcPr>
          <w:p w14:paraId="5AF981D9"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Renewable Energy Generation</w:t>
            </w:r>
          </w:p>
        </w:tc>
        <w:tc>
          <w:tcPr>
            <w:tcW w:w="408" w:type="pct"/>
            <w:vAlign w:val="center"/>
          </w:tcPr>
          <w:p w14:paraId="30F73707"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0.020</w:t>
            </w:r>
          </w:p>
        </w:tc>
        <w:tc>
          <w:tcPr>
            <w:tcW w:w="267" w:type="pct"/>
            <w:vAlign w:val="center"/>
          </w:tcPr>
          <w:p w14:paraId="1706CF2D"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1.17</w:t>
            </w:r>
          </w:p>
        </w:tc>
        <w:tc>
          <w:tcPr>
            <w:tcW w:w="446" w:type="pct"/>
            <w:vAlign w:val="center"/>
          </w:tcPr>
          <w:p w14:paraId="7B46BDB2"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13.2</w:t>
            </w:r>
          </w:p>
        </w:tc>
        <w:tc>
          <w:tcPr>
            <w:tcW w:w="520" w:type="pct"/>
            <w:vAlign w:val="center"/>
          </w:tcPr>
          <w:p w14:paraId="63E85963"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−0.84</w:t>
            </w:r>
          </w:p>
        </w:tc>
        <w:tc>
          <w:tcPr>
            <w:tcW w:w="652" w:type="pct"/>
            <w:vAlign w:val="center"/>
          </w:tcPr>
          <w:p w14:paraId="63BA1164"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−14.00***</w:t>
            </w:r>
          </w:p>
        </w:tc>
        <w:tc>
          <w:tcPr>
            <w:tcW w:w="764" w:type="pct"/>
            <w:vAlign w:val="center"/>
          </w:tcPr>
          <w:p w14:paraId="743A0EC7"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24457.0***</w:t>
            </w:r>
          </w:p>
        </w:tc>
        <w:tc>
          <w:tcPr>
            <w:tcW w:w="775" w:type="pct"/>
            <w:vAlign w:val="center"/>
          </w:tcPr>
          <w:p w14:paraId="7255E63F" w14:textId="77777777" w:rsidR="00BA00BD" w:rsidRPr="00E22C51" w:rsidRDefault="00BA00BD" w:rsidP="00B8290A">
            <w:pPr>
              <w:pStyle w:val="HTMLpr-formatado"/>
              <w:shd w:val="clear" w:color="auto" w:fill="FFFFFF"/>
              <w:wordWrap w:val="0"/>
              <w:spacing w:line="240" w:lineRule="atLeast"/>
              <w:rPr>
                <w:rFonts w:ascii="Times New Roman" w:hAnsi="Times New Roman" w:cs="Times New Roman"/>
                <w:sz w:val="22"/>
                <w:szCs w:val="22"/>
              </w:rPr>
            </w:pPr>
            <w:r w:rsidRPr="00E22C51">
              <w:rPr>
                <w:rStyle w:val="go2hclqbb5b"/>
                <w:rFonts w:ascii="Times New Roman" w:hAnsi="Times New Roman" w:cs="Times New Roman"/>
                <w:sz w:val="22"/>
                <w:szCs w:val="22"/>
                <w:bdr w:val="none" w:sz="0" w:space="0" w:color="auto" w:frame="1"/>
              </w:rPr>
              <w:t>0.0451</w:t>
            </w:r>
          </w:p>
          <w:p w14:paraId="646EE5C3"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p>
        </w:tc>
      </w:tr>
      <w:tr w:rsidR="00BA00BD" w:rsidRPr="00E22C51" w14:paraId="43D18E7C" w14:textId="77777777" w:rsidTr="00B8290A">
        <w:tc>
          <w:tcPr>
            <w:tcW w:w="1168" w:type="pct"/>
            <w:vAlign w:val="center"/>
          </w:tcPr>
          <w:p w14:paraId="4F82E1C2"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Recycling</w:t>
            </w:r>
          </w:p>
        </w:tc>
        <w:tc>
          <w:tcPr>
            <w:tcW w:w="408" w:type="pct"/>
            <w:vAlign w:val="center"/>
          </w:tcPr>
          <w:p w14:paraId="6B1BB467"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0.038</w:t>
            </w:r>
          </w:p>
        </w:tc>
        <w:tc>
          <w:tcPr>
            <w:tcW w:w="267" w:type="pct"/>
            <w:vAlign w:val="center"/>
          </w:tcPr>
          <w:p w14:paraId="20E4C6F6"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1.21</w:t>
            </w:r>
          </w:p>
        </w:tc>
        <w:tc>
          <w:tcPr>
            <w:tcW w:w="446" w:type="pct"/>
            <w:vAlign w:val="center"/>
          </w:tcPr>
          <w:p w14:paraId="03B18272"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8.1</w:t>
            </w:r>
          </w:p>
        </w:tc>
        <w:tc>
          <w:tcPr>
            <w:tcW w:w="520" w:type="pct"/>
            <w:vAlign w:val="center"/>
          </w:tcPr>
          <w:p w14:paraId="4BE5EFEF"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−0.63</w:t>
            </w:r>
          </w:p>
        </w:tc>
        <w:tc>
          <w:tcPr>
            <w:tcW w:w="652" w:type="pct"/>
            <w:vAlign w:val="center"/>
          </w:tcPr>
          <w:p w14:paraId="4F327738"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−14.78***</w:t>
            </w:r>
          </w:p>
        </w:tc>
        <w:tc>
          <w:tcPr>
            <w:tcW w:w="764" w:type="pct"/>
            <w:vAlign w:val="center"/>
          </w:tcPr>
          <w:p w14:paraId="5E147F8D"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9291.7***</w:t>
            </w:r>
          </w:p>
        </w:tc>
        <w:tc>
          <w:tcPr>
            <w:tcW w:w="775" w:type="pct"/>
            <w:vAlign w:val="center"/>
          </w:tcPr>
          <w:p w14:paraId="536E26C1" w14:textId="77777777" w:rsidR="00BA00BD" w:rsidRPr="00E22C51" w:rsidRDefault="00BA00BD" w:rsidP="00B8290A">
            <w:pPr>
              <w:pStyle w:val="HTMLpr-formatado"/>
              <w:shd w:val="clear" w:color="auto" w:fill="FFFFFF"/>
              <w:wordWrap w:val="0"/>
              <w:spacing w:line="240" w:lineRule="atLeast"/>
              <w:rPr>
                <w:rFonts w:ascii="Times New Roman" w:hAnsi="Times New Roman" w:cs="Times New Roman"/>
                <w:sz w:val="22"/>
                <w:szCs w:val="22"/>
              </w:rPr>
            </w:pPr>
            <w:r w:rsidRPr="00E22C51">
              <w:rPr>
                <w:rStyle w:val="go2hclqbb5b"/>
                <w:rFonts w:ascii="Times New Roman" w:hAnsi="Times New Roman" w:cs="Times New Roman"/>
                <w:sz w:val="22"/>
                <w:szCs w:val="22"/>
                <w:bdr w:val="none" w:sz="0" w:space="0" w:color="auto" w:frame="1"/>
              </w:rPr>
              <w:t>0.0279</w:t>
            </w:r>
          </w:p>
        </w:tc>
      </w:tr>
      <w:tr w:rsidR="00BA00BD" w:rsidRPr="00E22C51" w14:paraId="281B241D" w14:textId="77777777" w:rsidTr="00B8290A">
        <w:tc>
          <w:tcPr>
            <w:tcW w:w="1168" w:type="pct"/>
            <w:vAlign w:val="center"/>
          </w:tcPr>
          <w:p w14:paraId="5953F2C1"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Water</w:t>
            </w:r>
          </w:p>
        </w:tc>
        <w:tc>
          <w:tcPr>
            <w:tcW w:w="408" w:type="pct"/>
            <w:vAlign w:val="center"/>
          </w:tcPr>
          <w:p w14:paraId="0494A970"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0.027</w:t>
            </w:r>
          </w:p>
        </w:tc>
        <w:tc>
          <w:tcPr>
            <w:tcW w:w="267" w:type="pct"/>
            <w:vAlign w:val="center"/>
          </w:tcPr>
          <w:p w14:paraId="5634E090"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1.04</w:t>
            </w:r>
          </w:p>
        </w:tc>
        <w:tc>
          <w:tcPr>
            <w:tcW w:w="446" w:type="pct"/>
            <w:vAlign w:val="center"/>
          </w:tcPr>
          <w:p w14:paraId="4597DAF7"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9.7</w:t>
            </w:r>
          </w:p>
        </w:tc>
        <w:tc>
          <w:tcPr>
            <w:tcW w:w="520" w:type="pct"/>
            <w:vAlign w:val="center"/>
          </w:tcPr>
          <w:p w14:paraId="6DB809B9"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−0.52</w:t>
            </w:r>
          </w:p>
        </w:tc>
        <w:tc>
          <w:tcPr>
            <w:tcW w:w="652" w:type="pct"/>
            <w:vAlign w:val="center"/>
          </w:tcPr>
          <w:p w14:paraId="4859EFCC"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−14.77***</w:t>
            </w:r>
          </w:p>
        </w:tc>
        <w:tc>
          <w:tcPr>
            <w:tcW w:w="764" w:type="pct"/>
            <w:vAlign w:val="center"/>
          </w:tcPr>
          <w:p w14:paraId="3D514D09" w14:textId="77777777" w:rsidR="00BA00BD" w:rsidRPr="00E22C51" w:rsidRDefault="00BA00BD" w:rsidP="00B8290A">
            <w:pPr>
              <w:pStyle w:val="MDPI31text"/>
              <w:spacing w:after="120" w:line="240" w:lineRule="auto"/>
              <w:ind w:firstLine="0"/>
              <w:jc w:val="left"/>
              <w:rPr>
                <w:rFonts w:ascii="Times New Roman" w:hAnsi="Times New Roman"/>
                <w:color w:val="auto"/>
                <w:sz w:val="22"/>
              </w:rPr>
            </w:pPr>
            <w:r w:rsidRPr="00E22C51">
              <w:rPr>
                <w:rFonts w:ascii="Times New Roman" w:hAnsi="Times New Roman"/>
                <w:color w:val="auto"/>
                <w:sz w:val="22"/>
              </w:rPr>
              <w:t>13205.0***</w:t>
            </w:r>
          </w:p>
        </w:tc>
        <w:tc>
          <w:tcPr>
            <w:tcW w:w="775" w:type="pct"/>
            <w:vAlign w:val="center"/>
          </w:tcPr>
          <w:p w14:paraId="730529A2" w14:textId="77777777" w:rsidR="00BA00BD" w:rsidRPr="00E22C51" w:rsidRDefault="00BA00BD" w:rsidP="00B8290A">
            <w:pPr>
              <w:pStyle w:val="HTMLpr-formatado"/>
              <w:shd w:val="clear" w:color="auto" w:fill="FFFFFF"/>
              <w:wordWrap w:val="0"/>
              <w:spacing w:line="240" w:lineRule="atLeast"/>
              <w:rPr>
                <w:rFonts w:ascii="Times New Roman" w:hAnsi="Times New Roman" w:cs="Times New Roman"/>
                <w:sz w:val="22"/>
                <w:szCs w:val="22"/>
              </w:rPr>
            </w:pPr>
            <w:r w:rsidRPr="00E22C51">
              <w:rPr>
                <w:rStyle w:val="go2hclqbb5b"/>
                <w:rFonts w:ascii="Times New Roman" w:hAnsi="Times New Roman" w:cs="Times New Roman"/>
                <w:sz w:val="22"/>
                <w:szCs w:val="22"/>
                <w:bdr w:val="none" w:sz="0" w:space="0" w:color="auto" w:frame="1"/>
              </w:rPr>
              <w:t>0.0279</w:t>
            </w:r>
          </w:p>
        </w:tc>
      </w:tr>
    </w:tbl>
    <w:p w14:paraId="3445348B" w14:textId="77777777" w:rsidR="00BA00BD" w:rsidRPr="00BA00BD" w:rsidRDefault="00BA00BD" w:rsidP="00BA00BD">
      <w:pPr>
        <w:autoSpaceDE w:val="0"/>
        <w:autoSpaceDN w:val="0"/>
        <w:adjustRightInd w:val="0"/>
        <w:spacing w:after="240" w:line="240" w:lineRule="auto"/>
        <w:rPr>
          <w:rFonts w:asciiTheme="majorBidi" w:hAnsiTheme="majorBidi" w:cstheme="majorBidi"/>
          <w:szCs w:val="24"/>
          <w:lang w:val="en-US"/>
        </w:rPr>
      </w:pPr>
      <w:r w:rsidRPr="00BA00BD">
        <w:rPr>
          <w:rFonts w:asciiTheme="majorBidi" w:hAnsiTheme="majorBidi" w:cstheme="majorBidi"/>
          <w:szCs w:val="24"/>
          <w:lang w:val="en-US"/>
        </w:rPr>
        <w:t>Notes: *** denotes a 1% level of significance.</w:t>
      </w:r>
    </w:p>
    <w:p w14:paraId="48924F42" w14:textId="77777777" w:rsidR="001F01D5" w:rsidRDefault="001F01D5">
      <w:pPr>
        <w:rPr>
          <w:rFonts w:asciiTheme="majorBidi" w:eastAsia="Times New Roman" w:hAnsiTheme="majorBidi" w:cstheme="majorBidi"/>
          <w:sz w:val="24"/>
          <w:szCs w:val="24"/>
          <w:lang w:val="en-US"/>
        </w:rPr>
      </w:pPr>
    </w:p>
    <w:p w14:paraId="2FF76487" w14:textId="4FE54F01" w:rsidR="001F01D5" w:rsidRDefault="001F01D5" w:rsidP="001F01D5">
      <w:pPr>
        <w:shd w:val="clear" w:color="auto" w:fill="FFFFFF"/>
        <w:spacing w:after="0" w:line="240" w:lineRule="auto"/>
        <w:ind w:firstLine="510"/>
        <w:rPr>
          <w:rFonts w:asciiTheme="majorBidi" w:hAnsiTheme="majorBidi" w:cstheme="majorBidi"/>
          <w:szCs w:val="24"/>
          <w:lang w:val="en-US"/>
        </w:rPr>
      </w:pPr>
      <w:r w:rsidRPr="00F37C90">
        <w:rPr>
          <w:rFonts w:asciiTheme="majorBidi" w:hAnsiTheme="majorBidi" w:cstheme="majorBidi"/>
          <w:b/>
          <w:bCs/>
          <w:szCs w:val="24"/>
          <w:lang w:val="en-US"/>
        </w:rPr>
        <w:t>Table S</w:t>
      </w:r>
      <w:r>
        <w:rPr>
          <w:rFonts w:asciiTheme="majorBidi" w:hAnsiTheme="majorBidi" w:cstheme="majorBidi"/>
          <w:b/>
          <w:bCs/>
          <w:szCs w:val="24"/>
          <w:lang w:val="en-US"/>
        </w:rPr>
        <w:t xml:space="preserve">3. </w:t>
      </w:r>
      <w:r w:rsidRPr="00F37C90">
        <w:rPr>
          <w:rFonts w:asciiTheme="majorBidi" w:hAnsiTheme="majorBidi" w:cstheme="majorBidi"/>
          <w:szCs w:val="24"/>
          <w:lang w:val="en-US"/>
        </w:rPr>
        <w:t>Descriptive statistics of quantile level and connectedness measures</w:t>
      </w:r>
    </w:p>
    <w:p w14:paraId="40D868CF" w14:textId="77777777" w:rsidR="001F01D5" w:rsidRPr="00F37C90" w:rsidRDefault="001F01D5" w:rsidP="001F01D5">
      <w:pPr>
        <w:shd w:val="clear" w:color="auto" w:fill="FFFFFF"/>
        <w:spacing w:after="0" w:line="240" w:lineRule="auto"/>
        <w:ind w:firstLine="510"/>
        <w:rPr>
          <w:rFonts w:asciiTheme="majorBidi" w:hAnsiTheme="majorBidi" w:cstheme="majorBidi"/>
          <w:szCs w:val="24"/>
          <w:lang w:val="en-US"/>
        </w:rPr>
      </w:pPr>
    </w:p>
    <w:tbl>
      <w:tblPr>
        <w:tblStyle w:val="TabelacomGrelha"/>
        <w:tblW w:w="0" w:type="auto"/>
        <w:jc w:val="center"/>
        <w:tblBorders>
          <w:left w:val="none" w:sz="0" w:space="0" w:color="auto"/>
          <w:right w:val="none" w:sz="0" w:space="0" w:color="auto"/>
          <w:insideH w:val="none" w:sz="0" w:space="0" w:color="auto"/>
          <w:insideV w:val="none" w:sz="0" w:space="0" w:color="auto"/>
        </w:tblBorders>
        <w:tblLayout w:type="fixed"/>
        <w:tblCellMar>
          <w:left w:w="43" w:type="dxa"/>
          <w:right w:w="115" w:type="dxa"/>
        </w:tblCellMar>
        <w:tblLook w:val="04A0" w:firstRow="1" w:lastRow="0" w:firstColumn="1" w:lastColumn="0" w:noHBand="0" w:noVBand="1"/>
      </w:tblPr>
      <w:tblGrid>
        <w:gridCol w:w="4855"/>
        <w:gridCol w:w="1440"/>
        <w:gridCol w:w="810"/>
        <w:gridCol w:w="900"/>
        <w:gridCol w:w="900"/>
      </w:tblGrid>
      <w:tr w:rsidR="001F01D5" w:rsidRPr="00F37C90" w14:paraId="70822629" w14:textId="77777777" w:rsidTr="003F7C0D">
        <w:trPr>
          <w:jc w:val="center"/>
        </w:trPr>
        <w:tc>
          <w:tcPr>
            <w:tcW w:w="4855" w:type="dxa"/>
            <w:tcBorders>
              <w:top w:val="single" w:sz="4" w:space="0" w:color="auto"/>
              <w:bottom w:val="single" w:sz="4" w:space="0" w:color="auto"/>
            </w:tcBorders>
            <w:vAlign w:val="center"/>
          </w:tcPr>
          <w:p w14:paraId="493997E7" w14:textId="77777777" w:rsidR="001F01D5" w:rsidRPr="00F37C90" w:rsidRDefault="001F01D5" w:rsidP="003F7C0D">
            <w:pPr>
              <w:spacing w:line="276" w:lineRule="auto"/>
              <w:rPr>
                <w:rFonts w:ascii="Times New Roman" w:eastAsia="Times New Roman" w:hAnsi="Times New Roman" w:cs="Times New Roman"/>
                <w:b/>
                <w:bCs/>
                <w:sz w:val="24"/>
                <w:szCs w:val="24"/>
              </w:rPr>
            </w:pPr>
            <w:r w:rsidRPr="00F37C90">
              <w:rPr>
                <w:rFonts w:ascii="Times New Roman" w:eastAsia="Times New Roman" w:hAnsi="Times New Roman" w:cs="Times New Roman"/>
                <w:b/>
                <w:bCs/>
                <w:sz w:val="24"/>
                <w:szCs w:val="24"/>
              </w:rPr>
              <w:t>Quantile level and connectedness measures</w:t>
            </w:r>
          </w:p>
        </w:tc>
        <w:tc>
          <w:tcPr>
            <w:tcW w:w="1440" w:type="dxa"/>
            <w:tcBorders>
              <w:top w:val="single" w:sz="4" w:space="0" w:color="auto"/>
              <w:bottom w:val="single" w:sz="4" w:space="0" w:color="auto"/>
            </w:tcBorders>
            <w:vAlign w:val="center"/>
          </w:tcPr>
          <w:p w14:paraId="4185566E" w14:textId="77777777" w:rsidR="001F01D5" w:rsidRPr="00F37C90" w:rsidRDefault="001F01D5" w:rsidP="003F7C0D">
            <w:pPr>
              <w:spacing w:line="276" w:lineRule="auto"/>
              <w:rPr>
                <w:rFonts w:ascii="Times New Roman" w:eastAsia="Times New Roman" w:hAnsi="Times New Roman" w:cs="Times New Roman"/>
                <w:b/>
                <w:bCs/>
                <w:sz w:val="24"/>
                <w:szCs w:val="24"/>
              </w:rPr>
            </w:pPr>
            <w:r w:rsidRPr="00F37C90">
              <w:rPr>
                <w:rFonts w:ascii="Times New Roman" w:eastAsia="Times New Roman" w:hAnsi="Times New Roman" w:cs="Times New Roman"/>
                <w:b/>
                <w:bCs/>
                <w:sz w:val="24"/>
                <w:szCs w:val="24"/>
              </w:rPr>
              <w:t>Mean</w:t>
            </w:r>
          </w:p>
        </w:tc>
        <w:tc>
          <w:tcPr>
            <w:tcW w:w="810" w:type="dxa"/>
            <w:tcBorders>
              <w:top w:val="single" w:sz="4" w:space="0" w:color="auto"/>
              <w:bottom w:val="single" w:sz="4" w:space="0" w:color="auto"/>
            </w:tcBorders>
            <w:vAlign w:val="center"/>
          </w:tcPr>
          <w:p w14:paraId="335187D0" w14:textId="77777777" w:rsidR="001F01D5" w:rsidRPr="00F37C90" w:rsidRDefault="001F01D5" w:rsidP="003F7C0D">
            <w:pPr>
              <w:spacing w:line="276" w:lineRule="auto"/>
              <w:rPr>
                <w:rFonts w:ascii="Times New Roman" w:eastAsia="Times New Roman" w:hAnsi="Times New Roman" w:cs="Times New Roman"/>
                <w:b/>
                <w:bCs/>
                <w:sz w:val="24"/>
                <w:szCs w:val="24"/>
              </w:rPr>
            </w:pPr>
            <w:r w:rsidRPr="00F37C90">
              <w:rPr>
                <w:rFonts w:ascii="Times New Roman" w:eastAsia="Times New Roman" w:hAnsi="Times New Roman" w:cs="Times New Roman"/>
                <w:b/>
                <w:bCs/>
                <w:sz w:val="24"/>
                <w:szCs w:val="24"/>
              </w:rPr>
              <w:t>S.D.</w:t>
            </w:r>
          </w:p>
        </w:tc>
        <w:tc>
          <w:tcPr>
            <w:tcW w:w="900" w:type="dxa"/>
            <w:tcBorders>
              <w:top w:val="single" w:sz="4" w:space="0" w:color="auto"/>
              <w:bottom w:val="single" w:sz="4" w:space="0" w:color="auto"/>
            </w:tcBorders>
            <w:vAlign w:val="center"/>
          </w:tcPr>
          <w:p w14:paraId="59D405D6" w14:textId="77777777" w:rsidR="001F01D5" w:rsidRPr="00F37C90" w:rsidRDefault="001F01D5" w:rsidP="003F7C0D">
            <w:pPr>
              <w:spacing w:line="276" w:lineRule="auto"/>
              <w:rPr>
                <w:rFonts w:ascii="Times New Roman" w:eastAsia="Times New Roman" w:hAnsi="Times New Roman" w:cs="Times New Roman"/>
                <w:b/>
                <w:bCs/>
                <w:sz w:val="24"/>
                <w:szCs w:val="24"/>
              </w:rPr>
            </w:pPr>
            <w:r w:rsidRPr="00F37C90">
              <w:rPr>
                <w:rFonts w:ascii="Times New Roman" w:eastAsia="Times New Roman" w:hAnsi="Times New Roman" w:cs="Times New Roman"/>
                <w:b/>
                <w:bCs/>
                <w:sz w:val="24"/>
                <w:szCs w:val="24"/>
              </w:rPr>
              <w:t>Min.</w:t>
            </w:r>
          </w:p>
        </w:tc>
        <w:tc>
          <w:tcPr>
            <w:tcW w:w="900" w:type="dxa"/>
            <w:tcBorders>
              <w:top w:val="single" w:sz="4" w:space="0" w:color="auto"/>
              <w:bottom w:val="single" w:sz="4" w:space="0" w:color="auto"/>
            </w:tcBorders>
            <w:vAlign w:val="center"/>
          </w:tcPr>
          <w:p w14:paraId="35F0C353" w14:textId="77777777" w:rsidR="001F01D5" w:rsidRPr="00F37C90" w:rsidRDefault="001F01D5" w:rsidP="003F7C0D">
            <w:pPr>
              <w:spacing w:line="276" w:lineRule="auto"/>
              <w:rPr>
                <w:rFonts w:ascii="Times New Roman" w:eastAsia="Times New Roman" w:hAnsi="Times New Roman" w:cs="Times New Roman"/>
                <w:b/>
                <w:bCs/>
                <w:sz w:val="24"/>
                <w:szCs w:val="24"/>
              </w:rPr>
            </w:pPr>
            <w:r w:rsidRPr="00F37C90">
              <w:rPr>
                <w:rFonts w:ascii="Times New Roman" w:eastAsia="Times New Roman" w:hAnsi="Times New Roman" w:cs="Times New Roman"/>
                <w:b/>
                <w:bCs/>
                <w:sz w:val="24"/>
                <w:szCs w:val="24"/>
              </w:rPr>
              <w:t>Max.</w:t>
            </w:r>
          </w:p>
        </w:tc>
      </w:tr>
      <w:tr w:rsidR="001F01D5" w:rsidRPr="006B37A1" w14:paraId="0AD884D6" w14:textId="77777777" w:rsidTr="003F7C0D">
        <w:trPr>
          <w:jc w:val="center"/>
        </w:trPr>
        <w:tc>
          <w:tcPr>
            <w:tcW w:w="8905" w:type="dxa"/>
            <w:gridSpan w:val="5"/>
            <w:tcBorders>
              <w:top w:val="single" w:sz="4" w:space="0" w:color="auto"/>
            </w:tcBorders>
            <w:vAlign w:val="center"/>
          </w:tcPr>
          <w:p w14:paraId="4BFED905" w14:textId="77777777" w:rsidR="001F01D5" w:rsidRPr="00F37C90" w:rsidRDefault="001F01D5" w:rsidP="003F7C0D">
            <w:pPr>
              <w:spacing w:line="276" w:lineRule="auto"/>
              <w:rPr>
                <w:rFonts w:ascii="Times New Roman" w:eastAsia="Times New Roman" w:hAnsi="Times New Roman" w:cs="Times New Roman"/>
                <w:b/>
                <w:bCs/>
                <w:sz w:val="24"/>
                <w:szCs w:val="24"/>
              </w:rPr>
            </w:pPr>
            <w:r w:rsidRPr="00F37C90">
              <w:rPr>
                <w:rFonts w:ascii="Times New Roman" w:eastAsia="Times New Roman" w:hAnsi="Times New Roman" w:cs="Times New Roman"/>
                <w:b/>
                <w:bCs/>
                <w:sz w:val="24"/>
                <w:szCs w:val="24"/>
              </w:rPr>
              <w:t>Total Connectedness Index (</w:t>
            </w:r>
            <w:proofErr w:type="spellStart"/>
            <w:r w:rsidRPr="00F37C90">
              <w:rPr>
                <w:rFonts w:ascii="Times New Roman" w:eastAsia="Times New Roman" w:hAnsi="Times New Roman" w:cs="Times New Roman"/>
                <w:b/>
                <w:bCs/>
                <w:sz w:val="24"/>
                <w:szCs w:val="24"/>
              </w:rPr>
              <w:t>cTCI</w:t>
            </w:r>
            <w:proofErr w:type="spellEnd"/>
            <w:r w:rsidRPr="00F37C90">
              <w:rPr>
                <w:rFonts w:ascii="Times New Roman" w:eastAsia="Times New Roman" w:hAnsi="Times New Roman" w:cs="Times New Roman"/>
                <w:b/>
                <w:bCs/>
                <w:sz w:val="24"/>
                <w:szCs w:val="24"/>
              </w:rPr>
              <w:t>/CTI)</w:t>
            </w:r>
          </w:p>
        </w:tc>
      </w:tr>
      <w:tr w:rsidR="001F01D5" w:rsidRPr="00F37C90" w14:paraId="4224845F" w14:textId="77777777" w:rsidTr="003F7C0D">
        <w:trPr>
          <w:jc w:val="center"/>
        </w:trPr>
        <w:tc>
          <w:tcPr>
            <w:tcW w:w="4855" w:type="dxa"/>
            <w:vAlign w:val="center"/>
          </w:tcPr>
          <w:p w14:paraId="2F6CCE6D" w14:textId="77777777" w:rsidR="001F01D5" w:rsidRPr="00F37C90" w:rsidRDefault="001F01D5" w:rsidP="003F7C0D">
            <w:pPr>
              <w:spacing w:line="276" w:lineRule="auto"/>
              <w:rPr>
                <w:rFonts w:ascii="Times New Roman" w:eastAsia="Times New Roman" w:hAnsi="Times New Roman" w:cs="Times New Roman"/>
                <w:bCs/>
                <w:sz w:val="24"/>
                <w:szCs w:val="24"/>
              </w:rPr>
            </w:pPr>
            <w:r w:rsidRPr="00F37C90">
              <w:rPr>
                <w:rFonts w:ascii="Times New Roman" w:eastAsia="Times New Roman" w:hAnsi="Times New Roman" w:cs="Times New Roman"/>
                <w:bCs/>
                <w:sz w:val="24"/>
                <w:szCs w:val="24"/>
              </w:rPr>
              <w:t>Median quantile</w:t>
            </w:r>
          </w:p>
        </w:tc>
        <w:tc>
          <w:tcPr>
            <w:tcW w:w="1440" w:type="dxa"/>
            <w:vAlign w:val="center"/>
          </w:tcPr>
          <w:p w14:paraId="7C37E66A"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84.48/77.44</w:t>
            </w:r>
          </w:p>
        </w:tc>
        <w:tc>
          <w:tcPr>
            <w:tcW w:w="810" w:type="dxa"/>
            <w:vAlign w:val="center"/>
          </w:tcPr>
          <w:p w14:paraId="078F60E7"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7.37</w:t>
            </w:r>
          </w:p>
        </w:tc>
        <w:tc>
          <w:tcPr>
            <w:tcW w:w="900" w:type="dxa"/>
            <w:vAlign w:val="center"/>
          </w:tcPr>
          <w:p w14:paraId="22854314"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62.15</w:t>
            </w:r>
          </w:p>
        </w:tc>
        <w:tc>
          <w:tcPr>
            <w:tcW w:w="900" w:type="dxa"/>
            <w:vAlign w:val="center"/>
          </w:tcPr>
          <w:p w14:paraId="6D6B22D7"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96.19</w:t>
            </w:r>
          </w:p>
        </w:tc>
      </w:tr>
      <w:tr w:rsidR="001F01D5" w:rsidRPr="00F37C90" w14:paraId="2AA32824" w14:textId="77777777" w:rsidTr="003F7C0D">
        <w:trPr>
          <w:jc w:val="center"/>
        </w:trPr>
        <w:tc>
          <w:tcPr>
            <w:tcW w:w="4855" w:type="dxa"/>
            <w:vAlign w:val="center"/>
          </w:tcPr>
          <w:p w14:paraId="0DF70A81" w14:textId="77777777" w:rsidR="001F01D5" w:rsidRPr="00F37C90" w:rsidRDefault="001F01D5" w:rsidP="003F7C0D">
            <w:pPr>
              <w:spacing w:line="276" w:lineRule="auto"/>
              <w:rPr>
                <w:rFonts w:ascii="Times New Roman" w:eastAsia="Times New Roman" w:hAnsi="Times New Roman" w:cs="Times New Roman"/>
                <w:bCs/>
                <w:sz w:val="24"/>
                <w:szCs w:val="24"/>
              </w:rPr>
            </w:pPr>
            <w:r w:rsidRPr="00F37C90">
              <w:rPr>
                <w:rFonts w:ascii="Times New Roman" w:eastAsia="Times New Roman" w:hAnsi="Times New Roman" w:cs="Times New Roman"/>
                <w:bCs/>
                <w:sz w:val="24"/>
                <w:szCs w:val="24"/>
              </w:rPr>
              <w:t>Lower quantile</w:t>
            </w:r>
          </w:p>
        </w:tc>
        <w:tc>
          <w:tcPr>
            <w:tcW w:w="1440" w:type="dxa"/>
            <w:vAlign w:val="center"/>
          </w:tcPr>
          <w:p w14:paraId="595AB01B"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97.51/89.39</w:t>
            </w:r>
          </w:p>
        </w:tc>
        <w:tc>
          <w:tcPr>
            <w:tcW w:w="810" w:type="dxa"/>
            <w:vAlign w:val="center"/>
          </w:tcPr>
          <w:p w14:paraId="0722F353"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1.37</w:t>
            </w:r>
          </w:p>
        </w:tc>
        <w:tc>
          <w:tcPr>
            <w:tcW w:w="900" w:type="dxa"/>
            <w:vAlign w:val="center"/>
          </w:tcPr>
          <w:p w14:paraId="62DD5FC3"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92.84</w:t>
            </w:r>
          </w:p>
        </w:tc>
        <w:tc>
          <w:tcPr>
            <w:tcW w:w="900" w:type="dxa"/>
            <w:vAlign w:val="center"/>
          </w:tcPr>
          <w:p w14:paraId="61AFA6E9"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102.03</w:t>
            </w:r>
          </w:p>
        </w:tc>
      </w:tr>
      <w:tr w:rsidR="001F01D5" w:rsidRPr="00F37C90" w14:paraId="319D82FF" w14:textId="77777777" w:rsidTr="003F7C0D">
        <w:trPr>
          <w:jc w:val="center"/>
        </w:trPr>
        <w:tc>
          <w:tcPr>
            <w:tcW w:w="4855" w:type="dxa"/>
            <w:vAlign w:val="center"/>
          </w:tcPr>
          <w:p w14:paraId="5047AB58" w14:textId="77777777" w:rsidR="001F01D5" w:rsidRPr="00F37C90" w:rsidRDefault="001F01D5" w:rsidP="003F7C0D">
            <w:pPr>
              <w:spacing w:line="276" w:lineRule="auto"/>
              <w:rPr>
                <w:rFonts w:ascii="Times New Roman" w:eastAsia="Times New Roman" w:hAnsi="Times New Roman" w:cs="Times New Roman"/>
                <w:bCs/>
                <w:sz w:val="24"/>
                <w:szCs w:val="24"/>
              </w:rPr>
            </w:pPr>
            <w:r w:rsidRPr="00F37C90">
              <w:rPr>
                <w:rFonts w:ascii="Times New Roman" w:eastAsia="Times New Roman" w:hAnsi="Times New Roman" w:cs="Times New Roman"/>
                <w:bCs/>
                <w:sz w:val="24"/>
                <w:szCs w:val="24"/>
              </w:rPr>
              <w:t>Upper quantile</w:t>
            </w:r>
          </w:p>
        </w:tc>
        <w:tc>
          <w:tcPr>
            <w:tcW w:w="1440" w:type="dxa"/>
            <w:vAlign w:val="center"/>
          </w:tcPr>
          <w:p w14:paraId="688526A2"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96.97/88.89</w:t>
            </w:r>
          </w:p>
        </w:tc>
        <w:tc>
          <w:tcPr>
            <w:tcW w:w="810" w:type="dxa"/>
            <w:vAlign w:val="center"/>
          </w:tcPr>
          <w:p w14:paraId="5728029F"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1.33</w:t>
            </w:r>
          </w:p>
        </w:tc>
        <w:tc>
          <w:tcPr>
            <w:tcW w:w="900" w:type="dxa"/>
            <w:vAlign w:val="center"/>
          </w:tcPr>
          <w:p w14:paraId="34F96B93"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92.73</w:t>
            </w:r>
          </w:p>
        </w:tc>
        <w:tc>
          <w:tcPr>
            <w:tcW w:w="900" w:type="dxa"/>
            <w:vAlign w:val="center"/>
          </w:tcPr>
          <w:p w14:paraId="5FA0A9C3"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101.27</w:t>
            </w:r>
          </w:p>
        </w:tc>
      </w:tr>
      <w:tr w:rsidR="001F01D5" w:rsidRPr="00F37C90" w14:paraId="482D6FFB" w14:textId="77777777" w:rsidTr="003F7C0D">
        <w:trPr>
          <w:jc w:val="center"/>
        </w:trPr>
        <w:tc>
          <w:tcPr>
            <w:tcW w:w="8905" w:type="dxa"/>
            <w:gridSpan w:val="5"/>
            <w:vAlign w:val="center"/>
          </w:tcPr>
          <w:p w14:paraId="02B72C5C" w14:textId="77777777" w:rsidR="001F01D5" w:rsidRPr="00F37C90" w:rsidRDefault="001F01D5" w:rsidP="003F7C0D">
            <w:pPr>
              <w:spacing w:line="276" w:lineRule="auto"/>
              <w:rPr>
                <w:rFonts w:ascii="Times New Roman" w:eastAsia="Times New Roman" w:hAnsi="Times New Roman" w:cs="Times New Roman"/>
                <w:b/>
                <w:bCs/>
                <w:sz w:val="24"/>
                <w:szCs w:val="24"/>
              </w:rPr>
            </w:pPr>
            <w:r w:rsidRPr="00F37C90">
              <w:rPr>
                <w:rFonts w:ascii="Times New Roman" w:eastAsia="Times New Roman" w:hAnsi="Times New Roman" w:cs="Times New Roman"/>
                <w:b/>
                <w:bCs/>
                <w:sz w:val="24"/>
                <w:szCs w:val="24"/>
              </w:rPr>
              <w:t>Directional connectedness TO others</w:t>
            </w:r>
          </w:p>
        </w:tc>
      </w:tr>
      <w:tr w:rsidR="001F01D5" w:rsidRPr="00F37C90" w14:paraId="01AC22E9" w14:textId="77777777" w:rsidTr="003F7C0D">
        <w:trPr>
          <w:jc w:val="center"/>
        </w:trPr>
        <w:tc>
          <w:tcPr>
            <w:tcW w:w="4855" w:type="dxa"/>
            <w:vAlign w:val="center"/>
          </w:tcPr>
          <w:p w14:paraId="122DD09F" w14:textId="77777777" w:rsidR="001F01D5" w:rsidRPr="00F37C90" w:rsidRDefault="001F01D5" w:rsidP="003F7C0D">
            <w:pPr>
              <w:spacing w:line="276" w:lineRule="auto"/>
              <w:rPr>
                <w:rFonts w:ascii="Times New Roman" w:eastAsia="Times New Roman" w:hAnsi="Times New Roman" w:cs="Times New Roman"/>
                <w:bCs/>
                <w:sz w:val="24"/>
                <w:szCs w:val="24"/>
              </w:rPr>
            </w:pPr>
            <w:r w:rsidRPr="00F37C90">
              <w:rPr>
                <w:rFonts w:ascii="Times New Roman" w:eastAsia="Times New Roman" w:hAnsi="Times New Roman" w:cs="Times New Roman"/>
                <w:bCs/>
                <w:sz w:val="24"/>
                <w:szCs w:val="24"/>
              </w:rPr>
              <w:t>Median quantile</w:t>
            </w:r>
          </w:p>
        </w:tc>
        <w:tc>
          <w:tcPr>
            <w:tcW w:w="1440" w:type="dxa"/>
            <w:vAlign w:val="center"/>
          </w:tcPr>
          <w:p w14:paraId="02A9257A"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77.44</w:t>
            </w:r>
          </w:p>
        </w:tc>
        <w:tc>
          <w:tcPr>
            <w:tcW w:w="810" w:type="dxa"/>
            <w:vAlign w:val="center"/>
          </w:tcPr>
          <w:p w14:paraId="2E0F7843"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17.16</w:t>
            </w:r>
          </w:p>
        </w:tc>
        <w:tc>
          <w:tcPr>
            <w:tcW w:w="900" w:type="dxa"/>
            <w:vAlign w:val="center"/>
          </w:tcPr>
          <w:p w14:paraId="22856C00"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9.34</w:t>
            </w:r>
          </w:p>
        </w:tc>
        <w:tc>
          <w:tcPr>
            <w:tcW w:w="900" w:type="dxa"/>
            <w:vAlign w:val="center"/>
          </w:tcPr>
          <w:p w14:paraId="738CF551"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119.92</w:t>
            </w:r>
          </w:p>
        </w:tc>
      </w:tr>
      <w:tr w:rsidR="001F01D5" w:rsidRPr="00F37C90" w14:paraId="6CB156AA" w14:textId="77777777" w:rsidTr="003F7C0D">
        <w:trPr>
          <w:jc w:val="center"/>
        </w:trPr>
        <w:tc>
          <w:tcPr>
            <w:tcW w:w="4855" w:type="dxa"/>
            <w:vAlign w:val="center"/>
          </w:tcPr>
          <w:p w14:paraId="43C3E922" w14:textId="77777777" w:rsidR="001F01D5" w:rsidRPr="00F37C90" w:rsidRDefault="001F01D5" w:rsidP="003F7C0D">
            <w:pPr>
              <w:spacing w:line="276" w:lineRule="auto"/>
              <w:rPr>
                <w:rFonts w:ascii="Times New Roman" w:eastAsia="Times New Roman" w:hAnsi="Times New Roman" w:cs="Times New Roman"/>
                <w:bCs/>
                <w:sz w:val="24"/>
                <w:szCs w:val="24"/>
              </w:rPr>
            </w:pPr>
            <w:r w:rsidRPr="00F37C90">
              <w:rPr>
                <w:rFonts w:ascii="Times New Roman" w:eastAsia="Times New Roman" w:hAnsi="Times New Roman" w:cs="Times New Roman"/>
                <w:bCs/>
                <w:sz w:val="24"/>
                <w:szCs w:val="24"/>
              </w:rPr>
              <w:t>Lower quantile</w:t>
            </w:r>
          </w:p>
        </w:tc>
        <w:tc>
          <w:tcPr>
            <w:tcW w:w="1440" w:type="dxa"/>
            <w:vAlign w:val="center"/>
          </w:tcPr>
          <w:p w14:paraId="4DD3A8CD" w14:textId="77777777" w:rsidR="001F01D5" w:rsidRPr="00F37C90" w:rsidRDefault="001F01D5" w:rsidP="003F7C0D">
            <w:pPr>
              <w:spacing w:line="276" w:lineRule="auto"/>
              <w:rPr>
                <w:rFonts w:ascii="Times New Roman" w:eastAsia="Times New Roman" w:hAnsi="Times New Roman" w:cs="Times New Roman"/>
                <w:b/>
                <w:bCs/>
                <w:sz w:val="24"/>
                <w:szCs w:val="24"/>
              </w:rPr>
            </w:pPr>
            <w:r w:rsidRPr="00F37C90">
              <w:rPr>
                <w:rFonts w:ascii="Times New Roman" w:hAnsi="Times New Roman" w:cs="Times New Roman"/>
                <w:sz w:val="24"/>
                <w:szCs w:val="24"/>
              </w:rPr>
              <w:t>89.39</w:t>
            </w:r>
          </w:p>
        </w:tc>
        <w:tc>
          <w:tcPr>
            <w:tcW w:w="810" w:type="dxa"/>
            <w:vAlign w:val="center"/>
          </w:tcPr>
          <w:p w14:paraId="4BFF9D15"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4.19</w:t>
            </w:r>
          </w:p>
        </w:tc>
        <w:tc>
          <w:tcPr>
            <w:tcW w:w="900" w:type="dxa"/>
            <w:vAlign w:val="center"/>
          </w:tcPr>
          <w:p w14:paraId="283A1BF3"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0.01</w:t>
            </w:r>
          </w:p>
        </w:tc>
        <w:tc>
          <w:tcPr>
            <w:tcW w:w="900" w:type="dxa"/>
            <w:vAlign w:val="center"/>
          </w:tcPr>
          <w:p w14:paraId="584F13A4"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437.92</w:t>
            </w:r>
          </w:p>
        </w:tc>
      </w:tr>
      <w:tr w:rsidR="001F01D5" w:rsidRPr="00F37C90" w14:paraId="69C39B32" w14:textId="77777777" w:rsidTr="003F7C0D">
        <w:trPr>
          <w:jc w:val="center"/>
        </w:trPr>
        <w:tc>
          <w:tcPr>
            <w:tcW w:w="4855" w:type="dxa"/>
            <w:vAlign w:val="center"/>
          </w:tcPr>
          <w:p w14:paraId="6A569AA9" w14:textId="77777777" w:rsidR="001F01D5" w:rsidRPr="00F37C90" w:rsidRDefault="001F01D5" w:rsidP="003F7C0D">
            <w:pPr>
              <w:spacing w:line="276" w:lineRule="auto"/>
              <w:rPr>
                <w:rFonts w:ascii="Times New Roman" w:eastAsia="Times New Roman" w:hAnsi="Times New Roman" w:cs="Times New Roman"/>
                <w:bCs/>
                <w:sz w:val="24"/>
                <w:szCs w:val="24"/>
              </w:rPr>
            </w:pPr>
            <w:r w:rsidRPr="00F37C90">
              <w:rPr>
                <w:rFonts w:ascii="Times New Roman" w:eastAsia="Times New Roman" w:hAnsi="Times New Roman" w:cs="Times New Roman"/>
                <w:bCs/>
                <w:sz w:val="24"/>
                <w:szCs w:val="24"/>
              </w:rPr>
              <w:t>Upper quantile</w:t>
            </w:r>
          </w:p>
        </w:tc>
        <w:tc>
          <w:tcPr>
            <w:tcW w:w="1440" w:type="dxa"/>
            <w:vAlign w:val="center"/>
          </w:tcPr>
          <w:p w14:paraId="17783C9C" w14:textId="77777777" w:rsidR="001F01D5" w:rsidRPr="00F37C90" w:rsidRDefault="001F01D5" w:rsidP="003F7C0D">
            <w:pPr>
              <w:spacing w:line="276" w:lineRule="auto"/>
              <w:rPr>
                <w:rFonts w:ascii="Times New Roman" w:eastAsia="Times New Roman" w:hAnsi="Times New Roman" w:cs="Times New Roman"/>
                <w:bCs/>
                <w:sz w:val="24"/>
                <w:szCs w:val="24"/>
              </w:rPr>
            </w:pPr>
            <w:r w:rsidRPr="00F37C90">
              <w:rPr>
                <w:rFonts w:ascii="Times New Roman" w:eastAsia="Times New Roman" w:hAnsi="Times New Roman" w:cs="Times New Roman"/>
                <w:bCs/>
                <w:sz w:val="24"/>
                <w:szCs w:val="24"/>
              </w:rPr>
              <w:t>88.89</w:t>
            </w:r>
          </w:p>
        </w:tc>
        <w:tc>
          <w:tcPr>
            <w:tcW w:w="810" w:type="dxa"/>
            <w:vAlign w:val="center"/>
          </w:tcPr>
          <w:p w14:paraId="7AB9DFC5"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4.22</w:t>
            </w:r>
          </w:p>
        </w:tc>
        <w:tc>
          <w:tcPr>
            <w:tcW w:w="900" w:type="dxa"/>
            <w:vAlign w:val="center"/>
          </w:tcPr>
          <w:p w14:paraId="47CA841F"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0.041</w:t>
            </w:r>
          </w:p>
        </w:tc>
        <w:tc>
          <w:tcPr>
            <w:tcW w:w="900" w:type="dxa"/>
            <w:vAlign w:val="center"/>
          </w:tcPr>
          <w:p w14:paraId="3F3B8755"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526.76</w:t>
            </w:r>
          </w:p>
        </w:tc>
      </w:tr>
      <w:tr w:rsidR="001F01D5" w:rsidRPr="00F37C90" w14:paraId="152D61DC" w14:textId="77777777" w:rsidTr="003F7C0D">
        <w:trPr>
          <w:jc w:val="center"/>
        </w:trPr>
        <w:tc>
          <w:tcPr>
            <w:tcW w:w="8905" w:type="dxa"/>
            <w:gridSpan w:val="5"/>
            <w:vAlign w:val="center"/>
          </w:tcPr>
          <w:p w14:paraId="1025CCC5" w14:textId="77777777" w:rsidR="001F01D5" w:rsidRPr="00F37C90" w:rsidRDefault="001F01D5" w:rsidP="003F7C0D">
            <w:pPr>
              <w:spacing w:line="276" w:lineRule="auto"/>
              <w:rPr>
                <w:rFonts w:ascii="Times New Roman" w:eastAsia="Times New Roman" w:hAnsi="Times New Roman" w:cs="Times New Roman"/>
                <w:b/>
                <w:bCs/>
                <w:sz w:val="24"/>
                <w:szCs w:val="24"/>
              </w:rPr>
            </w:pPr>
            <w:r w:rsidRPr="00F37C90">
              <w:rPr>
                <w:rFonts w:ascii="Times New Roman" w:eastAsia="Times New Roman" w:hAnsi="Times New Roman" w:cs="Times New Roman"/>
                <w:b/>
                <w:bCs/>
                <w:sz w:val="24"/>
                <w:szCs w:val="24"/>
              </w:rPr>
              <w:t>Directional connectedness FROM others</w:t>
            </w:r>
          </w:p>
        </w:tc>
      </w:tr>
      <w:tr w:rsidR="001F01D5" w:rsidRPr="00F37C90" w14:paraId="3BF26079" w14:textId="77777777" w:rsidTr="003F7C0D">
        <w:trPr>
          <w:jc w:val="center"/>
        </w:trPr>
        <w:tc>
          <w:tcPr>
            <w:tcW w:w="4855" w:type="dxa"/>
            <w:vAlign w:val="center"/>
          </w:tcPr>
          <w:p w14:paraId="090FE28F" w14:textId="77777777" w:rsidR="001F01D5" w:rsidRPr="00F37C90" w:rsidRDefault="001F01D5" w:rsidP="003F7C0D">
            <w:pPr>
              <w:spacing w:line="276" w:lineRule="auto"/>
              <w:rPr>
                <w:rFonts w:ascii="Times New Roman" w:eastAsia="Times New Roman" w:hAnsi="Times New Roman" w:cs="Times New Roman"/>
                <w:bCs/>
                <w:sz w:val="24"/>
                <w:szCs w:val="24"/>
              </w:rPr>
            </w:pPr>
            <w:r w:rsidRPr="00F37C90">
              <w:rPr>
                <w:rFonts w:ascii="Times New Roman" w:eastAsia="Times New Roman" w:hAnsi="Times New Roman" w:cs="Times New Roman"/>
                <w:bCs/>
                <w:sz w:val="24"/>
                <w:szCs w:val="24"/>
              </w:rPr>
              <w:t>Median quantile</w:t>
            </w:r>
          </w:p>
        </w:tc>
        <w:tc>
          <w:tcPr>
            <w:tcW w:w="1440" w:type="dxa"/>
            <w:vAlign w:val="center"/>
          </w:tcPr>
          <w:p w14:paraId="41732CD0"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77.44</w:t>
            </w:r>
          </w:p>
        </w:tc>
        <w:tc>
          <w:tcPr>
            <w:tcW w:w="810" w:type="dxa"/>
            <w:vAlign w:val="center"/>
          </w:tcPr>
          <w:p w14:paraId="7A8B0F7C"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4.49</w:t>
            </w:r>
          </w:p>
        </w:tc>
        <w:tc>
          <w:tcPr>
            <w:tcW w:w="900" w:type="dxa"/>
            <w:vAlign w:val="center"/>
          </w:tcPr>
          <w:p w14:paraId="43DE05C7"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18.23</w:t>
            </w:r>
          </w:p>
        </w:tc>
        <w:tc>
          <w:tcPr>
            <w:tcW w:w="900" w:type="dxa"/>
            <w:vAlign w:val="center"/>
          </w:tcPr>
          <w:p w14:paraId="37907557"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89.59</w:t>
            </w:r>
          </w:p>
        </w:tc>
      </w:tr>
      <w:tr w:rsidR="001F01D5" w:rsidRPr="00F37C90" w14:paraId="0409AF32" w14:textId="77777777" w:rsidTr="003F7C0D">
        <w:trPr>
          <w:jc w:val="center"/>
        </w:trPr>
        <w:tc>
          <w:tcPr>
            <w:tcW w:w="4855" w:type="dxa"/>
            <w:vAlign w:val="center"/>
          </w:tcPr>
          <w:p w14:paraId="5C6BE1F0" w14:textId="77777777" w:rsidR="001F01D5" w:rsidRPr="00F37C90" w:rsidRDefault="001F01D5" w:rsidP="003F7C0D">
            <w:pPr>
              <w:spacing w:line="276" w:lineRule="auto"/>
              <w:rPr>
                <w:rFonts w:ascii="Times New Roman" w:eastAsia="Times New Roman" w:hAnsi="Times New Roman" w:cs="Times New Roman"/>
                <w:bCs/>
                <w:sz w:val="24"/>
                <w:szCs w:val="24"/>
              </w:rPr>
            </w:pPr>
            <w:r w:rsidRPr="00F37C90">
              <w:rPr>
                <w:rFonts w:ascii="Times New Roman" w:eastAsia="Times New Roman" w:hAnsi="Times New Roman" w:cs="Times New Roman"/>
                <w:bCs/>
                <w:sz w:val="24"/>
                <w:szCs w:val="24"/>
              </w:rPr>
              <w:t>Lower quantile</w:t>
            </w:r>
          </w:p>
        </w:tc>
        <w:tc>
          <w:tcPr>
            <w:tcW w:w="1440" w:type="dxa"/>
            <w:vAlign w:val="center"/>
          </w:tcPr>
          <w:p w14:paraId="31C7A82D" w14:textId="77777777" w:rsidR="001F01D5" w:rsidRPr="00F37C90" w:rsidRDefault="001F01D5" w:rsidP="003F7C0D">
            <w:pPr>
              <w:spacing w:line="276" w:lineRule="auto"/>
              <w:rPr>
                <w:rFonts w:ascii="Times New Roman" w:eastAsia="Times New Roman" w:hAnsi="Times New Roman" w:cs="Times New Roman"/>
                <w:b/>
                <w:bCs/>
                <w:sz w:val="24"/>
                <w:szCs w:val="24"/>
              </w:rPr>
            </w:pPr>
            <w:r w:rsidRPr="00F37C90">
              <w:rPr>
                <w:rFonts w:ascii="Times New Roman" w:hAnsi="Times New Roman" w:cs="Times New Roman"/>
                <w:sz w:val="24"/>
                <w:szCs w:val="24"/>
              </w:rPr>
              <w:t>89.39</w:t>
            </w:r>
          </w:p>
        </w:tc>
        <w:tc>
          <w:tcPr>
            <w:tcW w:w="810" w:type="dxa"/>
            <w:vAlign w:val="center"/>
          </w:tcPr>
          <w:p w14:paraId="538BA714"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0.50</w:t>
            </w:r>
          </w:p>
        </w:tc>
        <w:tc>
          <w:tcPr>
            <w:tcW w:w="900" w:type="dxa"/>
            <w:vAlign w:val="center"/>
          </w:tcPr>
          <w:p w14:paraId="2F959736"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55.24</w:t>
            </w:r>
          </w:p>
        </w:tc>
        <w:tc>
          <w:tcPr>
            <w:tcW w:w="900" w:type="dxa"/>
            <w:vAlign w:val="center"/>
          </w:tcPr>
          <w:p w14:paraId="18D6D081"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100.00</w:t>
            </w:r>
          </w:p>
        </w:tc>
      </w:tr>
      <w:tr w:rsidR="001F01D5" w:rsidRPr="00F37C90" w14:paraId="37E96428" w14:textId="77777777" w:rsidTr="003F7C0D">
        <w:trPr>
          <w:jc w:val="center"/>
        </w:trPr>
        <w:tc>
          <w:tcPr>
            <w:tcW w:w="4855" w:type="dxa"/>
            <w:vAlign w:val="center"/>
          </w:tcPr>
          <w:p w14:paraId="0292CBD6" w14:textId="77777777" w:rsidR="001F01D5" w:rsidRPr="00F37C90" w:rsidRDefault="001F01D5" w:rsidP="003F7C0D">
            <w:pPr>
              <w:spacing w:line="276" w:lineRule="auto"/>
              <w:rPr>
                <w:rFonts w:ascii="Times New Roman" w:eastAsia="Times New Roman" w:hAnsi="Times New Roman" w:cs="Times New Roman"/>
                <w:bCs/>
                <w:sz w:val="24"/>
                <w:szCs w:val="24"/>
              </w:rPr>
            </w:pPr>
            <w:r w:rsidRPr="00F37C90">
              <w:rPr>
                <w:rFonts w:ascii="Times New Roman" w:eastAsia="Times New Roman" w:hAnsi="Times New Roman" w:cs="Times New Roman"/>
                <w:bCs/>
                <w:sz w:val="24"/>
                <w:szCs w:val="24"/>
              </w:rPr>
              <w:t>Upper quantile</w:t>
            </w:r>
          </w:p>
        </w:tc>
        <w:tc>
          <w:tcPr>
            <w:tcW w:w="1440" w:type="dxa"/>
            <w:vAlign w:val="center"/>
          </w:tcPr>
          <w:p w14:paraId="54A28CD5" w14:textId="77777777" w:rsidR="001F01D5" w:rsidRPr="00F37C90" w:rsidRDefault="001F01D5" w:rsidP="003F7C0D">
            <w:pPr>
              <w:spacing w:line="276" w:lineRule="auto"/>
              <w:rPr>
                <w:rFonts w:ascii="Times New Roman" w:eastAsia="Times New Roman" w:hAnsi="Times New Roman" w:cs="Times New Roman"/>
                <w:b/>
                <w:bCs/>
                <w:sz w:val="24"/>
                <w:szCs w:val="24"/>
              </w:rPr>
            </w:pPr>
            <w:r w:rsidRPr="00F37C90">
              <w:rPr>
                <w:rFonts w:ascii="Times New Roman" w:eastAsia="Times New Roman" w:hAnsi="Times New Roman" w:cs="Times New Roman"/>
                <w:bCs/>
                <w:sz w:val="24"/>
                <w:szCs w:val="24"/>
              </w:rPr>
              <w:t>88.89</w:t>
            </w:r>
          </w:p>
        </w:tc>
        <w:tc>
          <w:tcPr>
            <w:tcW w:w="810" w:type="dxa"/>
            <w:vAlign w:val="center"/>
          </w:tcPr>
          <w:p w14:paraId="7B01BB24"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0.57</w:t>
            </w:r>
          </w:p>
        </w:tc>
        <w:tc>
          <w:tcPr>
            <w:tcW w:w="900" w:type="dxa"/>
            <w:vAlign w:val="center"/>
          </w:tcPr>
          <w:p w14:paraId="0C755D46" w14:textId="77777777" w:rsidR="001F01D5" w:rsidRPr="00F37C90" w:rsidRDefault="001F01D5" w:rsidP="003F7C0D">
            <w:pPr>
              <w:spacing w:line="276" w:lineRule="auto"/>
              <w:rPr>
                <w:rFonts w:ascii="Times New Roman" w:eastAsia="Times New Roman" w:hAnsi="Times New Roman" w:cs="Times New Roman"/>
                <w:bCs/>
                <w:sz w:val="24"/>
                <w:szCs w:val="24"/>
              </w:rPr>
            </w:pPr>
            <w:r w:rsidRPr="00F37C90">
              <w:rPr>
                <w:rFonts w:ascii="Times New Roman" w:eastAsia="Times New Roman" w:hAnsi="Times New Roman" w:cs="Times New Roman"/>
                <w:bCs/>
                <w:sz w:val="24"/>
                <w:szCs w:val="24"/>
              </w:rPr>
              <w:t>52.10</w:t>
            </w:r>
          </w:p>
        </w:tc>
        <w:tc>
          <w:tcPr>
            <w:tcW w:w="900" w:type="dxa"/>
            <w:vAlign w:val="center"/>
          </w:tcPr>
          <w:p w14:paraId="0D881063"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100.00</w:t>
            </w:r>
          </w:p>
        </w:tc>
      </w:tr>
      <w:tr w:rsidR="001F01D5" w:rsidRPr="00F37C90" w14:paraId="0CB859F7" w14:textId="77777777" w:rsidTr="003F7C0D">
        <w:trPr>
          <w:jc w:val="center"/>
        </w:trPr>
        <w:tc>
          <w:tcPr>
            <w:tcW w:w="8905" w:type="dxa"/>
            <w:gridSpan w:val="5"/>
            <w:vAlign w:val="center"/>
          </w:tcPr>
          <w:p w14:paraId="0FB4233B" w14:textId="77777777" w:rsidR="001F01D5" w:rsidRPr="00F37C90" w:rsidRDefault="001F01D5" w:rsidP="003F7C0D">
            <w:pPr>
              <w:spacing w:line="276" w:lineRule="auto"/>
              <w:rPr>
                <w:rFonts w:ascii="Times New Roman" w:eastAsia="Times New Roman" w:hAnsi="Times New Roman" w:cs="Times New Roman"/>
                <w:b/>
                <w:bCs/>
                <w:sz w:val="24"/>
                <w:szCs w:val="24"/>
              </w:rPr>
            </w:pPr>
            <w:r w:rsidRPr="00F37C90">
              <w:rPr>
                <w:rFonts w:ascii="Times New Roman" w:eastAsia="Times New Roman" w:hAnsi="Times New Roman" w:cs="Times New Roman"/>
                <w:b/>
                <w:bCs/>
                <w:sz w:val="24"/>
                <w:szCs w:val="24"/>
              </w:rPr>
              <w:t>Net connectedness</w:t>
            </w:r>
          </w:p>
        </w:tc>
      </w:tr>
      <w:tr w:rsidR="001F01D5" w:rsidRPr="00F37C90" w14:paraId="5E70B9A7" w14:textId="77777777" w:rsidTr="003F7C0D">
        <w:trPr>
          <w:jc w:val="center"/>
        </w:trPr>
        <w:tc>
          <w:tcPr>
            <w:tcW w:w="4855" w:type="dxa"/>
            <w:vAlign w:val="center"/>
          </w:tcPr>
          <w:p w14:paraId="17600FCE" w14:textId="77777777" w:rsidR="001F01D5" w:rsidRPr="00F37C90" w:rsidRDefault="001F01D5" w:rsidP="003F7C0D">
            <w:pPr>
              <w:spacing w:line="276" w:lineRule="auto"/>
              <w:rPr>
                <w:rFonts w:ascii="Times New Roman" w:eastAsia="Times New Roman" w:hAnsi="Times New Roman" w:cs="Times New Roman"/>
                <w:bCs/>
                <w:sz w:val="24"/>
                <w:szCs w:val="24"/>
              </w:rPr>
            </w:pPr>
            <w:r w:rsidRPr="00F37C90">
              <w:rPr>
                <w:rFonts w:ascii="Times New Roman" w:eastAsia="Times New Roman" w:hAnsi="Times New Roman" w:cs="Times New Roman"/>
                <w:bCs/>
                <w:sz w:val="24"/>
                <w:szCs w:val="24"/>
              </w:rPr>
              <w:t>Median quantile</w:t>
            </w:r>
          </w:p>
        </w:tc>
        <w:tc>
          <w:tcPr>
            <w:tcW w:w="1440" w:type="dxa"/>
            <w:vAlign w:val="center"/>
          </w:tcPr>
          <w:p w14:paraId="5B4B18B7"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−0.00083</w:t>
            </w:r>
          </w:p>
        </w:tc>
        <w:tc>
          <w:tcPr>
            <w:tcW w:w="810" w:type="dxa"/>
            <w:vAlign w:val="center"/>
          </w:tcPr>
          <w:p w14:paraId="6B001E3D"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12.89</w:t>
            </w:r>
          </w:p>
        </w:tc>
        <w:tc>
          <w:tcPr>
            <w:tcW w:w="900" w:type="dxa"/>
            <w:vAlign w:val="center"/>
          </w:tcPr>
          <w:p w14:paraId="7E94EA5D"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−39.37</w:t>
            </w:r>
          </w:p>
        </w:tc>
        <w:tc>
          <w:tcPr>
            <w:tcW w:w="900" w:type="dxa"/>
            <w:vAlign w:val="center"/>
          </w:tcPr>
          <w:p w14:paraId="31EFFAAE"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39.41</w:t>
            </w:r>
          </w:p>
        </w:tc>
      </w:tr>
      <w:tr w:rsidR="001F01D5" w:rsidRPr="00F37C90" w14:paraId="01B3019D" w14:textId="77777777" w:rsidTr="003F7C0D">
        <w:trPr>
          <w:jc w:val="center"/>
        </w:trPr>
        <w:tc>
          <w:tcPr>
            <w:tcW w:w="4855" w:type="dxa"/>
            <w:vAlign w:val="center"/>
          </w:tcPr>
          <w:p w14:paraId="258F30B5" w14:textId="77777777" w:rsidR="001F01D5" w:rsidRPr="00F37C90" w:rsidRDefault="001F01D5" w:rsidP="003F7C0D">
            <w:pPr>
              <w:spacing w:line="276" w:lineRule="auto"/>
              <w:rPr>
                <w:rFonts w:ascii="Times New Roman" w:eastAsia="Times New Roman" w:hAnsi="Times New Roman" w:cs="Times New Roman"/>
                <w:bCs/>
                <w:sz w:val="24"/>
                <w:szCs w:val="24"/>
              </w:rPr>
            </w:pPr>
            <w:r w:rsidRPr="00F37C90">
              <w:rPr>
                <w:rFonts w:ascii="Times New Roman" w:eastAsia="Times New Roman" w:hAnsi="Times New Roman" w:cs="Times New Roman"/>
                <w:bCs/>
                <w:sz w:val="24"/>
                <w:szCs w:val="24"/>
              </w:rPr>
              <w:t>Lower quantile</w:t>
            </w:r>
          </w:p>
        </w:tc>
        <w:tc>
          <w:tcPr>
            <w:tcW w:w="1440" w:type="dxa"/>
            <w:vAlign w:val="center"/>
          </w:tcPr>
          <w:p w14:paraId="014C5EF5"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0.00083</w:t>
            </w:r>
          </w:p>
        </w:tc>
        <w:tc>
          <w:tcPr>
            <w:tcW w:w="810" w:type="dxa"/>
            <w:vAlign w:val="center"/>
          </w:tcPr>
          <w:p w14:paraId="69E39041"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3.81</w:t>
            </w:r>
          </w:p>
        </w:tc>
        <w:tc>
          <w:tcPr>
            <w:tcW w:w="900" w:type="dxa"/>
            <w:vAlign w:val="center"/>
          </w:tcPr>
          <w:p w14:paraId="5A21F0BE"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−99.99</w:t>
            </w:r>
          </w:p>
        </w:tc>
        <w:tc>
          <w:tcPr>
            <w:tcW w:w="900" w:type="dxa"/>
            <w:vAlign w:val="center"/>
          </w:tcPr>
          <w:p w14:paraId="631D9A3D"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377.73</w:t>
            </w:r>
          </w:p>
        </w:tc>
      </w:tr>
      <w:tr w:rsidR="001F01D5" w:rsidRPr="00F37C90" w14:paraId="59DD164B" w14:textId="77777777" w:rsidTr="003F7C0D">
        <w:trPr>
          <w:jc w:val="center"/>
        </w:trPr>
        <w:tc>
          <w:tcPr>
            <w:tcW w:w="4855" w:type="dxa"/>
            <w:vAlign w:val="center"/>
          </w:tcPr>
          <w:p w14:paraId="4B518348" w14:textId="77777777" w:rsidR="001F01D5" w:rsidRPr="00F37C90" w:rsidRDefault="001F01D5" w:rsidP="003F7C0D">
            <w:pPr>
              <w:spacing w:line="276" w:lineRule="auto"/>
              <w:rPr>
                <w:rFonts w:ascii="Times New Roman" w:eastAsia="Times New Roman" w:hAnsi="Times New Roman" w:cs="Times New Roman"/>
                <w:bCs/>
                <w:sz w:val="24"/>
                <w:szCs w:val="24"/>
              </w:rPr>
            </w:pPr>
            <w:r w:rsidRPr="00F37C90">
              <w:rPr>
                <w:rFonts w:ascii="Times New Roman" w:eastAsia="Times New Roman" w:hAnsi="Times New Roman" w:cs="Times New Roman"/>
                <w:bCs/>
                <w:sz w:val="24"/>
                <w:szCs w:val="24"/>
              </w:rPr>
              <w:t>Upper quantile</w:t>
            </w:r>
          </w:p>
        </w:tc>
        <w:tc>
          <w:tcPr>
            <w:tcW w:w="1440" w:type="dxa"/>
            <w:vAlign w:val="center"/>
          </w:tcPr>
          <w:p w14:paraId="1126312F"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0.00083</w:t>
            </w:r>
          </w:p>
        </w:tc>
        <w:tc>
          <w:tcPr>
            <w:tcW w:w="810" w:type="dxa"/>
            <w:vAlign w:val="center"/>
          </w:tcPr>
          <w:p w14:paraId="0139A242"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3.70</w:t>
            </w:r>
          </w:p>
        </w:tc>
        <w:tc>
          <w:tcPr>
            <w:tcW w:w="900" w:type="dxa"/>
            <w:vAlign w:val="center"/>
          </w:tcPr>
          <w:p w14:paraId="1B126AB6"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−99.96</w:t>
            </w:r>
          </w:p>
        </w:tc>
        <w:tc>
          <w:tcPr>
            <w:tcW w:w="900" w:type="dxa"/>
            <w:vAlign w:val="center"/>
          </w:tcPr>
          <w:p w14:paraId="2C948C74" w14:textId="77777777" w:rsidR="001F01D5" w:rsidRPr="00F37C90" w:rsidRDefault="001F01D5" w:rsidP="003F7C0D">
            <w:pPr>
              <w:spacing w:line="276" w:lineRule="auto"/>
              <w:rPr>
                <w:rFonts w:ascii="Times New Roman" w:hAnsi="Times New Roman" w:cs="Times New Roman"/>
                <w:sz w:val="24"/>
                <w:szCs w:val="24"/>
              </w:rPr>
            </w:pPr>
            <w:r w:rsidRPr="00F37C90">
              <w:rPr>
                <w:rFonts w:ascii="Times New Roman" w:hAnsi="Times New Roman" w:cs="Times New Roman"/>
                <w:sz w:val="24"/>
                <w:szCs w:val="24"/>
              </w:rPr>
              <w:t>474.66</w:t>
            </w:r>
          </w:p>
        </w:tc>
      </w:tr>
    </w:tbl>
    <w:p w14:paraId="11AD1CC5" w14:textId="77777777" w:rsidR="001F01D5" w:rsidRDefault="001F01D5" w:rsidP="001F01D5">
      <w:pPr>
        <w:rPr>
          <w:rFonts w:asciiTheme="majorBidi" w:hAnsiTheme="majorBidi" w:cstheme="majorBidi"/>
          <w:sz w:val="24"/>
          <w:szCs w:val="24"/>
          <w:lang w:val="en-US"/>
        </w:rPr>
      </w:pPr>
    </w:p>
    <w:p w14:paraId="28F44CF7" w14:textId="1D1EFB10" w:rsidR="001F01D5" w:rsidRDefault="001F01D5">
      <w:pPr>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br w:type="page"/>
      </w:r>
    </w:p>
    <w:p w14:paraId="317E7C5A" w14:textId="77777777" w:rsidR="006C1859" w:rsidRDefault="006C1859" w:rsidP="006C1859">
      <w:pPr>
        <w:spacing w:before="240" w:after="240" w:line="240" w:lineRule="auto"/>
        <w:jc w:val="both"/>
        <w:rPr>
          <w:rFonts w:asciiTheme="majorBidi" w:eastAsia="Times New Roman" w:hAnsiTheme="majorBidi" w:cstheme="majorBidi"/>
          <w:sz w:val="24"/>
          <w:szCs w:val="24"/>
          <w:lang w:val="en-US"/>
        </w:rPr>
      </w:pPr>
    </w:p>
    <w:p w14:paraId="3EEC2374" w14:textId="77777777" w:rsidR="001F01D5" w:rsidRPr="00E22C51" w:rsidRDefault="001F01D5" w:rsidP="001F01D5">
      <w:pPr>
        <w:spacing w:after="240" w:line="240" w:lineRule="auto"/>
        <w:jc w:val="center"/>
        <w:rPr>
          <w:rFonts w:asciiTheme="majorBidi" w:hAnsiTheme="majorBidi" w:cstheme="majorBidi"/>
          <w:szCs w:val="24"/>
        </w:rPr>
      </w:pPr>
      <w:r w:rsidRPr="00E22C51">
        <w:rPr>
          <w:rFonts w:asciiTheme="majorBidi" w:hAnsiTheme="majorBidi" w:cstheme="majorBidi"/>
          <w:noProof/>
          <w:szCs w:val="24"/>
        </w:rPr>
        <w:drawing>
          <wp:inline distT="0" distB="0" distL="0" distR="0" wp14:anchorId="4A42CEF8" wp14:editId="000AE7A6">
            <wp:extent cx="4846320" cy="2535176"/>
            <wp:effectExtent l="19050" t="19050" r="11430" b="177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46320" cy="2535176"/>
                    </a:xfrm>
                    <a:prstGeom prst="rect">
                      <a:avLst/>
                    </a:prstGeom>
                    <a:noFill/>
                    <a:ln>
                      <a:solidFill>
                        <a:schemeClr val="tx1"/>
                      </a:solidFill>
                    </a:ln>
                  </pic:spPr>
                </pic:pic>
              </a:graphicData>
            </a:graphic>
          </wp:inline>
        </w:drawing>
      </w:r>
    </w:p>
    <w:p w14:paraId="0418E62C" w14:textId="00873D46" w:rsidR="001F01D5" w:rsidRPr="001F01D5" w:rsidRDefault="001F01D5" w:rsidP="001F01D5">
      <w:pPr>
        <w:spacing w:after="240" w:line="240" w:lineRule="auto"/>
        <w:contextualSpacing/>
        <w:jc w:val="center"/>
        <w:rPr>
          <w:rFonts w:asciiTheme="majorBidi" w:hAnsiTheme="majorBidi" w:cstheme="majorBidi"/>
          <w:b/>
          <w:bCs/>
          <w:szCs w:val="24"/>
          <w:lang w:val="en-US"/>
        </w:rPr>
      </w:pPr>
      <w:r w:rsidRPr="001F01D5">
        <w:rPr>
          <w:rFonts w:asciiTheme="majorBidi" w:hAnsiTheme="majorBidi" w:cstheme="majorBidi"/>
          <w:b/>
          <w:bCs/>
          <w:szCs w:val="24"/>
          <w:lang w:val="en-US"/>
        </w:rPr>
        <w:t xml:space="preserve">Figure </w:t>
      </w:r>
      <w:r>
        <w:rPr>
          <w:rFonts w:asciiTheme="majorBidi" w:hAnsiTheme="majorBidi" w:cstheme="majorBidi"/>
          <w:b/>
          <w:bCs/>
          <w:szCs w:val="24"/>
          <w:lang w:val="en-US"/>
        </w:rPr>
        <w:t>S</w:t>
      </w:r>
      <w:r w:rsidRPr="001F01D5">
        <w:rPr>
          <w:rFonts w:asciiTheme="majorBidi" w:hAnsiTheme="majorBidi" w:cstheme="majorBidi"/>
          <w:b/>
          <w:bCs/>
          <w:szCs w:val="24"/>
          <w:lang w:val="en-US"/>
        </w:rPr>
        <w:t xml:space="preserve">1. </w:t>
      </w:r>
      <w:r w:rsidRPr="001F01D5">
        <w:rPr>
          <w:rFonts w:asciiTheme="majorBidi" w:hAnsiTheme="majorBidi" w:cstheme="majorBidi"/>
          <w:szCs w:val="24"/>
          <w:lang w:val="en-US"/>
        </w:rPr>
        <w:t>Daily closing values of Green Sectoral Equities.</w:t>
      </w:r>
    </w:p>
    <w:p w14:paraId="1D8CC09B" w14:textId="77777777" w:rsidR="001F01D5" w:rsidRDefault="001F01D5" w:rsidP="006C1859">
      <w:pPr>
        <w:spacing w:before="240" w:after="240" w:line="240" w:lineRule="auto"/>
        <w:jc w:val="both"/>
        <w:rPr>
          <w:rFonts w:asciiTheme="majorBidi" w:eastAsia="Times New Roman" w:hAnsiTheme="majorBidi" w:cstheme="majorBidi"/>
          <w:sz w:val="24"/>
          <w:szCs w:val="24"/>
          <w:lang w:val="en-US"/>
        </w:rPr>
      </w:pPr>
    </w:p>
    <w:p w14:paraId="2D12A261" w14:textId="77777777" w:rsidR="001F01D5" w:rsidRDefault="001F01D5" w:rsidP="006C1859">
      <w:pPr>
        <w:spacing w:before="240" w:after="240" w:line="240" w:lineRule="auto"/>
        <w:jc w:val="both"/>
        <w:rPr>
          <w:rFonts w:asciiTheme="majorBidi" w:eastAsia="Times New Roman" w:hAnsiTheme="majorBidi" w:cstheme="majorBidi"/>
          <w:sz w:val="24"/>
          <w:szCs w:val="24"/>
          <w:lang w:val="en-US"/>
        </w:rPr>
      </w:pPr>
    </w:p>
    <w:p w14:paraId="4C81501A" w14:textId="77777777" w:rsidR="006C1859" w:rsidRPr="00E22C51" w:rsidRDefault="006C1859" w:rsidP="006C1859">
      <w:pPr>
        <w:spacing w:after="240" w:line="240" w:lineRule="auto"/>
        <w:contextualSpacing/>
        <w:jc w:val="center"/>
        <w:rPr>
          <w:rFonts w:asciiTheme="majorBidi" w:hAnsiTheme="majorBidi" w:cstheme="majorBidi"/>
          <w:szCs w:val="24"/>
        </w:rPr>
      </w:pPr>
      <w:r w:rsidRPr="00E22C51">
        <w:rPr>
          <w:rFonts w:asciiTheme="majorBidi" w:hAnsiTheme="majorBidi" w:cstheme="majorBidi"/>
          <w:noProof/>
          <w:szCs w:val="24"/>
        </w:rPr>
        <w:drawing>
          <wp:inline distT="0" distB="0" distL="0" distR="0" wp14:anchorId="07602FA9" wp14:editId="101125DD">
            <wp:extent cx="5201107" cy="3250464"/>
            <wp:effectExtent l="0" t="0" r="0" b="7620"/>
            <wp:docPr id="66526107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01632" cy="3250792"/>
                    </a:xfrm>
                    <a:prstGeom prst="rect">
                      <a:avLst/>
                    </a:prstGeom>
                    <a:noFill/>
                    <a:ln>
                      <a:noFill/>
                    </a:ln>
                  </pic:spPr>
                </pic:pic>
              </a:graphicData>
            </a:graphic>
          </wp:inline>
        </w:drawing>
      </w:r>
    </w:p>
    <w:p w14:paraId="17EADAFA" w14:textId="77777777" w:rsidR="006C1859" w:rsidRPr="00E22C51" w:rsidRDefault="006C1859" w:rsidP="006C1859">
      <w:pPr>
        <w:spacing w:after="240" w:line="240" w:lineRule="auto"/>
        <w:contextualSpacing/>
        <w:jc w:val="center"/>
        <w:rPr>
          <w:rFonts w:asciiTheme="majorBidi" w:hAnsiTheme="majorBidi" w:cstheme="majorBidi"/>
          <w:b/>
          <w:bCs/>
          <w:szCs w:val="24"/>
        </w:rPr>
      </w:pPr>
    </w:p>
    <w:p w14:paraId="3F99B922" w14:textId="63F7631F" w:rsidR="006C1859" w:rsidRPr="006C1859" w:rsidRDefault="006C1859" w:rsidP="006C1859">
      <w:pPr>
        <w:spacing w:after="240" w:line="240" w:lineRule="auto"/>
        <w:contextualSpacing/>
        <w:jc w:val="center"/>
        <w:rPr>
          <w:rFonts w:asciiTheme="majorBidi" w:hAnsiTheme="majorBidi" w:cstheme="majorBidi"/>
          <w:szCs w:val="24"/>
          <w:lang w:val="en-US"/>
        </w:rPr>
      </w:pPr>
      <w:r w:rsidRPr="006C1859">
        <w:rPr>
          <w:rFonts w:asciiTheme="majorBidi" w:hAnsiTheme="majorBidi" w:cstheme="majorBidi"/>
          <w:b/>
          <w:bCs/>
          <w:szCs w:val="24"/>
          <w:lang w:val="en-US"/>
        </w:rPr>
        <w:t xml:space="preserve">Figure </w:t>
      </w:r>
      <w:r>
        <w:rPr>
          <w:rFonts w:asciiTheme="majorBidi" w:hAnsiTheme="majorBidi" w:cstheme="majorBidi"/>
          <w:b/>
          <w:bCs/>
          <w:szCs w:val="24"/>
          <w:lang w:val="en-US"/>
        </w:rPr>
        <w:t>S</w:t>
      </w:r>
      <w:r w:rsidRPr="006C1859">
        <w:rPr>
          <w:rFonts w:asciiTheme="majorBidi" w:hAnsiTheme="majorBidi" w:cstheme="majorBidi"/>
          <w:b/>
          <w:bCs/>
          <w:szCs w:val="24"/>
          <w:lang w:val="en-US"/>
        </w:rPr>
        <w:t>1.</w:t>
      </w:r>
      <w:r w:rsidRPr="006C1859">
        <w:rPr>
          <w:rFonts w:asciiTheme="majorBidi" w:hAnsiTheme="majorBidi" w:cstheme="majorBidi"/>
          <w:szCs w:val="24"/>
          <w:lang w:val="en-US"/>
        </w:rPr>
        <w:t xml:space="preserve"> Dynamic Total Connectedness Index in the quantile VAR (q = 0.05, q = 0.50, q = 0.95).</w:t>
      </w:r>
      <w:r>
        <w:rPr>
          <w:rFonts w:asciiTheme="majorBidi" w:hAnsiTheme="majorBidi" w:cstheme="majorBidi"/>
          <w:szCs w:val="24"/>
          <w:lang w:val="en-US"/>
        </w:rPr>
        <w:t xml:space="preserve"> </w:t>
      </w:r>
      <w:r w:rsidRPr="006C1859">
        <w:rPr>
          <w:rFonts w:asciiTheme="majorBidi" w:hAnsiTheme="majorBidi" w:cstheme="majorBidi"/>
          <w:b/>
          <w:bCs/>
          <w:szCs w:val="24"/>
          <w:lang w:val="en-US"/>
        </w:rPr>
        <w:t>Notes:</w:t>
      </w:r>
      <w:r w:rsidRPr="006C1859">
        <w:rPr>
          <w:rFonts w:asciiTheme="majorBidi" w:hAnsiTheme="majorBidi" w:cstheme="majorBidi"/>
          <w:szCs w:val="24"/>
          <w:lang w:val="en-US"/>
        </w:rPr>
        <w:t xml:space="preserve"> This dynamic TCI is obtained using the optimal lag 1 (AIC), 20 step-ahead forecast horizon and rolling window size of 250 days.</w:t>
      </w:r>
    </w:p>
    <w:p w14:paraId="6EDA6C80" w14:textId="77777777" w:rsidR="006C1859" w:rsidRPr="006C1859" w:rsidRDefault="006C1859" w:rsidP="006C1859">
      <w:pPr>
        <w:spacing w:before="240" w:after="240" w:line="240" w:lineRule="auto"/>
        <w:jc w:val="both"/>
        <w:rPr>
          <w:rFonts w:asciiTheme="majorBidi" w:eastAsia="Times New Roman" w:hAnsiTheme="majorBidi" w:cstheme="majorBidi"/>
          <w:sz w:val="24"/>
          <w:szCs w:val="24"/>
          <w:lang w:val="en-US"/>
        </w:rPr>
      </w:pPr>
    </w:p>
    <w:p w14:paraId="7852983B" w14:textId="37700668" w:rsidR="00412334" w:rsidRDefault="00412334">
      <w:pPr>
        <w:rPr>
          <w:rFonts w:asciiTheme="majorBidi" w:hAnsiTheme="majorBidi" w:cstheme="majorBidi"/>
          <w:kern w:val="0"/>
          <w:sz w:val="24"/>
          <w:szCs w:val="24"/>
          <w:shd w:val="clear" w:color="auto" w:fill="FFFFFF"/>
          <w:lang w:val="en-US"/>
          <w14:ligatures w14:val="none"/>
        </w:rPr>
      </w:pPr>
      <w:r>
        <w:rPr>
          <w:rFonts w:asciiTheme="majorBidi" w:hAnsiTheme="majorBidi" w:cstheme="majorBidi"/>
          <w:kern w:val="0"/>
          <w:sz w:val="24"/>
          <w:szCs w:val="24"/>
          <w:shd w:val="clear" w:color="auto" w:fill="FFFFFF"/>
          <w:lang w:val="en-US"/>
          <w14:ligatures w14:val="none"/>
        </w:rPr>
        <w:br w:type="page"/>
      </w:r>
    </w:p>
    <w:p w14:paraId="1F128AC7" w14:textId="77777777" w:rsidR="001F01D5" w:rsidRPr="00412334" w:rsidRDefault="001F01D5" w:rsidP="002C4D66">
      <w:pPr>
        <w:spacing w:after="0" w:line="240" w:lineRule="auto"/>
        <w:jc w:val="both"/>
        <w:rPr>
          <w:rFonts w:asciiTheme="majorBidi" w:hAnsiTheme="majorBidi" w:cstheme="majorBidi"/>
          <w:b/>
          <w:bCs/>
          <w:kern w:val="0"/>
          <w:sz w:val="24"/>
          <w:szCs w:val="24"/>
          <w:shd w:val="clear" w:color="auto" w:fill="FFFFFF"/>
          <w:lang w:val="en-US"/>
          <w14:ligatures w14:val="none"/>
        </w:rPr>
      </w:pPr>
    </w:p>
    <w:p w14:paraId="59572DDC" w14:textId="77777777" w:rsidR="001F01D5" w:rsidRPr="00412334" w:rsidRDefault="001F01D5" w:rsidP="002C4D66">
      <w:pPr>
        <w:spacing w:after="0" w:line="240" w:lineRule="auto"/>
        <w:jc w:val="both"/>
        <w:rPr>
          <w:rFonts w:asciiTheme="majorBidi" w:hAnsiTheme="majorBidi" w:cstheme="majorBidi"/>
          <w:b/>
          <w:bCs/>
          <w:kern w:val="0"/>
          <w:sz w:val="24"/>
          <w:szCs w:val="24"/>
          <w:shd w:val="clear" w:color="auto" w:fill="FFFFFF"/>
          <w:lang w:val="en-US"/>
          <w14:ligatures w14:val="none"/>
        </w:rPr>
      </w:pPr>
    </w:p>
    <w:p w14:paraId="32ACD71A" w14:textId="2562C61E" w:rsidR="002C4D66" w:rsidRPr="006C1859" w:rsidRDefault="002C4D66" w:rsidP="002C4D66">
      <w:pPr>
        <w:spacing w:after="0" w:line="240" w:lineRule="auto"/>
        <w:jc w:val="both"/>
        <w:rPr>
          <w:rFonts w:asciiTheme="majorBidi" w:hAnsiTheme="majorBidi" w:cstheme="majorBidi"/>
          <w:b/>
          <w:bCs/>
          <w:kern w:val="0"/>
          <w:sz w:val="24"/>
          <w:szCs w:val="24"/>
          <w:shd w:val="clear" w:color="auto" w:fill="FFFFFF"/>
          <w14:ligatures w14:val="none"/>
        </w:rPr>
      </w:pPr>
      <w:proofErr w:type="spellStart"/>
      <w:r w:rsidRPr="006C1859">
        <w:rPr>
          <w:rFonts w:asciiTheme="majorBidi" w:hAnsiTheme="majorBidi" w:cstheme="majorBidi"/>
          <w:b/>
          <w:bCs/>
          <w:kern w:val="0"/>
          <w:sz w:val="24"/>
          <w:szCs w:val="24"/>
          <w:shd w:val="clear" w:color="auto" w:fill="FFFFFF"/>
          <w14:ligatures w14:val="none"/>
        </w:rPr>
        <w:t>References</w:t>
      </w:r>
      <w:proofErr w:type="spellEnd"/>
    </w:p>
    <w:p w14:paraId="60598756" w14:textId="77777777" w:rsidR="002C4D66" w:rsidRPr="006C1859" w:rsidRDefault="002C4D66" w:rsidP="002C4D66">
      <w:pPr>
        <w:spacing w:after="0" w:line="240" w:lineRule="auto"/>
        <w:jc w:val="both"/>
        <w:rPr>
          <w:rFonts w:asciiTheme="majorBidi" w:hAnsiTheme="majorBidi" w:cstheme="majorBidi"/>
          <w:kern w:val="0"/>
          <w:sz w:val="24"/>
          <w:szCs w:val="24"/>
          <w:shd w:val="clear" w:color="auto" w:fill="FFFFFF"/>
          <w14:ligatures w14:val="none"/>
        </w:rPr>
      </w:pPr>
    </w:p>
    <w:p w14:paraId="1D882706" w14:textId="06006DA0" w:rsidR="002C4D66" w:rsidRPr="006B37A1" w:rsidRDefault="002C4D66" w:rsidP="002C4D66">
      <w:pPr>
        <w:widowControl w:val="0"/>
        <w:autoSpaceDE w:val="0"/>
        <w:autoSpaceDN w:val="0"/>
        <w:adjustRightInd w:val="0"/>
        <w:spacing w:after="120" w:line="240" w:lineRule="auto"/>
        <w:ind w:left="480" w:hanging="480"/>
        <w:contextualSpacing/>
        <w:jc w:val="both"/>
        <w:rPr>
          <w:rFonts w:ascii="Times New Roman" w:hAnsi="Times New Roman" w:cs="Times New Roman"/>
          <w:noProof/>
          <w:lang w:val="en-US"/>
        </w:rPr>
      </w:pPr>
      <w:r w:rsidRPr="006B37A1">
        <w:rPr>
          <w:rFonts w:ascii="Times New Roman" w:hAnsi="Times New Roman" w:cs="Times New Roman"/>
          <w:noProof/>
          <w:lang w:val="en-US"/>
        </w:rPr>
        <w:t>Antonakakis N, Gabauer D, Gupta R (2019) International monetary policy spillovers: Evidence from a time-varying parameter vector autoregression. Int Rev Financ Anal 65</w:t>
      </w:r>
      <w:r w:rsidR="006B37A1">
        <w:rPr>
          <w:rFonts w:ascii="Times New Roman" w:hAnsi="Times New Roman" w:cs="Times New Roman"/>
          <w:noProof/>
          <w:lang w:val="en-US"/>
        </w:rPr>
        <w:t>:</w:t>
      </w:r>
      <w:r w:rsidRPr="006B37A1">
        <w:rPr>
          <w:rFonts w:ascii="Times New Roman" w:hAnsi="Times New Roman" w:cs="Times New Roman"/>
          <w:noProof/>
          <w:lang w:val="en-US"/>
        </w:rPr>
        <w:t>101382 https://doi.org/10.1016/j.irfa.2019.101382</w:t>
      </w:r>
    </w:p>
    <w:p w14:paraId="4FE19E71" w14:textId="77777777" w:rsidR="002C4D66" w:rsidRPr="006B37A1" w:rsidRDefault="002C4D66" w:rsidP="002C4D66">
      <w:pPr>
        <w:widowControl w:val="0"/>
        <w:autoSpaceDE w:val="0"/>
        <w:autoSpaceDN w:val="0"/>
        <w:adjustRightInd w:val="0"/>
        <w:spacing w:after="120" w:line="240" w:lineRule="auto"/>
        <w:ind w:left="480" w:hanging="480"/>
        <w:contextualSpacing/>
        <w:jc w:val="both"/>
        <w:rPr>
          <w:rFonts w:ascii="Times New Roman" w:hAnsi="Times New Roman" w:cs="Times New Roman"/>
          <w:noProof/>
          <w:lang w:val="en-US"/>
        </w:rPr>
      </w:pPr>
    </w:p>
    <w:p w14:paraId="5DDAE459" w14:textId="2F174194" w:rsidR="002C4D66" w:rsidRPr="006B37A1" w:rsidRDefault="002C4D66" w:rsidP="002C4D66">
      <w:pPr>
        <w:widowControl w:val="0"/>
        <w:autoSpaceDE w:val="0"/>
        <w:autoSpaceDN w:val="0"/>
        <w:adjustRightInd w:val="0"/>
        <w:spacing w:after="120" w:line="240" w:lineRule="auto"/>
        <w:ind w:left="480" w:hanging="480"/>
        <w:contextualSpacing/>
        <w:jc w:val="both"/>
        <w:rPr>
          <w:rFonts w:ascii="Times New Roman" w:hAnsi="Times New Roman" w:cs="Times New Roman"/>
          <w:noProof/>
          <w:lang w:val="en-US"/>
        </w:rPr>
      </w:pPr>
      <w:r w:rsidRPr="006B37A1">
        <w:rPr>
          <w:rFonts w:ascii="Times New Roman" w:hAnsi="Times New Roman" w:cs="Times New Roman"/>
          <w:noProof/>
          <w:lang w:val="en-US"/>
        </w:rPr>
        <w:t>Chatziantoniou I, Gabauer D (2021) EMU risk-synchronisation and financial fragility through the prism of dynamic connectedness. Q Rev Econ Finance 79</w:t>
      </w:r>
      <w:r w:rsidR="006B37A1">
        <w:rPr>
          <w:rFonts w:ascii="Times New Roman" w:hAnsi="Times New Roman" w:cs="Times New Roman"/>
          <w:noProof/>
          <w:lang w:val="en-US"/>
        </w:rPr>
        <w:t>:</w:t>
      </w:r>
      <w:r w:rsidRPr="006B37A1">
        <w:rPr>
          <w:rFonts w:ascii="Times New Roman" w:hAnsi="Times New Roman" w:cs="Times New Roman"/>
          <w:noProof/>
          <w:lang w:val="en-US"/>
        </w:rPr>
        <w:t>1–14 https://doi.org/10.1016/j.qref.2020.12.003</w:t>
      </w:r>
    </w:p>
    <w:p w14:paraId="4F157AD6" w14:textId="77777777" w:rsidR="002C4D66" w:rsidRPr="006B37A1" w:rsidRDefault="002C4D66" w:rsidP="002C4D66">
      <w:pPr>
        <w:widowControl w:val="0"/>
        <w:autoSpaceDE w:val="0"/>
        <w:autoSpaceDN w:val="0"/>
        <w:adjustRightInd w:val="0"/>
        <w:spacing w:after="120" w:line="240" w:lineRule="auto"/>
        <w:ind w:left="480" w:hanging="480"/>
        <w:contextualSpacing/>
        <w:jc w:val="both"/>
        <w:rPr>
          <w:rFonts w:ascii="Times New Roman" w:hAnsi="Times New Roman" w:cs="Times New Roman"/>
          <w:noProof/>
          <w:lang w:val="en-US"/>
        </w:rPr>
      </w:pPr>
    </w:p>
    <w:p w14:paraId="4A0498DC" w14:textId="41413772" w:rsidR="002C4D66" w:rsidRPr="006B37A1" w:rsidRDefault="002C4D66" w:rsidP="002C4D66">
      <w:pPr>
        <w:widowControl w:val="0"/>
        <w:autoSpaceDE w:val="0"/>
        <w:autoSpaceDN w:val="0"/>
        <w:adjustRightInd w:val="0"/>
        <w:spacing w:after="120" w:line="240" w:lineRule="auto"/>
        <w:ind w:left="480" w:hanging="480"/>
        <w:contextualSpacing/>
        <w:jc w:val="both"/>
        <w:rPr>
          <w:rFonts w:ascii="Times New Roman" w:hAnsi="Times New Roman" w:cs="Times New Roman"/>
          <w:noProof/>
          <w:lang w:val="en-US"/>
        </w:rPr>
      </w:pPr>
      <w:r w:rsidRPr="006B37A1">
        <w:rPr>
          <w:rFonts w:ascii="Times New Roman" w:hAnsi="Times New Roman" w:cs="Times New Roman"/>
          <w:noProof/>
          <w:lang w:val="en-US"/>
        </w:rPr>
        <w:t>Koop G, Pesaran MH, Potter SM (1996)</w:t>
      </w:r>
      <w:r w:rsidR="006B37A1">
        <w:rPr>
          <w:rFonts w:ascii="Times New Roman" w:hAnsi="Times New Roman" w:cs="Times New Roman"/>
          <w:noProof/>
          <w:lang w:val="en-US"/>
        </w:rPr>
        <w:t xml:space="preserve"> </w:t>
      </w:r>
      <w:r w:rsidRPr="006B37A1">
        <w:rPr>
          <w:rFonts w:ascii="Times New Roman" w:hAnsi="Times New Roman" w:cs="Times New Roman"/>
          <w:noProof/>
          <w:lang w:val="en-US"/>
        </w:rPr>
        <w:t>Impulse response analysis in nonlinear multivariate models. J Econom 74(1)</w:t>
      </w:r>
      <w:r w:rsidR="006B37A1">
        <w:rPr>
          <w:rFonts w:ascii="Times New Roman" w:hAnsi="Times New Roman" w:cs="Times New Roman"/>
          <w:noProof/>
          <w:lang w:val="en-US"/>
        </w:rPr>
        <w:t>:</w:t>
      </w:r>
      <w:r w:rsidRPr="006B37A1">
        <w:rPr>
          <w:rFonts w:ascii="Times New Roman" w:hAnsi="Times New Roman" w:cs="Times New Roman"/>
          <w:noProof/>
          <w:lang w:val="en-US"/>
        </w:rPr>
        <w:t>119–147 https://doi.org/10.1016/0304-4076(95)01753-4</w:t>
      </w:r>
    </w:p>
    <w:p w14:paraId="1B5C9674" w14:textId="77777777" w:rsidR="002C4D66" w:rsidRPr="006B37A1" w:rsidRDefault="002C4D66" w:rsidP="002C4D66">
      <w:pPr>
        <w:spacing w:after="0" w:line="240" w:lineRule="auto"/>
        <w:jc w:val="both"/>
        <w:rPr>
          <w:rFonts w:asciiTheme="majorBidi" w:hAnsiTheme="majorBidi" w:cstheme="majorBidi"/>
          <w:kern w:val="0"/>
          <w:sz w:val="24"/>
          <w:szCs w:val="24"/>
          <w:shd w:val="clear" w:color="auto" w:fill="FFFFFF"/>
          <w:lang w:val="en-US"/>
          <w14:ligatures w14:val="none"/>
        </w:rPr>
      </w:pPr>
    </w:p>
    <w:p w14:paraId="45CB24BB" w14:textId="43D7DA73" w:rsidR="002C4D66" w:rsidRPr="006B37A1" w:rsidRDefault="002C4D66" w:rsidP="002C4D66">
      <w:pPr>
        <w:widowControl w:val="0"/>
        <w:autoSpaceDE w:val="0"/>
        <w:autoSpaceDN w:val="0"/>
        <w:adjustRightInd w:val="0"/>
        <w:spacing w:after="120" w:line="240" w:lineRule="auto"/>
        <w:ind w:left="480" w:hanging="480"/>
        <w:contextualSpacing/>
        <w:jc w:val="both"/>
        <w:rPr>
          <w:rFonts w:ascii="Times New Roman" w:hAnsi="Times New Roman" w:cs="Times New Roman"/>
          <w:noProof/>
          <w:lang w:val="en-US"/>
        </w:rPr>
      </w:pPr>
      <w:r w:rsidRPr="006B37A1">
        <w:rPr>
          <w:rFonts w:ascii="Times New Roman" w:hAnsi="Times New Roman" w:cs="Times New Roman"/>
          <w:noProof/>
          <w:lang w:val="en-US"/>
        </w:rPr>
        <w:t>Pesaran</w:t>
      </w:r>
      <w:r w:rsidR="006B37A1">
        <w:rPr>
          <w:rFonts w:ascii="Times New Roman" w:hAnsi="Times New Roman" w:cs="Times New Roman"/>
          <w:noProof/>
          <w:lang w:val="en-US"/>
        </w:rPr>
        <w:t xml:space="preserve"> </w:t>
      </w:r>
      <w:r w:rsidRPr="006B37A1">
        <w:rPr>
          <w:rFonts w:ascii="Times New Roman" w:hAnsi="Times New Roman" w:cs="Times New Roman"/>
          <w:noProof/>
          <w:lang w:val="en-US"/>
        </w:rPr>
        <w:t>HH, Shin Y (1998) Generalized impulse response analysis in linear multivariate models. Econ Lett 58(1)</w:t>
      </w:r>
      <w:r w:rsidR="006B37A1">
        <w:rPr>
          <w:rFonts w:ascii="Times New Roman" w:hAnsi="Times New Roman" w:cs="Times New Roman"/>
          <w:noProof/>
          <w:lang w:val="en-US"/>
        </w:rPr>
        <w:t>:</w:t>
      </w:r>
      <w:r w:rsidRPr="006B37A1">
        <w:rPr>
          <w:rFonts w:ascii="Times New Roman" w:hAnsi="Times New Roman" w:cs="Times New Roman"/>
          <w:noProof/>
          <w:lang w:val="en-US"/>
        </w:rPr>
        <w:t>17–29 https://doi.org/10.1016/S0165-1765(97)00214-0</w:t>
      </w:r>
    </w:p>
    <w:p w14:paraId="25799EBB" w14:textId="77777777" w:rsidR="002C4D66" w:rsidRDefault="002C4D66" w:rsidP="002C4D66">
      <w:pPr>
        <w:spacing w:after="0" w:line="240" w:lineRule="auto"/>
        <w:jc w:val="both"/>
        <w:rPr>
          <w:rFonts w:asciiTheme="majorBidi" w:hAnsiTheme="majorBidi" w:cstheme="majorBidi"/>
          <w:kern w:val="0"/>
          <w:sz w:val="24"/>
          <w:szCs w:val="24"/>
          <w:shd w:val="clear" w:color="auto" w:fill="FFFFFF"/>
          <w:lang w:val="en-US"/>
          <w14:ligatures w14:val="none"/>
        </w:rPr>
      </w:pPr>
    </w:p>
    <w:p w14:paraId="0C16C691" w14:textId="77777777" w:rsidR="00BA00BD" w:rsidRDefault="00BA00BD" w:rsidP="002C4D66">
      <w:pPr>
        <w:spacing w:after="0" w:line="240" w:lineRule="auto"/>
        <w:jc w:val="both"/>
        <w:rPr>
          <w:rFonts w:asciiTheme="majorBidi" w:hAnsiTheme="majorBidi" w:cstheme="majorBidi"/>
          <w:kern w:val="0"/>
          <w:sz w:val="24"/>
          <w:szCs w:val="24"/>
          <w:shd w:val="clear" w:color="auto" w:fill="FFFFFF"/>
          <w:lang w:val="en-US"/>
          <w14:ligatures w14:val="none"/>
        </w:rPr>
      </w:pPr>
    </w:p>
    <w:p w14:paraId="1B73B048" w14:textId="77777777" w:rsidR="00BA00BD" w:rsidRPr="002C4D66" w:rsidRDefault="00BA00BD" w:rsidP="002C4D66">
      <w:pPr>
        <w:spacing w:after="0" w:line="240" w:lineRule="auto"/>
        <w:jc w:val="both"/>
        <w:rPr>
          <w:rFonts w:asciiTheme="majorBidi" w:hAnsiTheme="majorBidi" w:cstheme="majorBidi"/>
          <w:kern w:val="0"/>
          <w:sz w:val="24"/>
          <w:szCs w:val="24"/>
          <w:shd w:val="clear" w:color="auto" w:fill="FFFFFF"/>
          <w:lang w:val="en-US"/>
          <w14:ligatures w14:val="none"/>
        </w:rPr>
      </w:pPr>
    </w:p>
    <w:sectPr w:rsidR="00BA00BD" w:rsidRPr="002C4D6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23360"/>
    <w:multiLevelType w:val="hybridMultilevel"/>
    <w:tmpl w:val="25E63910"/>
    <w:lvl w:ilvl="0" w:tplc="2AE60E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74687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D66"/>
    <w:rsid w:val="000679E3"/>
    <w:rsid w:val="001F01D5"/>
    <w:rsid w:val="002C4D66"/>
    <w:rsid w:val="00412334"/>
    <w:rsid w:val="006B35E0"/>
    <w:rsid w:val="006B37A1"/>
    <w:rsid w:val="006C1859"/>
    <w:rsid w:val="008D2015"/>
    <w:rsid w:val="009E4279"/>
    <w:rsid w:val="00BA00BD"/>
    <w:rsid w:val="00BE0DCA"/>
    <w:rsid w:val="00C614D5"/>
    <w:rsid w:val="00D03F23"/>
    <w:rsid w:val="00DA23CA"/>
    <w:rsid w:val="00F37C90"/>
    <w:rsid w:val="00F64F2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8CDCD"/>
  <w15:chartTrackingRefBased/>
  <w15:docId w15:val="{78F430E8-EFA6-486B-963F-AD4463BB6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2C4D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semiHidden/>
    <w:unhideWhenUsed/>
    <w:qFormat/>
    <w:rsid w:val="002C4D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002C4D6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2C4D6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2C4D6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2C4D6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2C4D6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2C4D6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2C4D66"/>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2C4D66"/>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semiHidden/>
    <w:rsid w:val="002C4D66"/>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semiHidden/>
    <w:rsid w:val="002C4D66"/>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2C4D66"/>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2C4D66"/>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2C4D66"/>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2C4D66"/>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2C4D66"/>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2C4D66"/>
    <w:rPr>
      <w:rFonts w:eastAsiaTheme="majorEastAsia" w:cstheme="majorBidi"/>
      <w:color w:val="272727" w:themeColor="text1" w:themeTint="D8"/>
    </w:rPr>
  </w:style>
  <w:style w:type="paragraph" w:styleId="Ttulo">
    <w:name w:val="Title"/>
    <w:basedOn w:val="Normal"/>
    <w:next w:val="Normal"/>
    <w:link w:val="TtuloCarter"/>
    <w:uiPriority w:val="10"/>
    <w:qFormat/>
    <w:rsid w:val="002C4D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2C4D6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2C4D66"/>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2C4D66"/>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2C4D66"/>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2C4D66"/>
    <w:rPr>
      <w:i/>
      <w:iCs/>
      <w:color w:val="404040" w:themeColor="text1" w:themeTint="BF"/>
    </w:rPr>
  </w:style>
  <w:style w:type="paragraph" w:styleId="PargrafodaLista">
    <w:name w:val="List Paragraph"/>
    <w:basedOn w:val="Normal"/>
    <w:uiPriority w:val="34"/>
    <w:qFormat/>
    <w:rsid w:val="002C4D66"/>
    <w:pPr>
      <w:ind w:left="720"/>
      <w:contextualSpacing/>
    </w:pPr>
  </w:style>
  <w:style w:type="character" w:styleId="nfaseIntensa">
    <w:name w:val="Intense Emphasis"/>
    <w:basedOn w:val="Tipodeletrapredefinidodopargrafo"/>
    <w:uiPriority w:val="21"/>
    <w:qFormat/>
    <w:rsid w:val="002C4D66"/>
    <w:rPr>
      <w:i/>
      <w:iCs/>
      <w:color w:val="0F4761" w:themeColor="accent1" w:themeShade="BF"/>
    </w:rPr>
  </w:style>
  <w:style w:type="paragraph" w:styleId="CitaoIntensa">
    <w:name w:val="Intense Quote"/>
    <w:basedOn w:val="Normal"/>
    <w:next w:val="Normal"/>
    <w:link w:val="CitaoIntensaCarter"/>
    <w:uiPriority w:val="30"/>
    <w:qFormat/>
    <w:rsid w:val="002C4D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2C4D66"/>
    <w:rPr>
      <w:i/>
      <w:iCs/>
      <w:color w:val="0F4761" w:themeColor="accent1" w:themeShade="BF"/>
    </w:rPr>
  </w:style>
  <w:style w:type="character" w:styleId="RefernciaIntensa">
    <w:name w:val="Intense Reference"/>
    <w:basedOn w:val="Tipodeletrapredefinidodopargrafo"/>
    <w:uiPriority w:val="32"/>
    <w:qFormat/>
    <w:rsid w:val="002C4D66"/>
    <w:rPr>
      <w:b/>
      <w:bCs/>
      <w:smallCaps/>
      <w:color w:val="0F4761" w:themeColor="accent1" w:themeShade="BF"/>
      <w:spacing w:val="5"/>
    </w:rPr>
  </w:style>
  <w:style w:type="paragraph" w:customStyle="1" w:styleId="MDPI31text">
    <w:name w:val="MDPI_3.1_text"/>
    <w:qFormat/>
    <w:rsid w:val="002C4D66"/>
    <w:pPr>
      <w:adjustRightInd w:val="0"/>
      <w:snapToGrid w:val="0"/>
      <w:spacing w:after="0" w:line="260" w:lineRule="atLeast"/>
      <w:ind w:firstLine="425"/>
      <w:jc w:val="both"/>
    </w:pPr>
    <w:rPr>
      <w:rFonts w:ascii="Palatino Linotype" w:eastAsia="Times New Roman" w:hAnsi="Palatino Linotype" w:cs="Times New Roman"/>
      <w:snapToGrid w:val="0"/>
      <w:color w:val="000000"/>
      <w:kern w:val="0"/>
      <w:sz w:val="20"/>
      <w:lang w:val="en-US" w:eastAsia="de-DE" w:bidi="en-US"/>
      <w14:ligatures w14:val="none"/>
    </w:rPr>
  </w:style>
  <w:style w:type="character" w:styleId="Refdecomentrio">
    <w:name w:val="annotation reference"/>
    <w:basedOn w:val="Tipodeletrapredefinidodopargrafo"/>
    <w:uiPriority w:val="99"/>
    <w:semiHidden/>
    <w:unhideWhenUsed/>
    <w:rsid w:val="006B35E0"/>
    <w:rPr>
      <w:sz w:val="16"/>
      <w:szCs w:val="16"/>
    </w:rPr>
  </w:style>
  <w:style w:type="paragraph" w:styleId="Textodecomentrio">
    <w:name w:val="annotation text"/>
    <w:basedOn w:val="Normal"/>
    <w:link w:val="TextodecomentrioCarter"/>
    <w:uiPriority w:val="99"/>
    <w:unhideWhenUsed/>
    <w:rsid w:val="006B35E0"/>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6B35E0"/>
    <w:rPr>
      <w:sz w:val="20"/>
      <w:szCs w:val="20"/>
    </w:rPr>
  </w:style>
  <w:style w:type="paragraph" w:styleId="Assuntodecomentrio">
    <w:name w:val="annotation subject"/>
    <w:basedOn w:val="Textodecomentrio"/>
    <w:next w:val="Textodecomentrio"/>
    <w:link w:val="AssuntodecomentrioCarter"/>
    <w:uiPriority w:val="99"/>
    <w:semiHidden/>
    <w:unhideWhenUsed/>
    <w:rsid w:val="006B35E0"/>
    <w:rPr>
      <w:b/>
      <w:bCs/>
    </w:rPr>
  </w:style>
  <w:style w:type="character" w:customStyle="1" w:styleId="AssuntodecomentrioCarter">
    <w:name w:val="Assunto de comentário Caráter"/>
    <w:basedOn w:val="TextodecomentrioCarter"/>
    <w:link w:val="Assuntodecomentrio"/>
    <w:uiPriority w:val="99"/>
    <w:semiHidden/>
    <w:rsid w:val="006B35E0"/>
    <w:rPr>
      <w:b/>
      <w:bCs/>
      <w:sz w:val="20"/>
      <w:szCs w:val="20"/>
    </w:rPr>
  </w:style>
  <w:style w:type="table" w:styleId="TabelacomGrelha">
    <w:name w:val="Table Grid"/>
    <w:basedOn w:val="Tabelanormal"/>
    <w:uiPriority w:val="39"/>
    <w:rsid w:val="006B35E0"/>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elanormal"/>
    <w:uiPriority w:val="40"/>
    <w:rsid w:val="00BA00BD"/>
    <w:pPr>
      <w:spacing w:after="0" w:line="240" w:lineRule="auto"/>
    </w:pPr>
    <w:rPr>
      <w:kern w:val="0"/>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pr-formatado">
    <w:name w:val="HTML Preformatted"/>
    <w:basedOn w:val="Normal"/>
    <w:link w:val="HTMLpr-formatadoCarter"/>
    <w:uiPriority w:val="99"/>
    <w:unhideWhenUsed/>
    <w:rsid w:val="00BA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en-US"/>
      <w14:ligatures w14:val="none"/>
    </w:rPr>
  </w:style>
  <w:style w:type="character" w:customStyle="1" w:styleId="HTMLpr-formatadoCarter">
    <w:name w:val="HTML pré-formatado Caráter"/>
    <w:basedOn w:val="Tipodeletrapredefinidodopargrafo"/>
    <w:link w:val="HTMLpr-formatado"/>
    <w:uiPriority w:val="99"/>
    <w:rsid w:val="00BA00BD"/>
    <w:rPr>
      <w:rFonts w:ascii="Courier New" w:eastAsia="Times New Roman" w:hAnsi="Courier New" w:cs="Courier New"/>
      <w:kern w:val="0"/>
      <w:sz w:val="20"/>
      <w:szCs w:val="20"/>
      <w:lang w:val="en-US"/>
      <w14:ligatures w14:val="none"/>
    </w:rPr>
  </w:style>
  <w:style w:type="character" w:customStyle="1" w:styleId="go2hclqbb5b">
    <w:name w:val="go2hclqbb5b"/>
    <w:basedOn w:val="Tipodeletrapredefinidodopargrafo"/>
    <w:rsid w:val="00BA00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Pages>
  <Words>2319</Words>
  <Characters>12524</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 Ferreira</dc:creator>
  <cp:keywords/>
  <dc:description/>
  <cp:lastModifiedBy>Paulo Ferreira</cp:lastModifiedBy>
  <cp:revision>6</cp:revision>
  <dcterms:created xsi:type="dcterms:W3CDTF">2026-03-16T15:00:00Z</dcterms:created>
  <dcterms:modified xsi:type="dcterms:W3CDTF">2026-06-04T10:06:00Z</dcterms:modified>
</cp:coreProperties>
</file>