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880" w:firstLine="521.9999999999999"/>
        <w:rPr>
          <w:rFonts w:ascii="Cambria" w:cs="Cambria" w:eastAsia="Cambria" w:hAnsi="Cambria"/>
          <w:b w:val="1"/>
          <w:bCs w:val="1"/>
          <w:color w:val="000000"/>
          <w:sz w:val="32"/>
          <w:szCs w:val="32"/>
        </w:rPr>
      </w:pPr>
      <w:r w:rsidDel="00000000" w:rsidR="00000000" w:rsidRPr="00000000">
        <w:rPr>
          <w:rFonts w:ascii="Cambria" w:cs="Cambria" w:eastAsia="Cambria" w:hAnsi="Cambria"/>
          <w:b w:val="1"/>
          <w:bCs w:val="1"/>
          <w:color w:val="000000"/>
          <w:sz w:val="32"/>
          <w:szCs w:val="32"/>
          <w:rtl w:val="0"/>
        </w:rPr>
        <w:t xml:space="preserve">PRILE 2021 Flowchart</w:t>
      </w:r>
    </w:p>
    <w:p w:rsidR="00000000" w:rsidDel="00000000" w:rsidP="00000000" w:rsidRDefault="00000000" w:rsidRPr="00000000" w14:paraId="00000002">
      <w:pPr>
        <w:jc w:val="center"/>
        <w:rPr/>
      </w:pPr>
      <w:r w:rsidDel="00000000" w:rsidR="00000000" w:rsidRPr="00000000">
        <w:rPr/>
        <mc:AlternateContent>
          <mc:Choice Requires="wpg">
            <w:drawing>
              <wp:inline distB="0" distT="0" distL="0" distR="0">
                <wp:extent cx="4698938" cy="6924266"/>
                <wp:effectExtent b="0" l="0" r="0" t="0"/>
                <wp:docPr id="3" name=""/>
                <a:graphic>
                  <a:graphicData uri="http://schemas.microsoft.com/office/word/2010/wordprocessingGroup">
                    <wpg:wgp>
                      <wpg:cNvGrpSpPr/>
                      <wpg:grpSpPr>
                        <a:xfrm>
                          <a:off x="2534125" y="225425"/>
                          <a:ext cx="4698938" cy="6924266"/>
                          <a:chOff x="2534125" y="225425"/>
                          <a:chExt cx="4964425" cy="7334575"/>
                        </a:xfrm>
                      </wpg:grpSpPr>
                      <wps:wsp>
                        <wps:cNvSpPr/>
                        <wps:cNvPr id="2" name="Shape 2"/>
                        <wps:spPr>
                          <a:xfrm rot="5400000">
                            <a:off x="4826501" y="5825467"/>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 name="Shape 3"/>
                        <wps:spPr>
                          <a:xfrm rot="5400000">
                            <a:off x="4851139" y="4962868"/>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5400000">
                            <a:off x="4875639" y="3817876"/>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rot="5400000">
                            <a:off x="4901976" y="2245764"/>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rot="5400000">
                            <a:off x="4902114" y="1545906"/>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rot="5400000">
                            <a:off x="4897076" y="734082"/>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2611713" y="231800"/>
                            <a:ext cx="4863300" cy="612300"/>
                          </a:xfrm>
                          <a:prstGeom prst="roundRect">
                            <a:avLst>
                              <a:gd fmla="val 10000" name="adj"/>
                            </a:avLst>
                          </a:prstGeom>
                          <a:solidFill>
                            <a:srgbClr val="2E75B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2629138" y="338075"/>
                            <a:ext cx="4838400" cy="5058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1"/>
                                  <w:i w:val="0"/>
                                  <w:smallCaps w:val="0"/>
                                  <w:strike w:val="0"/>
                                  <w:color w:val="000000"/>
                                  <w:sz w:val="16"/>
                                  <w:vertAlign w:val="baseline"/>
                                </w:rPr>
                                <w:t xml:space="preserve">Nickel-titanium instruments with superior flexibility and cyclic fatigue resistance demonstrate improved shaping control and canal centering in mandibular molars. Understanding the relationship between mechanical properties and shaping performance can guide clinicians in selecting systems that optimize biomechanical preparation while minimizing dentin removal and procedural errors.</w:t>
                              </w:r>
                            </w:p>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1"/>
                                  <w:i w:val="0"/>
                                  <w:smallCaps w:val="0"/>
                                  <w:strike w:val="0"/>
                                  <w:color w:val="000000"/>
                                  <w:sz w:val="16"/>
                                  <w:vertAlign w:val="baseline"/>
                                </w:rPr>
                              </w:r>
                            </w:p>
                          </w:txbxContent>
                        </wps:txbx>
                        <wps:bodyPr anchorCtr="0" anchor="ctr" bIns="30475" lIns="30475" spcFirstLastPara="1" rIns="30475" wrap="square" tIns="30475">
                          <a:noAutofit/>
                        </wps:bodyPr>
                      </wps:wsp>
                      <wps:wsp>
                        <wps:cNvSpPr/>
                        <wps:cNvPr id="10" name="Shape 10"/>
                        <wps:spPr>
                          <a:xfrm>
                            <a:off x="2619425" y="1023199"/>
                            <a:ext cx="4863300" cy="587100"/>
                          </a:xfrm>
                          <a:prstGeom prst="roundRect">
                            <a:avLst>
                              <a:gd fmla="val 10000" name="adj"/>
                            </a:avLst>
                          </a:prstGeom>
                          <a:solidFill>
                            <a:srgbClr val="9CC2E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2629375" y="1093353"/>
                            <a:ext cx="4828200" cy="5058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This study evaluated the cyclic fatigue, torsional, and bending resistance of five nickel-titanium (NiTi) instrumentation systems and investigated the relationship between these mechanical properties and the biomechanical performance of root canal preparation in mandibular molars using micro–computed tomography (micro-CT).</w:t>
                              </w:r>
                            </w:p>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p>
                          </w:txbxContent>
                        </wps:txbx>
                        <wps:bodyPr anchorCtr="0" anchor="ctr" bIns="30475" lIns="30475" spcFirstLastPara="1" rIns="30475" wrap="square" tIns="30475">
                          <a:noAutofit/>
                        </wps:bodyPr>
                      </wps:wsp>
                      <wps:wsp>
                        <wps:cNvSpPr/>
                        <wps:cNvPr id="12" name="Shape 12"/>
                        <wps:spPr>
                          <a:xfrm>
                            <a:off x="2609975" y="1829550"/>
                            <a:ext cx="4882200" cy="476100"/>
                          </a:xfrm>
                          <a:prstGeom prst="roundRect">
                            <a:avLst>
                              <a:gd fmla="val 10000" name="adj"/>
                            </a:avLst>
                          </a:prstGeom>
                          <a:solidFill>
                            <a:srgbClr val="2E75B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2645675" y="1854350"/>
                            <a:ext cx="4810500" cy="451200"/>
                          </a:xfrm>
                          <a:prstGeom prst="rect">
                            <a:avLst/>
                          </a:prstGeom>
                          <a:noFill/>
                          <a:ln>
                            <a:noFill/>
                          </a:ln>
                        </wps:spPr>
                        <wps:txbx>
                          <w:txbxContent>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This study was approved by Institutional Research Ethics Committee of the (protocol #61206522.4.0000.5419).</w:t>
                              </w:r>
                            </w:p>
                          </w:txbxContent>
                        </wps:txbx>
                        <wps:bodyPr anchorCtr="0" anchor="ctr" bIns="30475" lIns="30475" spcFirstLastPara="1" rIns="30475" wrap="square" tIns="30475">
                          <a:noAutofit/>
                        </wps:bodyPr>
                      </wps:wsp>
                      <wps:wsp>
                        <wps:cNvSpPr/>
                        <wps:cNvPr id="14" name="Shape 14"/>
                        <wps:spPr>
                          <a:xfrm rot="5400000">
                            <a:off x="4902189" y="2849725"/>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619498" y="2533002"/>
                            <a:ext cx="4863300" cy="389100"/>
                            <a:chOff x="2585373" y="2829727"/>
                            <a:chExt cx="4863300" cy="389100"/>
                          </a:xfrm>
                        </wpg:grpSpPr>
                        <wps:wsp>
                          <wps:cNvSpPr/>
                          <wps:cNvPr id="16" name="Shape 16"/>
                          <wps:spPr>
                            <a:xfrm>
                              <a:off x="2585373" y="2829727"/>
                              <a:ext cx="4863300" cy="389100"/>
                            </a:xfrm>
                            <a:prstGeom prst="roundRect">
                              <a:avLst>
                                <a:gd fmla="val 10000" name="adj"/>
                              </a:avLst>
                            </a:prstGeom>
                            <a:solidFill>
                              <a:srgbClr val="9CC2E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 name="Shape 17"/>
                          <wps:spPr>
                            <a:xfrm>
                              <a:off x="2602821" y="2841127"/>
                              <a:ext cx="4828200" cy="3663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NiTi instruments: Blue Shaper, VDW Rotate, ProTaper Ultimate, ProTaper Next, and WaveOne Gold</w:t>
                                </w:r>
                              </w:p>
                            </w:txbxContent>
                          </wps:txbx>
                          <wps:bodyPr anchorCtr="0" anchor="ctr" bIns="30475" lIns="30475" spcFirstLastPara="1" rIns="30475" wrap="square" tIns="30475">
                            <a:noAutofit/>
                          </wps:bodyPr>
                        </wps:wsp>
                      </wpg:grpSp>
                      <wps:wsp>
                        <wps:cNvSpPr/>
                        <wps:cNvPr id="18" name="Shape 18"/>
                        <wps:spPr>
                          <a:xfrm>
                            <a:off x="2619500" y="3126100"/>
                            <a:ext cx="4863300" cy="773700"/>
                          </a:xfrm>
                          <a:prstGeom prst="roundRect">
                            <a:avLst>
                              <a:gd fmla="val 10000" name="adj"/>
                            </a:avLst>
                          </a:prstGeom>
                          <a:solidFill>
                            <a:srgbClr val="2E75B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 name="Shape 19"/>
                        <wps:spPr>
                          <a:xfrm>
                            <a:off x="2619350" y="3149450"/>
                            <a:ext cx="4837200" cy="743400"/>
                          </a:xfrm>
                          <a:prstGeom prst="rect">
                            <a:avLst/>
                          </a:prstGeom>
                          <a:noFill/>
                          <a:ln>
                            <a:noFill/>
                          </a:ln>
                        </wps:spPr>
                        <wps:txbx>
                          <w:txbxContent>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Blue Shaper 25.06 (400 rpm, 4 N·cm) (N=30); </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VDW Rotate 25.06 (350 rpm, 2.3 N·cm) (</w:t>
                              </w:r>
                              <w:r w:rsidDel="00000000" w:rsidR="00000000" w:rsidRPr="00000000">
                                <w:rPr>
                                  <w:rFonts w:ascii="Cambria" w:cs="Cambria" w:eastAsia="Cambria" w:hAnsi="Cambria"/>
                                  <w:b w:val="0"/>
                                  <w:i w:val="0"/>
                                  <w:smallCaps w:val="0"/>
                                  <w:strike w:val="0"/>
                                  <w:color w:val="000000"/>
                                  <w:sz w:val="16"/>
                                  <w:vertAlign w:val="baseline"/>
                                </w:rPr>
                                <w:t xml:space="preserve">N=30)</w:t>
                              </w:r>
                              <w:r w:rsidDel="00000000" w:rsidR="00000000" w:rsidRPr="00000000">
                                <w:rPr>
                                  <w:rFonts w:ascii="Cambria" w:cs="Cambria" w:eastAsia="Cambria" w:hAnsi="Cambria"/>
                                  <w:b w:val="0"/>
                                  <w:i w:val="0"/>
                                  <w:smallCaps w:val="0"/>
                                  <w:strike w:val="0"/>
                                  <w:color w:val="000000"/>
                                  <w:sz w:val="16"/>
                                  <w:vertAlign w:val="baseline"/>
                                </w:rPr>
                                <w:t xml:space="preserve">; </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ProTaper Ultimate 25.08: (400 rpm, 4 N·cm) (</w:t>
                              </w:r>
                              <w:r w:rsidDel="00000000" w:rsidR="00000000" w:rsidRPr="00000000">
                                <w:rPr>
                                  <w:rFonts w:ascii="Cambria" w:cs="Cambria" w:eastAsia="Cambria" w:hAnsi="Cambria"/>
                                  <w:b w:val="0"/>
                                  <w:i w:val="0"/>
                                  <w:smallCaps w:val="0"/>
                                  <w:strike w:val="0"/>
                                  <w:color w:val="000000"/>
                                  <w:sz w:val="16"/>
                                  <w:vertAlign w:val="baseline"/>
                                </w:rPr>
                                <w:t xml:space="preserve">N=30)</w:t>
                              </w:r>
                              <w:r w:rsidDel="00000000" w:rsidR="00000000" w:rsidRPr="00000000">
                                <w:rPr>
                                  <w:rFonts w:ascii="Cambria" w:cs="Cambria" w:eastAsia="Cambria" w:hAnsi="Cambria"/>
                                  <w:b w:val="0"/>
                                  <w:i w:val="0"/>
                                  <w:smallCaps w:val="0"/>
                                  <w:strike w:val="0"/>
                                  <w:color w:val="000000"/>
                                  <w:sz w:val="16"/>
                                  <w:vertAlign w:val="baseline"/>
                                </w:rPr>
                                <w:t xml:space="preserve">; </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ProTaper Next 25.06 (350 rpm, 4 N·cm) (</w:t>
                              </w:r>
                              <w:r w:rsidDel="00000000" w:rsidR="00000000" w:rsidRPr="00000000">
                                <w:rPr>
                                  <w:rFonts w:ascii="Cambria" w:cs="Cambria" w:eastAsia="Cambria" w:hAnsi="Cambria"/>
                                  <w:b w:val="0"/>
                                  <w:i w:val="0"/>
                                  <w:smallCaps w:val="0"/>
                                  <w:strike w:val="0"/>
                                  <w:color w:val="000000"/>
                                  <w:sz w:val="16"/>
                                  <w:vertAlign w:val="baseline"/>
                                </w:rPr>
                                <w:t xml:space="preserve">N=30)</w:t>
                              </w:r>
                              <w:r w:rsidDel="00000000" w:rsidR="00000000" w:rsidRPr="00000000">
                                <w:rPr>
                                  <w:rFonts w:ascii="Cambria" w:cs="Cambria" w:eastAsia="Cambria" w:hAnsi="Cambria"/>
                                  <w:b w:val="0"/>
                                  <w:i w:val="0"/>
                                  <w:smallCaps w:val="0"/>
                                  <w:strike w:val="0"/>
                                  <w:color w:val="000000"/>
                                  <w:sz w:val="16"/>
                                  <w:vertAlign w:val="baseline"/>
                                </w:rPr>
                                <w:t xml:space="preserve">; </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r w:rsidDel="00000000" w:rsidR="00000000" w:rsidRPr="00000000">
                                <w:rPr>
                                  <w:rFonts w:ascii="Cambria" w:cs="Cambria" w:eastAsia="Cambria" w:hAnsi="Cambria"/>
                                  <w:b w:val="0"/>
                                  <w:i w:val="0"/>
                                  <w:smallCaps w:val="0"/>
                                  <w:strike w:val="0"/>
                                  <w:color w:val="000000"/>
                                  <w:sz w:val="16"/>
                                  <w:vertAlign w:val="baseline"/>
                                </w:rPr>
                                <w:t xml:space="preserve">WaveOne Gold 25.07 (“WaveOne All” mode – 350 rpm) (</w:t>
                              </w:r>
                              <w:r w:rsidDel="00000000" w:rsidR="00000000" w:rsidRPr="00000000">
                                <w:rPr>
                                  <w:rFonts w:ascii="Cambria" w:cs="Cambria" w:eastAsia="Cambria" w:hAnsi="Cambria"/>
                                  <w:b w:val="0"/>
                                  <w:i w:val="0"/>
                                  <w:smallCaps w:val="0"/>
                                  <w:strike w:val="0"/>
                                  <w:color w:val="000000"/>
                                  <w:sz w:val="16"/>
                                  <w:vertAlign w:val="baseline"/>
                                </w:rPr>
                                <w:t xml:space="preserve">N=30)</w:t>
                              </w:r>
                              <w:r w:rsidDel="00000000" w:rsidR="00000000" w:rsidRPr="00000000">
                                <w:rPr>
                                  <w:rFonts w:ascii="Cambria" w:cs="Cambria" w:eastAsia="Cambria" w:hAnsi="Cambria"/>
                                  <w:b w:val="0"/>
                                  <w:i w:val="0"/>
                                  <w:smallCaps w:val="0"/>
                                  <w:strike w:val="0"/>
                                  <w:color w:val="000000"/>
                                  <w:sz w:val="16"/>
                                  <w:vertAlign w:val="baseline"/>
                                </w:rPr>
                                <w:t xml:space="preserve">.</w:t>
                              </w:r>
                            </w:p>
                          </w:txbxContent>
                        </wps:txbx>
                        <wps:bodyPr anchorCtr="0" anchor="ctr" bIns="30475" lIns="30475" spcFirstLastPara="1" rIns="30475" wrap="square" tIns="30475">
                          <a:noAutofit/>
                        </wps:bodyPr>
                      </wps:wsp>
                      <wps:wsp>
                        <wps:cNvSpPr/>
                        <wps:cNvPr id="20" name="Shape 20"/>
                        <wps:spPr>
                          <a:xfrm>
                            <a:off x="2559500" y="4146700"/>
                            <a:ext cx="4863300" cy="876900"/>
                          </a:xfrm>
                          <a:prstGeom prst="roundRect">
                            <a:avLst>
                              <a:gd fmla="val 10000" name="adj"/>
                            </a:avLst>
                          </a:prstGeom>
                          <a:solidFill>
                            <a:srgbClr val="9CC2E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 name="Shape 21"/>
                        <wps:spPr>
                          <a:xfrm>
                            <a:off x="2656950" y="4272050"/>
                            <a:ext cx="4739400" cy="773700"/>
                          </a:xfrm>
                          <a:prstGeom prst="rect">
                            <a:avLst/>
                          </a:prstGeom>
                          <a:noFill/>
                          <a:ln>
                            <a:noFill/>
                          </a:ln>
                        </wps:spPr>
                        <wps:txbx>
                          <w:txbxContent>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Shaping outcomes were obtained through micro-computed tomography and included canal volume change, transportation, centering ratio, circularity, dentin thickness reduction in critical regions, and the percentage of unprepared walls. Mechanical outcomes consisted of cyclic fatigue resistance (time to fracture), torsional resistance (maximum torque and angle of rotation to failure), and flexibility or bending stiffness. Secondary outcomes included the fractographic features observed under scanning electron microscopy, such as fatigue striations, dimples, and torsional abrasion marks, as well as cross-sectional geometric characteristics associated with mechanical behavior.</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p>
                          </w:txbxContent>
                        </wps:txbx>
                        <wps:bodyPr anchorCtr="0" anchor="ctr" bIns="30475" lIns="30475" spcFirstLastPara="1" rIns="30475" wrap="square" tIns="30475">
                          <a:noAutofit/>
                        </wps:bodyPr>
                      </wps:wsp>
                      <wps:wsp>
                        <wps:cNvSpPr/>
                        <wps:cNvPr id="22" name="Shape 22"/>
                        <wps:spPr>
                          <a:xfrm>
                            <a:off x="2560900" y="5246552"/>
                            <a:ext cx="4863300" cy="664200"/>
                          </a:xfrm>
                          <a:prstGeom prst="roundRect">
                            <a:avLst>
                              <a:gd fmla="val 10000" name="adj"/>
                            </a:avLst>
                          </a:prstGeom>
                          <a:solidFill>
                            <a:srgbClr val="2E75B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 name="Shape 23"/>
                        <wps:spPr>
                          <a:xfrm>
                            <a:off x="2583600" y="5261350"/>
                            <a:ext cx="4674000" cy="6642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The outcomes were assessed using high-resolution micro–computed tomography for morphometric measurements, which were performed by calibrated examiners blinded to group allocation. Mechanical outcomes were analyzed through standardized cyclic fatigue and torsional resistance tests conducted by trained laboratory staff following ISO specifications. Fracture patterns were evaluated by an experienced operator using scanning electron microscopy.</w:t>
                              </w:r>
                            </w:p>
                          </w:txbxContent>
                        </wps:txbx>
                        <wps:bodyPr anchorCtr="0" anchor="ctr" bIns="30475" lIns="30475" spcFirstLastPara="1" rIns="30475" wrap="square" tIns="30475">
                          <a:noAutofit/>
                        </wps:bodyPr>
                      </wps:wsp>
                      <wps:wsp>
                        <wps:cNvSpPr/>
                        <wps:cNvPr id="24" name="Shape 24"/>
                        <wps:spPr>
                          <a:xfrm>
                            <a:off x="2540500" y="6108519"/>
                            <a:ext cx="4863300" cy="799500"/>
                          </a:xfrm>
                          <a:prstGeom prst="roundRect">
                            <a:avLst>
                              <a:gd fmla="val 10000" name="adj"/>
                            </a:avLst>
                          </a:prstGeom>
                          <a:solidFill>
                            <a:srgbClr val="9CC2E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 name="Shape 25"/>
                        <wps:spPr>
                          <a:xfrm>
                            <a:off x="2557950" y="6284275"/>
                            <a:ext cx="4739400" cy="612300"/>
                          </a:xfrm>
                          <a:prstGeom prst="rect">
                            <a:avLst/>
                          </a:prstGeom>
                          <a:noFill/>
                          <a:ln>
                            <a:noFill/>
                          </a:ln>
                        </wps:spPr>
                        <wps:txbx>
                          <w:txbxContent>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WaveOne Gold (WOG) and VDW Rotate (RT) exhibited the highest cyclic fatigue resistance. RT presented the greatest flexibility and the best results related with shaping ability, with higher canal circularity and fewer unprepared walls, indicating a more conservative and centered preparation. Conversely, Blue Shaper (BS), characterized by lower fatigue resistance and greater stiffness, produced the largest dentin removal and volumetric increase. A significant positive relationship was observed between increased flexibility/fatigue resistance and more conservative shaping outcomes.</w:t>
                              </w:r>
                            </w:p>
                            <w:p w:rsidR="00000000" w:rsidDel="00000000" w:rsidP="00000000" w:rsidRDefault="00000000" w:rsidRPr="00000000">
                              <w:pPr>
                                <w:spacing w:after="0" w:before="55.999999046325684"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p>
                          </w:txbxContent>
                        </wps:txbx>
                        <wps:bodyPr anchorCtr="0" anchor="ctr" bIns="30475" lIns="30475" spcFirstLastPara="1" rIns="30475" wrap="square" tIns="30475">
                          <a:noAutofit/>
                        </wps:bodyPr>
                      </wps:wsp>
                      <wps:wsp>
                        <wps:cNvSpPr/>
                        <wps:cNvPr id="26" name="Shape 26"/>
                        <wps:spPr>
                          <a:xfrm rot="5347917">
                            <a:off x="4876836" y="6838732"/>
                            <a:ext cx="198023" cy="268206"/>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7" name="Shape 27"/>
                        <wps:spPr>
                          <a:xfrm rot="-19241">
                            <a:off x="4895045" y="6873807"/>
                            <a:ext cx="160803" cy="1455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0" spcFirstLastPara="1" rIns="0" wrap="square" tIns="0">
                          <a:noAutofit/>
                        </wps:bodyPr>
                      </wps:wsp>
                      <wps:wsp>
                        <wps:cNvSpPr/>
                        <wps:cNvPr id="28" name="Shape 28"/>
                        <wps:spPr>
                          <a:xfrm>
                            <a:off x="2548050" y="7037575"/>
                            <a:ext cx="4863300" cy="612300"/>
                          </a:xfrm>
                          <a:prstGeom prst="roundRect">
                            <a:avLst>
                              <a:gd fmla="val 10000" name="adj"/>
                            </a:avLst>
                          </a:prstGeom>
                          <a:solidFill>
                            <a:srgbClr val="2E75B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9" name="Shape 29"/>
                        <wps:spPr>
                          <a:xfrm>
                            <a:off x="2565500" y="7125475"/>
                            <a:ext cx="4810500" cy="4761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The mechanical properties of NiTi instruments, especially flexibility as indicated by cyclic fatigue and bending resistance, play a crucial role in predicting biomechanical preparation performance. Systems combining enhanced flexibility through thermomechanical treatment and optimized cross-sectional design provide more conservative and centered shaping, improving clinical safety and efficiency.</w:t>
                              </w:r>
                            </w:p>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r>
                            </w:p>
                          </w:txbxContent>
                        </wps:txbx>
                        <wps:bodyPr anchorCtr="0" anchor="ctr" bIns="30475" lIns="30475" spcFirstLastPara="1" rIns="30475" wrap="square" tIns="30475">
                          <a:noAutofit/>
                        </wps:bodyPr>
                      </wps:wsp>
                      <wps:wsp>
                        <wps:cNvSpPr/>
                        <wps:cNvPr id="30" name="Shape 30"/>
                        <wps:spPr>
                          <a:xfrm rot="5444290">
                            <a:off x="4879312" y="7669097"/>
                            <a:ext cx="302725" cy="268204"/>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2596386" y="7885753"/>
                            <a:ext cx="4863300" cy="291900"/>
                          </a:xfrm>
                          <a:prstGeom prst="roundRect">
                            <a:avLst>
                              <a:gd fmla="val 10000" name="adj"/>
                            </a:avLst>
                          </a:prstGeom>
                          <a:solidFill>
                            <a:srgbClr val="9CC2E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2" name="Shape 32"/>
                        <wps:spPr>
                          <a:xfrm>
                            <a:off x="2609476" y="7894305"/>
                            <a:ext cx="4836900" cy="2748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This study was partially funded by CNPq and FAPESP</w:t>
                              </w:r>
                            </w:p>
                          </w:txbxContent>
                        </wps:txbx>
                        <wps:bodyPr anchorCtr="0" anchor="ctr" bIns="30475" lIns="30475" spcFirstLastPara="1" rIns="30475" wrap="square" tIns="30475">
                          <a:noAutofit/>
                        </wps:bodyPr>
                      </wps:wsp>
                      <wps:wsp>
                        <wps:cNvSpPr/>
                        <wps:cNvPr id="33" name="Shape 33"/>
                        <wps:spPr>
                          <a:xfrm rot="5400000">
                            <a:off x="4878951" y="8140982"/>
                            <a:ext cx="297900" cy="268200"/>
                          </a:xfrm>
                          <a:prstGeom prst="rightArrow">
                            <a:avLst>
                              <a:gd fmla="val 60000" name="adj1"/>
                              <a:gd fmla="val 50000" name="adj2"/>
                            </a:avLst>
                          </a:prstGeom>
                          <a:solidFill>
                            <a:srgbClr val="C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4" name="Shape 34"/>
                        <wps:spPr>
                          <a:xfrm>
                            <a:off x="4947541" y="8126133"/>
                            <a:ext cx="160800" cy="2454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0" lIns="0" spcFirstLastPara="1" rIns="0" wrap="square" tIns="0">
                          <a:noAutofit/>
                        </wps:bodyPr>
                      </wps:wsp>
                      <wps:wsp>
                        <wps:cNvSpPr/>
                        <wps:cNvPr id="35" name="Shape 35"/>
                        <wps:spPr>
                          <a:xfrm>
                            <a:off x="2596386" y="8372383"/>
                            <a:ext cx="4863300" cy="389100"/>
                          </a:xfrm>
                          <a:prstGeom prst="roundRect">
                            <a:avLst>
                              <a:gd fmla="val 10000" name="adj"/>
                            </a:avLst>
                          </a:prstGeom>
                          <a:solidFill>
                            <a:srgbClr val="2E75B5"/>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6" name="Shape 36"/>
                        <wps:spPr>
                          <a:xfrm>
                            <a:off x="2613834" y="8383783"/>
                            <a:ext cx="4828200" cy="366300"/>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mbria" w:cs="Cambria" w:eastAsia="Cambria" w:hAnsi="Cambria"/>
                                  <w:b w:val="0"/>
                                  <w:i w:val="0"/>
                                  <w:smallCaps w:val="0"/>
                                  <w:strike w:val="0"/>
                                  <w:color w:val="000000"/>
                                  <w:sz w:val="16"/>
                                  <w:vertAlign w:val="baseline"/>
                                </w:rPr>
                                <w:t xml:space="preserve">The authors deny any conflicts of interest related to this study. </w:t>
                              </w:r>
                            </w:p>
                            <w:p w:rsidR="00000000" w:rsidDel="00000000" w:rsidP="00000000" w:rsidRDefault="00000000" w:rsidRPr="00000000">
                              <w:pPr>
                                <w:spacing w:after="0" w:before="0" w:line="215.9999942779541"/>
                                <w:ind w:left="0" w:right="0" w:firstLine="0"/>
                                <w:jc w:val="left"/>
                                <w:textDirection w:val="btLr"/>
                              </w:pPr>
                              <w:r w:rsidDel="00000000" w:rsidR="00000000" w:rsidRPr="00000000">
                                <w:rPr>
                                  <w:rFonts w:ascii="Cambria" w:cs="Cambria" w:eastAsia="Cambria" w:hAnsi="Cambria"/>
                                  <w:b w:val="0"/>
                                  <w:i w:val="0"/>
                                  <w:smallCaps w:val="0"/>
                                  <w:strike w:val="0"/>
                                  <w:color w:val="000000"/>
                                  <w:sz w:val="16"/>
                                  <w:vertAlign w:val="baseline"/>
                                </w:rPr>
                              </w:r>
                            </w:p>
                          </w:txbxContent>
                        </wps:txbx>
                        <wps:bodyPr anchorCtr="0" anchor="ctr" bIns="30475" lIns="30475" spcFirstLastPara="1" rIns="30475" wrap="square" tIns="30475">
                          <a:noAutofit/>
                        </wps:bodyPr>
                      </wps:wsp>
                    </wpg:wgp>
                  </a:graphicData>
                </a:graphic>
              </wp:inline>
            </w:drawing>
          </mc:Choice>
          <mc:Fallback>
            <w:drawing>
              <wp:inline distB="0" distT="0" distL="0" distR="0">
                <wp:extent cx="4698938" cy="6924266"/>
                <wp:effectExtent b="0" l="0" r="0" t="0"/>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4698938" cy="6924266"/>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rPr>
          <w:rFonts w:ascii="Cambria" w:cs="Cambria" w:eastAsia="Cambria" w:hAnsi="Cambria"/>
          <w:b w:val="1"/>
          <w:bCs w:val="1"/>
          <w:sz w:val="16"/>
          <w:szCs w:val="16"/>
          <w:u w:val="single"/>
        </w:rPr>
      </w:pPr>
      <w:r w:rsidDel="00000000" w:rsidR="00000000" w:rsidRPr="00000000">
        <w:rPr>
          <w:rFonts w:ascii="Cambria" w:cs="Cambria" w:eastAsia="Cambria" w:hAnsi="Cambria"/>
          <w:b w:val="1"/>
          <w:bCs w:val="1"/>
          <w:sz w:val="16"/>
          <w:szCs w:val="16"/>
          <w:rtl w:val="0"/>
        </w:rPr>
        <w:t xml:space="preserve">*From: Nagendrababu V, Murray PE, Ordinola-Zapata R, Peters OA, Rôças IN, Siqueira JF Jr, Priya E, Jayaraman J, Pulikkotil SJ, Camilleri J, Boutsioukis C, Rossi-Fedele G, Dummer PMH (2021) PRILE 2021 guidelines for reporting laboratory studies in Endodontology: a consensus-based development.</w:t>
      </w:r>
      <w:r w:rsidDel="00000000" w:rsidR="00000000" w:rsidRPr="00000000">
        <w:rPr>
          <w:rFonts w:ascii="Cambria" w:cs="Cambria" w:eastAsia="Cambria" w:hAnsi="Cambria"/>
          <w:b w:val="1"/>
          <w:bCs w:val="1"/>
          <w:i w:val="1"/>
          <w:iCs w:val="1"/>
          <w:sz w:val="16"/>
          <w:szCs w:val="16"/>
          <w:rtl w:val="0"/>
        </w:rPr>
        <w:t xml:space="preserve"> International Endodontic Journal</w:t>
      </w:r>
      <w:r w:rsidDel="00000000" w:rsidR="00000000" w:rsidRPr="00000000">
        <w:rPr>
          <w:rFonts w:ascii="Cambria" w:cs="Cambria" w:eastAsia="Cambria" w:hAnsi="Cambria"/>
          <w:b w:val="1"/>
          <w:bCs w:val="1"/>
          <w:sz w:val="16"/>
          <w:szCs w:val="16"/>
          <w:rtl w:val="0"/>
        </w:rPr>
        <w:t xml:space="preserve"> May 3. doi: 10.1111/iej.13542. </w:t>
      </w:r>
      <w:hyperlink r:id="rId8">
        <w:r w:rsidDel="00000000" w:rsidR="00000000" w:rsidRPr="00000000">
          <w:rPr>
            <w:rFonts w:ascii="Cambria" w:cs="Cambria" w:eastAsia="Cambria" w:hAnsi="Cambria"/>
            <w:b w:val="1"/>
            <w:bCs w:val="1"/>
            <w:sz w:val="16"/>
            <w:szCs w:val="16"/>
            <w:u w:val="single"/>
            <w:rtl w:val="0"/>
          </w:rPr>
          <w:t xml:space="preserve">https://onlinelibrary.wiley.com/doi/abs/10.1111/iej.13542</w:t>
        </w:r>
      </w:hyperlink>
      <w:r w:rsidDel="00000000" w:rsidR="00000000" w:rsidRPr="00000000">
        <w:rPr>
          <w:rFonts w:ascii="Cambria" w:cs="Cambria" w:eastAsia="Cambria" w:hAnsi="Cambria"/>
          <w:b w:val="1"/>
          <w:bCs w:val="1"/>
          <w:sz w:val="16"/>
          <w:szCs w:val="16"/>
          <w:u w:val="single"/>
          <w:rtl w:val="0"/>
        </w:rPr>
        <w:t xml:space="preserve">. </w:t>
      </w:r>
    </w:p>
    <w:p w:rsidR="00000000" w:rsidDel="00000000" w:rsidP="00000000" w:rsidRDefault="00000000" w:rsidRPr="00000000" w14:paraId="00000004">
      <w:pPr>
        <w:jc w:val="both"/>
        <w:rPr>
          <w:rFonts w:ascii="Cambria" w:cs="Cambria" w:eastAsia="Cambria" w:hAnsi="Cambria"/>
          <w:b w:val="1"/>
          <w:bCs w:val="1"/>
          <w:sz w:val="16"/>
          <w:szCs w:val="16"/>
          <w:u w:val="single"/>
        </w:rPr>
      </w:pPr>
      <w:r w:rsidDel="00000000" w:rsidR="00000000" w:rsidRPr="00000000">
        <w:rPr>
          <w:rFonts w:ascii="Cambria" w:cs="Cambria" w:eastAsia="Cambria" w:hAnsi="Cambria"/>
          <w:b w:val="1"/>
          <w:bCs w:val="1"/>
          <w:sz w:val="16"/>
          <w:szCs w:val="16"/>
          <w:rtl w:val="0"/>
        </w:rPr>
        <w:t xml:space="preserve">For further details visit: </w:t>
      </w:r>
      <w:r w:rsidDel="00000000" w:rsidR="00000000" w:rsidRPr="00000000">
        <w:rPr>
          <w:rFonts w:ascii="Cambria" w:cs="Cambria" w:eastAsia="Cambria" w:hAnsi="Cambria"/>
          <w:b w:val="1"/>
          <w:bCs w:val="1"/>
          <w:sz w:val="16"/>
          <w:szCs w:val="16"/>
          <w:u w:val="single"/>
          <w:rtl w:val="0"/>
        </w:rPr>
        <w:t xml:space="preserve">http://pride-endodonticguidelines.org/prile</w:t>
      </w:r>
    </w:p>
    <w:sectPr>
      <w:pgSz w:h="15840" w:w="12240" w:orient="portrait"/>
      <w:pgMar w:bottom="1133.8582677165355" w:top="1700.7874015748032" w:left="1700.7874015748032"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sid w:val="00A8582E"/>
    <w:rPr>
      <w:u w:val="single"/>
    </w:rPr>
  </w:style>
  <w:style w:type="paragraph" w:styleId="BalloonText">
    <w:name w:val="Balloon Text"/>
    <w:basedOn w:val="Normal"/>
    <w:link w:val="BalloonTextChar"/>
    <w:uiPriority w:val="99"/>
    <w:semiHidden w:val="1"/>
    <w:unhideWhenUsed w:val="1"/>
    <w:rsid w:val="00707B11"/>
    <w:pPr>
      <w:spacing w:after="0"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707B11"/>
    <w:rPr>
      <w:rFonts w:ascii="Times New Roman" w:cs="Times New Roman" w:hAnsi="Times New Roman"/>
      <w:sz w:val="18"/>
      <w:szCs w:val="18"/>
    </w:rPr>
  </w:style>
  <w:style w:type="paragraph" w:styleId="Default" w:customStyle="1">
    <w:name w:val="Default"/>
    <w:rsid w:val="005B2020"/>
    <w:pPr>
      <w:autoSpaceDE w:val="0"/>
      <w:autoSpaceDN w:val="0"/>
      <w:adjustRightInd w:val="0"/>
      <w:spacing w:after="0" w:line="240" w:lineRule="auto"/>
    </w:pPr>
    <w:rPr>
      <w:rFonts w:ascii="Arial Narrow" w:cs="Arial Narrow" w:hAnsi="Arial Narrow"/>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onlinelibrary.wiley.com/doi/abs/10.1111/iej.135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sBlfa9B9y9KjP0I0YOrSvDE72w==">CgMxLjA4AHIhMV9VeTlieHlMZTM2Q2dPNG55S0xzMEdzTF9NSHFZRnRk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2021-05-05T08:34:00Z</dcterms:created>
  <dc:creator>Venkateshbabu Nagendrababu</dc:creator>
</cp:coreProperties>
</file>