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3"/>
        <w:tblpPr w:leftFromText="141" w:rightFromText="141" w:vertAnchor="page" w:horzAnchor="margin" w:tblpXSpec="center" w:tblpY="949"/>
        <w:tblW w:w="11554" w:type="dxa"/>
        <w:tblLook w:val="04A0" w:firstRow="1" w:lastRow="0" w:firstColumn="1" w:lastColumn="0" w:noHBand="0" w:noVBand="1"/>
      </w:tblPr>
      <w:tblGrid>
        <w:gridCol w:w="1475"/>
        <w:gridCol w:w="1441"/>
        <w:gridCol w:w="1365"/>
        <w:gridCol w:w="1754"/>
        <w:gridCol w:w="1475"/>
        <w:gridCol w:w="1579"/>
        <w:gridCol w:w="1158"/>
        <w:gridCol w:w="1451"/>
      </w:tblGrid>
      <w:tr w:rsidR="00605734" w:rsidRPr="00605734" w14:paraId="78A31DB3" w14:textId="77777777" w:rsidTr="00605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noWrap/>
            <w:vAlign w:val="center"/>
            <w:hideMark/>
          </w:tcPr>
          <w:p w14:paraId="3C9049F5" w14:textId="77777777" w:rsidR="00605734" w:rsidRPr="00605734" w:rsidRDefault="00605734" w:rsidP="0060573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Outcome</w:t>
            </w:r>
          </w:p>
        </w:tc>
        <w:tc>
          <w:tcPr>
            <w:tcW w:w="1441" w:type="dxa"/>
            <w:noWrap/>
            <w:vAlign w:val="center"/>
            <w:hideMark/>
          </w:tcPr>
          <w:p w14:paraId="067202AA" w14:textId="77777777" w:rsidR="00605734" w:rsidRPr="00605734" w:rsidRDefault="00605734" w:rsidP="006057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No. of Studies (Design)</w:t>
            </w:r>
          </w:p>
        </w:tc>
        <w:tc>
          <w:tcPr>
            <w:tcW w:w="1365" w:type="dxa"/>
            <w:noWrap/>
            <w:vAlign w:val="center"/>
            <w:hideMark/>
          </w:tcPr>
          <w:p w14:paraId="5EDCF23F" w14:textId="77777777" w:rsidR="00605734" w:rsidRPr="00605734" w:rsidRDefault="00605734" w:rsidP="006057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Participants (n)</w:t>
            </w:r>
          </w:p>
        </w:tc>
        <w:tc>
          <w:tcPr>
            <w:tcW w:w="1754" w:type="dxa"/>
            <w:noWrap/>
            <w:vAlign w:val="center"/>
            <w:hideMark/>
          </w:tcPr>
          <w:p w14:paraId="5D464775" w14:textId="77777777" w:rsidR="00605734" w:rsidRPr="00605734" w:rsidRDefault="00605734" w:rsidP="006057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Intervention (Alb-PRF)</w:t>
            </w:r>
          </w:p>
        </w:tc>
        <w:tc>
          <w:tcPr>
            <w:tcW w:w="1417" w:type="dxa"/>
            <w:noWrap/>
            <w:vAlign w:val="center"/>
            <w:hideMark/>
          </w:tcPr>
          <w:p w14:paraId="6C3034E9" w14:textId="77777777" w:rsidR="00605734" w:rsidRPr="00605734" w:rsidRDefault="00605734" w:rsidP="006057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Comparator</w:t>
            </w:r>
          </w:p>
        </w:tc>
        <w:tc>
          <w:tcPr>
            <w:tcW w:w="1579" w:type="dxa"/>
            <w:noWrap/>
            <w:vAlign w:val="center"/>
            <w:hideMark/>
          </w:tcPr>
          <w:p w14:paraId="106AAD95" w14:textId="77777777" w:rsidR="00605734" w:rsidRPr="00605734" w:rsidRDefault="00605734" w:rsidP="006057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Effect Summary</w:t>
            </w:r>
          </w:p>
        </w:tc>
        <w:tc>
          <w:tcPr>
            <w:tcW w:w="1158" w:type="dxa"/>
            <w:noWrap/>
            <w:vAlign w:val="center"/>
            <w:hideMark/>
          </w:tcPr>
          <w:p w14:paraId="6791E5FF" w14:textId="77777777" w:rsidR="00605734" w:rsidRPr="00605734" w:rsidRDefault="00605734" w:rsidP="006057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Certainty (GRADE)</w:t>
            </w:r>
          </w:p>
        </w:tc>
        <w:tc>
          <w:tcPr>
            <w:tcW w:w="1451" w:type="dxa"/>
            <w:noWrap/>
            <w:vAlign w:val="center"/>
            <w:hideMark/>
          </w:tcPr>
          <w:p w14:paraId="633162AB" w14:textId="77777777" w:rsidR="00605734" w:rsidRPr="00605734" w:rsidRDefault="00605734" w:rsidP="006057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Comments / Limitations</w:t>
            </w:r>
          </w:p>
        </w:tc>
      </w:tr>
      <w:tr w:rsidR="00605734" w:rsidRPr="00605734" w14:paraId="3948F999" w14:textId="77777777" w:rsidTr="00605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noWrap/>
            <w:vAlign w:val="center"/>
            <w:hideMark/>
          </w:tcPr>
          <w:p w14:paraId="24B7453B" w14:textId="77777777" w:rsidR="00605734" w:rsidRPr="00605734" w:rsidRDefault="00605734" w:rsidP="0060573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Pain &amp; Swelling (VAS)</w:t>
            </w:r>
          </w:p>
        </w:tc>
        <w:tc>
          <w:tcPr>
            <w:tcW w:w="1441" w:type="dxa"/>
            <w:noWrap/>
            <w:vAlign w:val="center"/>
            <w:hideMark/>
          </w:tcPr>
          <w:p w14:paraId="25E79CCF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 RCT (Javid et al., 2023)</w:t>
            </w:r>
          </w:p>
        </w:tc>
        <w:tc>
          <w:tcPr>
            <w:tcW w:w="1365" w:type="dxa"/>
            <w:noWrap/>
            <w:vAlign w:val="center"/>
            <w:hideMark/>
          </w:tcPr>
          <w:p w14:paraId="417789C4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20</w:t>
            </w:r>
          </w:p>
        </w:tc>
        <w:tc>
          <w:tcPr>
            <w:tcW w:w="1754" w:type="dxa"/>
            <w:noWrap/>
            <w:vAlign w:val="center"/>
            <w:hideMark/>
          </w:tcPr>
          <w:p w14:paraId="21ECF281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Alb-PRF applied after molar extraction</w:t>
            </w:r>
          </w:p>
        </w:tc>
        <w:tc>
          <w:tcPr>
            <w:tcW w:w="1417" w:type="dxa"/>
            <w:noWrap/>
            <w:vAlign w:val="center"/>
            <w:hideMark/>
          </w:tcPr>
          <w:p w14:paraId="1A201196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L-PRF</w:t>
            </w:r>
          </w:p>
        </w:tc>
        <w:tc>
          <w:tcPr>
            <w:tcW w:w="1579" w:type="dxa"/>
            <w:noWrap/>
            <w:vAlign w:val="center"/>
            <w:hideMark/>
          </w:tcPr>
          <w:p w14:paraId="5B4F6F59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↓ Pain and edema at 7 days (p&lt;0.05)</w:t>
            </w:r>
          </w:p>
        </w:tc>
        <w:tc>
          <w:tcPr>
            <w:tcW w:w="1158" w:type="dxa"/>
            <w:noWrap/>
            <w:vAlign w:val="center"/>
            <w:hideMark/>
          </w:tcPr>
          <w:p w14:paraId="116F8A98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Segoe UI Symbol" w:eastAsia="Times New Roman" w:hAnsi="Segoe UI Symbol" w:cs="Segoe UI Symbol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⬤⬤◯◯</w:t>
            </w: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Low</w:t>
            </w:r>
          </w:p>
        </w:tc>
        <w:tc>
          <w:tcPr>
            <w:tcW w:w="1451" w:type="dxa"/>
            <w:noWrap/>
            <w:vAlign w:val="center"/>
            <w:hideMark/>
          </w:tcPr>
          <w:p w14:paraId="7F2493D9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Small sample, short follow-up</w:t>
            </w:r>
          </w:p>
        </w:tc>
      </w:tr>
      <w:tr w:rsidR="00605734" w:rsidRPr="00605734" w14:paraId="79697F1E" w14:textId="77777777" w:rsidTr="00605734">
        <w:trPr>
          <w:trHeight w:val="1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noWrap/>
            <w:vAlign w:val="center"/>
            <w:hideMark/>
          </w:tcPr>
          <w:p w14:paraId="3F9C2F89" w14:textId="77777777" w:rsidR="00605734" w:rsidRPr="00605734" w:rsidRDefault="00605734" w:rsidP="0060573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Papillary Height Gain</w:t>
            </w:r>
          </w:p>
        </w:tc>
        <w:tc>
          <w:tcPr>
            <w:tcW w:w="1441" w:type="dxa"/>
            <w:noWrap/>
            <w:vAlign w:val="center"/>
            <w:hideMark/>
          </w:tcPr>
          <w:p w14:paraId="65D86326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 RCT (Vadiati Saberi et al., 2024)</w:t>
            </w:r>
          </w:p>
        </w:tc>
        <w:tc>
          <w:tcPr>
            <w:tcW w:w="1365" w:type="dxa"/>
            <w:noWrap/>
            <w:vAlign w:val="center"/>
            <w:hideMark/>
          </w:tcPr>
          <w:p w14:paraId="3960947A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30</w:t>
            </w:r>
          </w:p>
        </w:tc>
        <w:tc>
          <w:tcPr>
            <w:tcW w:w="1754" w:type="dxa"/>
            <w:noWrap/>
            <w:vAlign w:val="center"/>
            <w:hideMark/>
          </w:tcPr>
          <w:p w14:paraId="492CE6D5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Alb-PRF gel injection</w:t>
            </w:r>
          </w:p>
        </w:tc>
        <w:tc>
          <w:tcPr>
            <w:tcW w:w="1417" w:type="dxa"/>
            <w:noWrap/>
            <w:vAlign w:val="center"/>
            <w:hideMark/>
          </w:tcPr>
          <w:p w14:paraId="5AA06367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Hyaluronic acid</w:t>
            </w:r>
          </w:p>
        </w:tc>
        <w:tc>
          <w:tcPr>
            <w:tcW w:w="1579" w:type="dxa"/>
            <w:noWrap/>
            <w:vAlign w:val="center"/>
            <w:hideMark/>
          </w:tcPr>
          <w:p w14:paraId="56124115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↑ Papillary height at 3 mo (p&lt;0.05)</w:t>
            </w:r>
          </w:p>
        </w:tc>
        <w:tc>
          <w:tcPr>
            <w:tcW w:w="1158" w:type="dxa"/>
            <w:noWrap/>
            <w:vAlign w:val="center"/>
            <w:hideMark/>
          </w:tcPr>
          <w:p w14:paraId="1557943B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Segoe UI Symbol" w:eastAsia="Times New Roman" w:hAnsi="Segoe UI Symbol" w:cs="Segoe UI Symbol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⬤⬤◯◯</w:t>
            </w: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Low</w:t>
            </w:r>
          </w:p>
        </w:tc>
        <w:tc>
          <w:tcPr>
            <w:tcW w:w="1451" w:type="dxa"/>
            <w:noWrap/>
            <w:vAlign w:val="center"/>
            <w:hideMark/>
          </w:tcPr>
          <w:p w14:paraId="5BDE477D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No CAL/PPD improvement; limited follow-up</w:t>
            </w:r>
          </w:p>
        </w:tc>
      </w:tr>
      <w:tr w:rsidR="00605734" w:rsidRPr="00605734" w14:paraId="77214773" w14:textId="77777777" w:rsidTr="00605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noWrap/>
            <w:vAlign w:val="center"/>
            <w:hideMark/>
          </w:tcPr>
          <w:p w14:paraId="5F3E93A3" w14:textId="77777777" w:rsidR="00605734" w:rsidRPr="00605734" w:rsidRDefault="00605734" w:rsidP="0060573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Gingival Thickness (GTH)</w:t>
            </w:r>
          </w:p>
        </w:tc>
        <w:tc>
          <w:tcPr>
            <w:tcW w:w="1441" w:type="dxa"/>
            <w:noWrap/>
            <w:vAlign w:val="center"/>
            <w:hideMark/>
          </w:tcPr>
          <w:p w14:paraId="7EB2CA39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 RCT (Abdulhak et al., 2024)</w:t>
            </w:r>
          </w:p>
        </w:tc>
        <w:tc>
          <w:tcPr>
            <w:tcW w:w="1365" w:type="dxa"/>
            <w:noWrap/>
            <w:vAlign w:val="center"/>
            <w:hideMark/>
          </w:tcPr>
          <w:p w14:paraId="2C04F022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32</w:t>
            </w:r>
          </w:p>
        </w:tc>
        <w:tc>
          <w:tcPr>
            <w:tcW w:w="1754" w:type="dxa"/>
            <w:noWrap/>
            <w:vAlign w:val="center"/>
            <w:hideMark/>
          </w:tcPr>
          <w:p w14:paraId="547D12E7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Alb-PRF vs CTG</w:t>
            </w:r>
          </w:p>
        </w:tc>
        <w:tc>
          <w:tcPr>
            <w:tcW w:w="1417" w:type="dxa"/>
            <w:noWrap/>
            <w:vAlign w:val="center"/>
            <w:hideMark/>
          </w:tcPr>
          <w:p w14:paraId="5D4B1DDB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CTG</w:t>
            </w:r>
          </w:p>
        </w:tc>
        <w:tc>
          <w:tcPr>
            <w:tcW w:w="1579" w:type="dxa"/>
            <w:noWrap/>
            <w:vAlign w:val="center"/>
            <w:hideMark/>
          </w:tcPr>
          <w:p w14:paraId="25C530A7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↑ GTH at 3 mo; no diff. at 6 mo</w:t>
            </w:r>
          </w:p>
        </w:tc>
        <w:tc>
          <w:tcPr>
            <w:tcW w:w="1158" w:type="dxa"/>
            <w:noWrap/>
            <w:vAlign w:val="center"/>
            <w:hideMark/>
          </w:tcPr>
          <w:p w14:paraId="18E84532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Segoe UI Symbol" w:eastAsia="Times New Roman" w:hAnsi="Segoe UI Symbol" w:cs="Segoe UI Symbol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⬤⬤⬤◯</w:t>
            </w: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Moderate</w:t>
            </w:r>
          </w:p>
        </w:tc>
        <w:tc>
          <w:tcPr>
            <w:tcW w:w="1451" w:type="dxa"/>
            <w:noWrap/>
            <w:vAlign w:val="center"/>
            <w:hideMark/>
          </w:tcPr>
          <w:p w14:paraId="21B3506E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Short-term benefit only</w:t>
            </w:r>
          </w:p>
        </w:tc>
      </w:tr>
      <w:tr w:rsidR="00605734" w:rsidRPr="00605734" w14:paraId="1CC2F228" w14:textId="77777777" w:rsidTr="00605734">
        <w:trPr>
          <w:trHeight w:val="1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noWrap/>
            <w:vAlign w:val="center"/>
            <w:hideMark/>
          </w:tcPr>
          <w:p w14:paraId="52BF0F85" w14:textId="77777777" w:rsidR="00605734" w:rsidRPr="00605734" w:rsidRDefault="00605734" w:rsidP="0060573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Intrabony Defect Healing (PPD/CAL)</w:t>
            </w:r>
          </w:p>
        </w:tc>
        <w:tc>
          <w:tcPr>
            <w:tcW w:w="1441" w:type="dxa"/>
            <w:noWrap/>
            <w:vAlign w:val="center"/>
            <w:hideMark/>
          </w:tcPr>
          <w:p w14:paraId="06C34E31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 RCT (Kumari et al., 2025)</w:t>
            </w:r>
          </w:p>
        </w:tc>
        <w:tc>
          <w:tcPr>
            <w:tcW w:w="1365" w:type="dxa"/>
            <w:noWrap/>
            <w:vAlign w:val="center"/>
            <w:hideMark/>
          </w:tcPr>
          <w:p w14:paraId="0D9B5E5C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28</w:t>
            </w:r>
          </w:p>
        </w:tc>
        <w:tc>
          <w:tcPr>
            <w:tcW w:w="1754" w:type="dxa"/>
            <w:noWrap/>
            <w:vAlign w:val="center"/>
            <w:hideMark/>
          </w:tcPr>
          <w:p w14:paraId="1C7F9783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Alb-PRF + OFD</w:t>
            </w:r>
          </w:p>
        </w:tc>
        <w:tc>
          <w:tcPr>
            <w:tcW w:w="1417" w:type="dxa"/>
            <w:noWrap/>
            <w:vAlign w:val="center"/>
            <w:hideMark/>
          </w:tcPr>
          <w:p w14:paraId="65E436E2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L-PRF</w:t>
            </w:r>
          </w:p>
        </w:tc>
        <w:tc>
          <w:tcPr>
            <w:tcW w:w="1579" w:type="dxa"/>
            <w:noWrap/>
            <w:vAlign w:val="center"/>
            <w:hideMark/>
          </w:tcPr>
          <w:p w14:paraId="7F1A6213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↓ PPD, ↑ CAL at 1 mo; modest effect</w:t>
            </w:r>
          </w:p>
        </w:tc>
        <w:tc>
          <w:tcPr>
            <w:tcW w:w="1158" w:type="dxa"/>
            <w:noWrap/>
            <w:vAlign w:val="center"/>
            <w:hideMark/>
          </w:tcPr>
          <w:p w14:paraId="32317B46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Segoe UI Symbol" w:eastAsia="Times New Roman" w:hAnsi="Segoe UI Symbol" w:cs="Segoe UI Symbol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⬤⬤◯◯</w:t>
            </w: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Low</w:t>
            </w:r>
          </w:p>
        </w:tc>
        <w:tc>
          <w:tcPr>
            <w:tcW w:w="1451" w:type="dxa"/>
            <w:noWrap/>
            <w:vAlign w:val="center"/>
            <w:hideMark/>
          </w:tcPr>
          <w:p w14:paraId="2F52F663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Small sample; short follow-up</w:t>
            </w:r>
          </w:p>
        </w:tc>
      </w:tr>
      <w:tr w:rsidR="00605734" w:rsidRPr="00605734" w14:paraId="2D62F70A" w14:textId="77777777" w:rsidTr="00605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noWrap/>
            <w:vAlign w:val="center"/>
            <w:hideMark/>
          </w:tcPr>
          <w:p w14:paraId="7DD0B93A" w14:textId="77777777" w:rsidR="00605734" w:rsidRPr="00605734" w:rsidRDefault="00605734" w:rsidP="0060573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Sinus Lift / Bone Gain</w:t>
            </w:r>
          </w:p>
        </w:tc>
        <w:tc>
          <w:tcPr>
            <w:tcW w:w="1441" w:type="dxa"/>
            <w:noWrap/>
            <w:vAlign w:val="center"/>
            <w:hideMark/>
          </w:tcPr>
          <w:p w14:paraId="4B5ED7F6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 Prospective (Barakat et al., 2025)</w:t>
            </w:r>
          </w:p>
        </w:tc>
        <w:tc>
          <w:tcPr>
            <w:tcW w:w="1365" w:type="dxa"/>
            <w:noWrap/>
            <w:vAlign w:val="center"/>
            <w:hideMark/>
          </w:tcPr>
          <w:p w14:paraId="108FD5CE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15</w:t>
            </w:r>
          </w:p>
        </w:tc>
        <w:tc>
          <w:tcPr>
            <w:tcW w:w="1754" w:type="dxa"/>
            <w:noWrap/>
            <w:vAlign w:val="center"/>
            <w:hideMark/>
          </w:tcPr>
          <w:p w14:paraId="790A06B7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Alb-PRF</w:t>
            </w:r>
          </w:p>
        </w:tc>
        <w:tc>
          <w:tcPr>
            <w:tcW w:w="1417" w:type="dxa"/>
            <w:noWrap/>
            <w:vAlign w:val="center"/>
            <w:hideMark/>
          </w:tcPr>
          <w:p w14:paraId="10B0943E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None (uncontrolled)</w:t>
            </w:r>
          </w:p>
        </w:tc>
        <w:tc>
          <w:tcPr>
            <w:tcW w:w="1579" w:type="dxa"/>
            <w:noWrap/>
            <w:vAlign w:val="center"/>
            <w:hideMark/>
          </w:tcPr>
          <w:p w14:paraId="6133C871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≈5 mm vertical bone gain</w:t>
            </w:r>
          </w:p>
        </w:tc>
        <w:tc>
          <w:tcPr>
            <w:tcW w:w="1158" w:type="dxa"/>
            <w:noWrap/>
            <w:vAlign w:val="center"/>
            <w:hideMark/>
          </w:tcPr>
          <w:p w14:paraId="1A9D808D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Segoe UI Symbol" w:eastAsia="Times New Roman" w:hAnsi="Segoe UI Symbol" w:cs="Segoe UI Symbol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⬤◯◯◯</w:t>
            </w: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Very low</w:t>
            </w:r>
          </w:p>
        </w:tc>
        <w:tc>
          <w:tcPr>
            <w:tcW w:w="1451" w:type="dxa"/>
            <w:noWrap/>
            <w:vAlign w:val="center"/>
            <w:hideMark/>
          </w:tcPr>
          <w:p w14:paraId="27597179" w14:textId="77777777" w:rsidR="00605734" w:rsidRPr="00605734" w:rsidRDefault="00605734" w:rsidP="00605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Uncontrolled design, NOS = 1/9</w:t>
            </w:r>
          </w:p>
        </w:tc>
      </w:tr>
      <w:tr w:rsidR="00605734" w:rsidRPr="00605734" w14:paraId="166B700D" w14:textId="77777777" w:rsidTr="00605734">
        <w:trPr>
          <w:trHeight w:val="1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noWrap/>
            <w:vAlign w:val="center"/>
            <w:hideMark/>
          </w:tcPr>
          <w:p w14:paraId="48AC0A6E" w14:textId="77777777" w:rsidR="00605734" w:rsidRPr="00605734" w:rsidRDefault="00605734" w:rsidP="0060573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Cystic Bone Defect Regeneration</w:t>
            </w:r>
          </w:p>
        </w:tc>
        <w:tc>
          <w:tcPr>
            <w:tcW w:w="1441" w:type="dxa"/>
            <w:noWrap/>
            <w:vAlign w:val="center"/>
            <w:hideMark/>
          </w:tcPr>
          <w:p w14:paraId="0B1908F6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 RCT (Shokry et al., 2025)</w:t>
            </w:r>
          </w:p>
        </w:tc>
        <w:tc>
          <w:tcPr>
            <w:tcW w:w="1365" w:type="dxa"/>
            <w:noWrap/>
            <w:vAlign w:val="center"/>
            <w:hideMark/>
          </w:tcPr>
          <w:p w14:paraId="5A798787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24</w:t>
            </w:r>
          </w:p>
        </w:tc>
        <w:tc>
          <w:tcPr>
            <w:tcW w:w="1754" w:type="dxa"/>
            <w:noWrap/>
            <w:vAlign w:val="center"/>
            <w:hideMark/>
          </w:tcPr>
          <w:p w14:paraId="03512ECC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Alb-PRF</w:t>
            </w:r>
          </w:p>
        </w:tc>
        <w:tc>
          <w:tcPr>
            <w:tcW w:w="1417" w:type="dxa"/>
            <w:noWrap/>
            <w:vAlign w:val="center"/>
            <w:hideMark/>
          </w:tcPr>
          <w:p w14:paraId="5C7CF909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Blood clot</w:t>
            </w:r>
          </w:p>
        </w:tc>
        <w:tc>
          <w:tcPr>
            <w:tcW w:w="1579" w:type="dxa"/>
            <w:noWrap/>
            <w:vAlign w:val="center"/>
            <w:hideMark/>
          </w:tcPr>
          <w:p w14:paraId="416ABF90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No sig. bone gain, fewer complications</w:t>
            </w:r>
          </w:p>
        </w:tc>
        <w:tc>
          <w:tcPr>
            <w:tcW w:w="1158" w:type="dxa"/>
            <w:noWrap/>
            <w:vAlign w:val="center"/>
            <w:hideMark/>
          </w:tcPr>
          <w:p w14:paraId="3743DA5E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Segoe UI Symbol" w:eastAsia="Times New Roman" w:hAnsi="Segoe UI Symbol" w:cs="Segoe UI Symbol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⬤⬤⬤◯</w:t>
            </w: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Moderate</w:t>
            </w:r>
          </w:p>
        </w:tc>
        <w:tc>
          <w:tcPr>
            <w:tcW w:w="1451" w:type="dxa"/>
            <w:noWrap/>
            <w:vAlign w:val="center"/>
            <w:hideMark/>
          </w:tcPr>
          <w:p w14:paraId="411D26EF" w14:textId="77777777" w:rsidR="00605734" w:rsidRPr="00605734" w:rsidRDefault="00605734" w:rsidP="006057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60573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Consistent with safety but limited efficacy</w:t>
            </w:r>
          </w:p>
        </w:tc>
      </w:tr>
    </w:tbl>
    <w:p w14:paraId="047AAD9A" w14:textId="48441F20" w:rsidR="004B243C" w:rsidRPr="00410932" w:rsidRDefault="00E87A80">
      <w:pPr>
        <w:rPr>
          <w:rFonts w:ascii="Times New Roman" w:hAnsi="Times New Roman" w:cs="Times New Roman"/>
        </w:rPr>
      </w:pPr>
      <w:r w:rsidRPr="00410932">
        <w:rPr>
          <w:rFonts w:ascii="Times New Roman" w:hAnsi="Times New Roman" w:cs="Times New Roman"/>
          <w:b/>
          <w:bCs/>
        </w:rPr>
        <w:t>Supplementary File X:</w:t>
      </w:r>
      <w:r w:rsidRPr="00410932">
        <w:rPr>
          <w:rFonts w:ascii="Times New Roman" w:hAnsi="Times New Roman" w:cs="Times New Roman"/>
        </w:rPr>
        <w:t xml:space="preserve"> GRADE </w:t>
      </w:r>
      <w:r w:rsidR="00522937">
        <w:rPr>
          <w:rFonts w:ascii="Times New Roman" w:hAnsi="Times New Roman" w:cs="Times New Roman"/>
        </w:rPr>
        <w:t>s</w:t>
      </w:r>
      <w:r w:rsidRPr="00410932">
        <w:rPr>
          <w:rFonts w:ascii="Times New Roman" w:hAnsi="Times New Roman" w:cs="Times New Roman"/>
        </w:rPr>
        <w:t xml:space="preserve">ummary of </w:t>
      </w:r>
      <w:r w:rsidR="00522937">
        <w:rPr>
          <w:rFonts w:ascii="Times New Roman" w:hAnsi="Times New Roman" w:cs="Times New Roman"/>
        </w:rPr>
        <w:t>f</w:t>
      </w:r>
      <w:r w:rsidRPr="00410932">
        <w:rPr>
          <w:rFonts w:ascii="Times New Roman" w:hAnsi="Times New Roman" w:cs="Times New Roman"/>
        </w:rPr>
        <w:t xml:space="preserve">indings – </w:t>
      </w:r>
      <w:r w:rsidR="00522937">
        <w:rPr>
          <w:rFonts w:ascii="Times New Roman" w:hAnsi="Times New Roman" w:cs="Times New Roman"/>
        </w:rPr>
        <w:t>c</w:t>
      </w:r>
      <w:r w:rsidRPr="00410932">
        <w:rPr>
          <w:rFonts w:ascii="Times New Roman" w:hAnsi="Times New Roman" w:cs="Times New Roman"/>
        </w:rPr>
        <w:t xml:space="preserve">linical </w:t>
      </w:r>
      <w:r w:rsidR="00522937">
        <w:rPr>
          <w:rFonts w:ascii="Times New Roman" w:hAnsi="Times New Roman" w:cs="Times New Roman"/>
        </w:rPr>
        <w:t>s</w:t>
      </w:r>
      <w:r w:rsidRPr="00410932">
        <w:rPr>
          <w:rFonts w:ascii="Times New Roman" w:hAnsi="Times New Roman" w:cs="Times New Roman"/>
        </w:rPr>
        <w:t>tudies (n = 6).</w:t>
      </w:r>
    </w:p>
    <w:p w14:paraId="63CFD8F1" w14:textId="3930E15E" w:rsidR="00E87A80" w:rsidRPr="00410932" w:rsidRDefault="00E87A80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10932">
        <w:rPr>
          <w:rFonts w:ascii="Times New Roman" w:hAnsi="Times New Roman" w:cs="Times New Roman"/>
          <w:b/>
          <w:bCs/>
          <w:i/>
          <w:iCs/>
          <w:sz w:val="20"/>
          <w:szCs w:val="20"/>
        </w:rPr>
        <w:t>Note:</w:t>
      </w:r>
      <w:r w:rsidRPr="00410932">
        <w:rPr>
          <w:rFonts w:ascii="Times New Roman" w:hAnsi="Times New Roman" w:cs="Times New Roman"/>
          <w:i/>
          <w:iCs/>
          <w:sz w:val="20"/>
          <w:szCs w:val="20"/>
        </w:rPr>
        <w:t xml:space="preserve"> Certainty was assessed according to the GRADE (and adapted GRADE for animal data) framework. Symbols: </w:t>
      </w:r>
      <w:r w:rsidRPr="00410932">
        <w:rPr>
          <w:rFonts w:ascii="Segoe UI Symbol" w:hAnsi="Segoe UI Symbol" w:cs="Segoe UI Symbol"/>
          <w:i/>
          <w:iCs/>
          <w:sz w:val="20"/>
          <w:szCs w:val="20"/>
        </w:rPr>
        <w:t>⬤⬤⬤⬤</w:t>
      </w:r>
      <w:r w:rsidRPr="00410932">
        <w:rPr>
          <w:rFonts w:ascii="Times New Roman" w:hAnsi="Times New Roman" w:cs="Times New Roman"/>
          <w:i/>
          <w:iCs/>
          <w:sz w:val="20"/>
          <w:szCs w:val="20"/>
        </w:rPr>
        <w:t xml:space="preserve"> = High, </w:t>
      </w:r>
      <w:r w:rsidRPr="00410932">
        <w:rPr>
          <w:rFonts w:ascii="Segoe UI Symbol" w:hAnsi="Segoe UI Symbol" w:cs="Segoe UI Symbol"/>
          <w:i/>
          <w:iCs/>
          <w:sz w:val="20"/>
          <w:szCs w:val="20"/>
        </w:rPr>
        <w:t>⬤⬤⬤</w:t>
      </w:r>
      <w:r w:rsidRPr="00410932">
        <w:rPr>
          <w:rFonts w:ascii="Cambria Math" w:hAnsi="Cambria Math" w:cs="Cambria Math"/>
          <w:i/>
          <w:iCs/>
          <w:sz w:val="20"/>
          <w:szCs w:val="20"/>
        </w:rPr>
        <w:t>◯</w:t>
      </w:r>
      <w:r w:rsidRPr="00410932">
        <w:rPr>
          <w:rFonts w:ascii="Times New Roman" w:hAnsi="Times New Roman" w:cs="Times New Roman"/>
          <w:i/>
          <w:iCs/>
          <w:sz w:val="20"/>
          <w:szCs w:val="20"/>
        </w:rPr>
        <w:t xml:space="preserve"> = Moderate, </w:t>
      </w:r>
      <w:r w:rsidRPr="00410932">
        <w:rPr>
          <w:rFonts w:ascii="Segoe UI Symbol" w:hAnsi="Segoe UI Symbol" w:cs="Segoe UI Symbol"/>
          <w:i/>
          <w:iCs/>
          <w:sz w:val="20"/>
          <w:szCs w:val="20"/>
        </w:rPr>
        <w:t>⬤⬤</w:t>
      </w:r>
      <w:r w:rsidRPr="00410932">
        <w:rPr>
          <w:rFonts w:ascii="Cambria Math" w:hAnsi="Cambria Math" w:cs="Cambria Math"/>
          <w:i/>
          <w:iCs/>
          <w:sz w:val="20"/>
          <w:szCs w:val="20"/>
        </w:rPr>
        <w:t>◯◯</w:t>
      </w:r>
      <w:r w:rsidRPr="00410932">
        <w:rPr>
          <w:rFonts w:ascii="Times New Roman" w:hAnsi="Times New Roman" w:cs="Times New Roman"/>
          <w:i/>
          <w:iCs/>
          <w:sz w:val="20"/>
          <w:szCs w:val="20"/>
        </w:rPr>
        <w:t xml:space="preserve"> = Low, </w:t>
      </w:r>
      <w:r w:rsidRPr="00410932">
        <w:rPr>
          <w:rFonts w:ascii="Segoe UI Symbol" w:hAnsi="Segoe UI Symbol" w:cs="Segoe UI Symbol"/>
          <w:i/>
          <w:iCs/>
          <w:sz w:val="20"/>
          <w:szCs w:val="20"/>
        </w:rPr>
        <w:t>⬤</w:t>
      </w:r>
      <w:r w:rsidRPr="00410932">
        <w:rPr>
          <w:rFonts w:ascii="Cambria Math" w:hAnsi="Cambria Math" w:cs="Cambria Math"/>
          <w:i/>
          <w:iCs/>
          <w:sz w:val="20"/>
          <w:szCs w:val="20"/>
        </w:rPr>
        <w:t>◯◯◯</w:t>
      </w:r>
      <w:r w:rsidRPr="00410932">
        <w:rPr>
          <w:rFonts w:ascii="Times New Roman" w:hAnsi="Times New Roman" w:cs="Times New Roman"/>
          <w:i/>
          <w:iCs/>
          <w:sz w:val="20"/>
          <w:szCs w:val="20"/>
        </w:rPr>
        <w:t xml:space="preserve"> = Very Low.</w:t>
      </w:r>
    </w:p>
    <w:sectPr w:rsidR="00E87A80" w:rsidRPr="004109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A80"/>
    <w:rsid w:val="00410932"/>
    <w:rsid w:val="004B243C"/>
    <w:rsid w:val="00522937"/>
    <w:rsid w:val="00605734"/>
    <w:rsid w:val="00993B51"/>
    <w:rsid w:val="00B8316D"/>
    <w:rsid w:val="00C13EC9"/>
    <w:rsid w:val="00E8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8CAD"/>
  <w15:chartTrackingRefBased/>
  <w15:docId w15:val="{6BE31D81-7FBF-41CF-9A9B-DA05DC5D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87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87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87A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87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87A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87A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87A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87A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87A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87A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87A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87A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87A8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87A8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87A8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87A8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87A8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87A8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87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87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87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87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87A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87A8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87A8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87A8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87A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87A8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87A80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E87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E87A80"/>
    <w:rPr>
      <w:b/>
      <w:bCs/>
    </w:rPr>
  </w:style>
  <w:style w:type="character" w:styleId="Vurgu">
    <w:name w:val="Emphasis"/>
    <w:basedOn w:val="VarsaylanParagrafYazTipi"/>
    <w:uiPriority w:val="20"/>
    <w:qFormat/>
    <w:rsid w:val="00E87A80"/>
    <w:rPr>
      <w:i/>
      <w:iCs/>
    </w:rPr>
  </w:style>
  <w:style w:type="table" w:styleId="KlavuzuTablo4-Vurgu3">
    <w:name w:val="Grid Table 4 Accent 3"/>
    <w:basedOn w:val="NormalTablo"/>
    <w:uiPriority w:val="49"/>
    <w:rsid w:val="0060573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1212</Characters>
  <Application>Microsoft Office Word</Application>
  <DocSecurity>0</DocSecurity>
  <Lines>202</Lines>
  <Paragraphs>77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gulenay çolak</dc:creator>
  <cp:keywords/>
  <dc:description/>
  <cp:lastModifiedBy>gulenay çolak</cp:lastModifiedBy>
  <cp:revision>3</cp:revision>
  <dcterms:created xsi:type="dcterms:W3CDTF">2025-11-30T00:23:00Z</dcterms:created>
  <dcterms:modified xsi:type="dcterms:W3CDTF">2025-11-30T00:41:00Z</dcterms:modified>
</cp:coreProperties>
</file>