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3"/>
        <w:tblpPr w:leftFromText="141" w:rightFromText="141" w:horzAnchor="margin" w:tblpXSpec="center" w:tblpY="564"/>
        <w:tblW w:w="11206" w:type="dxa"/>
        <w:tblLayout w:type="fixed"/>
        <w:tblLook w:val="04A0" w:firstRow="1" w:lastRow="0" w:firstColumn="1" w:lastColumn="0" w:noHBand="0" w:noVBand="1"/>
      </w:tblPr>
      <w:tblGrid>
        <w:gridCol w:w="1604"/>
        <w:gridCol w:w="1059"/>
        <w:gridCol w:w="974"/>
        <w:gridCol w:w="1178"/>
        <w:gridCol w:w="1417"/>
        <w:gridCol w:w="2268"/>
        <w:gridCol w:w="1134"/>
        <w:gridCol w:w="1572"/>
      </w:tblGrid>
      <w:tr w:rsidR="006577C2" w:rsidRPr="00E87A80" w14:paraId="74202996" w14:textId="77777777" w:rsidTr="0065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Align w:val="center"/>
            <w:hideMark/>
          </w:tcPr>
          <w:p w14:paraId="62AD86A5" w14:textId="77777777" w:rsidR="00F5792E" w:rsidRPr="00E87A80" w:rsidRDefault="00F5792E" w:rsidP="006577C2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</w:p>
        </w:tc>
        <w:tc>
          <w:tcPr>
            <w:tcW w:w="1059" w:type="dxa"/>
            <w:vAlign w:val="center"/>
            <w:hideMark/>
          </w:tcPr>
          <w:p w14:paraId="36135483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Study</w:t>
            </w:r>
          </w:p>
        </w:tc>
        <w:tc>
          <w:tcPr>
            <w:tcW w:w="974" w:type="dxa"/>
            <w:vAlign w:val="center"/>
            <w:hideMark/>
          </w:tcPr>
          <w:p w14:paraId="1E9E0700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1178" w:type="dxa"/>
            <w:vAlign w:val="center"/>
            <w:hideMark/>
          </w:tcPr>
          <w:p w14:paraId="2F7F4392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</w:p>
        </w:tc>
        <w:tc>
          <w:tcPr>
            <w:tcW w:w="1417" w:type="dxa"/>
            <w:vAlign w:val="center"/>
            <w:hideMark/>
          </w:tcPr>
          <w:p w14:paraId="40501733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Comparator</w:t>
            </w:r>
          </w:p>
        </w:tc>
        <w:tc>
          <w:tcPr>
            <w:tcW w:w="2268" w:type="dxa"/>
            <w:vAlign w:val="center"/>
            <w:hideMark/>
          </w:tcPr>
          <w:p w14:paraId="5B96CD3A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Main Findings</w:t>
            </w:r>
          </w:p>
        </w:tc>
        <w:tc>
          <w:tcPr>
            <w:tcW w:w="1134" w:type="dxa"/>
            <w:vAlign w:val="center"/>
            <w:hideMark/>
          </w:tcPr>
          <w:p w14:paraId="434C11C5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Certainty (GRADE Adapted for Preclinical)</w:t>
            </w:r>
          </w:p>
        </w:tc>
        <w:tc>
          <w:tcPr>
            <w:tcW w:w="1572" w:type="dxa"/>
            <w:vAlign w:val="center"/>
            <w:hideMark/>
          </w:tcPr>
          <w:p w14:paraId="58529B64" w14:textId="77777777" w:rsidR="00F5792E" w:rsidRPr="00E87A80" w:rsidRDefault="00F5792E" w:rsidP="006577C2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Limitations</w:t>
            </w:r>
          </w:p>
        </w:tc>
      </w:tr>
      <w:tr w:rsidR="006577C2" w:rsidRPr="00E87A80" w14:paraId="12B2CFA6" w14:textId="77777777" w:rsidTr="0065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Align w:val="center"/>
            <w:hideMark/>
          </w:tcPr>
          <w:p w14:paraId="10E84CAA" w14:textId="77777777" w:rsidR="00F5792E" w:rsidRPr="00E87A80" w:rsidRDefault="00F5792E" w:rsidP="006577C2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Osteogenesis (ALP, OPG/RANKL, VEGF)</w:t>
            </w:r>
          </w:p>
        </w:tc>
        <w:tc>
          <w:tcPr>
            <w:tcW w:w="1059" w:type="dxa"/>
            <w:vAlign w:val="center"/>
            <w:hideMark/>
          </w:tcPr>
          <w:p w14:paraId="3AD1E243" w14:textId="102529B2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Lourenço et al.</w:t>
            </w:r>
            <w:r w:rsidR="006577C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6577C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74" w:type="dxa"/>
            <w:vAlign w:val="center"/>
            <w:hideMark/>
          </w:tcPr>
          <w:p w14:paraId="20E1E947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Rat calvarial defect</w:t>
            </w:r>
          </w:p>
        </w:tc>
        <w:tc>
          <w:tcPr>
            <w:tcW w:w="1178" w:type="dxa"/>
            <w:vAlign w:val="center"/>
            <w:hideMark/>
          </w:tcPr>
          <w:p w14:paraId="15BF0078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Alb-PRF membrane</w:t>
            </w:r>
          </w:p>
        </w:tc>
        <w:tc>
          <w:tcPr>
            <w:tcW w:w="1417" w:type="dxa"/>
            <w:vAlign w:val="center"/>
            <w:hideMark/>
          </w:tcPr>
          <w:p w14:paraId="5B81AD7F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Conventional PRF</w:t>
            </w:r>
          </w:p>
        </w:tc>
        <w:tc>
          <w:tcPr>
            <w:tcW w:w="2268" w:type="dxa"/>
            <w:vAlign w:val="center"/>
            <w:hideMark/>
          </w:tcPr>
          <w:p w14:paraId="18E9B9EE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↑ PDGF, VEGF, ALP, OPG/RANKL; enhanced osteogenesis</w:t>
            </w:r>
          </w:p>
        </w:tc>
        <w:tc>
          <w:tcPr>
            <w:tcW w:w="1134" w:type="dxa"/>
            <w:vAlign w:val="center"/>
            <w:hideMark/>
          </w:tcPr>
          <w:p w14:paraId="598E9C4D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Segoe UI Symbol" w:hAnsi="Segoe UI Symbol" w:cs="Segoe UI Symbol"/>
                <w:sz w:val="22"/>
                <w:szCs w:val="22"/>
              </w:rPr>
              <w:t>⬤⬤⬤</w:t>
            </w:r>
            <w:r w:rsidRPr="00E87A80">
              <w:rPr>
                <w:rFonts w:ascii="Cambria Math" w:hAnsi="Cambria Math" w:cs="Cambria Math"/>
                <w:sz w:val="22"/>
                <w:szCs w:val="22"/>
              </w:rPr>
              <w:t>◯</w:t>
            </w: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7A8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Moderate</w:t>
            </w:r>
          </w:p>
        </w:tc>
        <w:tc>
          <w:tcPr>
            <w:tcW w:w="1572" w:type="dxa"/>
            <w:vAlign w:val="center"/>
            <w:hideMark/>
          </w:tcPr>
          <w:p w14:paraId="4F0F22B1" w14:textId="77777777" w:rsidR="00F5792E" w:rsidRPr="00E87A80" w:rsidRDefault="00F5792E" w:rsidP="006577C2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Single-center, short-term (14 days)</w:t>
            </w:r>
          </w:p>
        </w:tc>
      </w:tr>
      <w:tr w:rsidR="006577C2" w:rsidRPr="00E87A80" w14:paraId="432B24E6" w14:textId="77777777" w:rsidTr="006577C2">
        <w:trPr>
          <w:trHeight w:val="1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Align w:val="center"/>
            <w:hideMark/>
          </w:tcPr>
          <w:p w14:paraId="70D4C3A1" w14:textId="77777777" w:rsidR="00F5792E" w:rsidRPr="00E87A80" w:rsidRDefault="00F5792E" w:rsidP="006577C2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Inflammatory Modulation (Macrophage phenotype)</w:t>
            </w:r>
          </w:p>
        </w:tc>
        <w:tc>
          <w:tcPr>
            <w:tcW w:w="1059" w:type="dxa"/>
            <w:vAlign w:val="center"/>
            <w:hideMark/>
          </w:tcPr>
          <w:p w14:paraId="2D61FDC3" w14:textId="3AE500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Lourenço et al.</w:t>
            </w:r>
            <w:r w:rsidR="006577C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6577C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74" w:type="dxa"/>
            <w:vAlign w:val="center"/>
            <w:hideMark/>
          </w:tcPr>
          <w:p w14:paraId="2350E880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Rat</w:t>
            </w:r>
          </w:p>
        </w:tc>
        <w:tc>
          <w:tcPr>
            <w:tcW w:w="1178" w:type="dxa"/>
            <w:vAlign w:val="center"/>
            <w:hideMark/>
          </w:tcPr>
          <w:p w14:paraId="71F434FD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Alb-PRF</w:t>
            </w:r>
          </w:p>
        </w:tc>
        <w:tc>
          <w:tcPr>
            <w:tcW w:w="1417" w:type="dxa"/>
            <w:vAlign w:val="center"/>
            <w:hideMark/>
          </w:tcPr>
          <w:p w14:paraId="40A1BA7B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PRF</w:t>
            </w:r>
          </w:p>
        </w:tc>
        <w:tc>
          <w:tcPr>
            <w:tcW w:w="2268" w:type="dxa"/>
            <w:vAlign w:val="center"/>
            <w:hideMark/>
          </w:tcPr>
          <w:p w14:paraId="177BE22B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↓ IL-1β, ↑ IL-10 (trend only)</w:t>
            </w:r>
          </w:p>
        </w:tc>
        <w:tc>
          <w:tcPr>
            <w:tcW w:w="1134" w:type="dxa"/>
            <w:vAlign w:val="center"/>
            <w:hideMark/>
          </w:tcPr>
          <w:p w14:paraId="06A04B2A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Segoe UI Symbol" w:hAnsi="Segoe UI Symbol" w:cs="Segoe UI Symbol"/>
                <w:sz w:val="22"/>
                <w:szCs w:val="22"/>
              </w:rPr>
              <w:t>⬤⬤</w:t>
            </w:r>
            <w:r w:rsidRPr="00E87A80">
              <w:rPr>
                <w:rFonts w:ascii="Cambria Math" w:hAnsi="Cambria Math" w:cs="Cambria Math"/>
                <w:sz w:val="22"/>
                <w:szCs w:val="22"/>
              </w:rPr>
              <w:t>◯◯</w:t>
            </w: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87A8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Low</w:t>
            </w:r>
          </w:p>
        </w:tc>
        <w:tc>
          <w:tcPr>
            <w:tcW w:w="1572" w:type="dxa"/>
            <w:vAlign w:val="center"/>
            <w:hideMark/>
          </w:tcPr>
          <w:p w14:paraId="4E703EEF" w14:textId="77777777" w:rsidR="00F5792E" w:rsidRPr="00E87A80" w:rsidRDefault="00F5792E" w:rsidP="006577C2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7A80">
              <w:rPr>
                <w:rFonts w:ascii="Times New Roman" w:hAnsi="Times New Roman" w:cs="Times New Roman"/>
                <w:sz w:val="22"/>
                <w:szCs w:val="22"/>
              </w:rPr>
              <w:t xml:space="preserve">No long-term immunomodulation </w:t>
            </w:r>
            <w:proofErr w:type="gramStart"/>
            <w:r w:rsidRPr="00E87A8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  <w:proofErr w:type="gramEnd"/>
          </w:p>
        </w:tc>
      </w:tr>
    </w:tbl>
    <w:p w14:paraId="4B4B70DC" w14:textId="77777777" w:rsidR="00F5792E" w:rsidRDefault="00F5792E" w:rsidP="00F5792E">
      <w:pPr>
        <w:rPr>
          <w:rFonts w:ascii="Times New Roman" w:hAnsi="Times New Roman" w:cs="Times New Roman"/>
          <w:b/>
          <w:bCs/>
        </w:rPr>
      </w:pPr>
    </w:p>
    <w:p w14:paraId="0FEECDBA" w14:textId="3A543393" w:rsidR="00F5792E" w:rsidRPr="00F5792E" w:rsidRDefault="00F5792E" w:rsidP="00F5792E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  <w:b/>
          <w:bCs/>
        </w:rPr>
        <w:t xml:space="preserve">Supplementary File Y: </w:t>
      </w:r>
      <w:r w:rsidRPr="00F5792E">
        <w:rPr>
          <w:rFonts w:ascii="Times New Roman" w:hAnsi="Times New Roman" w:cs="Times New Roman"/>
        </w:rPr>
        <w:t xml:space="preserve">GRADE </w:t>
      </w:r>
      <w:r w:rsidRPr="00F5792E">
        <w:rPr>
          <w:rFonts w:ascii="Times New Roman" w:hAnsi="Times New Roman" w:cs="Times New Roman"/>
        </w:rPr>
        <w:t>s</w:t>
      </w:r>
      <w:r w:rsidRPr="00F5792E">
        <w:rPr>
          <w:rFonts w:ascii="Times New Roman" w:hAnsi="Times New Roman" w:cs="Times New Roman"/>
        </w:rPr>
        <w:t xml:space="preserve">ummary of </w:t>
      </w:r>
      <w:r w:rsidRPr="00F5792E">
        <w:rPr>
          <w:rFonts w:ascii="Times New Roman" w:hAnsi="Times New Roman" w:cs="Times New Roman"/>
        </w:rPr>
        <w:t>f</w:t>
      </w:r>
      <w:r w:rsidRPr="00F5792E">
        <w:rPr>
          <w:rFonts w:ascii="Times New Roman" w:hAnsi="Times New Roman" w:cs="Times New Roman"/>
        </w:rPr>
        <w:t xml:space="preserve">indings – </w:t>
      </w:r>
      <w:r w:rsidRPr="00F5792E">
        <w:rPr>
          <w:rFonts w:ascii="Times New Roman" w:hAnsi="Times New Roman" w:cs="Times New Roman"/>
        </w:rPr>
        <w:t>p</w:t>
      </w:r>
      <w:r w:rsidRPr="00F5792E">
        <w:rPr>
          <w:rFonts w:ascii="Times New Roman" w:hAnsi="Times New Roman" w:cs="Times New Roman"/>
        </w:rPr>
        <w:t>reclinical (</w:t>
      </w:r>
      <w:r w:rsidRPr="00F5792E">
        <w:rPr>
          <w:rFonts w:ascii="Times New Roman" w:hAnsi="Times New Roman" w:cs="Times New Roman"/>
        </w:rPr>
        <w:t>a</w:t>
      </w:r>
      <w:r w:rsidRPr="00F5792E">
        <w:rPr>
          <w:rFonts w:ascii="Times New Roman" w:hAnsi="Times New Roman" w:cs="Times New Roman"/>
        </w:rPr>
        <w:t xml:space="preserve">nimal) </w:t>
      </w:r>
      <w:r w:rsidRPr="00F5792E">
        <w:rPr>
          <w:rFonts w:ascii="Times New Roman" w:hAnsi="Times New Roman" w:cs="Times New Roman"/>
        </w:rPr>
        <w:t>e</w:t>
      </w:r>
      <w:r w:rsidRPr="00F5792E">
        <w:rPr>
          <w:rFonts w:ascii="Times New Roman" w:hAnsi="Times New Roman" w:cs="Times New Roman"/>
        </w:rPr>
        <w:t>vidence (n = 1)</w:t>
      </w:r>
      <w:r w:rsidRPr="00F5792E">
        <w:rPr>
          <w:rFonts w:ascii="Times New Roman" w:hAnsi="Times New Roman" w:cs="Times New Roman"/>
        </w:rPr>
        <w:t>.</w:t>
      </w:r>
    </w:p>
    <w:p w14:paraId="262EC7B0" w14:textId="4A2DD9CD" w:rsidR="004B243C" w:rsidRPr="00F5792E" w:rsidRDefault="00F5792E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  <w:b/>
          <w:bCs/>
        </w:rPr>
        <w:t>Overall certainty of evidence (preclinical):</w:t>
      </w:r>
      <w:r w:rsidRPr="00F5792E">
        <w:rPr>
          <w:rFonts w:ascii="Times New Roman" w:hAnsi="Times New Roman" w:cs="Times New Roman"/>
        </w:rPr>
        <w:t xml:space="preserve"> </w:t>
      </w:r>
      <w:r w:rsidRPr="00F5792E">
        <w:rPr>
          <w:rFonts w:ascii="Segoe UI Symbol" w:hAnsi="Segoe UI Symbol" w:cs="Segoe UI Symbol"/>
        </w:rPr>
        <w:t>⬤⬤</w:t>
      </w:r>
      <w:r w:rsidRPr="00F5792E">
        <w:rPr>
          <w:rFonts w:ascii="Cambria Math" w:hAnsi="Cambria Math" w:cs="Cambria Math"/>
        </w:rPr>
        <w:t>◯◯</w:t>
      </w:r>
      <w:r w:rsidRPr="00F5792E">
        <w:rPr>
          <w:rFonts w:ascii="Times New Roman" w:hAnsi="Times New Roman" w:cs="Times New Roman"/>
        </w:rPr>
        <w:t xml:space="preserve"> Low–Moderate, limited by small sample size, short follow-up</w:t>
      </w:r>
      <w:r>
        <w:rPr>
          <w:rFonts w:ascii="Times New Roman" w:hAnsi="Times New Roman" w:cs="Times New Roman"/>
        </w:rPr>
        <w:t xml:space="preserve"> </w:t>
      </w:r>
      <w:r w:rsidRPr="00F5792E">
        <w:rPr>
          <w:rFonts w:ascii="Times New Roman" w:hAnsi="Times New Roman" w:cs="Times New Roman"/>
        </w:rPr>
        <w:t>period, and lack of reproducibility.</w:t>
      </w:r>
    </w:p>
    <w:p w14:paraId="45893CEE" w14:textId="1845973B" w:rsidR="00F5792E" w:rsidRPr="00F5792E" w:rsidRDefault="00F5792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5792E">
        <w:rPr>
          <w:rFonts w:ascii="Times New Roman" w:hAnsi="Times New Roman" w:cs="Times New Roman"/>
          <w:b/>
          <w:bCs/>
          <w:i/>
          <w:iCs/>
          <w:sz w:val="20"/>
          <w:szCs w:val="20"/>
        </w:rPr>
        <w:t>Note:</w:t>
      </w:r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 Certainty was assessed according to the adapted GRADE framework for preclinical (animal) </w:t>
      </w:r>
      <w:proofErr w:type="gramStart"/>
      <w:r w:rsidRPr="00F5792E">
        <w:rPr>
          <w:rFonts w:ascii="Times New Roman" w:hAnsi="Times New Roman" w:cs="Times New Roman"/>
          <w:i/>
          <w:iCs/>
          <w:sz w:val="20"/>
          <w:szCs w:val="20"/>
        </w:rPr>
        <w:t>data</w:t>
      </w:r>
      <w:proofErr w:type="gramEnd"/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. Symbols: </w:t>
      </w:r>
      <w:r w:rsidRPr="00F5792E">
        <w:rPr>
          <w:rFonts w:ascii="Segoe UI Symbol" w:hAnsi="Segoe UI Symbol" w:cs="Segoe UI Symbol"/>
          <w:i/>
          <w:iCs/>
          <w:sz w:val="20"/>
          <w:szCs w:val="20"/>
        </w:rPr>
        <w:t>⬤⬤⬤⬤</w:t>
      </w:r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 = High, </w:t>
      </w:r>
      <w:r w:rsidRPr="00F5792E">
        <w:rPr>
          <w:rFonts w:ascii="Segoe UI Symbol" w:hAnsi="Segoe UI Symbol" w:cs="Segoe UI Symbol"/>
          <w:i/>
          <w:iCs/>
          <w:sz w:val="20"/>
          <w:szCs w:val="20"/>
        </w:rPr>
        <w:t>⬤⬤⬤</w:t>
      </w:r>
      <w:r w:rsidRPr="00F5792E">
        <w:rPr>
          <w:rFonts w:ascii="Cambria Math" w:hAnsi="Cambria Math" w:cs="Cambria Math"/>
          <w:i/>
          <w:iCs/>
          <w:sz w:val="20"/>
          <w:szCs w:val="20"/>
        </w:rPr>
        <w:t>◯</w:t>
      </w:r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 = Moderate, </w:t>
      </w:r>
      <w:r w:rsidRPr="00F5792E">
        <w:rPr>
          <w:rFonts w:ascii="Segoe UI Symbol" w:hAnsi="Segoe UI Symbol" w:cs="Segoe UI Symbol"/>
          <w:i/>
          <w:iCs/>
          <w:sz w:val="20"/>
          <w:szCs w:val="20"/>
        </w:rPr>
        <w:t>⬤⬤</w:t>
      </w:r>
      <w:r w:rsidRPr="00F5792E">
        <w:rPr>
          <w:rFonts w:ascii="Cambria Math" w:hAnsi="Cambria Math" w:cs="Cambria Math"/>
          <w:i/>
          <w:iCs/>
          <w:sz w:val="20"/>
          <w:szCs w:val="20"/>
        </w:rPr>
        <w:t>◯◯</w:t>
      </w:r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 = Low, </w:t>
      </w:r>
      <w:r w:rsidRPr="00F5792E">
        <w:rPr>
          <w:rFonts w:ascii="Segoe UI Symbol" w:hAnsi="Segoe UI Symbol" w:cs="Segoe UI Symbol"/>
          <w:i/>
          <w:iCs/>
          <w:sz w:val="20"/>
          <w:szCs w:val="20"/>
        </w:rPr>
        <w:t>⬤</w:t>
      </w:r>
      <w:r w:rsidRPr="00F5792E">
        <w:rPr>
          <w:rFonts w:ascii="Cambria Math" w:hAnsi="Cambria Math" w:cs="Cambria Math"/>
          <w:i/>
          <w:iCs/>
          <w:sz w:val="20"/>
          <w:szCs w:val="20"/>
        </w:rPr>
        <w:t>◯◯◯</w:t>
      </w:r>
      <w:r w:rsidRPr="00F5792E">
        <w:rPr>
          <w:rFonts w:ascii="Times New Roman" w:hAnsi="Times New Roman" w:cs="Times New Roman"/>
          <w:i/>
          <w:iCs/>
          <w:sz w:val="20"/>
          <w:szCs w:val="20"/>
        </w:rPr>
        <w:t xml:space="preserve"> = Very Low.</w:t>
      </w:r>
    </w:p>
    <w:sectPr w:rsidR="00F5792E" w:rsidRPr="00F57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2E"/>
    <w:rsid w:val="004B243C"/>
    <w:rsid w:val="006577C2"/>
    <w:rsid w:val="00993B51"/>
    <w:rsid w:val="00B8316D"/>
    <w:rsid w:val="00C13EC9"/>
    <w:rsid w:val="00F5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8426"/>
  <w15:chartTrackingRefBased/>
  <w15:docId w15:val="{E759209A-83B8-4C49-A57A-274187C7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2E"/>
  </w:style>
  <w:style w:type="paragraph" w:styleId="Balk1">
    <w:name w:val="heading 1"/>
    <w:basedOn w:val="Normal"/>
    <w:next w:val="Normal"/>
    <w:link w:val="Balk1Char"/>
    <w:uiPriority w:val="9"/>
    <w:qFormat/>
    <w:rsid w:val="00F5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79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79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79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79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79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792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792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79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79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79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79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79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79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792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79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792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792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57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3">
    <w:name w:val="Grid Table 4 Accent 3"/>
    <w:basedOn w:val="NormalTablo"/>
    <w:uiPriority w:val="49"/>
    <w:rsid w:val="006577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779</Characters>
  <Application>Microsoft Office Word</Application>
  <DocSecurity>0</DocSecurity>
  <Lines>129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gulenay çolak</dc:creator>
  <cp:keywords/>
  <dc:description/>
  <cp:lastModifiedBy>gulenay çolak</cp:lastModifiedBy>
  <cp:revision>1</cp:revision>
  <dcterms:created xsi:type="dcterms:W3CDTF">2025-11-30T00:26:00Z</dcterms:created>
  <dcterms:modified xsi:type="dcterms:W3CDTF">2025-11-30T00:46:00Z</dcterms:modified>
</cp:coreProperties>
</file>