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38FED" w14:textId="77777777" w:rsidR="00392476" w:rsidRDefault="00000000">
      <w:pPr>
        <w:spacing w:before="120" w:after="120" w:line="360" w:lineRule="auto"/>
        <w:rPr>
          <w:rFonts w:ascii="Times New Roman" w:eastAsiaTheme="majorEastAsia" w:hAnsi="Times New Roman" w:cs="Times New Roman"/>
          <w:b/>
          <w:bCs/>
          <w:szCs w:val="21"/>
        </w:rPr>
      </w:pPr>
      <w:r>
        <w:rPr>
          <w:rFonts w:ascii="Times New Roman" w:eastAsiaTheme="majorEastAsia" w:hAnsi="Times New Roman" w:cs="Times New Roman"/>
          <w:b/>
          <w:bCs/>
          <w:szCs w:val="21"/>
        </w:rPr>
        <w:t>Supplementary Materials</w:t>
      </w:r>
    </w:p>
    <w:p w14:paraId="26B566BE" w14:textId="77777777" w:rsidR="00392476" w:rsidRDefault="00000000">
      <w:pPr>
        <w:spacing w:line="360" w:lineRule="auto"/>
        <w:rPr>
          <w:rFonts w:ascii="Times New Roman" w:eastAsia="宋体" w:hAnsi="Times New Roman" w:cs="Times New Roman"/>
          <w:b/>
          <w:bCs/>
          <w:szCs w:val="21"/>
        </w:rPr>
      </w:pPr>
      <w:r>
        <w:rPr>
          <w:rFonts w:ascii="Times New Roman" w:eastAsia="宋体" w:hAnsi="Times New Roman" w:cs="Times New Roman"/>
          <w:b/>
          <w:bCs/>
          <w:szCs w:val="21"/>
        </w:rPr>
        <w:t xml:space="preserve">Table </w:t>
      </w:r>
      <w:r>
        <w:rPr>
          <w:rFonts w:ascii="Times New Roman" w:eastAsia="宋体" w:hAnsi="Times New Roman" w:cs="Times New Roman" w:hint="eastAsia"/>
          <w:b/>
          <w:bCs/>
          <w:szCs w:val="21"/>
        </w:rPr>
        <w:t>S</w:t>
      </w:r>
      <w:r>
        <w:rPr>
          <w:rFonts w:ascii="Times New Roman" w:eastAsia="宋体" w:hAnsi="Times New Roman" w:cs="Times New Roman"/>
          <w:b/>
          <w:bCs/>
          <w:szCs w:val="21"/>
        </w:rPr>
        <w:t>1</w:t>
      </w:r>
      <w:r>
        <w:rPr>
          <w:rFonts w:ascii="Times New Roman" w:eastAsia="宋体" w:hAnsi="Times New Roman" w:cs="Times New Roman" w:hint="eastAsia"/>
          <w:b/>
          <w:bCs/>
          <w:szCs w:val="21"/>
        </w:rPr>
        <w:t xml:space="preserve"> </w:t>
      </w:r>
      <w:r>
        <w:rPr>
          <w:rFonts w:ascii="Times New Roman" w:eastAsia="宋体" w:hAnsi="Times New Roman" w:cs="Times New Roman"/>
          <w:szCs w:val="21"/>
        </w:rPr>
        <w:t>CT scan parameters</w:t>
      </w:r>
      <w:r>
        <w:rPr>
          <w:rFonts w:ascii="Times New Roman" w:eastAsia="宋体" w:hAnsi="Times New Roman" w:cs="Times New Roman"/>
          <w:b/>
          <w:bCs/>
          <w:szCs w:val="21"/>
        </w:rPr>
        <w:t xml:space="preserve">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711"/>
        <w:gridCol w:w="692"/>
        <w:gridCol w:w="711"/>
        <w:gridCol w:w="691"/>
        <w:gridCol w:w="710"/>
        <w:gridCol w:w="691"/>
        <w:gridCol w:w="710"/>
        <w:gridCol w:w="691"/>
        <w:gridCol w:w="710"/>
        <w:gridCol w:w="691"/>
      </w:tblGrid>
      <w:tr w:rsidR="00392476" w14:paraId="17EF4BC4" w14:textId="77777777">
        <w:trPr>
          <w:trHeight w:val="293"/>
        </w:trPr>
        <w:tc>
          <w:tcPr>
            <w:tcW w:w="0" w:type="auto"/>
            <w:tcBorders>
              <w:top w:val="single" w:sz="12" w:space="0" w:color="auto"/>
              <w:bottom w:val="single" w:sz="12" w:space="0" w:color="auto"/>
            </w:tcBorders>
            <w:noWrap/>
            <w:vAlign w:val="center"/>
          </w:tcPr>
          <w:p w14:paraId="1833533A" w14:textId="77777777" w:rsidR="00392476" w:rsidRDefault="00392476">
            <w:pPr>
              <w:jc w:val="center"/>
              <w:rPr>
                <w:rFonts w:ascii="Times New Roman" w:eastAsia="宋体" w:hAnsi="Times New Roman" w:cs="Times New Roman"/>
                <w:kern w:val="0"/>
                <w:szCs w:val="21"/>
              </w:rPr>
            </w:pPr>
          </w:p>
        </w:tc>
        <w:tc>
          <w:tcPr>
            <w:tcW w:w="0" w:type="auto"/>
            <w:gridSpan w:val="2"/>
            <w:tcBorders>
              <w:top w:val="single" w:sz="12" w:space="0" w:color="auto"/>
              <w:bottom w:val="single" w:sz="12" w:space="0" w:color="auto"/>
            </w:tcBorders>
            <w:noWrap/>
            <w:vAlign w:val="center"/>
          </w:tcPr>
          <w:p w14:paraId="040CA78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GE</w:t>
            </w:r>
          </w:p>
          <w:p w14:paraId="74827B4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(Lightspeed VCT)</w:t>
            </w:r>
          </w:p>
        </w:tc>
        <w:tc>
          <w:tcPr>
            <w:tcW w:w="0" w:type="auto"/>
            <w:gridSpan w:val="2"/>
            <w:tcBorders>
              <w:top w:val="single" w:sz="12" w:space="0" w:color="auto"/>
              <w:bottom w:val="single" w:sz="12" w:space="0" w:color="auto"/>
            </w:tcBorders>
            <w:noWrap/>
            <w:vAlign w:val="center"/>
          </w:tcPr>
          <w:p w14:paraId="4CC0C303"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Philips</w:t>
            </w:r>
          </w:p>
          <w:p w14:paraId="1A06311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 xml:space="preserve">(Brilliance </w:t>
            </w:r>
            <w:proofErr w:type="spellStart"/>
            <w:r>
              <w:rPr>
                <w:rFonts w:ascii="Times New Roman" w:eastAsia="宋体" w:hAnsi="Times New Roman" w:cs="Times New Roman"/>
                <w:kern w:val="0"/>
                <w:szCs w:val="21"/>
              </w:rPr>
              <w:t>iCT</w:t>
            </w:r>
            <w:proofErr w:type="spellEnd"/>
            <w:r>
              <w:rPr>
                <w:rFonts w:ascii="Times New Roman" w:eastAsia="宋体" w:hAnsi="Times New Roman" w:cs="Times New Roman"/>
                <w:kern w:val="0"/>
                <w:szCs w:val="21"/>
              </w:rPr>
              <w:t>)</w:t>
            </w:r>
          </w:p>
        </w:tc>
        <w:tc>
          <w:tcPr>
            <w:tcW w:w="0" w:type="auto"/>
            <w:gridSpan w:val="2"/>
            <w:tcBorders>
              <w:top w:val="single" w:sz="12" w:space="0" w:color="auto"/>
              <w:bottom w:val="single" w:sz="12" w:space="0" w:color="auto"/>
            </w:tcBorders>
            <w:noWrap/>
            <w:vAlign w:val="center"/>
          </w:tcPr>
          <w:p w14:paraId="7A971C5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United Imaging</w:t>
            </w:r>
          </w:p>
          <w:p w14:paraId="1228458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(uCT760)</w:t>
            </w:r>
          </w:p>
        </w:tc>
        <w:tc>
          <w:tcPr>
            <w:tcW w:w="0" w:type="auto"/>
            <w:gridSpan w:val="2"/>
            <w:tcBorders>
              <w:top w:val="single" w:sz="12" w:space="0" w:color="auto"/>
              <w:bottom w:val="single" w:sz="12" w:space="0" w:color="auto"/>
            </w:tcBorders>
            <w:noWrap/>
            <w:vAlign w:val="center"/>
          </w:tcPr>
          <w:p w14:paraId="2DFF0303"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Canon</w:t>
            </w:r>
          </w:p>
          <w:p w14:paraId="2B2356D1"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w:t>
            </w:r>
            <w:bookmarkStart w:id="0" w:name="_Hlk186642218"/>
            <w:proofErr w:type="spellStart"/>
            <w:r>
              <w:rPr>
                <w:rFonts w:ascii="Times New Roman" w:eastAsia="宋体" w:hAnsi="Times New Roman" w:cs="Times New Roman"/>
                <w:kern w:val="0"/>
                <w:szCs w:val="21"/>
              </w:rPr>
              <w:t>Acquilion</w:t>
            </w:r>
            <w:proofErr w:type="spellEnd"/>
            <w:r>
              <w:rPr>
                <w:rFonts w:ascii="Times New Roman" w:eastAsia="宋体" w:hAnsi="Times New Roman" w:cs="Times New Roman"/>
                <w:kern w:val="0"/>
                <w:szCs w:val="21"/>
              </w:rPr>
              <w:t xml:space="preserve"> ONE</w:t>
            </w:r>
            <w:bookmarkEnd w:id="0"/>
            <w:r>
              <w:rPr>
                <w:rFonts w:ascii="Times New Roman" w:eastAsia="宋体" w:hAnsi="Times New Roman" w:cs="Times New Roman"/>
                <w:kern w:val="0"/>
                <w:szCs w:val="21"/>
              </w:rPr>
              <w:t>)</w:t>
            </w:r>
          </w:p>
        </w:tc>
        <w:tc>
          <w:tcPr>
            <w:tcW w:w="0" w:type="auto"/>
            <w:gridSpan w:val="2"/>
            <w:tcBorders>
              <w:top w:val="single" w:sz="12" w:space="0" w:color="auto"/>
              <w:bottom w:val="single" w:sz="12" w:space="0" w:color="auto"/>
            </w:tcBorders>
            <w:noWrap/>
            <w:vAlign w:val="center"/>
          </w:tcPr>
          <w:p w14:paraId="05C669C5"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Philips</w:t>
            </w:r>
          </w:p>
          <w:p w14:paraId="27D455E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w:t>
            </w:r>
            <w:proofErr w:type="spellStart"/>
            <w:r>
              <w:rPr>
                <w:rFonts w:ascii="Times New Roman" w:eastAsia="宋体" w:hAnsi="Times New Roman" w:cs="Times New Roman"/>
                <w:kern w:val="0"/>
                <w:szCs w:val="21"/>
              </w:rPr>
              <w:t>IQon</w:t>
            </w:r>
            <w:proofErr w:type="spellEnd"/>
            <w:r>
              <w:rPr>
                <w:rFonts w:ascii="Times New Roman" w:eastAsia="宋体" w:hAnsi="Times New Roman" w:cs="Times New Roman"/>
                <w:kern w:val="0"/>
                <w:szCs w:val="21"/>
              </w:rPr>
              <w:t xml:space="preserve"> Spectral CT)</w:t>
            </w:r>
          </w:p>
        </w:tc>
      </w:tr>
      <w:tr w:rsidR="00392476" w14:paraId="1AA3D449" w14:textId="77777777">
        <w:trPr>
          <w:trHeight w:val="394"/>
        </w:trPr>
        <w:tc>
          <w:tcPr>
            <w:tcW w:w="0" w:type="auto"/>
            <w:tcBorders>
              <w:top w:val="single" w:sz="12" w:space="0" w:color="auto"/>
              <w:bottom w:val="single" w:sz="6" w:space="0" w:color="auto"/>
            </w:tcBorders>
            <w:noWrap/>
            <w:vAlign w:val="center"/>
          </w:tcPr>
          <w:p w14:paraId="523A6C6D" w14:textId="77777777" w:rsidR="00392476" w:rsidRDefault="00392476">
            <w:pPr>
              <w:jc w:val="center"/>
              <w:rPr>
                <w:rFonts w:ascii="Times New Roman" w:eastAsia="宋体" w:hAnsi="Times New Roman" w:cs="Times New Roman"/>
                <w:kern w:val="0"/>
                <w:szCs w:val="21"/>
              </w:rPr>
            </w:pPr>
          </w:p>
        </w:tc>
        <w:tc>
          <w:tcPr>
            <w:tcW w:w="0" w:type="auto"/>
            <w:tcBorders>
              <w:top w:val="single" w:sz="12" w:space="0" w:color="auto"/>
              <w:bottom w:val="single" w:sz="6" w:space="0" w:color="auto"/>
            </w:tcBorders>
            <w:noWrap/>
            <w:vAlign w:val="center"/>
          </w:tcPr>
          <w:p w14:paraId="265E83B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Cervical spine</w:t>
            </w:r>
          </w:p>
        </w:tc>
        <w:tc>
          <w:tcPr>
            <w:tcW w:w="0" w:type="auto"/>
            <w:tcBorders>
              <w:top w:val="single" w:sz="12" w:space="0" w:color="auto"/>
              <w:bottom w:val="single" w:sz="6" w:space="0" w:color="auto"/>
            </w:tcBorders>
            <w:noWrap/>
            <w:vAlign w:val="center"/>
          </w:tcPr>
          <w:p w14:paraId="12EFCF76"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Lumbar spine</w:t>
            </w:r>
          </w:p>
        </w:tc>
        <w:tc>
          <w:tcPr>
            <w:tcW w:w="0" w:type="auto"/>
            <w:tcBorders>
              <w:top w:val="single" w:sz="12" w:space="0" w:color="auto"/>
              <w:bottom w:val="single" w:sz="6" w:space="0" w:color="auto"/>
            </w:tcBorders>
            <w:noWrap/>
            <w:vAlign w:val="center"/>
          </w:tcPr>
          <w:p w14:paraId="14F69C64"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Cervical spine</w:t>
            </w:r>
          </w:p>
        </w:tc>
        <w:tc>
          <w:tcPr>
            <w:tcW w:w="0" w:type="auto"/>
            <w:tcBorders>
              <w:top w:val="single" w:sz="12" w:space="0" w:color="auto"/>
              <w:bottom w:val="single" w:sz="6" w:space="0" w:color="auto"/>
            </w:tcBorders>
            <w:noWrap/>
            <w:vAlign w:val="center"/>
          </w:tcPr>
          <w:p w14:paraId="53DA567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Lumbar spine</w:t>
            </w:r>
          </w:p>
        </w:tc>
        <w:tc>
          <w:tcPr>
            <w:tcW w:w="0" w:type="auto"/>
            <w:tcBorders>
              <w:top w:val="single" w:sz="12" w:space="0" w:color="auto"/>
              <w:bottom w:val="single" w:sz="6" w:space="0" w:color="auto"/>
            </w:tcBorders>
            <w:noWrap/>
            <w:vAlign w:val="center"/>
          </w:tcPr>
          <w:p w14:paraId="7A34A8B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Cervical spine</w:t>
            </w:r>
          </w:p>
        </w:tc>
        <w:tc>
          <w:tcPr>
            <w:tcW w:w="0" w:type="auto"/>
            <w:tcBorders>
              <w:top w:val="single" w:sz="12" w:space="0" w:color="auto"/>
              <w:bottom w:val="single" w:sz="6" w:space="0" w:color="auto"/>
            </w:tcBorders>
            <w:noWrap/>
            <w:vAlign w:val="center"/>
          </w:tcPr>
          <w:p w14:paraId="51385961"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Lumbar spine</w:t>
            </w:r>
          </w:p>
        </w:tc>
        <w:tc>
          <w:tcPr>
            <w:tcW w:w="0" w:type="auto"/>
            <w:tcBorders>
              <w:top w:val="single" w:sz="12" w:space="0" w:color="auto"/>
              <w:bottom w:val="single" w:sz="6" w:space="0" w:color="auto"/>
            </w:tcBorders>
            <w:noWrap/>
            <w:vAlign w:val="center"/>
          </w:tcPr>
          <w:p w14:paraId="79C9B86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Cervical spine</w:t>
            </w:r>
          </w:p>
        </w:tc>
        <w:tc>
          <w:tcPr>
            <w:tcW w:w="0" w:type="auto"/>
            <w:tcBorders>
              <w:top w:val="single" w:sz="12" w:space="0" w:color="auto"/>
              <w:bottom w:val="single" w:sz="6" w:space="0" w:color="auto"/>
            </w:tcBorders>
            <w:noWrap/>
            <w:vAlign w:val="center"/>
          </w:tcPr>
          <w:p w14:paraId="4AB3286B"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Lumbar spine</w:t>
            </w:r>
          </w:p>
        </w:tc>
        <w:tc>
          <w:tcPr>
            <w:tcW w:w="0" w:type="auto"/>
            <w:tcBorders>
              <w:top w:val="single" w:sz="12" w:space="0" w:color="auto"/>
              <w:bottom w:val="single" w:sz="6" w:space="0" w:color="auto"/>
            </w:tcBorders>
            <w:noWrap/>
            <w:vAlign w:val="center"/>
          </w:tcPr>
          <w:p w14:paraId="5622804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Cervical spine</w:t>
            </w:r>
          </w:p>
        </w:tc>
        <w:tc>
          <w:tcPr>
            <w:tcW w:w="0" w:type="auto"/>
            <w:tcBorders>
              <w:top w:val="single" w:sz="12" w:space="0" w:color="auto"/>
              <w:bottom w:val="single" w:sz="6" w:space="0" w:color="auto"/>
            </w:tcBorders>
            <w:noWrap/>
            <w:vAlign w:val="center"/>
          </w:tcPr>
          <w:p w14:paraId="04A0748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Lumbar spine</w:t>
            </w:r>
          </w:p>
        </w:tc>
      </w:tr>
      <w:tr w:rsidR="00392476" w14:paraId="5DC4A28A" w14:textId="77777777">
        <w:trPr>
          <w:trHeight w:val="285"/>
        </w:trPr>
        <w:tc>
          <w:tcPr>
            <w:tcW w:w="0" w:type="auto"/>
            <w:tcBorders>
              <w:top w:val="single" w:sz="6" w:space="0" w:color="auto"/>
            </w:tcBorders>
            <w:noWrap/>
            <w:vAlign w:val="center"/>
          </w:tcPr>
          <w:p w14:paraId="1A13BB8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Tube voltage (kV)</w:t>
            </w:r>
          </w:p>
        </w:tc>
        <w:tc>
          <w:tcPr>
            <w:tcW w:w="0" w:type="auto"/>
            <w:tcBorders>
              <w:top w:val="single" w:sz="6" w:space="0" w:color="auto"/>
            </w:tcBorders>
            <w:noWrap/>
            <w:vAlign w:val="center"/>
          </w:tcPr>
          <w:p w14:paraId="020EF18F"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1255AC8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7BC9808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7C53B93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32F46F08"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140</w:t>
            </w:r>
          </w:p>
        </w:tc>
        <w:tc>
          <w:tcPr>
            <w:tcW w:w="0" w:type="auto"/>
            <w:tcBorders>
              <w:top w:val="single" w:sz="6" w:space="0" w:color="auto"/>
            </w:tcBorders>
            <w:noWrap/>
            <w:vAlign w:val="center"/>
          </w:tcPr>
          <w:p w14:paraId="665464D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4EAD6B44"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6DF8DD6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7F52A01D"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c>
          <w:tcPr>
            <w:tcW w:w="0" w:type="auto"/>
            <w:tcBorders>
              <w:top w:val="single" w:sz="6" w:space="0" w:color="auto"/>
            </w:tcBorders>
            <w:noWrap/>
            <w:vAlign w:val="center"/>
          </w:tcPr>
          <w:p w14:paraId="1FD587B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120</w:t>
            </w:r>
          </w:p>
        </w:tc>
      </w:tr>
      <w:tr w:rsidR="00392476" w14:paraId="763E70F0" w14:textId="77777777">
        <w:trPr>
          <w:trHeight w:val="278"/>
        </w:trPr>
        <w:tc>
          <w:tcPr>
            <w:tcW w:w="0" w:type="auto"/>
            <w:noWrap/>
            <w:vAlign w:val="center"/>
          </w:tcPr>
          <w:p w14:paraId="5B9C7C45"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Tube current (mA)</w:t>
            </w:r>
          </w:p>
        </w:tc>
        <w:tc>
          <w:tcPr>
            <w:tcW w:w="0" w:type="auto"/>
            <w:noWrap/>
            <w:vAlign w:val="center"/>
          </w:tcPr>
          <w:p w14:paraId="1D5851BD"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Smart mA</w:t>
            </w:r>
          </w:p>
        </w:tc>
        <w:tc>
          <w:tcPr>
            <w:tcW w:w="0" w:type="auto"/>
            <w:noWrap/>
            <w:vAlign w:val="center"/>
          </w:tcPr>
          <w:p w14:paraId="60447E0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Smart mA</w:t>
            </w:r>
          </w:p>
        </w:tc>
        <w:tc>
          <w:tcPr>
            <w:tcW w:w="0" w:type="auto"/>
            <w:noWrap/>
            <w:vAlign w:val="center"/>
          </w:tcPr>
          <w:p w14:paraId="3EA2A4A3"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250-350</w:t>
            </w:r>
          </w:p>
        </w:tc>
        <w:tc>
          <w:tcPr>
            <w:tcW w:w="0" w:type="auto"/>
            <w:noWrap/>
            <w:vAlign w:val="center"/>
          </w:tcPr>
          <w:p w14:paraId="0092C481"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250-350</w:t>
            </w:r>
          </w:p>
        </w:tc>
        <w:tc>
          <w:tcPr>
            <w:tcW w:w="0" w:type="auto"/>
            <w:noWrap/>
            <w:vAlign w:val="center"/>
          </w:tcPr>
          <w:p w14:paraId="198940B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Smart mA</w:t>
            </w:r>
          </w:p>
        </w:tc>
        <w:tc>
          <w:tcPr>
            <w:tcW w:w="0" w:type="auto"/>
            <w:noWrap/>
            <w:vAlign w:val="center"/>
          </w:tcPr>
          <w:p w14:paraId="41835FC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Smart mA</w:t>
            </w:r>
          </w:p>
        </w:tc>
        <w:tc>
          <w:tcPr>
            <w:tcW w:w="0" w:type="auto"/>
            <w:noWrap/>
            <w:vAlign w:val="center"/>
          </w:tcPr>
          <w:p w14:paraId="67FE315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200</w:t>
            </w:r>
          </w:p>
        </w:tc>
        <w:tc>
          <w:tcPr>
            <w:tcW w:w="0" w:type="auto"/>
            <w:noWrap/>
            <w:vAlign w:val="center"/>
          </w:tcPr>
          <w:p w14:paraId="1DB7C94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300</w:t>
            </w:r>
          </w:p>
        </w:tc>
        <w:tc>
          <w:tcPr>
            <w:tcW w:w="0" w:type="auto"/>
            <w:noWrap/>
            <w:vAlign w:val="center"/>
          </w:tcPr>
          <w:p w14:paraId="2EB04C48"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250</w:t>
            </w:r>
          </w:p>
        </w:tc>
        <w:tc>
          <w:tcPr>
            <w:tcW w:w="0" w:type="auto"/>
            <w:noWrap/>
            <w:vAlign w:val="center"/>
          </w:tcPr>
          <w:p w14:paraId="3C6B2A31"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250</w:t>
            </w:r>
          </w:p>
        </w:tc>
      </w:tr>
      <w:tr w:rsidR="00392476" w14:paraId="226E7E67" w14:textId="77777777">
        <w:trPr>
          <w:trHeight w:val="278"/>
        </w:trPr>
        <w:tc>
          <w:tcPr>
            <w:tcW w:w="0" w:type="auto"/>
            <w:noWrap/>
            <w:vAlign w:val="center"/>
          </w:tcPr>
          <w:p w14:paraId="547FB0E8"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Standard layer Thickness (mm)</w:t>
            </w:r>
          </w:p>
        </w:tc>
        <w:tc>
          <w:tcPr>
            <w:tcW w:w="0" w:type="auto"/>
            <w:noWrap/>
            <w:vAlign w:val="center"/>
          </w:tcPr>
          <w:p w14:paraId="41B288B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3.75</w:t>
            </w:r>
          </w:p>
        </w:tc>
        <w:tc>
          <w:tcPr>
            <w:tcW w:w="0" w:type="auto"/>
            <w:noWrap/>
            <w:vAlign w:val="center"/>
          </w:tcPr>
          <w:p w14:paraId="7934163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5.0</w:t>
            </w:r>
          </w:p>
        </w:tc>
        <w:tc>
          <w:tcPr>
            <w:tcW w:w="0" w:type="auto"/>
            <w:noWrap/>
            <w:vAlign w:val="center"/>
          </w:tcPr>
          <w:p w14:paraId="5E463E16"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noWrap/>
            <w:vAlign w:val="center"/>
          </w:tcPr>
          <w:p w14:paraId="47C8ABA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noWrap/>
            <w:vAlign w:val="center"/>
          </w:tcPr>
          <w:p w14:paraId="786F1C4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noWrap/>
            <w:vAlign w:val="center"/>
          </w:tcPr>
          <w:p w14:paraId="599DE454"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noWrap/>
            <w:vAlign w:val="center"/>
          </w:tcPr>
          <w:p w14:paraId="194D5E6F"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5.0</w:t>
            </w:r>
          </w:p>
        </w:tc>
        <w:tc>
          <w:tcPr>
            <w:tcW w:w="0" w:type="auto"/>
            <w:noWrap/>
            <w:vAlign w:val="center"/>
          </w:tcPr>
          <w:p w14:paraId="482C7BB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5.0</w:t>
            </w:r>
          </w:p>
        </w:tc>
        <w:tc>
          <w:tcPr>
            <w:tcW w:w="0" w:type="auto"/>
            <w:noWrap/>
            <w:vAlign w:val="center"/>
          </w:tcPr>
          <w:p w14:paraId="6D935945"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noWrap/>
            <w:vAlign w:val="center"/>
          </w:tcPr>
          <w:p w14:paraId="48D4AFF1"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r>
      <w:tr w:rsidR="00392476" w14:paraId="1A7772B7" w14:textId="77777777">
        <w:trPr>
          <w:trHeight w:val="278"/>
        </w:trPr>
        <w:tc>
          <w:tcPr>
            <w:tcW w:w="0" w:type="auto"/>
            <w:noWrap/>
            <w:vAlign w:val="center"/>
          </w:tcPr>
          <w:p w14:paraId="03F404B2"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Thin layer thickness (mm)</w:t>
            </w:r>
          </w:p>
        </w:tc>
        <w:tc>
          <w:tcPr>
            <w:tcW w:w="0" w:type="auto"/>
            <w:noWrap/>
            <w:vAlign w:val="center"/>
          </w:tcPr>
          <w:p w14:paraId="4364DAE2"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0.63</w:t>
            </w:r>
          </w:p>
        </w:tc>
        <w:tc>
          <w:tcPr>
            <w:tcW w:w="0" w:type="auto"/>
            <w:noWrap/>
            <w:vAlign w:val="center"/>
          </w:tcPr>
          <w:p w14:paraId="0F2DEF1D"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0.63</w:t>
            </w:r>
          </w:p>
        </w:tc>
        <w:tc>
          <w:tcPr>
            <w:tcW w:w="0" w:type="auto"/>
            <w:noWrap/>
            <w:vAlign w:val="center"/>
          </w:tcPr>
          <w:p w14:paraId="703AEB4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0.9</w:t>
            </w:r>
          </w:p>
        </w:tc>
        <w:tc>
          <w:tcPr>
            <w:tcW w:w="0" w:type="auto"/>
            <w:noWrap/>
            <w:vAlign w:val="center"/>
          </w:tcPr>
          <w:p w14:paraId="1F61B28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0.9</w:t>
            </w:r>
          </w:p>
        </w:tc>
        <w:tc>
          <w:tcPr>
            <w:tcW w:w="0" w:type="auto"/>
            <w:noWrap/>
            <w:vAlign w:val="center"/>
          </w:tcPr>
          <w:p w14:paraId="020BB374"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noWrap/>
            <w:vAlign w:val="center"/>
          </w:tcPr>
          <w:p w14:paraId="15F00FA8"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1.5</w:t>
            </w:r>
          </w:p>
        </w:tc>
        <w:tc>
          <w:tcPr>
            <w:tcW w:w="0" w:type="auto"/>
            <w:noWrap/>
            <w:vAlign w:val="center"/>
          </w:tcPr>
          <w:p w14:paraId="35956172"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noWrap/>
            <w:vAlign w:val="center"/>
          </w:tcPr>
          <w:p w14:paraId="3EC832D9"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noWrap/>
            <w:vAlign w:val="center"/>
          </w:tcPr>
          <w:p w14:paraId="21537FE8"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noWrap/>
            <w:vAlign w:val="center"/>
          </w:tcPr>
          <w:p w14:paraId="1B5EAF4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r>
      <w:tr w:rsidR="00392476" w14:paraId="668BBBFA" w14:textId="77777777">
        <w:trPr>
          <w:trHeight w:val="278"/>
        </w:trPr>
        <w:tc>
          <w:tcPr>
            <w:tcW w:w="0" w:type="auto"/>
            <w:noWrap/>
            <w:vAlign w:val="center"/>
          </w:tcPr>
          <w:p w14:paraId="73789F3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Slice spacing (mm)</w:t>
            </w:r>
          </w:p>
        </w:tc>
        <w:tc>
          <w:tcPr>
            <w:tcW w:w="0" w:type="auto"/>
            <w:gridSpan w:val="2"/>
            <w:noWrap/>
            <w:vAlign w:val="center"/>
          </w:tcPr>
          <w:p w14:paraId="7581A8F2"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gridSpan w:val="2"/>
            <w:noWrap/>
            <w:vAlign w:val="center"/>
          </w:tcPr>
          <w:p w14:paraId="0A3B385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gridSpan w:val="2"/>
            <w:noWrap/>
            <w:vAlign w:val="center"/>
          </w:tcPr>
          <w:p w14:paraId="1CED0EC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gridSpan w:val="2"/>
            <w:noWrap/>
            <w:vAlign w:val="center"/>
          </w:tcPr>
          <w:p w14:paraId="4D5D232A"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0" w:type="auto"/>
            <w:gridSpan w:val="2"/>
            <w:noWrap/>
            <w:vAlign w:val="center"/>
          </w:tcPr>
          <w:p w14:paraId="091ADC8D"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r>
      <w:tr w:rsidR="00392476" w14:paraId="6F82AAEE" w14:textId="77777777">
        <w:trPr>
          <w:trHeight w:val="278"/>
        </w:trPr>
        <w:tc>
          <w:tcPr>
            <w:tcW w:w="0" w:type="auto"/>
            <w:noWrap/>
            <w:vAlign w:val="center"/>
          </w:tcPr>
          <w:p w14:paraId="19B74CD9"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Field of view (cm)</w:t>
            </w:r>
          </w:p>
        </w:tc>
        <w:tc>
          <w:tcPr>
            <w:tcW w:w="0" w:type="auto"/>
            <w:gridSpan w:val="2"/>
            <w:noWrap/>
            <w:vAlign w:val="center"/>
          </w:tcPr>
          <w:p w14:paraId="280BF14F"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15‒25</w:t>
            </w:r>
          </w:p>
        </w:tc>
        <w:tc>
          <w:tcPr>
            <w:tcW w:w="0" w:type="auto"/>
            <w:gridSpan w:val="2"/>
            <w:noWrap/>
            <w:vAlign w:val="center"/>
          </w:tcPr>
          <w:p w14:paraId="6D351A52"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15‒25</w:t>
            </w:r>
          </w:p>
        </w:tc>
        <w:tc>
          <w:tcPr>
            <w:tcW w:w="0" w:type="auto"/>
            <w:gridSpan w:val="2"/>
            <w:noWrap/>
            <w:vAlign w:val="center"/>
          </w:tcPr>
          <w:p w14:paraId="293FA597"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15‒25</w:t>
            </w:r>
          </w:p>
        </w:tc>
        <w:tc>
          <w:tcPr>
            <w:tcW w:w="0" w:type="auto"/>
            <w:gridSpan w:val="2"/>
            <w:noWrap/>
            <w:vAlign w:val="center"/>
          </w:tcPr>
          <w:p w14:paraId="09C0579E"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15‒25</w:t>
            </w:r>
          </w:p>
        </w:tc>
        <w:tc>
          <w:tcPr>
            <w:tcW w:w="0" w:type="auto"/>
            <w:gridSpan w:val="2"/>
            <w:noWrap/>
            <w:vAlign w:val="center"/>
          </w:tcPr>
          <w:p w14:paraId="32EDFFFF"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15‒25</w:t>
            </w:r>
          </w:p>
        </w:tc>
      </w:tr>
      <w:tr w:rsidR="00392476" w14:paraId="2394B96E" w14:textId="77777777">
        <w:trPr>
          <w:trHeight w:val="278"/>
        </w:trPr>
        <w:tc>
          <w:tcPr>
            <w:tcW w:w="0" w:type="auto"/>
            <w:noWrap/>
            <w:vAlign w:val="center"/>
          </w:tcPr>
          <w:p w14:paraId="02E46FBD"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Matrix</w:t>
            </w:r>
          </w:p>
        </w:tc>
        <w:tc>
          <w:tcPr>
            <w:tcW w:w="0" w:type="auto"/>
            <w:gridSpan w:val="2"/>
            <w:noWrap/>
            <w:vAlign w:val="center"/>
          </w:tcPr>
          <w:p w14:paraId="109F6221"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512×512</w:t>
            </w:r>
          </w:p>
        </w:tc>
        <w:tc>
          <w:tcPr>
            <w:tcW w:w="0" w:type="auto"/>
            <w:gridSpan w:val="2"/>
            <w:noWrap/>
            <w:vAlign w:val="center"/>
          </w:tcPr>
          <w:p w14:paraId="4D8455DF"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512×512</w:t>
            </w:r>
          </w:p>
        </w:tc>
        <w:tc>
          <w:tcPr>
            <w:tcW w:w="0" w:type="auto"/>
            <w:gridSpan w:val="2"/>
            <w:noWrap/>
            <w:vAlign w:val="center"/>
          </w:tcPr>
          <w:p w14:paraId="68DF1A3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512×512</w:t>
            </w:r>
          </w:p>
        </w:tc>
        <w:tc>
          <w:tcPr>
            <w:tcW w:w="0" w:type="auto"/>
            <w:gridSpan w:val="2"/>
            <w:noWrap/>
            <w:vAlign w:val="center"/>
          </w:tcPr>
          <w:p w14:paraId="51FE61E9"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512×512</w:t>
            </w:r>
          </w:p>
        </w:tc>
        <w:tc>
          <w:tcPr>
            <w:tcW w:w="0" w:type="auto"/>
            <w:gridSpan w:val="2"/>
            <w:noWrap/>
            <w:vAlign w:val="center"/>
          </w:tcPr>
          <w:p w14:paraId="26FF19FD"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512×512</w:t>
            </w:r>
          </w:p>
        </w:tc>
      </w:tr>
      <w:tr w:rsidR="00392476" w14:paraId="389CBD8E" w14:textId="77777777">
        <w:trPr>
          <w:trHeight w:val="285"/>
        </w:trPr>
        <w:tc>
          <w:tcPr>
            <w:tcW w:w="0" w:type="auto"/>
            <w:tcBorders>
              <w:bottom w:val="single" w:sz="12" w:space="0" w:color="auto"/>
            </w:tcBorders>
            <w:noWrap/>
            <w:vAlign w:val="center"/>
          </w:tcPr>
          <w:p w14:paraId="1B9A857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Reconstruction</w:t>
            </w:r>
            <w:r>
              <w:rPr>
                <w:rFonts w:ascii="Times New Roman" w:eastAsia="宋体" w:hAnsi="Times New Roman" w:cs="Times New Roman" w:hint="eastAsia"/>
                <w:kern w:val="0"/>
                <w:szCs w:val="21"/>
              </w:rPr>
              <w:t xml:space="preserve"> </w:t>
            </w:r>
            <w:r>
              <w:rPr>
                <w:rFonts w:ascii="Times New Roman" w:eastAsia="宋体" w:hAnsi="Times New Roman" w:cs="Times New Roman"/>
                <w:kern w:val="0"/>
                <w:szCs w:val="21"/>
              </w:rPr>
              <w:t>layer thickness</w:t>
            </w:r>
          </w:p>
          <w:p w14:paraId="11FF9554"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(mm)</w:t>
            </w:r>
          </w:p>
        </w:tc>
        <w:tc>
          <w:tcPr>
            <w:tcW w:w="0" w:type="auto"/>
            <w:gridSpan w:val="2"/>
            <w:tcBorders>
              <w:bottom w:val="single" w:sz="12" w:space="0" w:color="auto"/>
            </w:tcBorders>
            <w:noWrap/>
            <w:vAlign w:val="center"/>
          </w:tcPr>
          <w:p w14:paraId="15108299"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gridSpan w:val="2"/>
            <w:tcBorders>
              <w:bottom w:val="single" w:sz="12" w:space="0" w:color="auto"/>
            </w:tcBorders>
            <w:noWrap/>
            <w:vAlign w:val="center"/>
          </w:tcPr>
          <w:p w14:paraId="356EDB35"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gridSpan w:val="2"/>
            <w:tcBorders>
              <w:bottom w:val="single" w:sz="12" w:space="0" w:color="auto"/>
            </w:tcBorders>
            <w:noWrap/>
            <w:vAlign w:val="center"/>
          </w:tcPr>
          <w:p w14:paraId="78DC5FDC"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gridSpan w:val="2"/>
            <w:tcBorders>
              <w:bottom w:val="single" w:sz="12" w:space="0" w:color="auto"/>
            </w:tcBorders>
            <w:noWrap/>
            <w:vAlign w:val="center"/>
          </w:tcPr>
          <w:p w14:paraId="3956726F"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c>
          <w:tcPr>
            <w:tcW w:w="0" w:type="auto"/>
            <w:gridSpan w:val="2"/>
            <w:tcBorders>
              <w:bottom w:val="single" w:sz="12" w:space="0" w:color="auto"/>
            </w:tcBorders>
            <w:noWrap/>
            <w:vAlign w:val="center"/>
          </w:tcPr>
          <w:p w14:paraId="4470DB60" w14:textId="77777777" w:rsidR="00392476" w:rsidRDefault="00000000">
            <w:pPr>
              <w:jc w:val="center"/>
              <w:rPr>
                <w:rFonts w:ascii="Times New Roman" w:eastAsia="宋体" w:hAnsi="Times New Roman" w:cs="Times New Roman"/>
                <w:kern w:val="0"/>
                <w:szCs w:val="21"/>
              </w:rPr>
            </w:pPr>
            <w:r>
              <w:rPr>
                <w:rFonts w:ascii="Times New Roman" w:eastAsia="宋体" w:hAnsi="Times New Roman" w:cs="Times New Roman"/>
                <w:kern w:val="0"/>
                <w:szCs w:val="21"/>
              </w:rPr>
              <w:t>3.0</w:t>
            </w:r>
          </w:p>
        </w:tc>
      </w:tr>
    </w:tbl>
    <w:p w14:paraId="7020B598" w14:textId="77777777" w:rsidR="00392476" w:rsidRDefault="00392476">
      <w:pPr>
        <w:spacing w:line="360" w:lineRule="auto"/>
        <w:rPr>
          <w:rFonts w:ascii="Times New Roman" w:hAnsi="Times New Roman" w:cs="Times New Roman"/>
          <w:szCs w:val="21"/>
        </w:rPr>
      </w:pPr>
    </w:p>
    <w:p w14:paraId="31E36D39" w14:textId="77777777" w:rsidR="00392476" w:rsidRDefault="00392476">
      <w:pPr>
        <w:spacing w:line="360" w:lineRule="auto"/>
        <w:rPr>
          <w:rFonts w:ascii="Times New Roman" w:hAnsi="Times New Roman" w:cs="Times New Roman"/>
          <w:szCs w:val="21"/>
        </w:rPr>
      </w:pPr>
    </w:p>
    <w:p w14:paraId="7CE1F7D9" w14:textId="77777777" w:rsidR="00392476" w:rsidRDefault="00392476">
      <w:pPr>
        <w:spacing w:line="360" w:lineRule="auto"/>
        <w:rPr>
          <w:rFonts w:ascii="Times New Roman" w:hAnsi="Times New Roman" w:cs="Times New Roman"/>
          <w:szCs w:val="21"/>
        </w:rPr>
      </w:pPr>
    </w:p>
    <w:p w14:paraId="03EE3F5D" w14:textId="77777777" w:rsidR="00392476" w:rsidRDefault="00392476">
      <w:pPr>
        <w:spacing w:line="360" w:lineRule="auto"/>
        <w:rPr>
          <w:rFonts w:ascii="Times New Roman" w:hAnsi="Times New Roman" w:cs="Times New Roman"/>
          <w:szCs w:val="21"/>
        </w:rPr>
      </w:pPr>
    </w:p>
    <w:p w14:paraId="66018C41" w14:textId="77777777" w:rsidR="00392476" w:rsidRDefault="00392476">
      <w:pPr>
        <w:spacing w:line="360" w:lineRule="auto"/>
        <w:rPr>
          <w:rFonts w:ascii="Times New Roman" w:hAnsi="Times New Roman" w:cs="Times New Roman"/>
          <w:szCs w:val="21"/>
        </w:rPr>
      </w:pPr>
    </w:p>
    <w:p w14:paraId="646E7FAA" w14:textId="77777777" w:rsidR="00392476" w:rsidRDefault="00392476">
      <w:pPr>
        <w:spacing w:line="360" w:lineRule="auto"/>
        <w:rPr>
          <w:rFonts w:ascii="Times New Roman" w:hAnsi="Times New Roman" w:cs="Times New Roman"/>
          <w:szCs w:val="21"/>
        </w:rPr>
      </w:pPr>
    </w:p>
    <w:p w14:paraId="7E2485BB" w14:textId="77777777" w:rsidR="00392476" w:rsidRDefault="00392476">
      <w:pPr>
        <w:spacing w:line="360" w:lineRule="auto"/>
        <w:rPr>
          <w:rFonts w:ascii="Times New Roman" w:hAnsi="Times New Roman" w:cs="Times New Roman"/>
          <w:szCs w:val="21"/>
        </w:rPr>
      </w:pPr>
    </w:p>
    <w:p w14:paraId="5A2B4321" w14:textId="77777777" w:rsidR="00392476" w:rsidRDefault="00392476">
      <w:pPr>
        <w:rPr>
          <w:rFonts w:hint="eastAsia"/>
          <w:szCs w:val="21"/>
        </w:rPr>
      </w:pPr>
    </w:p>
    <w:p w14:paraId="48BB2DEB" w14:textId="77777777" w:rsidR="00392476" w:rsidRDefault="00392476">
      <w:pPr>
        <w:rPr>
          <w:rFonts w:ascii="Times New Roman" w:eastAsia="宋体" w:hAnsi="Times New Roman" w:cs="Times New Roman"/>
          <w:b/>
          <w:bCs/>
          <w:szCs w:val="21"/>
        </w:rPr>
      </w:pPr>
    </w:p>
    <w:p w14:paraId="4FDD5D8C" w14:textId="77777777" w:rsidR="00392476" w:rsidRDefault="00392476">
      <w:pPr>
        <w:jc w:val="center"/>
        <w:rPr>
          <w:rFonts w:ascii="Times New Roman" w:eastAsia="宋体" w:hAnsi="Times New Roman" w:cs="Times New Roman"/>
          <w:b/>
          <w:bCs/>
          <w:szCs w:val="21"/>
        </w:rPr>
      </w:pPr>
    </w:p>
    <w:p w14:paraId="7A5AA124" w14:textId="77777777" w:rsidR="00392476" w:rsidRDefault="00392476">
      <w:pPr>
        <w:jc w:val="center"/>
        <w:rPr>
          <w:rFonts w:ascii="Times New Roman" w:eastAsia="宋体" w:hAnsi="Times New Roman" w:cs="Times New Roman"/>
          <w:b/>
          <w:bCs/>
          <w:szCs w:val="21"/>
        </w:rPr>
      </w:pPr>
    </w:p>
    <w:p w14:paraId="01E4E7C1" w14:textId="77777777" w:rsidR="00392476" w:rsidRDefault="00000000">
      <w:pPr>
        <w:numPr>
          <w:ilvl w:val="255"/>
          <w:numId w:val="0"/>
        </w:numPr>
        <w:rPr>
          <w:rFonts w:hint="eastAsia"/>
          <w:highlight w:val="cyan"/>
        </w:rPr>
      </w:pPr>
      <w:r>
        <w:rPr>
          <w:rFonts w:ascii="Times New Roman" w:eastAsia="宋体" w:hAnsi="Times New Roman" w:cs="Times New Roman" w:hint="eastAsia"/>
          <w:b/>
          <w:bCs/>
          <w:sz w:val="24"/>
          <w:szCs w:val="24"/>
        </w:rPr>
        <w:t>Bad Cases</w:t>
      </w:r>
    </w:p>
    <w:p w14:paraId="459B8C63" w14:textId="77777777" w:rsidR="00392476" w:rsidRDefault="00392476">
      <w:pPr>
        <w:jc w:val="left"/>
        <w:rPr>
          <w:rFonts w:ascii="Times New Roman" w:eastAsia="宋体" w:hAnsi="Times New Roman" w:cs="Times New Roman"/>
          <w:b/>
          <w:bCs/>
          <w:sz w:val="24"/>
          <w:szCs w:val="24"/>
        </w:rPr>
      </w:pPr>
    </w:p>
    <w:p w14:paraId="7B65916C" w14:textId="77777777" w:rsidR="00392476" w:rsidRDefault="00392476">
      <w:pPr>
        <w:rPr>
          <w:rFonts w:ascii="Times New Roman" w:eastAsia="宋体" w:hAnsi="Times New Roman" w:cs="Times New Roman"/>
          <w:b/>
          <w:bCs/>
          <w:szCs w:val="21"/>
        </w:rPr>
      </w:pPr>
    </w:p>
    <w:p w14:paraId="0288DCD1"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drawing>
          <wp:inline distT="0" distB="0" distL="0" distR="0" wp14:anchorId="12A36EB7" wp14:editId="22DB228C">
            <wp:extent cx="4624070" cy="2159635"/>
            <wp:effectExtent l="0" t="0" r="5080" b="0"/>
            <wp:docPr id="3457819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81912"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624402" cy="2160000"/>
                    </a:xfrm>
                    <a:prstGeom prst="rect">
                      <a:avLst/>
                    </a:prstGeom>
                    <a:noFill/>
                    <a:ln>
                      <a:noFill/>
                    </a:ln>
                  </pic:spPr>
                </pic:pic>
              </a:graphicData>
            </a:graphic>
          </wp:inline>
        </w:drawing>
      </w:r>
    </w:p>
    <w:p w14:paraId="578BE5B6" w14:textId="77777777" w:rsidR="00392476" w:rsidRDefault="00000000">
      <w:pPr>
        <w:rPr>
          <w:rFonts w:ascii="Times New Roman" w:eastAsia="宋体" w:hAnsi="Times New Roman" w:cs="Times New Roman"/>
          <w:b/>
          <w:bCs/>
          <w:szCs w:val="21"/>
        </w:rPr>
      </w:pPr>
      <w:r>
        <w:rPr>
          <w:rFonts w:ascii="Times New Roman" w:eastAsia="宋体" w:hAnsi="Times New Roman" w:cs="Times New Roman" w:hint="eastAsia"/>
          <w:b/>
          <w:bCs/>
          <w:szCs w:val="21"/>
        </w:rPr>
        <w:t xml:space="preserve">Fig.S1 </w:t>
      </w:r>
      <w:r>
        <w:rPr>
          <w:rFonts w:ascii="Times New Roman" w:eastAsia="宋体" w:hAnsi="Times New Roman" w:cs="Times New Roman" w:hint="eastAsia"/>
          <w:szCs w:val="21"/>
        </w:rPr>
        <w:t xml:space="preserve">The case with the lowest Dice (0.466) on the internal test set. It may differ from the reference standard due to bone hyperplasia, poor visualization of the posterior longitudinal ligament and herniated discs, or subtle lesions. </w:t>
      </w:r>
    </w:p>
    <w:p w14:paraId="2CF86245" w14:textId="77777777" w:rsidR="00392476" w:rsidRDefault="00392476">
      <w:pPr>
        <w:rPr>
          <w:rFonts w:ascii="Times New Roman" w:eastAsia="宋体" w:hAnsi="Times New Roman" w:cs="Times New Roman"/>
          <w:b/>
          <w:bCs/>
          <w:szCs w:val="21"/>
        </w:rPr>
      </w:pPr>
    </w:p>
    <w:p w14:paraId="4FDEB1CE"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drawing>
          <wp:inline distT="0" distB="0" distL="0" distR="0" wp14:anchorId="4BC913F3" wp14:editId="7C0F28DD">
            <wp:extent cx="4725035" cy="2159635"/>
            <wp:effectExtent l="0" t="0" r="0" b="0"/>
            <wp:docPr id="10406560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56016"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725083" cy="2160000"/>
                    </a:xfrm>
                    <a:prstGeom prst="rect">
                      <a:avLst/>
                    </a:prstGeom>
                    <a:noFill/>
                    <a:ln>
                      <a:noFill/>
                    </a:ln>
                  </pic:spPr>
                </pic:pic>
              </a:graphicData>
            </a:graphic>
          </wp:inline>
        </w:drawing>
      </w:r>
    </w:p>
    <w:p w14:paraId="2D580347" w14:textId="77777777" w:rsidR="00392476" w:rsidRDefault="00000000">
      <w:pPr>
        <w:rPr>
          <w:rFonts w:ascii="Times New Roman" w:eastAsia="宋体" w:hAnsi="Times New Roman" w:cs="Times New Roman"/>
          <w:szCs w:val="21"/>
        </w:rPr>
      </w:pPr>
      <w:r>
        <w:rPr>
          <w:rFonts w:ascii="Times New Roman" w:eastAsia="宋体" w:hAnsi="Times New Roman" w:cs="Times New Roman" w:hint="eastAsia"/>
          <w:b/>
          <w:bCs/>
          <w:szCs w:val="21"/>
        </w:rPr>
        <w:t xml:space="preserve">Fig.S2 </w:t>
      </w:r>
      <w:r>
        <w:rPr>
          <w:rFonts w:ascii="Times New Roman" w:eastAsia="宋体" w:hAnsi="Times New Roman" w:cs="Times New Roman" w:hint="eastAsia"/>
          <w:szCs w:val="21"/>
        </w:rPr>
        <w:t xml:space="preserve">The case with the lowest Dice (0.146) on the external test set. Errors in identifying disc herniation and bulging mainly </w:t>
      </w:r>
      <w:proofErr w:type="spellStart"/>
      <w:r>
        <w:rPr>
          <w:rFonts w:ascii="Times New Roman" w:eastAsia="宋体" w:hAnsi="Times New Roman" w:cs="Times New Roman" w:hint="eastAsia"/>
          <w:szCs w:val="21"/>
        </w:rPr>
        <w:t>arised</w:t>
      </w:r>
      <w:proofErr w:type="spellEnd"/>
      <w:r>
        <w:rPr>
          <w:rFonts w:ascii="Times New Roman" w:eastAsia="宋体" w:hAnsi="Times New Roman" w:cs="Times New Roman" w:hint="eastAsia"/>
          <w:szCs w:val="21"/>
        </w:rPr>
        <w:t xml:space="preserve"> from modeling bias, manual annotation subjectivity, and subvisual lesions, leading to mismatches.</w:t>
      </w:r>
    </w:p>
    <w:p w14:paraId="248293A9" w14:textId="77777777" w:rsidR="00392476" w:rsidRDefault="00392476">
      <w:pPr>
        <w:jc w:val="center"/>
        <w:rPr>
          <w:rFonts w:ascii="Times New Roman" w:eastAsia="宋体" w:hAnsi="Times New Roman" w:cs="Times New Roman"/>
          <w:b/>
          <w:bCs/>
          <w:szCs w:val="21"/>
        </w:rPr>
      </w:pPr>
    </w:p>
    <w:p w14:paraId="40677E34"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lastRenderedPageBreak/>
        <w:drawing>
          <wp:inline distT="0" distB="0" distL="0" distR="0" wp14:anchorId="6C9FB373" wp14:editId="45B424B5">
            <wp:extent cx="4917440" cy="2231390"/>
            <wp:effectExtent l="0" t="0" r="0" b="0"/>
            <wp:docPr id="2069268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680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917795" cy="2232000"/>
                    </a:xfrm>
                    <a:prstGeom prst="rect">
                      <a:avLst/>
                    </a:prstGeom>
                    <a:noFill/>
                    <a:ln>
                      <a:noFill/>
                    </a:ln>
                  </pic:spPr>
                </pic:pic>
              </a:graphicData>
            </a:graphic>
          </wp:inline>
        </w:drawing>
      </w:r>
    </w:p>
    <w:p w14:paraId="5D61797D" w14:textId="77777777" w:rsidR="00392476" w:rsidRDefault="00000000">
      <w:pPr>
        <w:rPr>
          <w:rFonts w:ascii="Times New Roman" w:eastAsia="宋体" w:hAnsi="Times New Roman" w:cs="Times New Roman"/>
          <w:b/>
          <w:bCs/>
          <w:szCs w:val="21"/>
        </w:rPr>
      </w:pPr>
      <w:r>
        <w:rPr>
          <w:rFonts w:ascii="Times New Roman" w:eastAsia="宋体" w:hAnsi="Times New Roman" w:cs="Times New Roman" w:hint="eastAsia"/>
          <w:b/>
          <w:bCs/>
          <w:szCs w:val="21"/>
        </w:rPr>
        <w:t xml:space="preserve">Fig.S3 </w:t>
      </w:r>
      <w:r>
        <w:rPr>
          <w:rFonts w:ascii="Times New Roman" w:eastAsia="宋体" w:hAnsi="Times New Roman" w:cs="Times New Roman"/>
          <w:szCs w:val="21"/>
        </w:rPr>
        <w:t>Incomplete segmentation of intervertebral disc lesions, resulting in the incorrect classification of bulge as herniation.</w:t>
      </w:r>
      <w:r>
        <w:rPr>
          <w:rFonts w:ascii="Times New Roman" w:eastAsia="宋体" w:hAnsi="Times New Roman" w:cs="Times New Roman" w:hint="eastAsia"/>
          <w:szCs w:val="21"/>
        </w:rPr>
        <w:t xml:space="preserve"> Incomplete bulge recognition may stem from tissue density differences in the ROI or interference from adjacent bone hyperplasia and calcification.</w:t>
      </w:r>
    </w:p>
    <w:p w14:paraId="7F7EA020" w14:textId="77777777" w:rsidR="00392476" w:rsidRDefault="00392476">
      <w:pPr>
        <w:rPr>
          <w:rFonts w:ascii="Times New Roman" w:eastAsia="宋体" w:hAnsi="Times New Roman" w:cs="Times New Roman"/>
          <w:b/>
          <w:bCs/>
          <w:szCs w:val="21"/>
        </w:rPr>
      </w:pPr>
    </w:p>
    <w:p w14:paraId="37D1E529"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drawing>
          <wp:inline distT="0" distB="0" distL="0" distR="0" wp14:anchorId="2AF11D2E" wp14:editId="7EF936FD">
            <wp:extent cx="4917440" cy="2231390"/>
            <wp:effectExtent l="0" t="0" r="0" b="0"/>
            <wp:docPr id="16162984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98448"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917679" cy="2232000"/>
                    </a:xfrm>
                    <a:prstGeom prst="rect">
                      <a:avLst/>
                    </a:prstGeom>
                    <a:noFill/>
                    <a:ln>
                      <a:noFill/>
                    </a:ln>
                  </pic:spPr>
                </pic:pic>
              </a:graphicData>
            </a:graphic>
          </wp:inline>
        </w:drawing>
      </w:r>
    </w:p>
    <w:p w14:paraId="0A51215A" w14:textId="77777777" w:rsidR="00392476" w:rsidRDefault="00000000">
      <w:pPr>
        <w:rPr>
          <w:rFonts w:ascii="Times New Roman" w:eastAsia="宋体" w:hAnsi="Times New Roman" w:cs="Times New Roman"/>
          <w:szCs w:val="21"/>
        </w:rPr>
      </w:pPr>
      <w:r>
        <w:rPr>
          <w:rFonts w:ascii="Times New Roman" w:eastAsia="宋体" w:hAnsi="Times New Roman" w:cs="Times New Roman" w:hint="eastAsia"/>
          <w:b/>
          <w:bCs/>
          <w:szCs w:val="21"/>
        </w:rPr>
        <w:t xml:space="preserve">Fig.S4 </w:t>
      </w:r>
      <w:r>
        <w:rPr>
          <w:rFonts w:ascii="Times New Roman" w:eastAsia="宋体" w:hAnsi="Times New Roman" w:cs="Times New Roman"/>
          <w:szCs w:val="21"/>
        </w:rPr>
        <w:t>The right subarticular region of the reference standard was not discerned.</w:t>
      </w:r>
      <w:r>
        <w:rPr>
          <w:rFonts w:ascii="Times New Roman" w:eastAsia="宋体" w:hAnsi="Times New Roman" w:cs="Times New Roman" w:hint="eastAsia"/>
          <w:szCs w:val="21"/>
        </w:rPr>
        <w:t xml:space="preserve"> Model errors may stem from intervertebral disc calcification affecting tissue contrast and segmentation.</w:t>
      </w:r>
    </w:p>
    <w:p w14:paraId="657929CC" w14:textId="77777777" w:rsidR="00392476" w:rsidRDefault="00392476">
      <w:pPr>
        <w:jc w:val="center"/>
        <w:rPr>
          <w:rFonts w:ascii="Times New Roman" w:eastAsia="宋体" w:hAnsi="Times New Roman" w:cs="Times New Roman"/>
          <w:b/>
          <w:bCs/>
          <w:szCs w:val="21"/>
        </w:rPr>
      </w:pPr>
    </w:p>
    <w:p w14:paraId="74456879"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drawing>
          <wp:inline distT="0" distB="0" distL="0" distR="0" wp14:anchorId="39BF7A7A" wp14:editId="01CA69D3">
            <wp:extent cx="4917440" cy="2231390"/>
            <wp:effectExtent l="0" t="0" r="0" b="0"/>
            <wp:docPr id="5009739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73958"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17679" cy="2232000"/>
                    </a:xfrm>
                    <a:prstGeom prst="rect">
                      <a:avLst/>
                    </a:prstGeom>
                    <a:noFill/>
                    <a:ln>
                      <a:noFill/>
                    </a:ln>
                  </pic:spPr>
                </pic:pic>
              </a:graphicData>
            </a:graphic>
          </wp:inline>
        </w:drawing>
      </w:r>
    </w:p>
    <w:p w14:paraId="25C5E358" w14:textId="77777777" w:rsidR="00392476" w:rsidRDefault="00000000">
      <w:pPr>
        <w:rPr>
          <w:rFonts w:ascii="Times New Roman" w:eastAsia="宋体" w:hAnsi="Times New Roman" w:cs="Times New Roman"/>
          <w:b/>
          <w:bCs/>
          <w:szCs w:val="21"/>
        </w:rPr>
      </w:pPr>
      <w:r>
        <w:rPr>
          <w:rFonts w:ascii="Times New Roman" w:eastAsia="宋体" w:hAnsi="Times New Roman" w:cs="Times New Roman" w:hint="eastAsia"/>
          <w:b/>
          <w:bCs/>
          <w:szCs w:val="21"/>
        </w:rPr>
        <w:t xml:space="preserve">Fig.S5 </w:t>
      </w:r>
      <w:r>
        <w:rPr>
          <w:rFonts w:ascii="Times New Roman" w:eastAsia="宋体" w:hAnsi="Times New Roman" w:cs="Times New Roman" w:hint="eastAsia"/>
          <w:szCs w:val="21"/>
        </w:rPr>
        <w:t>T</w:t>
      </w:r>
      <w:r>
        <w:rPr>
          <w:rFonts w:ascii="Times New Roman" w:eastAsia="宋体" w:hAnsi="Times New Roman" w:cs="Times New Roman"/>
          <w:szCs w:val="21"/>
        </w:rPr>
        <w:t>he prediction data inaccurately identified the left foraminal region.</w:t>
      </w:r>
      <w:r>
        <w:rPr>
          <w:rFonts w:ascii="Times New Roman" w:eastAsia="宋体" w:hAnsi="Times New Roman" w:cs="Times New Roman" w:hint="eastAsia"/>
          <w:szCs w:val="21"/>
        </w:rPr>
        <w:t xml:space="preserve"> When the model's </w:t>
      </w:r>
      <w:r>
        <w:rPr>
          <w:rFonts w:ascii="Times New Roman" w:eastAsia="宋体" w:hAnsi="Times New Roman" w:cs="Times New Roman" w:hint="eastAsia"/>
          <w:szCs w:val="21"/>
        </w:rPr>
        <w:lastRenderedPageBreak/>
        <w:t>predicted range exceeds the ground truth, it may be misclassified as a bulging lesion. This mismatch may result from spatial misalignment due to poor scan positioning or abnormal spinal curvature.</w:t>
      </w:r>
    </w:p>
    <w:p w14:paraId="33AF6456" w14:textId="77777777" w:rsidR="00392476" w:rsidRDefault="00392476">
      <w:pPr>
        <w:rPr>
          <w:rFonts w:ascii="Times New Roman" w:eastAsia="宋体" w:hAnsi="Times New Roman" w:cs="Times New Roman"/>
          <w:b/>
          <w:bCs/>
          <w:szCs w:val="21"/>
        </w:rPr>
      </w:pPr>
    </w:p>
    <w:p w14:paraId="6AA90803"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drawing>
          <wp:inline distT="0" distB="0" distL="0" distR="0" wp14:anchorId="4D4A6C6A" wp14:editId="3B2DF128">
            <wp:extent cx="4917440" cy="2231390"/>
            <wp:effectExtent l="0" t="0" r="0" b="0"/>
            <wp:docPr id="7211017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01739"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917730" cy="2232000"/>
                    </a:xfrm>
                    <a:prstGeom prst="rect">
                      <a:avLst/>
                    </a:prstGeom>
                    <a:noFill/>
                    <a:ln>
                      <a:noFill/>
                    </a:ln>
                  </pic:spPr>
                </pic:pic>
              </a:graphicData>
            </a:graphic>
          </wp:inline>
        </w:drawing>
      </w:r>
    </w:p>
    <w:p w14:paraId="71A553F2" w14:textId="77777777" w:rsidR="00392476" w:rsidRDefault="00000000">
      <w:pPr>
        <w:rPr>
          <w:rFonts w:ascii="Times New Roman" w:eastAsia="宋体" w:hAnsi="Times New Roman" w:cs="Times New Roman"/>
          <w:b/>
          <w:bCs/>
          <w:szCs w:val="21"/>
        </w:rPr>
      </w:pPr>
      <w:r>
        <w:rPr>
          <w:rFonts w:ascii="Times New Roman" w:eastAsia="宋体" w:hAnsi="Times New Roman" w:cs="Times New Roman" w:hint="eastAsia"/>
          <w:b/>
          <w:bCs/>
          <w:szCs w:val="21"/>
        </w:rPr>
        <w:t xml:space="preserve">Fig.S6 </w:t>
      </w:r>
      <w:r>
        <w:rPr>
          <w:rFonts w:ascii="Times New Roman" w:eastAsia="宋体" w:hAnsi="Times New Roman" w:cs="Times New Roman" w:hint="eastAsia"/>
          <w:szCs w:val="21"/>
        </w:rPr>
        <w:t xml:space="preserve">Grading of intervertebral disc herniation. </w:t>
      </w:r>
      <w:r>
        <w:rPr>
          <w:rFonts w:ascii="Times New Roman" w:eastAsia="宋体" w:hAnsi="Times New Roman" w:cs="Times New Roman"/>
          <w:szCs w:val="21"/>
        </w:rPr>
        <w:t xml:space="preserve">The prediction result was classified as Grade </w:t>
      </w:r>
      <w:r>
        <w:rPr>
          <w:rFonts w:ascii="Times New Roman" w:eastAsia="宋体" w:hAnsi="Times New Roman" w:cs="Times New Roman" w:hint="eastAsia"/>
          <w:szCs w:val="21"/>
        </w:rPr>
        <w:t>1</w:t>
      </w:r>
      <w:r>
        <w:rPr>
          <w:rFonts w:ascii="Times New Roman" w:eastAsia="宋体" w:hAnsi="Times New Roman" w:cs="Times New Roman"/>
          <w:szCs w:val="21"/>
        </w:rPr>
        <w:t xml:space="preserve">, below Grade </w:t>
      </w:r>
      <w:r>
        <w:rPr>
          <w:rFonts w:ascii="Times New Roman" w:eastAsia="宋体" w:hAnsi="Times New Roman" w:cs="Times New Roman" w:hint="eastAsia"/>
          <w:szCs w:val="21"/>
        </w:rPr>
        <w:t>2</w:t>
      </w:r>
      <w:r>
        <w:rPr>
          <w:rFonts w:ascii="Times New Roman" w:eastAsia="宋体" w:hAnsi="Times New Roman" w:cs="Times New Roman"/>
          <w:szCs w:val="21"/>
        </w:rPr>
        <w:t xml:space="preserve"> </w:t>
      </w:r>
      <w:r>
        <w:rPr>
          <w:rFonts w:ascii="Times New Roman" w:eastAsia="宋体" w:hAnsi="Times New Roman" w:cs="Times New Roman" w:hint="eastAsia"/>
          <w:szCs w:val="21"/>
        </w:rPr>
        <w:t xml:space="preserve">of </w:t>
      </w:r>
      <w:r>
        <w:rPr>
          <w:rFonts w:ascii="Times New Roman" w:eastAsia="宋体" w:hAnsi="Times New Roman" w:cs="Times New Roman"/>
          <w:szCs w:val="21"/>
        </w:rPr>
        <w:t>the reference standard.</w:t>
      </w:r>
      <w:r>
        <w:rPr>
          <w:rFonts w:ascii="Times New Roman" w:eastAsia="宋体" w:hAnsi="Times New Roman" w:cs="Times New Roman" w:hint="eastAsia"/>
          <w:szCs w:val="21"/>
        </w:rPr>
        <w:t xml:space="preserve"> Small cervical disc size and poor resolution in distinguishing the posterior ligament and herniated material lead to incomplete segmentation and grading errors.</w:t>
      </w:r>
    </w:p>
    <w:p w14:paraId="6E926A97" w14:textId="77777777" w:rsidR="00392476" w:rsidRDefault="00392476">
      <w:pPr>
        <w:rPr>
          <w:rFonts w:ascii="Times New Roman" w:eastAsia="宋体" w:hAnsi="Times New Roman" w:cs="Times New Roman"/>
          <w:b/>
          <w:bCs/>
          <w:szCs w:val="21"/>
        </w:rPr>
      </w:pPr>
    </w:p>
    <w:p w14:paraId="0210107B" w14:textId="77777777" w:rsidR="00392476" w:rsidRDefault="00000000">
      <w:pPr>
        <w:jc w:val="center"/>
        <w:rPr>
          <w:rFonts w:ascii="Times New Roman" w:eastAsia="宋体" w:hAnsi="Times New Roman" w:cs="Times New Roman"/>
          <w:b/>
          <w:bCs/>
          <w:szCs w:val="21"/>
        </w:rPr>
      </w:pPr>
      <w:r>
        <w:rPr>
          <w:rFonts w:ascii="Times New Roman" w:eastAsia="宋体" w:hAnsi="Times New Roman" w:cs="Times New Roman"/>
          <w:b/>
          <w:bCs/>
          <w:noProof/>
          <w:szCs w:val="21"/>
        </w:rPr>
        <w:drawing>
          <wp:inline distT="0" distB="0" distL="0" distR="0" wp14:anchorId="6C89636B" wp14:editId="6DB8028B">
            <wp:extent cx="4916805" cy="2231390"/>
            <wp:effectExtent l="0" t="0" r="0" b="0"/>
            <wp:docPr id="17190781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8110"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917360" cy="2232000"/>
                    </a:xfrm>
                    <a:prstGeom prst="rect">
                      <a:avLst/>
                    </a:prstGeom>
                    <a:noFill/>
                    <a:ln>
                      <a:noFill/>
                    </a:ln>
                  </pic:spPr>
                </pic:pic>
              </a:graphicData>
            </a:graphic>
          </wp:inline>
        </w:drawing>
      </w:r>
    </w:p>
    <w:p w14:paraId="3D54E845" w14:textId="77777777" w:rsidR="00392476" w:rsidRDefault="00000000">
      <w:pPr>
        <w:rPr>
          <w:rFonts w:ascii="Times New Roman" w:eastAsia="宋体" w:hAnsi="Times New Roman" w:cs="Times New Roman"/>
          <w:szCs w:val="21"/>
        </w:rPr>
      </w:pPr>
      <w:r>
        <w:rPr>
          <w:rFonts w:ascii="Times New Roman" w:eastAsia="宋体" w:hAnsi="Times New Roman" w:cs="Times New Roman" w:hint="eastAsia"/>
          <w:b/>
          <w:bCs/>
          <w:szCs w:val="21"/>
        </w:rPr>
        <w:t xml:space="preserve">Fig.S7 </w:t>
      </w:r>
      <w:r>
        <w:rPr>
          <w:rFonts w:ascii="Times New Roman" w:eastAsia="宋体" w:hAnsi="Times New Roman" w:cs="Times New Roman" w:hint="eastAsia"/>
          <w:szCs w:val="21"/>
        </w:rPr>
        <w:t>Grading of intervertebral disc herniation.</w:t>
      </w:r>
      <w:r>
        <w:rPr>
          <w:rFonts w:ascii="Times New Roman" w:eastAsia="宋体" w:hAnsi="Times New Roman" w:cs="Times New Roman"/>
          <w:szCs w:val="21"/>
        </w:rPr>
        <w:t xml:space="preserve"> The prediction result was classified as Grade 2, below Grade 3 </w:t>
      </w:r>
      <w:r>
        <w:rPr>
          <w:rFonts w:ascii="Times New Roman" w:eastAsia="宋体" w:hAnsi="Times New Roman" w:cs="Times New Roman" w:hint="eastAsia"/>
          <w:szCs w:val="21"/>
        </w:rPr>
        <w:t xml:space="preserve">of </w:t>
      </w:r>
      <w:r>
        <w:rPr>
          <w:rFonts w:ascii="Times New Roman" w:eastAsia="宋体" w:hAnsi="Times New Roman" w:cs="Times New Roman"/>
          <w:szCs w:val="21"/>
        </w:rPr>
        <w:t>the reference standard.</w:t>
      </w:r>
      <w:r>
        <w:rPr>
          <w:rFonts w:ascii="Times New Roman" w:eastAsia="宋体" w:hAnsi="Times New Roman" w:cs="Times New Roman" w:hint="eastAsia"/>
          <w:szCs w:val="21"/>
        </w:rPr>
        <w:t xml:space="preserve"> Low CT soft tissue contrast, posterior vertebral complexity, and disc herniation-induced compression and overlap impaired model segmentation accuracy.</w:t>
      </w:r>
    </w:p>
    <w:p w14:paraId="7D5F71A3" w14:textId="77777777" w:rsidR="00392476" w:rsidRDefault="00392476">
      <w:pPr>
        <w:rPr>
          <w:rFonts w:ascii="Times New Roman" w:eastAsia="宋体" w:hAnsi="Times New Roman" w:cs="Times New Roman"/>
          <w:szCs w:val="21"/>
        </w:rPr>
      </w:pPr>
    </w:p>
    <w:p w14:paraId="51977180" w14:textId="77777777" w:rsidR="00392476" w:rsidRDefault="00392476">
      <w:pPr>
        <w:rPr>
          <w:rFonts w:ascii="Times New Roman" w:eastAsia="宋体" w:hAnsi="Times New Roman" w:cs="Times New Roman"/>
          <w:szCs w:val="21"/>
        </w:rPr>
      </w:pPr>
    </w:p>
    <w:p w14:paraId="39EA1BEF" w14:textId="77777777" w:rsidR="00392476" w:rsidRDefault="00392476">
      <w:pPr>
        <w:rPr>
          <w:rFonts w:ascii="Times New Roman" w:eastAsia="宋体" w:hAnsi="Times New Roman" w:cs="Times New Roman"/>
          <w:szCs w:val="21"/>
        </w:rPr>
      </w:pPr>
    </w:p>
    <w:p w14:paraId="653E70E5" w14:textId="77777777" w:rsidR="00392476" w:rsidRDefault="00392476">
      <w:pPr>
        <w:rPr>
          <w:rFonts w:ascii="Times New Roman" w:eastAsia="宋体" w:hAnsi="Times New Roman" w:cs="Times New Roman"/>
          <w:szCs w:val="21"/>
        </w:rPr>
      </w:pPr>
    </w:p>
    <w:p w14:paraId="277DEF90" w14:textId="77777777" w:rsidR="00392476" w:rsidRDefault="00392476">
      <w:pPr>
        <w:rPr>
          <w:rFonts w:ascii="Times New Roman" w:eastAsia="宋体" w:hAnsi="Times New Roman" w:cs="Times New Roman"/>
          <w:szCs w:val="21"/>
        </w:rPr>
      </w:pPr>
    </w:p>
    <w:p w14:paraId="255C3025" w14:textId="77777777" w:rsidR="00392476" w:rsidRDefault="00392476">
      <w:pPr>
        <w:rPr>
          <w:rFonts w:ascii="Times New Roman" w:eastAsia="宋体" w:hAnsi="Times New Roman" w:cs="Times New Roman"/>
          <w:szCs w:val="21"/>
        </w:rPr>
      </w:pPr>
    </w:p>
    <w:p w14:paraId="5CAFC432" w14:textId="77777777" w:rsidR="00392476" w:rsidRDefault="00392476">
      <w:pPr>
        <w:rPr>
          <w:rFonts w:ascii="Times New Roman" w:eastAsia="宋体" w:hAnsi="Times New Roman" w:cs="Times New Roman"/>
          <w:szCs w:val="21"/>
        </w:rPr>
      </w:pPr>
    </w:p>
    <w:p w14:paraId="5E069A50" w14:textId="77777777" w:rsidR="00392476" w:rsidRDefault="00392476">
      <w:pPr>
        <w:rPr>
          <w:rFonts w:ascii="Times New Roman" w:eastAsia="宋体" w:hAnsi="Times New Roman" w:cs="Times New Roman"/>
          <w:szCs w:val="21"/>
        </w:rPr>
      </w:pPr>
    </w:p>
    <w:p w14:paraId="3E5ADB56" w14:textId="77777777" w:rsidR="00392476" w:rsidRDefault="00392476">
      <w:pPr>
        <w:rPr>
          <w:rFonts w:ascii="Times New Roman" w:eastAsia="宋体" w:hAnsi="Times New Roman" w:cs="Times New Roman"/>
          <w:szCs w:val="21"/>
        </w:rPr>
      </w:pPr>
    </w:p>
    <w:p w14:paraId="10A1B1FF" w14:textId="77777777" w:rsidR="00392476" w:rsidRDefault="00000000">
      <w:pPr>
        <w:rPr>
          <w:rFonts w:ascii="Times New Roman" w:eastAsia="宋体" w:hAnsi="Times New Roman" w:cs="Times New Roman"/>
          <w:szCs w:val="21"/>
        </w:rPr>
      </w:pPr>
      <w:r>
        <w:rPr>
          <w:rFonts w:ascii="Times New Roman" w:eastAsia="宋体" w:hAnsi="Times New Roman" w:cs="Times New Roman"/>
          <w:b/>
          <w:bCs/>
          <w:szCs w:val="21"/>
        </w:rPr>
        <w:lastRenderedPageBreak/>
        <w:t xml:space="preserve">Table </w:t>
      </w:r>
      <w:r>
        <w:rPr>
          <w:rFonts w:ascii="Times New Roman" w:eastAsia="宋体" w:hAnsi="Times New Roman" w:cs="Times New Roman" w:hint="eastAsia"/>
          <w:b/>
          <w:bCs/>
          <w:szCs w:val="21"/>
        </w:rPr>
        <w:t xml:space="preserve">S2 </w:t>
      </w:r>
      <w:r>
        <w:rPr>
          <w:rFonts w:ascii="Times New Roman" w:eastAsia="宋体" w:hAnsi="Times New Roman" w:cs="Times New Roman" w:hint="eastAsia"/>
          <w:szCs w:val="21"/>
        </w:rPr>
        <w:t>Qualitative Analysis: A Summary of Suboptimal Cases</w:t>
      </w:r>
    </w:p>
    <w:p w14:paraId="26363910" w14:textId="77777777" w:rsidR="00392476" w:rsidRDefault="00392476">
      <w:pPr>
        <w:rPr>
          <w:rFonts w:ascii="Times New Roman" w:eastAsia="宋体" w:hAnsi="Times New Roman" w:cs="Times New Roman"/>
          <w:szCs w:val="21"/>
        </w:rPr>
      </w:pPr>
    </w:p>
    <w:tbl>
      <w:tblPr>
        <w:tblW w:w="9298" w:type="dxa"/>
        <w:jc w:val="center"/>
        <w:tblLayout w:type="fixed"/>
        <w:tblCellMar>
          <w:top w:w="80" w:type="dxa"/>
          <w:left w:w="128" w:type="dxa"/>
          <w:bottom w:w="80" w:type="dxa"/>
          <w:right w:w="128" w:type="dxa"/>
        </w:tblCellMar>
        <w:tblLook w:val="04A0" w:firstRow="1" w:lastRow="0" w:firstColumn="1" w:lastColumn="0" w:noHBand="0" w:noVBand="1"/>
      </w:tblPr>
      <w:tblGrid>
        <w:gridCol w:w="1229"/>
        <w:gridCol w:w="2258"/>
        <w:gridCol w:w="2563"/>
        <w:gridCol w:w="3248"/>
      </w:tblGrid>
      <w:tr w:rsidR="00392476" w14:paraId="3B1F126C" w14:textId="77777777">
        <w:trPr>
          <w:tblHeader/>
          <w:jc w:val="center"/>
        </w:trPr>
        <w:tc>
          <w:tcPr>
            <w:tcW w:w="1229" w:type="dxa"/>
            <w:tcBorders>
              <w:top w:val="single" w:sz="12" w:space="0" w:color="auto"/>
              <w:bottom w:val="single" w:sz="6" w:space="0" w:color="auto"/>
            </w:tcBorders>
            <w:shd w:val="clear" w:color="auto" w:fill="FFFFFF"/>
            <w:tcMar>
              <w:left w:w="108" w:type="dxa"/>
              <w:right w:w="108" w:type="dxa"/>
            </w:tcMar>
            <w:vAlign w:val="center"/>
          </w:tcPr>
          <w:p w14:paraId="0937E1D9" w14:textId="77777777" w:rsidR="00392476" w:rsidRPr="00274A30" w:rsidRDefault="00000000">
            <w:pPr>
              <w:pStyle w:val="ad"/>
              <w:widowControl/>
              <w:snapToGrid w:val="0"/>
              <w:jc w:val="center"/>
              <w:rPr>
                <w:rFonts w:ascii="Times New Roman" w:eastAsia="等线" w:hAnsi="Times New Roman"/>
                <w:sz w:val="21"/>
                <w:szCs w:val="21"/>
              </w:rPr>
            </w:pPr>
            <w:r w:rsidRPr="00274A30">
              <w:rPr>
                <w:rFonts w:ascii="Times New Roman" w:eastAsia="等线" w:hAnsi="Times New Roman"/>
                <w:sz w:val="21"/>
                <w:szCs w:val="21"/>
                <w:lang w:bidi="ar"/>
              </w:rPr>
              <w:t>Error Type</w:t>
            </w:r>
          </w:p>
        </w:tc>
        <w:tc>
          <w:tcPr>
            <w:tcW w:w="2258" w:type="dxa"/>
            <w:tcBorders>
              <w:top w:val="single" w:sz="12" w:space="0" w:color="auto"/>
              <w:bottom w:val="single" w:sz="6" w:space="0" w:color="auto"/>
            </w:tcBorders>
            <w:shd w:val="clear" w:color="auto" w:fill="FFFFFF"/>
            <w:tcMar>
              <w:left w:w="108" w:type="dxa"/>
              <w:right w:w="108" w:type="dxa"/>
            </w:tcMar>
            <w:vAlign w:val="center"/>
          </w:tcPr>
          <w:p w14:paraId="3FDFFCCD" w14:textId="77777777" w:rsidR="00392476" w:rsidRPr="00274A30" w:rsidRDefault="00000000">
            <w:pPr>
              <w:pStyle w:val="ad"/>
              <w:widowControl/>
              <w:snapToGrid w:val="0"/>
              <w:jc w:val="center"/>
              <w:rPr>
                <w:rFonts w:ascii="Times New Roman" w:eastAsia="等线" w:hAnsi="Times New Roman"/>
                <w:sz w:val="21"/>
                <w:szCs w:val="21"/>
              </w:rPr>
            </w:pPr>
            <w:r w:rsidRPr="00274A30">
              <w:rPr>
                <w:rFonts w:ascii="Times New Roman" w:eastAsia="等线" w:hAnsi="Times New Roman"/>
                <w:sz w:val="21"/>
                <w:szCs w:val="21"/>
                <w:lang w:bidi="ar"/>
              </w:rPr>
              <w:t>Result Impact</w:t>
            </w:r>
          </w:p>
        </w:tc>
        <w:tc>
          <w:tcPr>
            <w:tcW w:w="2563" w:type="dxa"/>
            <w:tcBorders>
              <w:top w:val="single" w:sz="12" w:space="0" w:color="auto"/>
              <w:bottom w:val="single" w:sz="6" w:space="0" w:color="auto"/>
            </w:tcBorders>
            <w:shd w:val="clear" w:color="auto" w:fill="FFFFFF"/>
            <w:tcMar>
              <w:left w:w="108" w:type="dxa"/>
              <w:right w:w="108" w:type="dxa"/>
            </w:tcMar>
            <w:vAlign w:val="center"/>
          </w:tcPr>
          <w:p w14:paraId="0EF21C71" w14:textId="77777777" w:rsidR="00392476" w:rsidRPr="00274A30" w:rsidRDefault="00000000">
            <w:pPr>
              <w:pStyle w:val="ad"/>
              <w:widowControl/>
              <w:snapToGrid w:val="0"/>
              <w:jc w:val="center"/>
              <w:rPr>
                <w:rFonts w:ascii="Times New Roman" w:eastAsia="等线" w:hAnsi="Times New Roman"/>
                <w:sz w:val="21"/>
                <w:szCs w:val="21"/>
              </w:rPr>
            </w:pPr>
            <w:r w:rsidRPr="00274A30">
              <w:rPr>
                <w:rFonts w:ascii="Times New Roman" w:eastAsia="等线" w:hAnsi="Times New Roman"/>
                <w:sz w:val="21"/>
                <w:szCs w:val="21"/>
                <w:lang w:bidi="ar"/>
              </w:rPr>
              <w:t>Possible Causes</w:t>
            </w:r>
          </w:p>
        </w:tc>
        <w:tc>
          <w:tcPr>
            <w:tcW w:w="3248" w:type="dxa"/>
            <w:tcBorders>
              <w:top w:val="single" w:sz="12" w:space="0" w:color="auto"/>
              <w:bottom w:val="single" w:sz="6" w:space="0" w:color="auto"/>
            </w:tcBorders>
            <w:shd w:val="clear" w:color="auto" w:fill="FFFFFF"/>
            <w:tcMar>
              <w:left w:w="108" w:type="dxa"/>
              <w:right w:w="108" w:type="dxa"/>
            </w:tcMar>
            <w:vAlign w:val="center"/>
          </w:tcPr>
          <w:p w14:paraId="7939D7F7" w14:textId="77777777" w:rsidR="00392476" w:rsidRPr="00274A30" w:rsidRDefault="00000000">
            <w:pPr>
              <w:pStyle w:val="ad"/>
              <w:widowControl/>
              <w:snapToGrid w:val="0"/>
              <w:jc w:val="center"/>
              <w:rPr>
                <w:rFonts w:ascii="Times New Roman" w:eastAsia="等线" w:hAnsi="Times New Roman"/>
                <w:sz w:val="21"/>
                <w:szCs w:val="21"/>
              </w:rPr>
            </w:pPr>
            <w:r w:rsidRPr="00274A30">
              <w:rPr>
                <w:rFonts w:ascii="Times New Roman" w:eastAsia="等线" w:hAnsi="Times New Roman"/>
                <w:sz w:val="21"/>
                <w:szCs w:val="21"/>
                <w:lang w:bidi="ar"/>
              </w:rPr>
              <w:t>Optimization Directions</w:t>
            </w:r>
          </w:p>
        </w:tc>
      </w:tr>
      <w:tr w:rsidR="00392476" w14:paraId="3E13284B" w14:textId="77777777">
        <w:trPr>
          <w:jc w:val="center"/>
        </w:trPr>
        <w:tc>
          <w:tcPr>
            <w:tcW w:w="1229" w:type="dxa"/>
            <w:tcBorders>
              <w:top w:val="single" w:sz="6" w:space="0" w:color="auto"/>
              <w:bottom w:val="nil"/>
            </w:tcBorders>
            <w:shd w:val="clear" w:color="auto" w:fill="FFFFFF"/>
            <w:tcMar>
              <w:left w:w="108" w:type="dxa"/>
              <w:right w:w="108" w:type="dxa"/>
            </w:tcMar>
            <w:vAlign w:val="center"/>
          </w:tcPr>
          <w:p w14:paraId="32127E18" w14:textId="77777777" w:rsidR="00392476" w:rsidRPr="00274A30" w:rsidRDefault="00000000">
            <w:pPr>
              <w:pStyle w:val="ad"/>
              <w:widowControl/>
              <w:snapToGrid w:val="0"/>
              <w:rPr>
                <w:rFonts w:ascii="Times New Roman" w:eastAsia="微软雅黑" w:hAnsi="Times New Roman"/>
                <w:sz w:val="21"/>
                <w:szCs w:val="21"/>
              </w:rPr>
            </w:pPr>
            <w:r w:rsidRPr="00274A30">
              <w:rPr>
                <w:rFonts w:ascii="Times New Roman" w:eastAsia="微软雅黑" w:hAnsi="Times New Roman"/>
                <w:sz w:val="21"/>
                <w:szCs w:val="21"/>
                <w:lang w:bidi="ar"/>
              </w:rPr>
              <w:t>False Positive/Over-segmentation</w:t>
            </w:r>
          </w:p>
        </w:tc>
        <w:tc>
          <w:tcPr>
            <w:tcW w:w="2258" w:type="dxa"/>
            <w:tcBorders>
              <w:top w:val="single" w:sz="6" w:space="0" w:color="auto"/>
              <w:bottom w:val="nil"/>
            </w:tcBorders>
            <w:shd w:val="clear" w:color="auto" w:fill="FFFFFF"/>
            <w:tcMar>
              <w:left w:w="108" w:type="dxa"/>
              <w:right w:w="108" w:type="dxa"/>
            </w:tcMar>
            <w:vAlign w:val="center"/>
          </w:tcPr>
          <w:p w14:paraId="0A7C35CA" w14:textId="77777777" w:rsidR="00392476" w:rsidRPr="00274A30" w:rsidRDefault="00000000">
            <w:pPr>
              <w:pStyle w:val="ad"/>
              <w:widowControl/>
              <w:snapToGrid w:val="0"/>
              <w:rPr>
                <w:rFonts w:ascii="Times New Roman" w:eastAsia="微软雅黑" w:hAnsi="Times New Roman"/>
                <w:color w:val="000000"/>
                <w:sz w:val="21"/>
                <w:szCs w:val="21"/>
              </w:rPr>
            </w:pPr>
            <w:r w:rsidRPr="00274A30">
              <w:rPr>
                <w:rFonts w:ascii="Times New Roman" w:eastAsia="微软雅黑" w:hAnsi="Times New Roman" w:hint="eastAsia"/>
                <w:color w:val="000000"/>
                <w:sz w:val="21"/>
                <w:szCs w:val="21"/>
                <w:lang w:bidi="ar"/>
              </w:rPr>
              <w:t>- herniat</w:t>
            </w:r>
            <w:r w:rsidRPr="00274A30">
              <w:rPr>
                <w:rFonts w:ascii="Times New Roman" w:eastAsia="微软雅黑" w:hAnsi="Times New Roman"/>
                <w:color w:val="000000"/>
                <w:sz w:val="21"/>
                <w:szCs w:val="21"/>
                <w:lang w:bidi="ar"/>
              </w:rPr>
              <w:t>ion</w:t>
            </w:r>
            <w:r w:rsidRPr="00274A30">
              <w:rPr>
                <w:rFonts w:ascii="Times New Roman" w:eastAsia="微软雅黑" w:hAnsi="Times New Roman" w:hint="eastAsia"/>
                <w:color w:val="000000"/>
                <w:sz w:val="21"/>
                <w:szCs w:val="21"/>
                <w:lang w:bidi="ar"/>
              </w:rPr>
              <w:t xml:space="preserve"> and </w:t>
            </w:r>
            <w:r w:rsidRPr="00274A30">
              <w:rPr>
                <w:rFonts w:ascii="Times New Roman" w:eastAsia="微软雅黑" w:hAnsi="Times New Roman"/>
                <w:color w:val="000000"/>
                <w:sz w:val="21"/>
                <w:szCs w:val="21"/>
                <w:lang w:bidi="ar"/>
              </w:rPr>
              <w:t>bulge confusion</w:t>
            </w:r>
          </w:p>
          <w:p w14:paraId="5A283C68" w14:textId="77777777" w:rsidR="00392476" w:rsidRPr="00274A30" w:rsidRDefault="00000000">
            <w:pPr>
              <w:pStyle w:val="ad"/>
              <w:widowControl/>
              <w:snapToGrid w:val="0"/>
              <w:rPr>
                <w:rFonts w:ascii="Times New Roman" w:eastAsia="微软雅黑" w:hAnsi="Times New Roman"/>
                <w:color w:val="000000"/>
                <w:sz w:val="21"/>
                <w:szCs w:val="21"/>
              </w:rPr>
            </w:pPr>
            <w:r w:rsidRPr="00274A30">
              <w:rPr>
                <w:rFonts w:ascii="Times New Roman" w:eastAsia="微软雅黑" w:hAnsi="Times New Roman" w:hint="eastAsia"/>
                <w:color w:val="000000"/>
                <w:sz w:val="21"/>
                <w:szCs w:val="21"/>
                <w:lang w:bidi="ar"/>
              </w:rPr>
              <w:t xml:space="preserve">- </w:t>
            </w:r>
            <w:r w:rsidRPr="00274A30">
              <w:rPr>
                <w:rFonts w:ascii="Times New Roman" w:eastAsia="微软雅黑" w:hAnsi="Times New Roman"/>
                <w:color w:val="000000"/>
                <w:sz w:val="21"/>
                <w:szCs w:val="21"/>
                <w:lang w:bidi="ar"/>
              </w:rPr>
              <w:t>increased false positives</w:t>
            </w:r>
          </w:p>
          <w:p w14:paraId="54A23A32" w14:textId="77777777" w:rsidR="00392476" w:rsidRPr="00274A30" w:rsidRDefault="00000000">
            <w:pPr>
              <w:pStyle w:val="ad"/>
              <w:widowControl/>
              <w:snapToGrid w:val="0"/>
              <w:rPr>
                <w:rFonts w:ascii="Times New Roman" w:eastAsia="微软雅黑" w:hAnsi="Times New Roman"/>
                <w:color w:val="000000"/>
                <w:sz w:val="21"/>
                <w:szCs w:val="21"/>
              </w:rPr>
            </w:pPr>
            <w:r w:rsidRPr="00274A30">
              <w:rPr>
                <w:rFonts w:ascii="Times New Roman" w:eastAsia="微软雅黑" w:hAnsi="Times New Roman" w:hint="eastAsia"/>
                <w:color w:val="000000"/>
                <w:sz w:val="21"/>
                <w:szCs w:val="21"/>
                <w:lang w:bidi="ar"/>
              </w:rPr>
              <w:t xml:space="preserve">- </w:t>
            </w:r>
            <w:r w:rsidRPr="00274A30">
              <w:rPr>
                <w:rFonts w:ascii="Times New Roman" w:eastAsia="微软雅黑" w:hAnsi="Times New Roman"/>
                <w:color w:val="000000"/>
                <w:sz w:val="21"/>
                <w:szCs w:val="21"/>
                <w:lang w:bidi="ar"/>
              </w:rPr>
              <w:t>segmentation errors</w:t>
            </w:r>
          </w:p>
          <w:p w14:paraId="6E9F76E3" w14:textId="77777777" w:rsidR="00392476" w:rsidRPr="00274A30" w:rsidRDefault="00000000">
            <w:pPr>
              <w:pStyle w:val="ad"/>
              <w:widowControl/>
              <w:snapToGrid w:val="0"/>
              <w:rPr>
                <w:rFonts w:ascii="Times New Roman" w:eastAsia="微软雅黑" w:hAnsi="Times New Roman"/>
                <w:sz w:val="21"/>
                <w:szCs w:val="21"/>
              </w:rPr>
            </w:pPr>
            <w:r w:rsidRPr="00274A30">
              <w:rPr>
                <w:rFonts w:ascii="Times New Roman" w:eastAsia="微软雅黑" w:hAnsi="Times New Roman" w:hint="eastAsia"/>
                <w:color w:val="000000"/>
                <w:sz w:val="21"/>
                <w:szCs w:val="21"/>
                <w:lang w:bidi="ar"/>
              </w:rPr>
              <w:t xml:space="preserve">- </w:t>
            </w:r>
            <w:r w:rsidRPr="00274A30">
              <w:rPr>
                <w:rFonts w:ascii="Times New Roman" w:eastAsia="微软雅黑" w:hAnsi="Times New Roman"/>
                <w:color w:val="000000"/>
                <w:sz w:val="21"/>
                <w:szCs w:val="21"/>
                <w:lang w:bidi="ar"/>
              </w:rPr>
              <w:t>grade overestimation</w:t>
            </w:r>
          </w:p>
        </w:tc>
        <w:tc>
          <w:tcPr>
            <w:tcW w:w="2563" w:type="dxa"/>
            <w:vMerge w:val="restart"/>
            <w:tcBorders>
              <w:top w:val="single" w:sz="6" w:space="0" w:color="auto"/>
              <w:bottom w:val="nil"/>
            </w:tcBorders>
            <w:shd w:val="clear" w:color="auto" w:fill="FFFFFF"/>
            <w:tcMar>
              <w:left w:w="108" w:type="dxa"/>
              <w:right w:w="108" w:type="dxa"/>
            </w:tcMar>
            <w:vAlign w:val="center"/>
          </w:tcPr>
          <w:p w14:paraId="76A0E3CA"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Annotation-model mismatch: Subjective manual annotation, poor minor lesion recognition; model reconstruction bias, limited boundary detection.</w:t>
            </w:r>
          </w:p>
          <w:p w14:paraId="154FAA01" w14:textId="77777777" w:rsidR="00392476" w:rsidRDefault="00392476">
            <w:pPr>
              <w:pStyle w:val="ad"/>
              <w:widowControl/>
              <w:numPr>
                <w:ilvl w:val="255"/>
                <w:numId w:val="0"/>
              </w:numPr>
              <w:snapToGrid w:val="0"/>
              <w:rPr>
                <w:rFonts w:ascii="Times New Roman" w:eastAsia="微软雅黑" w:hAnsi="Times New Roman"/>
                <w:sz w:val="21"/>
                <w:szCs w:val="21"/>
              </w:rPr>
            </w:pPr>
          </w:p>
          <w:p w14:paraId="2C39B850"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Complex lesion challenges: Blurred segmentation boundaries in calcification, osteophytes, severe degeneration cases.</w:t>
            </w:r>
          </w:p>
          <w:p w14:paraId="3D60A7A2" w14:textId="77777777" w:rsidR="00392476" w:rsidRDefault="00392476">
            <w:pPr>
              <w:pStyle w:val="ad"/>
              <w:widowControl/>
              <w:numPr>
                <w:ilvl w:val="255"/>
                <w:numId w:val="0"/>
              </w:numPr>
              <w:snapToGrid w:val="0"/>
              <w:rPr>
                <w:rFonts w:ascii="Times New Roman" w:eastAsia="微软雅黑" w:hAnsi="Times New Roman"/>
                <w:sz w:val="21"/>
                <w:szCs w:val="21"/>
              </w:rPr>
            </w:pPr>
          </w:p>
          <w:p w14:paraId="400BD222"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 xml:space="preserve">Image resolution limitations: Disc herniation-induced </w:t>
            </w:r>
            <w:r>
              <w:rPr>
                <w:rFonts w:ascii="Times New Roman" w:eastAsia="微软雅黑" w:hAnsi="Times New Roman" w:hint="eastAsia"/>
                <w:color w:val="000000"/>
                <w:sz w:val="21"/>
                <w:szCs w:val="21"/>
                <w:lang w:bidi="ar"/>
              </w:rPr>
              <w:t>dural</w:t>
            </w:r>
            <w:r>
              <w:rPr>
                <w:rFonts w:ascii="Times New Roman" w:eastAsia="微软雅黑" w:hAnsi="Times New Roman"/>
                <w:color w:val="000000"/>
                <w:sz w:val="21"/>
                <w:szCs w:val="21"/>
                <w:lang w:bidi="ar"/>
              </w:rPr>
              <w:t xml:space="preserve"> sac/posterior longitudinal ligament displacement and overlap, reducing image resolution.</w:t>
            </w:r>
          </w:p>
        </w:tc>
        <w:tc>
          <w:tcPr>
            <w:tcW w:w="3248" w:type="dxa"/>
            <w:vMerge w:val="restart"/>
            <w:tcBorders>
              <w:top w:val="single" w:sz="6" w:space="0" w:color="auto"/>
              <w:bottom w:val="nil"/>
            </w:tcBorders>
            <w:shd w:val="clear" w:color="auto" w:fill="FFFFFF"/>
            <w:tcMar>
              <w:left w:w="108" w:type="dxa"/>
              <w:right w:w="108" w:type="dxa"/>
            </w:tcMar>
            <w:vAlign w:val="center"/>
          </w:tcPr>
          <w:p w14:paraId="20894BDA"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Data Aspects:</w:t>
            </w:r>
          </w:p>
          <w:p w14:paraId="4E2FBA71"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Improve annotation quality: reduce missing/incorrect labels</w:t>
            </w:r>
          </w:p>
          <w:p w14:paraId="18106F7F" w14:textId="77777777" w:rsidR="00392476" w:rsidRDefault="00000000">
            <w:pPr>
              <w:pStyle w:val="ad"/>
              <w:widowControl/>
              <w:snapToGrid w:val="0"/>
              <w:rPr>
                <w:rFonts w:ascii="Times New Roman" w:eastAsia="微软雅黑" w:hAnsi="Times New Roman"/>
                <w:color w:val="000000"/>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Data augmentation: oversample rare cases (e.g., bulging)</w:t>
            </w:r>
          </w:p>
          <w:p w14:paraId="49922AEF" w14:textId="77777777" w:rsidR="00392476" w:rsidRDefault="00392476">
            <w:pPr>
              <w:pStyle w:val="ad"/>
              <w:widowControl/>
              <w:snapToGrid w:val="0"/>
              <w:rPr>
                <w:rFonts w:ascii="Times New Roman" w:eastAsia="微软雅黑" w:hAnsi="Times New Roman"/>
                <w:color w:val="000000"/>
                <w:sz w:val="21"/>
                <w:szCs w:val="21"/>
              </w:rPr>
            </w:pPr>
          </w:p>
          <w:p w14:paraId="0785FDD3"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Algorithm Aspects:</w:t>
            </w:r>
          </w:p>
          <w:p w14:paraId="3A6749D1"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Dilated convolution: expand receptive field, capture context, improve small blurred region detection</w:t>
            </w:r>
          </w:p>
          <w:p w14:paraId="27879950"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Multi-scale fusion: propagate small target features across all levels</w:t>
            </w:r>
          </w:p>
          <w:p w14:paraId="1811695B"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Attention mechanism: Focus model on potential small target regions, suppress background</w:t>
            </w:r>
          </w:p>
          <w:p w14:paraId="6F0392FC"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Refined loss: Tversky Loss with α/β tuning for false positive/negative balance</w:t>
            </w:r>
          </w:p>
          <w:p w14:paraId="772ABFF6" w14:textId="77777777" w:rsidR="00392476" w:rsidRDefault="00000000">
            <w:pPr>
              <w:pStyle w:val="ad"/>
              <w:widowControl/>
              <w:snapToGrid w:val="0"/>
              <w:rPr>
                <w:rFonts w:ascii="Times New Roman" w:eastAsia="微软雅黑" w:hAnsi="Times New Roman"/>
                <w:sz w:val="21"/>
                <w:szCs w:val="21"/>
              </w:rPr>
            </w:pPr>
            <w:r>
              <w:rPr>
                <w:rFonts w:ascii="Times New Roman" w:eastAsia="微软雅黑" w:hAnsi="Times New Roman" w:hint="eastAsia"/>
                <w:color w:val="000000"/>
                <w:sz w:val="21"/>
                <w:szCs w:val="21"/>
                <w:lang w:bidi="ar"/>
              </w:rPr>
              <w:t xml:space="preserve">- </w:t>
            </w:r>
            <w:r>
              <w:rPr>
                <w:rFonts w:ascii="Times New Roman" w:eastAsia="微软雅黑" w:hAnsi="Times New Roman"/>
                <w:color w:val="000000"/>
                <w:sz w:val="21"/>
                <w:szCs w:val="21"/>
                <w:lang w:bidi="ar"/>
              </w:rPr>
              <w:t>Boundary optimization: Boundary Loss constraints to enhance edge precision, prevent over/under-segmentation</w:t>
            </w:r>
          </w:p>
        </w:tc>
      </w:tr>
      <w:tr w:rsidR="00392476" w14:paraId="5DACEC7C" w14:textId="77777777">
        <w:trPr>
          <w:jc w:val="center"/>
        </w:trPr>
        <w:tc>
          <w:tcPr>
            <w:tcW w:w="1229" w:type="dxa"/>
            <w:tcBorders>
              <w:top w:val="nil"/>
              <w:bottom w:val="single" w:sz="12" w:space="0" w:color="auto"/>
            </w:tcBorders>
            <w:shd w:val="clear" w:color="auto" w:fill="FFFFFF"/>
            <w:tcMar>
              <w:left w:w="108" w:type="dxa"/>
              <w:right w:w="108" w:type="dxa"/>
            </w:tcMar>
            <w:vAlign w:val="center"/>
          </w:tcPr>
          <w:p w14:paraId="7FFD9CAF" w14:textId="77777777" w:rsidR="00392476" w:rsidRPr="00274A30" w:rsidRDefault="00000000">
            <w:pPr>
              <w:pStyle w:val="ad"/>
              <w:widowControl/>
              <w:snapToGrid w:val="0"/>
              <w:rPr>
                <w:rFonts w:ascii="Times New Roman" w:eastAsia="微软雅黑" w:hAnsi="Times New Roman"/>
                <w:sz w:val="21"/>
                <w:szCs w:val="21"/>
              </w:rPr>
            </w:pPr>
            <w:r w:rsidRPr="00274A30">
              <w:rPr>
                <w:rFonts w:ascii="Times New Roman" w:eastAsia="微软雅黑" w:hAnsi="Times New Roman"/>
                <w:sz w:val="21"/>
                <w:szCs w:val="21"/>
                <w:lang w:bidi="ar"/>
              </w:rPr>
              <w:t>False Negative/Under-segmentation</w:t>
            </w:r>
          </w:p>
        </w:tc>
        <w:tc>
          <w:tcPr>
            <w:tcW w:w="2258" w:type="dxa"/>
            <w:tcBorders>
              <w:top w:val="nil"/>
              <w:bottom w:val="single" w:sz="12" w:space="0" w:color="auto"/>
            </w:tcBorders>
            <w:shd w:val="clear" w:color="auto" w:fill="FFFFFF"/>
            <w:tcMar>
              <w:left w:w="108" w:type="dxa"/>
              <w:right w:w="108" w:type="dxa"/>
            </w:tcMar>
            <w:vAlign w:val="center"/>
          </w:tcPr>
          <w:p w14:paraId="3F70E4CE" w14:textId="77777777" w:rsidR="00392476" w:rsidRPr="00274A30" w:rsidRDefault="00000000">
            <w:pPr>
              <w:pStyle w:val="ad"/>
              <w:widowControl/>
              <w:snapToGrid w:val="0"/>
              <w:rPr>
                <w:rFonts w:ascii="Times New Roman" w:eastAsia="微软雅黑" w:hAnsi="Times New Roman"/>
                <w:color w:val="000000"/>
                <w:sz w:val="21"/>
                <w:szCs w:val="21"/>
              </w:rPr>
            </w:pPr>
            <w:r w:rsidRPr="00274A30">
              <w:rPr>
                <w:rFonts w:ascii="Times New Roman" w:eastAsia="微软雅黑" w:hAnsi="Times New Roman" w:hint="eastAsia"/>
                <w:color w:val="000000"/>
                <w:sz w:val="21"/>
                <w:szCs w:val="21"/>
                <w:lang w:bidi="ar"/>
              </w:rPr>
              <w:t>- herniat</w:t>
            </w:r>
            <w:r w:rsidRPr="00274A30">
              <w:rPr>
                <w:rFonts w:ascii="Times New Roman" w:eastAsia="微软雅黑" w:hAnsi="Times New Roman"/>
                <w:color w:val="000000"/>
                <w:sz w:val="21"/>
                <w:szCs w:val="21"/>
                <w:lang w:bidi="ar"/>
              </w:rPr>
              <w:t>ion</w:t>
            </w:r>
            <w:r w:rsidRPr="00274A30">
              <w:rPr>
                <w:rFonts w:ascii="Times New Roman" w:eastAsia="微软雅黑" w:hAnsi="Times New Roman" w:hint="eastAsia"/>
                <w:color w:val="000000"/>
                <w:sz w:val="21"/>
                <w:szCs w:val="21"/>
                <w:lang w:bidi="ar"/>
              </w:rPr>
              <w:t xml:space="preserve"> and </w:t>
            </w:r>
            <w:r w:rsidRPr="00274A30">
              <w:rPr>
                <w:rFonts w:ascii="Times New Roman" w:eastAsia="微软雅黑" w:hAnsi="Times New Roman"/>
                <w:color w:val="000000"/>
                <w:sz w:val="21"/>
                <w:szCs w:val="21"/>
                <w:lang w:bidi="ar"/>
              </w:rPr>
              <w:t>bulge confusion</w:t>
            </w:r>
          </w:p>
          <w:p w14:paraId="690676CB" w14:textId="77777777" w:rsidR="00392476" w:rsidRPr="00274A30" w:rsidRDefault="00000000">
            <w:pPr>
              <w:pStyle w:val="ad"/>
              <w:widowControl/>
              <w:snapToGrid w:val="0"/>
              <w:rPr>
                <w:rFonts w:ascii="Times New Roman" w:eastAsia="微软雅黑" w:hAnsi="Times New Roman"/>
                <w:color w:val="000000"/>
                <w:sz w:val="21"/>
                <w:szCs w:val="21"/>
              </w:rPr>
            </w:pPr>
            <w:r w:rsidRPr="00274A30">
              <w:rPr>
                <w:rFonts w:ascii="Times New Roman" w:eastAsia="微软雅黑" w:hAnsi="Times New Roman" w:hint="eastAsia"/>
                <w:color w:val="000000"/>
                <w:sz w:val="21"/>
                <w:szCs w:val="21"/>
                <w:lang w:bidi="ar"/>
              </w:rPr>
              <w:t xml:space="preserve">- </w:t>
            </w:r>
            <w:r w:rsidRPr="00274A30">
              <w:rPr>
                <w:rFonts w:ascii="Times New Roman" w:eastAsia="微软雅黑" w:hAnsi="Times New Roman"/>
                <w:color w:val="000000"/>
                <w:sz w:val="21"/>
                <w:szCs w:val="21"/>
                <w:lang w:bidi="ar"/>
              </w:rPr>
              <w:t>reduced true positives</w:t>
            </w:r>
          </w:p>
          <w:p w14:paraId="38084049" w14:textId="77777777" w:rsidR="00392476" w:rsidRPr="00274A30" w:rsidRDefault="00000000">
            <w:pPr>
              <w:pStyle w:val="ad"/>
              <w:widowControl/>
              <w:snapToGrid w:val="0"/>
              <w:rPr>
                <w:rFonts w:ascii="Times New Roman" w:eastAsia="微软雅黑" w:hAnsi="Times New Roman"/>
                <w:color w:val="000000"/>
                <w:sz w:val="21"/>
                <w:szCs w:val="21"/>
              </w:rPr>
            </w:pPr>
            <w:r w:rsidRPr="00274A30">
              <w:rPr>
                <w:rFonts w:ascii="Times New Roman" w:eastAsia="微软雅黑" w:hAnsi="Times New Roman" w:hint="eastAsia"/>
                <w:color w:val="000000"/>
                <w:sz w:val="21"/>
                <w:szCs w:val="21"/>
                <w:lang w:bidi="ar"/>
              </w:rPr>
              <w:t xml:space="preserve">- </w:t>
            </w:r>
            <w:r w:rsidRPr="00274A30">
              <w:rPr>
                <w:rFonts w:ascii="Times New Roman" w:eastAsia="微软雅黑" w:hAnsi="Times New Roman"/>
                <w:color w:val="000000"/>
                <w:sz w:val="21"/>
                <w:szCs w:val="21"/>
                <w:lang w:bidi="ar"/>
              </w:rPr>
              <w:t>missed regions</w:t>
            </w:r>
          </w:p>
          <w:p w14:paraId="2F96F1A2" w14:textId="77777777" w:rsidR="00392476" w:rsidRPr="00274A30" w:rsidRDefault="00000000">
            <w:pPr>
              <w:pStyle w:val="ad"/>
              <w:widowControl/>
              <w:snapToGrid w:val="0"/>
              <w:rPr>
                <w:rFonts w:ascii="Times New Roman" w:eastAsia="微软雅黑" w:hAnsi="Times New Roman"/>
                <w:sz w:val="21"/>
                <w:szCs w:val="21"/>
              </w:rPr>
            </w:pPr>
            <w:r w:rsidRPr="00274A30">
              <w:rPr>
                <w:rFonts w:ascii="Times New Roman" w:eastAsia="微软雅黑" w:hAnsi="Times New Roman" w:hint="eastAsia"/>
                <w:color w:val="000000"/>
                <w:sz w:val="21"/>
                <w:szCs w:val="21"/>
                <w:lang w:bidi="ar"/>
              </w:rPr>
              <w:t xml:space="preserve">- </w:t>
            </w:r>
            <w:r w:rsidRPr="00274A30">
              <w:rPr>
                <w:rFonts w:ascii="Times New Roman" w:eastAsia="微软雅黑" w:hAnsi="Times New Roman"/>
                <w:color w:val="000000"/>
                <w:sz w:val="21"/>
                <w:szCs w:val="21"/>
                <w:lang w:bidi="ar"/>
              </w:rPr>
              <w:t>grade underestimation</w:t>
            </w:r>
          </w:p>
        </w:tc>
        <w:tc>
          <w:tcPr>
            <w:tcW w:w="2563" w:type="dxa"/>
            <w:vMerge/>
            <w:tcBorders>
              <w:top w:val="nil"/>
              <w:bottom w:val="single" w:sz="12" w:space="0" w:color="auto"/>
            </w:tcBorders>
            <w:shd w:val="clear" w:color="auto" w:fill="FFFFFF"/>
            <w:tcMar>
              <w:left w:w="108" w:type="dxa"/>
              <w:right w:w="108" w:type="dxa"/>
            </w:tcMar>
            <w:vAlign w:val="center"/>
          </w:tcPr>
          <w:p w14:paraId="4CC0A7C5" w14:textId="77777777" w:rsidR="00392476" w:rsidRDefault="00392476">
            <w:pPr>
              <w:snapToGrid w:val="0"/>
              <w:jc w:val="left"/>
              <w:rPr>
                <w:rFonts w:ascii="Times New Roman" w:eastAsia="微软雅黑" w:hint="eastAsia"/>
              </w:rPr>
            </w:pPr>
          </w:p>
        </w:tc>
        <w:tc>
          <w:tcPr>
            <w:tcW w:w="3248" w:type="dxa"/>
            <w:vMerge/>
            <w:tcBorders>
              <w:top w:val="nil"/>
              <w:bottom w:val="single" w:sz="12" w:space="0" w:color="auto"/>
            </w:tcBorders>
            <w:shd w:val="clear" w:color="auto" w:fill="FFFFFF"/>
            <w:tcMar>
              <w:left w:w="108" w:type="dxa"/>
              <w:right w:w="108" w:type="dxa"/>
            </w:tcMar>
            <w:vAlign w:val="center"/>
          </w:tcPr>
          <w:p w14:paraId="15F11B31" w14:textId="77777777" w:rsidR="00392476" w:rsidRDefault="00392476">
            <w:pPr>
              <w:snapToGrid w:val="0"/>
              <w:jc w:val="left"/>
              <w:rPr>
                <w:rFonts w:ascii="Times New Roman" w:eastAsia="微软雅黑" w:hint="eastAsia"/>
              </w:rPr>
            </w:pPr>
          </w:p>
        </w:tc>
      </w:tr>
    </w:tbl>
    <w:p w14:paraId="4DF9280A" w14:textId="77777777" w:rsidR="00392476" w:rsidRDefault="00392476">
      <w:pPr>
        <w:rPr>
          <w:rFonts w:hint="eastAsia"/>
        </w:rPr>
      </w:pPr>
    </w:p>
    <w:p w14:paraId="6A81DD0C" w14:textId="77777777" w:rsidR="00392476" w:rsidRDefault="00000000">
      <w:pPr>
        <w:jc w:val="left"/>
        <w:rPr>
          <w:rFonts w:ascii="Times New Roman" w:eastAsia="宋体" w:hAnsi="Times New Roman" w:cs="Times New Roman"/>
          <w:b/>
          <w:bCs/>
          <w:szCs w:val="21"/>
        </w:rPr>
      </w:pPr>
      <w:r>
        <w:rPr>
          <w:rFonts w:ascii="Times New Roman" w:eastAsia="宋体" w:hAnsi="Times New Roman" w:cs="Times New Roman" w:hint="eastAsia"/>
          <w:b/>
          <w:bCs/>
          <w:szCs w:val="21"/>
        </w:rPr>
        <w:br w:type="page"/>
      </w:r>
    </w:p>
    <w:p w14:paraId="130A1843" w14:textId="77777777" w:rsidR="00392476" w:rsidRDefault="00000000">
      <w:pPr>
        <w:jc w:val="lef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lastRenderedPageBreak/>
        <w:t xml:space="preserve">Checklist for Artificial Intelligence in Medical Imaging (CLAIM): 2024 Update </w:t>
      </w:r>
    </w:p>
    <w:p w14:paraId="05518255" w14:textId="77777777" w:rsidR="00392476" w:rsidRDefault="00000000">
      <w:pPr>
        <w:rPr>
          <w:rFonts w:ascii="Times New Roman" w:eastAsia="宋体" w:hAnsi="Times New Roman" w:cs="Times New Roman"/>
          <w:b/>
          <w:bCs/>
          <w:szCs w:val="21"/>
        </w:rPr>
      </w:pPr>
      <w:r>
        <w:rPr>
          <w:rFonts w:ascii="Times New Roman" w:eastAsia="宋体" w:hAnsi="Times New Roman" w:cs="Times New Roman" w:hint="eastAsia"/>
          <w:b/>
          <w:bCs/>
          <w:noProof/>
          <w:szCs w:val="21"/>
        </w:rPr>
        <w:drawing>
          <wp:inline distT="0" distB="0" distL="114300" distR="114300" wp14:anchorId="4746864E" wp14:editId="779B4941">
            <wp:extent cx="5273040" cy="6951980"/>
            <wp:effectExtent l="0" t="0" r="3810" b="1270"/>
            <wp:docPr id="14" name="图片 14" descr="CLAIM 2024 Update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LAIM 2024 Update_03(1)"/>
                    <pic:cNvPicPr>
                      <a:picLocks noChangeAspect="1"/>
                    </pic:cNvPicPr>
                  </pic:nvPicPr>
                  <pic:blipFill>
                    <a:blip r:embed="rId12"/>
                    <a:stretch>
                      <a:fillRect/>
                    </a:stretch>
                  </pic:blipFill>
                  <pic:spPr>
                    <a:xfrm>
                      <a:off x="0" y="0"/>
                      <a:ext cx="5273040" cy="6951980"/>
                    </a:xfrm>
                    <a:prstGeom prst="rect">
                      <a:avLst/>
                    </a:prstGeom>
                  </pic:spPr>
                </pic:pic>
              </a:graphicData>
            </a:graphic>
          </wp:inline>
        </w:drawing>
      </w:r>
    </w:p>
    <w:p w14:paraId="2301AF01" w14:textId="376C2E43" w:rsidR="00392476" w:rsidRDefault="00885F9A">
      <w:pPr>
        <w:rPr>
          <w:rFonts w:ascii="Times New Roman" w:eastAsia="宋体" w:hAnsi="Times New Roman" w:cs="Times New Roman"/>
          <w:szCs w:val="21"/>
        </w:rPr>
      </w:pPr>
      <w:r>
        <w:rPr>
          <w:rFonts w:ascii="Times New Roman" w:eastAsia="宋体" w:hAnsi="Times New Roman" w:cs="Times New Roman" w:hint="eastAsia"/>
          <w:sz w:val="18"/>
          <w:szCs w:val="18"/>
        </w:rPr>
        <w:t>R</w:t>
      </w:r>
      <w:r w:rsidR="00000000">
        <w:rPr>
          <w:rFonts w:ascii="Times New Roman" w:eastAsia="宋体" w:hAnsi="Times New Roman" w:cs="Times New Roman" w:hint="eastAsia"/>
          <w:sz w:val="18"/>
          <w:szCs w:val="18"/>
        </w:rPr>
        <w:t xml:space="preserve">eference: Tejani AS, </w:t>
      </w:r>
      <w:proofErr w:type="spellStart"/>
      <w:r w:rsidR="00000000">
        <w:rPr>
          <w:rFonts w:ascii="Times New Roman" w:eastAsia="宋体" w:hAnsi="Times New Roman" w:cs="Times New Roman" w:hint="eastAsia"/>
          <w:sz w:val="18"/>
          <w:szCs w:val="18"/>
        </w:rPr>
        <w:t>Klontzas</w:t>
      </w:r>
      <w:proofErr w:type="spellEnd"/>
      <w:r w:rsidR="00000000">
        <w:rPr>
          <w:rFonts w:ascii="Times New Roman" w:eastAsia="宋体" w:hAnsi="Times New Roman" w:cs="Times New Roman" w:hint="eastAsia"/>
          <w:sz w:val="18"/>
          <w:szCs w:val="18"/>
        </w:rPr>
        <w:t xml:space="preserve"> ME, Gatti AA, et al. Checklist for Artificial Intelligence in Medical Imaging (CLAIM): 2024 Update. </w:t>
      </w:r>
      <w:proofErr w:type="spellStart"/>
      <w:r w:rsidR="00000000">
        <w:rPr>
          <w:rFonts w:ascii="Times New Roman" w:eastAsia="宋体" w:hAnsi="Times New Roman" w:cs="Times New Roman" w:hint="eastAsia"/>
          <w:sz w:val="18"/>
          <w:szCs w:val="18"/>
        </w:rPr>
        <w:t>Radiol</w:t>
      </w:r>
      <w:proofErr w:type="spellEnd"/>
      <w:r w:rsidR="00000000">
        <w:rPr>
          <w:rFonts w:ascii="Times New Roman" w:eastAsia="宋体" w:hAnsi="Times New Roman" w:cs="Times New Roman" w:hint="eastAsia"/>
          <w:sz w:val="18"/>
          <w:szCs w:val="18"/>
        </w:rPr>
        <w:t xml:space="preserve"> </w:t>
      </w:r>
      <w:proofErr w:type="spellStart"/>
      <w:r w:rsidR="00000000">
        <w:rPr>
          <w:rFonts w:ascii="Times New Roman" w:eastAsia="宋体" w:hAnsi="Times New Roman" w:cs="Times New Roman" w:hint="eastAsia"/>
          <w:sz w:val="18"/>
          <w:szCs w:val="18"/>
        </w:rPr>
        <w:t>Artif</w:t>
      </w:r>
      <w:proofErr w:type="spellEnd"/>
      <w:r w:rsidR="00000000">
        <w:rPr>
          <w:rFonts w:ascii="Times New Roman" w:eastAsia="宋体" w:hAnsi="Times New Roman" w:cs="Times New Roman" w:hint="eastAsia"/>
          <w:sz w:val="18"/>
          <w:szCs w:val="18"/>
        </w:rPr>
        <w:t xml:space="preserve"> </w:t>
      </w:r>
      <w:proofErr w:type="spellStart"/>
      <w:r w:rsidR="00000000">
        <w:rPr>
          <w:rFonts w:ascii="Times New Roman" w:eastAsia="宋体" w:hAnsi="Times New Roman" w:cs="Times New Roman" w:hint="eastAsia"/>
          <w:sz w:val="18"/>
          <w:szCs w:val="18"/>
        </w:rPr>
        <w:t>Intell</w:t>
      </w:r>
      <w:proofErr w:type="spellEnd"/>
      <w:r w:rsidR="00000000">
        <w:rPr>
          <w:rFonts w:ascii="Times New Roman" w:eastAsia="宋体" w:hAnsi="Times New Roman" w:cs="Times New Roman" w:hint="eastAsia"/>
          <w:sz w:val="18"/>
          <w:szCs w:val="18"/>
        </w:rPr>
        <w:t>. 2024;6(4</w:t>
      </w:r>
      <w:proofErr w:type="gramStart"/>
      <w:r w:rsidR="00000000">
        <w:rPr>
          <w:rFonts w:ascii="Times New Roman" w:eastAsia="宋体" w:hAnsi="Times New Roman" w:cs="Times New Roman" w:hint="eastAsia"/>
          <w:sz w:val="18"/>
          <w:szCs w:val="18"/>
        </w:rPr>
        <w:t>):e</w:t>
      </w:r>
      <w:proofErr w:type="gramEnd"/>
      <w:r w:rsidR="00000000">
        <w:rPr>
          <w:rFonts w:ascii="Times New Roman" w:eastAsia="宋体" w:hAnsi="Times New Roman" w:cs="Times New Roman" w:hint="eastAsia"/>
          <w:sz w:val="18"/>
          <w:szCs w:val="18"/>
        </w:rPr>
        <w:t>240300. doi:10.1148/ryai.240300</w:t>
      </w:r>
    </w:p>
    <w:sectPr w:rsidR="00392476">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EC8"/>
    <w:rsid w:val="00003336"/>
    <w:rsid w:val="00011D20"/>
    <w:rsid w:val="00011FD7"/>
    <w:rsid w:val="00022C86"/>
    <w:rsid w:val="0003204F"/>
    <w:rsid w:val="00033BFB"/>
    <w:rsid w:val="00035579"/>
    <w:rsid w:val="00036C26"/>
    <w:rsid w:val="00042454"/>
    <w:rsid w:val="00043099"/>
    <w:rsid w:val="000475E7"/>
    <w:rsid w:val="000548D8"/>
    <w:rsid w:val="000578DD"/>
    <w:rsid w:val="0006263E"/>
    <w:rsid w:val="00066F92"/>
    <w:rsid w:val="000811F3"/>
    <w:rsid w:val="00087C72"/>
    <w:rsid w:val="000A1CC6"/>
    <w:rsid w:val="000A3AFD"/>
    <w:rsid w:val="000A3B07"/>
    <w:rsid w:val="000B0B9D"/>
    <w:rsid w:val="000B1B30"/>
    <w:rsid w:val="000B38A1"/>
    <w:rsid w:val="000C5C4F"/>
    <w:rsid w:val="000D0A17"/>
    <w:rsid w:val="000D1E80"/>
    <w:rsid w:val="000D7790"/>
    <w:rsid w:val="000E0980"/>
    <w:rsid w:val="000E2536"/>
    <w:rsid w:val="000F3935"/>
    <w:rsid w:val="00104640"/>
    <w:rsid w:val="00105CB9"/>
    <w:rsid w:val="00113868"/>
    <w:rsid w:val="00114D93"/>
    <w:rsid w:val="001303E7"/>
    <w:rsid w:val="00144C5E"/>
    <w:rsid w:val="0015409F"/>
    <w:rsid w:val="00155DAA"/>
    <w:rsid w:val="00162A38"/>
    <w:rsid w:val="00167170"/>
    <w:rsid w:val="0018324E"/>
    <w:rsid w:val="001954E7"/>
    <w:rsid w:val="00195B86"/>
    <w:rsid w:val="0019645D"/>
    <w:rsid w:val="001B357C"/>
    <w:rsid w:val="001B431B"/>
    <w:rsid w:val="001B6DE2"/>
    <w:rsid w:val="001C0546"/>
    <w:rsid w:val="001D266F"/>
    <w:rsid w:val="001E7FAC"/>
    <w:rsid w:val="001F4BEE"/>
    <w:rsid w:val="001F6479"/>
    <w:rsid w:val="001F7CC0"/>
    <w:rsid w:val="00207BB1"/>
    <w:rsid w:val="00210FB9"/>
    <w:rsid w:val="00223BD2"/>
    <w:rsid w:val="00226261"/>
    <w:rsid w:val="002279AC"/>
    <w:rsid w:val="002310F2"/>
    <w:rsid w:val="0023319A"/>
    <w:rsid w:val="002349CD"/>
    <w:rsid w:val="002466CB"/>
    <w:rsid w:val="00246BCB"/>
    <w:rsid w:val="002551A3"/>
    <w:rsid w:val="00255666"/>
    <w:rsid w:val="0026644D"/>
    <w:rsid w:val="002677FF"/>
    <w:rsid w:val="00274A30"/>
    <w:rsid w:val="002779EC"/>
    <w:rsid w:val="00282338"/>
    <w:rsid w:val="0028334A"/>
    <w:rsid w:val="00287EF1"/>
    <w:rsid w:val="00295FD6"/>
    <w:rsid w:val="002B2801"/>
    <w:rsid w:val="002B50C0"/>
    <w:rsid w:val="002C4245"/>
    <w:rsid w:val="002C497C"/>
    <w:rsid w:val="002D0434"/>
    <w:rsid w:val="002D6634"/>
    <w:rsid w:val="002E2E36"/>
    <w:rsid w:val="002E44E0"/>
    <w:rsid w:val="002F10D8"/>
    <w:rsid w:val="002F3DB7"/>
    <w:rsid w:val="00301124"/>
    <w:rsid w:val="003024B3"/>
    <w:rsid w:val="003256B0"/>
    <w:rsid w:val="003413B4"/>
    <w:rsid w:val="00342974"/>
    <w:rsid w:val="003659F7"/>
    <w:rsid w:val="00366E14"/>
    <w:rsid w:val="00377E5B"/>
    <w:rsid w:val="0038365B"/>
    <w:rsid w:val="00383C45"/>
    <w:rsid w:val="00392476"/>
    <w:rsid w:val="00394FD6"/>
    <w:rsid w:val="003B2E9A"/>
    <w:rsid w:val="003C4513"/>
    <w:rsid w:val="003D38C9"/>
    <w:rsid w:val="003E58D1"/>
    <w:rsid w:val="0040040E"/>
    <w:rsid w:val="004026A4"/>
    <w:rsid w:val="00413BF1"/>
    <w:rsid w:val="00434F62"/>
    <w:rsid w:val="00440ED4"/>
    <w:rsid w:val="0044149C"/>
    <w:rsid w:val="00442203"/>
    <w:rsid w:val="00445327"/>
    <w:rsid w:val="0044545C"/>
    <w:rsid w:val="004454A9"/>
    <w:rsid w:val="00446298"/>
    <w:rsid w:val="0044673C"/>
    <w:rsid w:val="0045131A"/>
    <w:rsid w:val="004539D0"/>
    <w:rsid w:val="00453F98"/>
    <w:rsid w:val="0047141F"/>
    <w:rsid w:val="00477FF0"/>
    <w:rsid w:val="00482298"/>
    <w:rsid w:val="0048734E"/>
    <w:rsid w:val="004A6FEB"/>
    <w:rsid w:val="004B2CF9"/>
    <w:rsid w:val="004B6271"/>
    <w:rsid w:val="004C20BA"/>
    <w:rsid w:val="004C57FB"/>
    <w:rsid w:val="004C6FFD"/>
    <w:rsid w:val="004D23B9"/>
    <w:rsid w:val="004E5CBC"/>
    <w:rsid w:val="004E67D6"/>
    <w:rsid w:val="004F480C"/>
    <w:rsid w:val="004F5B50"/>
    <w:rsid w:val="004F73B0"/>
    <w:rsid w:val="00501D9D"/>
    <w:rsid w:val="00502070"/>
    <w:rsid w:val="00503B42"/>
    <w:rsid w:val="005107EA"/>
    <w:rsid w:val="00514C7D"/>
    <w:rsid w:val="00516536"/>
    <w:rsid w:val="00520B1A"/>
    <w:rsid w:val="005315B0"/>
    <w:rsid w:val="0053417E"/>
    <w:rsid w:val="00536ABF"/>
    <w:rsid w:val="00537D94"/>
    <w:rsid w:val="00551022"/>
    <w:rsid w:val="0055334B"/>
    <w:rsid w:val="00553EEB"/>
    <w:rsid w:val="00561F99"/>
    <w:rsid w:val="00567E10"/>
    <w:rsid w:val="0058311D"/>
    <w:rsid w:val="00584965"/>
    <w:rsid w:val="00584B2D"/>
    <w:rsid w:val="00585C14"/>
    <w:rsid w:val="00587CBB"/>
    <w:rsid w:val="00590BCE"/>
    <w:rsid w:val="00592226"/>
    <w:rsid w:val="005935E2"/>
    <w:rsid w:val="005A0793"/>
    <w:rsid w:val="005A1328"/>
    <w:rsid w:val="005C1E44"/>
    <w:rsid w:val="005E5D9D"/>
    <w:rsid w:val="005F3828"/>
    <w:rsid w:val="00613F2D"/>
    <w:rsid w:val="00615692"/>
    <w:rsid w:val="006256A1"/>
    <w:rsid w:val="00632AC5"/>
    <w:rsid w:val="006350C1"/>
    <w:rsid w:val="00641841"/>
    <w:rsid w:val="00650802"/>
    <w:rsid w:val="00671E0D"/>
    <w:rsid w:val="00674CA0"/>
    <w:rsid w:val="00691ADB"/>
    <w:rsid w:val="00693EE4"/>
    <w:rsid w:val="00696F9A"/>
    <w:rsid w:val="006A14B6"/>
    <w:rsid w:val="006A5618"/>
    <w:rsid w:val="006A6180"/>
    <w:rsid w:val="006A742E"/>
    <w:rsid w:val="006B573F"/>
    <w:rsid w:val="006B5775"/>
    <w:rsid w:val="006B7AC3"/>
    <w:rsid w:val="006C390D"/>
    <w:rsid w:val="006D0C62"/>
    <w:rsid w:val="006D3099"/>
    <w:rsid w:val="006D3509"/>
    <w:rsid w:val="006D3E4E"/>
    <w:rsid w:val="006E1EA4"/>
    <w:rsid w:val="006E7FFB"/>
    <w:rsid w:val="006F2ACF"/>
    <w:rsid w:val="006F746D"/>
    <w:rsid w:val="006F755D"/>
    <w:rsid w:val="007020BF"/>
    <w:rsid w:val="00703BA8"/>
    <w:rsid w:val="0070487F"/>
    <w:rsid w:val="00707372"/>
    <w:rsid w:val="007116C6"/>
    <w:rsid w:val="0072233D"/>
    <w:rsid w:val="00724BCB"/>
    <w:rsid w:val="007258B3"/>
    <w:rsid w:val="00737FED"/>
    <w:rsid w:val="00741515"/>
    <w:rsid w:val="0076247C"/>
    <w:rsid w:val="0076431D"/>
    <w:rsid w:val="00777684"/>
    <w:rsid w:val="007950D5"/>
    <w:rsid w:val="007C1A32"/>
    <w:rsid w:val="007C65E6"/>
    <w:rsid w:val="007D20EF"/>
    <w:rsid w:val="007D3F74"/>
    <w:rsid w:val="007E41F9"/>
    <w:rsid w:val="007E7F89"/>
    <w:rsid w:val="007F6795"/>
    <w:rsid w:val="008046EB"/>
    <w:rsid w:val="00804D63"/>
    <w:rsid w:val="00811B30"/>
    <w:rsid w:val="00817E02"/>
    <w:rsid w:val="00820506"/>
    <w:rsid w:val="00822CE2"/>
    <w:rsid w:val="00833443"/>
    <w:rsid w:val="0084010F"/>
    <w:rsid w:val="008458D7"/>
    <w:rsid w:val="008515C4"/>
    <w:rsid w:val="00852210"/>
    <w:rsid w:val="00852FC2"/>
    <w:rsid w:val="008533EF"/>
    <w:rsid w:val="008560F7"/>
    <w:rsid w:val="00864C7F"/>
    <w:rsid w:val="0087039C"/>
    <w:rsid w:val="008720C0"/>
    <w:rsid w:val="00877368"/>
    <w:rsid w:val="00885F9A"/>
    <w:rsid w:val="00886624"/>
    <w:rsid w:val="008925B7"/>
    <w:rsid w:val="008925DC"/>
    <w:rsid w:val="008944DA"/>
    <w:rsid w:val="00895CB8"/>
    <w:rsid w:val="008B3662"/>
    <w:rsid w:val="008B43F1"/>
    <w:rsid w:val="008B5741"/>
    <w:rsid w:val="008C0649"/>
    <w:rsid w:val="008C0B2A"/>
    <w:rsid w:val="008D3189"/>
    <w:rsid w:val="008D410D"/>
    <w:rsid w:val="008E54CA"/>
    <w:rsid w:val="008E7F22"/>
    <w:rsid w:val="0090118A"/>
    <w:rsid w:val="009032BD"/>
    <w:rsid w:val="00911500"/>
    <w:rsid w:val="00915054"/>
    <w:rsid w:val="00921B65"/>
    <w:rsid w:val="00940475"/>
    <w:rsid w:val="009405A3"/>
    <w:rsid w:val="00946E2C"/>
    <w:rsid w:val="009908D6"/>
    <w:rsid w:val="0099137A"/>
    <w:rsid w:val="009A387B"/>
    <w:rsid w:val="009A45B6"/>
    <w:rsid w:val="009A52FC"/>
    <w:rsid w:val="009D7EAE"/>
    <w:rsid w:val="009E356A"/>
    <w:rsid w:val="009E4851"/>
    <w:rsid w:val="009E786D"/>
    <w:rsid w:val="009F39D5"/>
    <w:rsid w:val="009F7248"/>
    <w:rsid w:val="00A103ED"/>
    <w:rsid w:val="00A143BB"/>
    <w:rsid w:val="00A16AB7"/>
    <w:rsid w:val="00A262FA"/>
    <w:rsid w:val="00A36825"/>
    <w:rsid w:val="00A46ABD"/>
    <w:rsid w:val="00A477D5"/>
    <w:rsid w:val="00A51215"/>
    <w:rsid w:val="00A5242D"/>
    <w:rsid w:val="00A571DC"/>
    <w:rsid w:val="00A61288"/>
    <w:rsid w:val="00A61342"/>
    <w:rsid w:val="00A61E1E"/>
    <w:rsid w:val="00A74FE1"/>
    <w:rsid w:val="00A85917"/>
    <w:rsid w:val="00A86141"/>
    <w:rsid w:val="00A875DB"/>
    <w:rsid w:val="00A93417"/>
    <w:rsid w:val="00AA6039"/>
    <w:rsid w:val="00AA6EC8"/>
    <w:rsid w:val="00AA7CBC"/>
    <w:rsid w:val="00AB0D39"/>
    <w:rsid w:val="00AB7663"/>
    <w:rsid w:val="00AC6342"/>
    <w:rsid w:val="00AD3ADF"/>
    <w:rsid w:val="00AE3EE4"/>
    <w:rsid w:val="00AE49C5"/>
    <w:rsid w:val="00B1055B"/>
    <w:rsid w:val="00B128FF"/>
    <w:rsid w:val="00B13BFE"/>
    <w:rsid w:val="00B22C03"/>
    <w:rsid w:val="00B22EA9"/>
    <w:rsid w:val="00B25FAF"/>
    <w:rsid w:val="00B3136D"/>
    <w:rsid w:val="00B40A96"/>
    <w:rsid w:val="00B520B3"/>
    <w:rsid w:val="00B5401C"/>
    <w:rsid w:val="00B56907"/>
    <w:rsid w:val="00B57041"/>
    <w:rsid w:val="00B618E2"/>
    <w:rsid w:val="00B61EEF"/>
    <w:rsid w:val="00B66436"/>
    <w:rsid w:val="00B67875"/>
    <w:rsid w:val="00B74AAB"/>
    <w:rsid w:val="00B776B4"/>
    <w:rsid w:val="00B80A08"/>
    <w:rsid w:val="00B8286D"/>
    <w:rsid w:val="00B82B25"/>
    <w:rsid w:val="00B86AA0"/>
    <w:rsid w:val="00BA35F0"/>
    <w:rsid w:val="00BA5A7D"/>
    <w:rsid w:val="00BA66C7"/>
    <w:rsid w:val="00BB058D"/>
    <w:rsid w:val="00BB1355"/>
    <w:rsid w:val="00BC0CE2"/>
    <w:rsid w:val="00BC4650"/>
    <w:rsid w:val="00BC6360"/>
    <w:rsid w:val="00BD2D57"/>
    <w:rsid w:val="00BE376D"/>
    <w:rsid w:val="00BE756B"/>
    <w:rsid w:val="00BF1B46"/>
    <w:rsid w:val="00BF26CF"/>
    <w:rsid w:val="00C03A95"/>
    <w:rsid w:val="00C0617D"/>
    <w:rsid w:val="00C10909"/>
    <w:rsid w:val="00C10E84"/>
    <w:rsid w:val="00C12C69"/>
    <w:rsid w:val="00C2660B"/>
    <w:rsid w:val="00C52978"/>
    <w:rsid w:val="00C55E8E"/>
    <w:rsid w:val="00C60C40"/>
    <w:rsid w:val="00C71006"/>
    <w:rsid w:val="00C712D6"/>
    <w:rsid w:val="00C736FD"/>
    <w:rsid w:val="00C74802"/>
    <w:rsid w:val="00C76B54"/>
    <w:rsid w:val="00C82A4A"/>
    <w:rsid w:val="00CA6FBC"/>
    <w:rsid w:val="00CC2821"/>
    <w:rsid w:val="00CC7136"/>
    <w:rsid w:val="00CD1A98"/>
    <w:rsid w:val="00CE00A6"/>
    <w:rsid w:val="00CE4D66"/>
    <w:rsid w:val="00CF1D12"/>
    <w:rsid w:val="00CF4155"/>
    <w:rsid w:val="00D0517D"/>
    <w:rsid w:val="00D064F0"/>
    <w:rsid w:val="00D119A9"/>
    <w:rsid w:val="00D25F3F"/>
    <w:rsid w:val="00D27578"/>
    <w:rsid w:val="00D3676B"/>
    <w:rsid w:val="00D4098B"/>
    <w:rsid w:val="00D44DD2"/>
    <w:rsid w:val="00D45AFA"/>
    <w:rsid w:val="00D522AC"/>
    <w:rsid w:val="00D531BC"/>
    <w:rsid w:val="00D62C6F"/>
    <w:rsid w:val="00D65699"/>
    <w:rsid w:val="00D775E5"/>
    <w:rsid w:val="00D879F5"/>
    <w:rsid w:val="00D94416"/>
    <w:rsid w:val="00DA03E0"/>
    <w:rsid w:val="00DA376B"/>
    <w:rsid w:val="00DB46B7"/>
    <w:rsid w:val="00DB6709"/>
    <w:rsid w:val="00DC26CE"/>
    <w:rsid w:val="00DC2FC3"/>
    <w:rsid w:val="00DC4006"/>
    <w:rsid w:val="00DD1019"/>
    <w:rsid w:val="00DD24E4"/>
    <w:rsid w:val="00DD6458"/>
    <w:rsid w:val="00DD6C6A"/>
    <w:rsid w:val="00DD6F73"/>
    <w:rsid w:val="00DE3477"/>
    <w:rsid w:val="00DE6680"/>
    <w:rsid w:val="00DE77F6"/>
    <w:rsid w:val="00DF08CD"/>
    <w:rsid w:val="00DF24E7"/>
    <w:rsid w:val="00DF41D4"/>
    <w:rsid w:val="00DF5808"/>
    <w:rsid w:val="00E043FB"/>
    <w:rsid w:val="00E05AB4"/>
    <w:rsid w:val="00E2188B"/>
    <w:rsid w:val="00E2613B"/>
    <w:rsid w:val="00E52B91"/>
    <w:rsid w:val="00E573DF"/>
    <w:rsid w:val="00E63147"/>
    <w:rsid w:val="00E66B98"/>
    <w:rsid w:val="00E90DA7"/>
    <w:rsid w:val="00E90EA4"/>
    <w:rsid w:val="00E924F2"/>
    <w:rsid w:val="00E93405"/>
    <w:rsid w:val="00E952BC"/>
    <w:rsid w:val="00E96579"/>
    <w:rsid w:val="00EA1296"/>
    <w:rsid w:val="00EA4CF7"/>
    <w:rsid w:val="00EA7C12"/>
    <w:rsid w:val="00EB00B1"/>
    <w:rsid w:val="00EC1C89"/>
    <w:rsid w:val="00EC2FDD"/>
    <w:rsid w:val="00ED41AE"/>
    <w:rsid w:val="00EE443C"/>
    <w:rsid w:val="00EE5128"/>
    <w:rsid w:val="00EF7F46"/>
    <w:rsid w:val="00F41B2E"/>
    <w:rsid w:val="00F47145"/>
    <w:rsid w:val="00F51200"/>
    <w:rsid w:val="00F52914"/>
    <w:rsid w:val="00F65B41"/>
    <w:rsid w:val="00F668EC"/>
    <w:rsid w:val="00F67939"/>
    <w:rsid w:val="00F723E7"/>
    <w:rsid w:val="00F86AAA"/>
    <w:rsid w:val="00F919BC"/>
    <w:rsid w:val="00F9270F"/>
    <w:rsid w:val="00F92754"/>
    <w:rsid w:val="00FA42CF"/>
    <w:rsid w:val="00FA4A12"/>
    <w:rsid w:val="00FB4489"/>
    <w:rsid w:val="00FC01BF"/>
    <w:rsid w:val="00FC03F3"/>
    <w:rsid w:val="00FC75D7"/>
    <w:rsid w:val="00FE063E"/>
    <w:rsid w:val="00FE2FB1"/>
    <w:rsid w:val="00FF2E58"/>
    <w:rsid w:val="00FF3BF1"/>
    <w:rsid w:val="00FF3DBE"/>
    <w:rsid w:val="00FF5408"/>
    <w:rsid w:val="084A7A59"/>
    <w:rsid w:val="0C8A02A4"/>
    <w:rsid w:val="0E6F351E"/>
    <w:rsid w:val="0F240BE2"/>
    <w:rsid w:val="0F7756E1"/>
    <w:rsid w:val="14E32ED1"/>
    <w:rsid w:val="17410382"/>
    <w:rsid w:val="18E4307E"/>
    <w:rsid w:val="1B1C538E"/>
    <w:rsid w:val="27D24E61"/>
    <w:rsid w:val="2C3530E7"/>
    <w:rsid w:val="2E07261F"/>
    <w:rsid w:val="373F5BE4"/>
    <w:rsid w:val="37585548"/>
    <w:rsid w:val="3A6E22BA"/>
    <w:rsid w:val="452C2751"/>
    <w:rsid w:val="45F00593"/>
    <w:rsid w:val="5096785A"/>
    <w:rsid w:val="5CB14C2F"/>
    <w:rsid w:val="5E3660CD"/>
    <w:rsid w:val="6A752616"/>
    <w:rsid w:val="6D7F57C7"/>
    <w:rsid w:val="71837838"/>
    <w:rsid w:val="7AC758F2"/>
    <w:rsid w:val="7CA44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9239BD"/>
  <w15:docId w15:val="{DF9459F1-7474-4A2C-BA2D-59208372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14:ligatures w14:val="none"/>
    </w:rPr>
  </w:style>
  <w:style w:type="paragraph" w:styleId="a9">
    <w:name w:val="header"/>
    <w:basedOn w:val="a"/>
    <w:link w:val="aa"/>
    <w:uiPriority w:val="99"/>
    <w:unhideWhenUsed/>
    <w:qFormat/>
    <w:pPr>
      <w:tabs>
        <w:tab w:val="center" w:pos="4153"/>
        <w:tab w:val="right" w:pos="8306"/>
      </w:tabs>
      <w:snapToGrid w:val="0"/>
      <w:jc w:val="center"/>
    </w:pPr>
    <w:rPr>
      <w:sz w:val="18"/>
      <w:szCs w:val="18"/>
      <w14:ligatures w14:val="none"/>
    </w:rPr>
  </w:style>
  <w:style w:type="paragraph" w:styleId="ab">
    <w:name w:val="footnote text"/>
    <w:basedOn w:val="a"/>
    <w:link w:val="ac"/>
    <w:uiPriority w:val="99"/>
    <w:unhideWhenUsed/>
    <w:qFormat/>
    <w:pPr>
      <w:widowControl/>
      <w:jc w:val="left"/>
    </w:pPr>
    <w:rPr>
      <w:rFonts w:cs="Times New Roman"/>
      <w:kern w:val="0"/>
      <w:sz w:val="20"/>
      <w:szCs w:val="20"/>
      <w14:ligatures w14:val="none"/>
    </w:rPr>
  </w:style>
  <w:style w:type="paragraph" w:styleId="ad">
    <w:name w:val="Normal (Web)"/>
    <w:basedOn w:val="a"/>
    <w:uiPriority w:val="99"/>
    <w:semiHidden/>
    <w:unhideWhenUsed/>
    <w:qFormat/>
    <w:pPr>
      <w:spacing w:beforeAutospacing="1" w:afterAutospacing="1"/>
      <w:jc w:val="left"/>
    </w:pPr>
    <w:rPr>
      <w:rFonts w:cs="Times New Roman"/>
      <w:kern w:val="0"/>
      <w:sz w:val="24"/>
    </w:rPr>
  </w:style>
  <w:style w:type="paragraph" w:styleId="ae">
    <w:name w:val="Title"/>
    <w:basedOn w:val="a"/>
    <w:next w:val="a"/>
    <w:link w:val="af"/>
    <w:uiPriority w:val="10"/>
    <w:qFormat/>
    <w:pPr>
      <w:spacing w:before="240" w:after="60"/>
      <w:jc w:val="center"/>
      <w:outlineLvl w:val="0"/>
    </w:pPr>
    <w:rPr>
      <w:rFonts w:asciiTheme="majorHAnsi" w:eastAsiaTheme="majorEastAsia" w:hAnsiTheme="majorHAnsi" w:cstheme="majorBidi"/>
      <w:b/>
      <w:bCs/>
      <w:sz w:val="32"/>
      <w:szCs w:val="32"/>
      <w14:ligatures w14:val="none"/>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1"/>
    <w:basedOn w:val="a1"/>
    <w:uiPriority w:val="60"/>
    <w:qFormat/>
    <w:rPr>
      <w:color w:val="2F5496" w:themeColor="accent1" w:themeShade="BF"/>
      <w:sz w:val="22"/>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af3">
    <w:name w:val="line number"/>
    <w:basedOn w:val="a0"/>
    <w:uiPriority w:val="99"/>
    <w:semiHidden/>
    <w:unhideWhenUsed/>
    <w:qFormat/>
  </w:style>
  <w:style w:type="character" w:styleId="af4">
    <w:name w:val="annotation reference"/>
    <w:basedOn w:val="a0"/>
    <w:uiPriority w:val="99"/>
    <w:semiHidden/>
    <w:unhideWhenUsed/>
    <w:qFormat/>
    <w:rPr>
      <w:sz w:val="21"/>
      <w:szCs w:val="21"/>
    </w:rPr>
  </w:style>
  <w:style w:type="character" w:customStyle="1" w:styleId="rynqvb">
    <w:name w:val="rynqvb"/>
    <w:basedOn w:val="a0"/>
    <w:qFormat/>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DecimalAligned">
    <w:name w:val="Decimal Aligned"/>
    <w:basedOn w:val="a"/>
    <w:uiPriority w:val="40"/>
    <w:qFormat/>
    <w:pPr>
      <w:widowControl/>
      <w:tabs>
        <w:tab w:val="decimal" w:pos="360"/>
      </w:tabs>
      <w:spacing w:after="200" w:line="276" w:lineRule="auto"/>
      <w:jc w:val="left"/>
    </w:pPr>
    <w:rPr>
      <w:rFonts w:cs="Times New Roman"/>
      <w:kern w:val="0"/>
      <w:sz w:val="22"/>
      <w14:ligatures w14:val="none"/>
    </w:rPr>
  </w:style>
  <w:style w:type="character" w:customStyle="1" w:styleId="ac">
    <w:name w:val="脚注文本 字符"/>
    <w:basedOn w:val="a0"/>
    <w:link w:val="ab"/>
    <w:uiPriority w:val="99"/>
    <w:qFormat/>
    <w:rPr>
      <w:rFonts w:cs="Times New Roman"/>
      <w:kern w:val="0"/>
      <w:sz w:val="20"/>
      <w:szCs w:val="20"/>
    </w:rPr>
  </w:style>
  <w:style w:type="character" w:customStyle="1" w:styleId="1">
    <w:name w:val="不明显强调1"/>
    <w:basedOn w:val="a0"/>
    <w:uiPriority w:val="19"/>
    <w:qFormat/>
    <w:rPr>
      <w:i/>
      <w:iCs/>
    </w:rPr>
  </w:style>
  <w:style w:type="paragraph" w:styleId="af5">
    <w:name w:val="List Paragraph"/>
    <w:basedOn w:val="a"/>
    <w:uiPriority w:val="34"/>
    <w:qFormat/>
    <w:pPr>
      <w:ind w:firstLineChars="200" w:firstLine="420"/>
    </w:pPr>
    <w:rPr>
      <w14:ligatures w14:val="none"/>
    </w:rPr>
  </w:style>
  <w:style w:type="character" w:customStyle="1" w:styleId="a4">
    <w:name w:val="批注文字 字符"/>
    <w:basedOn w:val="a0"/>
    <w:link w:val="a3"/>
    <w:uiPriority w:val="99"/>
    <w:semiHidden/>
    <w:qFormat/>
  </w:style>
  <w:style w:type="character" w:customStyle="1" w:styleId="af1">
    <w:name w:val="批注主题 字符"/>
    <w:basedOn w:val="a4"/>
    <w:link w:val="af0"/>
    <w:uiPriority w:val="99"/>
    <w:semiHidden/>
    <w:qFormat/>
    <w:rPr>
      <w:b/>
      <w:bCs/>
    </w:rPr>
  </w:style>
  <w:style w:type="paragraph" w:customStyle="1" w:styleId="10">
    <w:name w:val="修订1"/>
    <w:hidden/>
    <w:uiPriority w:val="99"/>
    <w:semiHidden/>
    <w:rPr>
      <w:rFonts w:asciiTheme="minorHAnsi" w:eastAsiaTheme="minorEastAsia" w:hAnsiTheme="minorHAnsi" w:cstheme="minorBidi"/>
      <w:kern w:val="2"/>
      <w:sz w:val="21"/>
      <w:szCs w:val="22"/>
    </w:rPr>
  </w:style>
  <w:style w:type="character" w:customStyle="1" w:styleId="af">
    <w:name w:val="标题 字符"/>
    <w:basedOn w:val="a0"/>
    <w:link w:val="ae"/>
    <w:uiPriority w:val="10"/>
    <w:qFormat/>
    <w:rPr>
      <w:rFonts w:asciiTheme="majorHAnsi" w:eastAsiaTheme="majorEastAsia" w:hAnsiTheme="majorHAnsi" w:cstheme="majorBidi"/>
      <w:b/>
      <w:bCs/>
      <w:sz w:val="32"/>
      <w:szCs w:val="32"/>
    </w:rPr>
  </w:style>
  <w:style w:type="character" w:customStyle="1" w:styleId="a6">
    <w:name w:val="批注框文本 字符"/>
    <w:basedOn w:val="a0"/>
    <w:link w:val="a5"/>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63260-6087-4403-BF17-1248106FE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612</Words>
  <Characters>3769</Characters>
  <Application>Microsoft Office Word</Application>
  <DocSecurity>0</DocSecurity>
  <Lines>289</Lines>
  <Paragraphs>151</Paragraphs>
  <ScaleCrop>false</ScaleCrop>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CPQ</dc:creator>
  <cp:lastModifiedBy>普珍 黄</cp:lastModifiedBy>
  <cp:revision>50</cp:revision>
  <dcterms:created xsi:type="dcterms:W3CDTF">2024-11-10T02:29:00Z</dcterms:created>
  <dcterms:modified xsi:type="dcterms:W3CDTF">2025-11-10T04:25:00Z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zotero-version="7.0.7-beta.4+304e76685"&gt;&lt;session id="6Cj34xEu"/&gt;&lt;style id="http://www.zotero.org/styles/ieee" locale="en-US" hasBibliography="1" bibliographyStyleHasBeenSet="0"/&gt;&lt;prefs&gt;&lt;pref name="fieldType" value="Field"/&gt;&lt;/prefs&gt;&lt;</vt:lpwstr>
  </property>
  <property fmtid="{D5CDD505-2E9C-101B-9397-08002B2CF9AE}" pid="3" name="ZOTERO_PREF_2">
    <vt:lpwstr>/data&gt;</vt:lpwstr>
  </property>
  <property fmtid="{D5CDD505-2E9C-101B-9397-08002B2CF9AE}" pid="4" name="KSOTemplateDocerSaveRecord">
    <vt:lpwstr>eyJoZGlkIjoiZDliOWM2MzNlZjk4NTNhNjlmZThmZjcxNGE1Y2Q0ZmIiLCJ1c2VySWQiOiIyOTMwNzIzNzcifQ==</vt:lpwstr>
  </property>
  <property fmtid="{D5CDD505-2E9C-101B-9397-08002B2CF9AE}" pid="5" name="KSOProductBuildVer">
    <vt:lpwstr>2052-12.1.0.23542</vt:lpwstr>
  </property>
  <property fmtid="{D5CDD505-2E9C-101B-9397-08002B2CF9AE}" pid="6" name="ICV">
    <vt:lpwstr>3C18D8823BEC4B538768475CFFDB8EDF_12</vt:lpwstr>
  </property>
</Properties>
</file>