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FC83" w14:textId="087320B0" w:rsidR="009802A4" w:rsidRPr="00C70956" w:rsidRDefault="00243A26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Supplement </w:t>
      </w:r>
      <w:r w:rsidR="00EE33FF">
        <w:rPr>
          <w:rFonts w:ascii="Palatino Linotype" w:hAnsi="Palatino Linotype"/>
          <w:b/>
          <w:bCs/>
        </w:rPr>
        <w:t>7</w:t>
      </w:r>
      <w:r>
        <w:rPr>
          <w:rFonts w:ascii="Palatino Linotype" w:hAnsi="Palatino Linotype"/>
          <w:b/>
          <w:bCs/>
        </w:rPr>
        <w:t xml:space="preserve"> - </w:t>
      </w:r>
      <w:r w:rsidR="00D0047A" w:rsidRPr="00C70956">
        <w:rPr>
          <w:rFonts w:ascii="Palatino Linotype" w:hAnsi="Palatino Linotype"/>
          <w:b/>
          <w:bCs/>
        </w:rPr>
        <w:t xml:space="preserve">SUMMARY OF FINDINGS </w:t>
      </w:r>
      <w:r>
        <w:rPr>
          <w:rFonts w:ascii="Palatino Linotype" w:hAnsi="Palatino Linotype"/>
          <w:b/>
          <w:bCs/>
        </w:rPr>
        <w:t>(RCT)</w:t>
      </w:r>
    </w:p>
    <w:p w14:paraId="099D7910" w14:textId="44C32B16" w:rsidR="00D0047A" w:rsidRPr="00C70956" w:rsidRDefault="00D0047A">
      <w:pPr>
        <w:pBdr>
          <w:bottom w:val="single" w:sz="12" w:space="1" w:color="auto"/>
        </w:pBdr>
        <w:rPr>
          <w:rFonts w:ascii="Palatino Linotype" w:hAnsi="Palatino Linotype"/>
          <w:b/>
          <w:bCs/>
        </w:rPr>
      </w:pPr>
      <w:r w:rsidRPr="00C70956">
        <w:rPr>
          <w:rFonts w:ascii="Palatino Linotype" w:hAnsi="Palatino Linotype"/>
          <w:b/>
          <w:bCs/>
        </w:rPr>
        <w:t>Summary of findings  – Pharmacological interventions compared to Placebo or Standard-of-Care in patients with POTS</w:t>
      </w:r>
      <w:r w:rsidR="00C70956">
        <w:rPr>
          <w:rFonts w:ascii="Palatino Linotype" w:hAnsi="Palatino Linotype"/>
          <w:b/>
          <w:bCs/>
        </w:rPr>
        <w:t xml:space="preserve"> (RCT)</w:t>
      </w:r>
    </w:p>
    <w:p w14:paraId="0C262387" w14:textId="2D565D75" w:rsidR="00C70956" w:rsidRDefault="00C70956">
      <w:pPr>
        <w:rPr>
          <w:rFonts w:ascii="Palatino Linotype" w:hAnsi="Palatino Linotype"/>
          <w:b/>
          <w:bCs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Pharmacological interventions compared to Placebo or Standard-of-Care in Patients with POTS</w:t>
      </w:r>
      <w:r>
        <w:rPr>
          <w:rFonts w:ascii="Palatino Linotype" w:hAnsi="Palatino Linotype"/>
          <w:b/>
          <w:bCs/>
          <w:sz w:val="20"/>
          <w:szCs w:val="20"/>
        </w:rPr>
        <w:t xml:space="preserve"> (RCT studies)</w:t>
      </w:r>
    </w:p>
    <w:p w14:paraId="08E09B6A" w14:textId="25C91EB6" w:rsidR="00C70956" w:rsidRDefault="00C70956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Population: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Adults and / or children with a confirmed diagnosis of POTS</w:t>
      </w:r>
    </w:p>
    <w:p w14:paraId="71CA0393" w14:textId="5B8F31B1" w:rsidR="00C70956" w:rsidRDefault="00C70956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Intervention:</w:t>
      </w:r>
      <w:r>
        <w:rPr>
          <w:rFonts w:ascii="Palatino Linotype" w:hAnsi="Palatino Linotype"/>
          <w:sz w:val="20"/>
          <w:szCs w:val="20"/>
        </w:rPr>
        <w:t xml:space="preserve"> Pharmacological interventions (see below)</w:t>
      </w:r>
    </w:p>
    <w:p w14:paraId="7A3A8FBF" w14:textId="3D825A40" w:rsidR="00C70956" w:rsidRDefault="00C70956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Comparison:</w:t>
      </w:r>
      <w:r>
        <w:rPr>
          <w:rFonts w:ascii="Palatino Linotype" w:hAnsi="Palatino Linotype"/>
          <w:sz w:val="20"/>
          <w:szCs w:val="20"/>
        </w:rPr>
        <w:t xml:space="preserve"> Placebo or Standard-of-Care</w:t>
      </w:r>
    </w:p>
    <w:p w14:paraId="7654A92D" w14:textId="77777777" w:rsidR="00C70956" w:rsidRDefault="00C70956">
      <w:pPr>
        <w:rPr>
          <w:rFonts w:ascii="Palatino Linotype" w:hAnsi="Palatino Linotype"/>
          <w:sz w:val="20"/>
          <w:szCs w:val="20"/>
        </w:rPr>
      </w:pPr>
    </w:p>
    <w:tbl>
      <w:tblPr>
        <w:tblStyle w:val="Gitternetztabelle1hell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2551"/>
        <w:gridCol w:w="1311"/>
        <w:gridCol w:w="1305"/>
        <w:gridCol w:w="1305"/>
        <w:gridCol w:w="1205"/>
        <w:gridCol w:w="980"/>
        <w:gridCol w:w="1102"/>
        <w:gridCol w:w="1926"/>
      </w:tblGrid>
      <w:tr w:rsidR="00201F66" w14:paraId="665A3EBC" w14:textId="77777777" w:rsidTr="00201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EFB6CCE" w14:textId="2B1EF258" w:rsidR="00201F66" w:rsidRDefault="00201F66" w:rsidP="000E46D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Studies</w:t>
            </w:r>
          </w:p>
        </w:tc>
        <w:tc>
          <w:tcPr>
            <w:tcW w:w="2551" w:type="dxa"/>
          </w:tcPr>
          <w:p w14:paraId="7B9DC6E1" w14:textId="55152752" w:rsidR="00201F66" w:rsidRDefault="00EC57FE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Intervention (+ Dosage)</w:t>
            </w:r>
          </w:p>
        </w:tc>
        <w:tc>
          <w:tcPr>
            <w:tcW w:w="1311" w:type="dxa"/>
          </w:tcPr>
          <w:p w14:paraId="6EE39F7F" w14:textId="24629B88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Outcome</w:t>
            </w:r>
          </w:p>
        </w:tc>
        <w:tc>
          <w:tcPr>
            <w:tcW w:w="1305" w:type="dxa"/>
          </w:tcPr>
          <w:p w14:paraId="2E015594" w14:textId="1B69A6F7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Number of participants included in the analysis</w:t>
            </w:r>
          </w:p>
          <w:p w14:paraId="4AA13F8E" w14:textId="571DD1AA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(studies)</w:t>
            </w:r>
          </w:p>
          <w:p w14:paraId="703F1171" w14:textId="02F78F43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CD04854" w14:textId="77777777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Age of participants</w:t>
            </w:r>
          </w:p>
          <w:p w14:paraId="07E7B526" w14:textId="585D53D3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(MEAN + SD or Age Range)</w:t>
            </w:r>
          </w:p>
        </w:tc>
        <w:tc>
          <w:tcPr>
            <w:tcW w:w="1205" w:type="dxa"/>
          </w:tcPr>
          <w:p w14:paraId="07B4ED0B" w14:textId="07ABFE4B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Sex Ratio (female : male; percentage of females)</w:t>
            </w:r>
          </w:p>
        </w:tc>
        <w:tc>
          <w:tcPr>
            <w:tcW w:w="980" w:type="dxa"/>
          </w:tcPr>
          <w:p w14:paraId="503FDD26" w14:textId="609A71C7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Country</w:t>
            </w:r>
          </w:p>
        </w:tc>
        <w:tc>
          <w:tcPr>
            <w:tcW w:w="1102" w:type="dxa"/>
          </w:tcPr>
          <w:p w14:paraId="3E8D19A2" w14:textId="650A1E78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Certainty of evidence (GRADE)</w:t>
            </w:r>
          </w:p>
        </w:tc>
        <w:tc>
          <w:tcPr>
            <w:tcW w:w="1926" w:type="dxa"/>
          </w:tcPr>
          <w:p w14:paraId="461D1FD0" w14:textId="77777777" w:rsidR="00201F66" w:rsidRDefault="00201F66" w:rsidP="000E4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Comments</w:t>
            </w:r>
          </w:p>
        </w:tc>
      </w:tr>
      <w:tr w:rsidR="00201F66" w14:paraId="7B49C3C5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A4367A3" w14:textId="5AF14C28" w:rsidR="00201F66" w:rsidRDefault="00201F66" w:rsidP="000E46D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Green et al. (2013)</w:t>
            </w:r>
          </w:p>
        </w:tc>
        <w:tc>
          <w:tcPr>
            <w:tcW w:w="2551" w:type="dxa"/>
            <w:vMerge w:val="restart"/>
          </w:tcPr>
          <w:p w14:paraId="401E1AA2" w14:textId="4E89DF2C" w:rsidR="00201F66" w:rsidRP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201F66">
              <w:rPr>
                <w:rFonts w:ascii="Palatino Linotype" w:hAnsi="Palatino Linotype"/>
                <w:b/>
                <w:bCs/>
                <w:sz w:val="20"/>
                <w:szCs w:val="20"/>
              </w:rPr>
              <w:t>Atomoxetine</w:t>
            </w:r>
          </w:p>
          <w:p w14:paraId="605AF1E5" w14:textId="77777777" w:rsidR="00201F66" w:rsidRP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143A6859" w14:textId="77777777" w:rsidR="00201F66" w:rsidRP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201F66">
              <w:rPr>
                <w:rFonts w:ascii="Palatino Linotype" w:hAnsi="Palatino Linotype"/>
                <w:b/>
                <w:bCs/>
                <w:sz w:val="20"/>
                <w:szCs w:val="20"/>
              </w:rPr>
              <w:t>40 mg (single dose)</w:t>
            </w:r>
          </w:p>
          <w:p w14:paraId="6B9A6CD9" w14:textId="77777777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4D8CD0CF" w14:textId="77777777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2F2599C6" w14:textId="0FDCE586" w:rsidR="00201F66" w:rsidRP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508914D9" w14:textId="624D838A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305" w:type="dxa"/>
          </w:tcPr>
          <w:p w14:paraId="147E5531" w14:textId="77777777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27 participants (1 RCT study)</w:t>
            </w:r>
          </w:p>
        </w:tc>
        <w:tc>
          <w:tcPr>
            <w:tcW w:w="1305" w:type="dxa"/>
          </w:tcPr>
          <w:p w14:paraId="7BD9AF42" w14:textId="257F091B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462BC">
              <w:rPr>
                <w:rFonts w:ascii="Palatino Linotype" w:hAnsi="Palatino Linotype"/>
                <w:sz w:val="20"/>
                <w:szCs w:val="20"/>
              </w:rPr>
              <w:t>34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7462BC">
              <w:rPr>
                <w:rFonts w:ascii="Palatino Linotype" w:hAnsi="Palatino Linotype"/>
                <w:sz w:val="20"/>
                <w:szCs w:val="20"/>
              </w:rPr>
              <w:t>9 years</w:t>
            </w:r>
          </w:p>
        </w:tc>
        <w:tc>
          <w:tcPr>
            <w:tcW w:w="1205" w:type="dxa"/>
          </w:tcPr>
          <w:p w14:paraId="69D97532" w14:textId="77777777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2</w:t>
            </w:r>
          </w:p>
          <w:p w14:paraId="02140ED5" w14:textId="0C27B1B7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(93 %)</w:t>
            </w:r>
          </w:p>
        </w:tc>
        <w:tc>
          <w:tcPr>
            <w:tcW w:w="980" w:type="dxa"/>
          </w:tcPr>
          <w:p w14:paraId="3FD6CCD3" w14:textId="3E9B9004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4D96E96E" w14:textId="3D13E8CD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3185F661" w14:textId="442D2AE9" w:rsidR="00201F66" w:rsidRDefault="00201F66" w:rsidP="000E46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E7DAE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40 mg atomoxetine, there </w:t>
            </w:r>
            <w:r w:rsidR="00440F26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DE7DAE">
              <w:rPr>
                <w:rFonts w:ascii="Palatino Linotype" w:hAnsi="Palatino Linotype"/>
                <w:sz w:val="20"/>
                <w:szCs w:val="20"/>
              </w:rPr>
              <w:t xml:space="preserve"> no decrease in  heart rate increment upon postural change vs. placebo. Due to a moderate risk of </w:t>
            </w:r>
            <w:r w:rsidRPr="00DE7DAE">
              <w:rPr>
                <w:rFonts w:ascii="Palatino Linotype" w:hAnsi="Palatino Linotype"/>
                <w:sz w:val="20"/>
                <w:szCs w:val="20"/>
              </w:rPr>
              <w:lastRenderedPageBreak/>
              <w:t>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. A positive effect of Atomoxetine on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Atomoxetine in ME/CFS.</w:t>
            </w:r>
          </w:p>
        </w:tc>
      </w:tr>
      <w:tr w:rsidR="00201F66" w14:paraId="16930718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A0F40C9" w14:textId="7C98F582" w:rsidR="00201F66" w:rsidRDefault="00201F66" w:rsidP="007462B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Green et al. (2013)</w:t>
            </w:r>
          </w:p>
        </w:tc>
        <w:tc>
          <w:tcPr>
            <w:tcW w:w="2551" w:type="dxa"/>
            <w:vMerge/>
          </w:tcPr>
          <w:p w14:paraId="57E86948" w14:textId="26EBAB16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A1BCDCB" w14:textId="17BD73F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4BE51917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27 participants (1 RCT study)</w:t>
            </w:r>
          </w:p>
        </w:tc>
        <w:tc>
          <w:tcPr>
            <w:tcW w:w="1305" w:type="dxa"/>
          </w:tcPr>
          <w:p w14:paraId="4517D6CF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462BC">
              <w:rPr>
                <w:rFonts w:ascii="Palatino Linotype" w:hAnsi="Palatino Linotype"/>
                <w:sz w:val="20"/>
                <w:szCs w:val="20"/>
              </w:rPr>
              <w:t>34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7462BC">
              <w:rPr>
                <w:rFonts w:ascii="Palatino Linotype" w:hAnsi="Palatino Linotype"/>
                <w:sz w:val="20"/>
                <w:szCs w:val="20"/>
              </w:rPr>
              <w:t>9 years</w:t>
            </w:r>
          </w:p>
          <w:p w14:paraId="01CFE329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F723117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DB7EFE3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2ABA69B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8C1FF4F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0225F22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8B2B2F4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585D651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6564230" w14:textId="77777777" w:rsid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1304993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7B84920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EA3F221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B47F643" w14:textId="77777777" w:rsid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2FDDAF9" w14:textId="77777777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5A7BA1E" w14:textId="77777777" w:rsid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A7A1290" w14:textId="4A13969F" w:rsidR="00C678B2" w:rsidRPr="00C678B2" w:rsidRDefault="00C678B2" w:rsidP="00C67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D8154FF" w14:textId="484A1AF9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2 (93 %)</w:t>
            </w:r>
          </w:p>
        </w:tc>
        <w:tc>
          <w:tcPr>
            <w:tcW w:w="980" w:type="dxa"/>
          </w:tcPr>
          <w:p w14:paraId="7CE0915D" w14:textId="3FE68318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2F006D8F" w14:textId="2E7C9804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3E77D77F" w14:textId="2918BBEA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E7DAE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40 mg atomoxetine, there </w:t>
            </w:r>
            <w:r w:rsidR="00440F26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DE7DAE">
              <w:rPr>
                <w:rFonts w:ascii="Palatino Linotype" w:hAnsi="Palatino Linotype"/>
                <w:sz w:val="20"/>
                <w:szCs w:val="20"/>
              </w:rPr>
              <w:t xml:space="preserve">s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no </w:t>
            </w:r>
            <w:r w:rsidRPr="00DE7DAE">
              <w:rPr>
                <w:rFonts w:ascii="Palatino Linotype" w:hAnsi="Palatino Linotype"/>
                <w:sz w:val="20"/>
                <w:szCs w:val="20"/>
              </w:rPr>
              <w:t>significant decrease in symptom burden vs. placebo 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 w:rsidRPr="00DE7DAE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A positive effect of Atomoxetine on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symptom burden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Atomoxetine in ME/CFS.</w:t>
            </w:r>
          </w:p>
        </w:tc>
      </w:tr>
      <w:tr w:rsidR="00201F66" w14:paraId="37D5FC5C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2B38303" w14:textId="625793A2" w:rsidR="00201F66" w:rsidRDefault="00201F66" w:rsidP="007462B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Coffin et al. (2012)</w:t>
            </w:r>
          </w:p>
        </w:tc>
        <w:tc>
          <w:tcPr>
            <w:tcW w:w="2551" w:type="dxa"/>
            <w:vMerge w:val="restart"/>
          </w:tcPr>
          <w:p w14:paraId="2183E309" w14:textId="76353808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Desmopressin (DDAVP)</w:t>
            </w:r>
          </w:p>
          <w:p w14:paraId="25B92A7E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50226C20" w14:textId="088604F1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0.2 mg (single dose, oral)</w:t>
            </w:r>
          </w:p>
          <w:p w14:paraId="1D9C5177" w14:textId="3B7EEEA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5BA99667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3FBC7DC" w14:textId="21C83E19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305" w:type="dxa"/>
          </w:tcPr>
          <w:p w14:paraId="4F1108D2" w14:textId="718116A3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 participants (1 RCT study)</w:t>
            </w:r>
          </w:p>
        </w:tc>
        <w:tc>
          <w:tcPr>
            <w:tcW w:w="1305" w:type="dxa"/>
          </w:tcPr>
          <w:p w14:paraId="2DE4B57C" w14:textId="13378723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45D20">
              <w:rPr>
                <w:rFonts w:ascii="Palatino Linotype" w:hAnsi="Palatino Linotype"/>
                <w:sz w:val="20"/>
                <w:szCs w:val="20"/>
              </w:rPr>
              <w:t xml:space="preserve">37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745D20">
              <w:rPr>
                <w:rFonts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452480D7" w14:textId="45C411CF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26 : 4 (87 %)</w:t>
            </w:r>
          </w:p>
        </w:tc>
        <w:tc>
          <w:tcPr>
            <w:tcW w:w="980" w:type="dxa"/>
          </w:tcPr>
          <w:p w14:paraId="797B4B97" w14:textId="62B6364A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5B8C3183" w14:textId="4E359AAA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2C544489" w14:textId="6E5F3D2C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C4C87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</w:t>
            </w:r>
            <w:r w:rsidR="00AA3080">
              <w:rPr>
                <w:rFonts w:ascii="Palatino Linotype" w:hAnsi="Palatino Linotype"/>
                <w:sz w:val="20"/>
                <w:szCs w:val="20"/>
              </w:rPr>
              <w:t>a single</w:t>
            </w:r>
            <w:r w:rsidRPr="00FC4C87">
              <w:rPr>
                <w:rFonts w:ascii="Palatino Linotype" w:hAnsi="Palatino Linotype"/>
                <w:sz w:val="20"/>
                <w:szCs w:val="20"/>
              </w:rPr>
              <w:t xml:space="preserve"> application of 0.2 mg </w:t>
            </w:r>
            <w:proofErr w:type="spellStart"/>
            <w:r w:rsidRPr="00FC4C87">
              <w:rPr>
                <w:rFonts w:ascii="Palatino Linotype" w:hAnsi="Palatino Linotype"/>
                <w:sz w:val="20"/>
                <w:szCs w:val="20"/>
              </w:rPr>
              <w:t>Desmopressine</w:t>
            </w:r>
            <w:proofErr w:type="spellEnd"/>
            <w:r w:rsidRPr="00FC4C87">
              <w:rPr>
                <w:rFonts w:ascii="Palatino Linotype" w:hAnsi="Palatino Linotype"/>
                <w:sz w:val="20"/>
                <w:szCs w:val="20"/>
              </w:rPr>
              <w:t xml:space="preserve">, there </w:t>
            </w:r>
            <w:r w:rsidR="00AA3080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FC4C87">
              <w:rPr>
                <w:rFonts w:ascii="Palatino Linotype" w:hAnsi="Palatino Linotype"/>
                <w:sz w:val="20"/>
                <w:szCs w:val="20"/>
              </w:rPr>
              <w:t>s a non-significant decrease in the change in heart rate upon postural change vs. placebo (p = 0.181).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 positive effect of Desmopressin on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lastRenderedPageBreak/>
              <w:t>use of Desmopressin in ME/CFS.</w:t>
            </w:r>
          </w:p>
        </w:tc>
      </w:tr>
      <w:tr w:rsidR="00201F66" w14:paraId="09741A13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42B2A59D" w14:textId="20D46B69" w:rsidR="00201F66" w:rsidRDefault="00201F66" w:rsidP="007462B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Coffin et al. (2012)</w:t>
            </w:r>
          </w:p>
        </w:tc>
        <w:tc>
          <w:tcPr>
            <w:tcW w:w="2551" w:type="dxa"/>
            <w:vMerge/>
          </w:tcPr>
          <w:p w14:paraId="3B924B35" w14:textId="6BB610E2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65BF350" w14:textId="00D242EF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43D6731B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 participants (1 RCT study)</w:t>
            </w:r>
          </w:p>
        </w:tc>
        <w:tc>
          <w:tcPr>
            <w:tcW w:w="1305" w:type="dxa"/>
          </w:tcPr>
          <w:p w14:paraId="083301EA" w14:textId="52D27F23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45D20">
              <w:rPr>
                <w:rFonts w:ascii="Palatino Linotype" w:hAnsi="Palatino Linotype"/>
                <w:sz w:val="20"/>
                <w:szCs w:val="20"/>
              </w:rPr>
              <w:t xml:space="preserve">37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745D20">
              <w:rPr>
                <w:rFonts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66A0A9B2" w14:textId="4ECF397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26 : 4 (87 %)</w:t>
            </w:r>
          </w:p>
        </w:tc>
        <w:tc>
          <w:tcPr>
            <w:tcW w:w="980" w:type="dxa"/>
          </w:tcPr>
          <w:p w14:paraId="1A283E69" w14:textId="58373488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150AB02C" w14:textId="0A0FC5E9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561547E6" w14:textId="640A5131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C4C87">
              <w:rPr>
                <w:rFonts w:ascii="Palatino Linotype" w:hAnsi="Palatino Linotype"/>
                <w:sz w:val="20"/>
                <w:szCs w:val="20"/>
              </w:rPr>
              <w:t>In adult patients, four hours after the application of 0.2 mg Desmopressi</w:t>
            </w:r>
            <w:r w:rsidR="0037397B">
              <w:rPr>
                <w:rFonts w:ascii="Palatino Linotype" w:hAnsi="Palatino Linotype"/>
                <w:sz w:val="20"/>
                <w:szCs w:val="20"/>
              </w:rPr>
              <w:t>n</w:t>
            </w:r>
            <w:r w:rsidRPr="00FC4C87">
              <w:rPr>
                <w:rFonts w:ascii="Palatino Linotype" w:hAnsi="Palatino Linotype"/>
                <w:sz w:val="20"/>
                <w:szCs w:val="20"/>
              </w:rPr>
              <w:t xml:space="preserve">, there </w:t>
            </w:r>
            <w:r w:rsidR="00E23001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FC4C87">
              <w:rPr>
                <w:rFonts w:ascii="Palatino Linotype" w:hAnsi="Palatino Linotype"/>
                <w:sz w:val="20"/>
                <w:szCs w:val="20"/>
              </w:rPr>
              <w:t xml:space="preserve"> a significant decrease in symptom burden vs. placebo (p = 0.009).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. Desmopressin might have an effect on </w:t>
            </w:r>
            <w:r w:rsidR="00E23001">
              <w:rPr>
                <w:rFonts w:ascii="Palatino Linotype" w:hAnsi="Palatino Linotype"/>
                <w:sz w:val="20"/>
                <w:szCs w:val="20"/>
              </w:rPr>
              <w:t>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ymptom </w:t>
            </w:r>
            <w:r w:rsidR="00E23001">
              <w:rPr>
                <w:rFonts w:ascii="Palatino Linotype" w:hAnsi="Palatino Linotype"/>
                <w:sz w:val="20"/>
                <w:szCs w:val="20"/>
              </w:rPr>
              <w:t>b</w:t>
            </w:r>
            <w:r>
              <w:rPr>
                <w:rFonts w:ascii="Palatino Linotype" w:hAnsi="Palatino Linotype"/>
                <w:sz w:val="20"/>
                <w:szCs w:val="20"/>
              </w:rPr>
              <w:t>urden 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Desmopressin in ME/CFS.</w:t>
            </w:r>
          </w:p>
        </w:tc>
      </w:tr>
      <w:tr w:rsidR="00201F66" w14:paraId="3DD69BF2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91BE2AC" w14:textId="25FA1D3D" w:rsidR="00201F66" w:rsidRDefault="001860F7" w:rsidP="007462B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Vernino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et al. (2024)</w:t>
            </w:r>
          </w:p>
        </w:tc>
        <w:tc>
          <w:tcPr>
            <w:tcW w:w="2551" w:type="dxa"/>
            <w:vMerge w:val="restart"/>
          </w:tcPr>
          <w:p w14:paraId="3F69F438" w14:textId="5A88471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Intravenous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Immunoglobulines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(IVIG)</w:t>
            </w:r>
          </w:p>
          <w:p w14:paraId="38537200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4619045F" w14:textId="26B2455C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403BA">
              <w:rPr>
                <w:rFonts w:ascii="Palatino Linotype" w:hAnsi="Palatino Linotype"/>
                <w:sz w:val="20"/>
                <w:szCs w:val="20"/>
              </w:rPr>
              <w:t xml:space="preserve">0.4 gm/kg </w:t>
            </w:r>
          </w:p>
        </w:tc>
        <w:tc>
          <w:tcPr>
            <w:tcW w:w="1311" w:type="dxa"/>
          </w:tcPr>
          <w:p w14:paraId="48C99690" w14:textId="4BFAEED6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79320BB6" w14:textId="744D757D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28 participants (1 RCT study)</w:t>
            </w:r>
          </w:p>
        </w:tc>
        <w:tc>
          <w:tcPr>
            <w:tcW w:w="1305" w:type="dxa"/>
          </w:tcPr>
          <w:p w14:paraId="6A31FA04" w14:textId="2F6373D8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55 years</w:t>
            </w:r>
          </w:p>
        </w:tc>
        <w:tc>
          <w:tcPr>
            <w:tcW w:w="1205" w:type="dxa"/>
          </w:tcPr>
          <w:p w14:paraId="2370EA2D" w14:textId="42C08763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980" w:type="dxa"/>
          </w:tcPr>
          <w:p w14:paraId="2D68D0E9" w14:textId="540BEBA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0FF8506A" w14:textId="14EEEF8E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44319965" w14:textId="2B2FF9EB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In adult patients, 12 weeks after the application of intravenous </w:t>
            </w:r>
            <w:proofErr w:type="spellStart"/>
            <w:r w:rsidRPr="00696C4D">
              <w:rPr>
                <w:rFonts w:ascii="Palatino Linotype" w:hAnsi="Palatino Linotype"/>
                <w:sz w:val="20"/>
                <w:szCs w:val="20"/>
              </w:rPr>
              <w:t>immunoglobulines</w:t>
            </w:r>
            <w:proofErr w:type="spellEnd"/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 (IVIG), there </w:t>
            </w:r>
            <w:r w:rsidR="00EF5948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t>s no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t>significant decrease in symptom burden vs. albumin application.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A positive effect of IVIG on symptom burden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IVIG in ME/CFS.</w:t>
            </w:r>
          </w:p>
        </w:tc>
      </w:tr>
      <w:tr w:rsidR="00201F66" w14:paraId="70F5F9DF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B80B7C7" w14:textId="1C16FE04" w:rsidR="00201F66" w:rsidRDefault="001860F7" w:rsidP="007462BC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Vernino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et al. (2024)</w:t>
            </w:r>
          </w:p>
        </w:tc>
        <w:tc>
          <w:tcPr>
            <w:tcW w:w="2551" w:type="dxa"/>
            <w:vMerge/>
          </w:tcPr>
          <w:p w14:paraId="6D296E19" w14:textId="7DD3A57D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971B774" w14:textId="227A229C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(COMPASS-31)</w:t>
            </w:r>
          </w:p>
        </w:tc>
        <w:tc>
          <w:tcPr>
            <w:tcW w:w="1305" w:type="dxa"/>
          </w:tcPr>
          <w:p w14:paraId="3F63C705" w14:textId="74E198C0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28 participants (1 RCT study)</w:t>
            </w:r>
          </w:p>
        </w:tc>
        <w:tc>
          <w:tcPr>
            <w:tcW w:w="1305" w:type="dxa"/>
          </w:tcPr>
          <w:p w14:paraId="4037423B" w14:textId="01510135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55 years</w:t>
            </w:r>
          </w:p>
        </w:tc>
        <w:tc>
          <w:tcPr>
            <w:tcW w:w="1205" w:type="dxa"/>
          </w:tcPr>
          <w:p w14:paraId="1E576A31" w14:textId="5FA16349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980" w:type="dxa"/>
          </w:tcPr>
          <w:p w14:paraId="49A3DF48" w14:textId="2532AE9B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71D6E3E7" w14:textId="29234892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5BF213FF" w14:textId="1131EEBD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In adult patients, 12 weeks after the application of intravenous </w:t>
            </w:r>
            <w:proofErr w:type="spellStart"/>
            <w:r w:rsidRPr="00696C4D">
              <w:rPr>
                <w:rFonts w:ascii="Palatino Linotype" w:hAnsi="Palatino Linotype"/>
                <w:sz w:val="20"/>
                <w:szCs w:val="20"/>
              </w:rPr>
              <w:t>immunoglobulines</w:t>
            </w:r>
            <w:proofErr w:type="spellEnd"/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 (IVIG), there </w:t>
            </w:r>
            <w:r w:rsidR="00272F0E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lastRenderedPageBreak/>
              <w:t>no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t xml:space="preserve">significant decrease </w:t>
            </w:r>
            <w:r w:rsidR="00272F0E">
              <w:rPr>
                <w:rFonts w:ascii="Palatino Linotype" w:hAnsi="Palatino Linotype"/>
                <w:sz w:val="20"/>
                <w:szCs w:val="20"/>
              </w:rPr>
              <w:t xml:space="preserve">in </w:t>
            </w:r>
            <w:r w:rsidRPr="00696C4D">
              <w:rPr>
                <w:rFonts w:ascii="Palatino Linotype" w:hAnsi="Palatino Linotype"/>
                <w:sz w:val="20"/>
                <w:szCs w:val="20"/>
              </w:rPr>
              <w:t>symptom burden vs. albumin application 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A positive effect of IVIG on symptom burden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IVIG in ME/CFS.</w:t>
            </w:r>
          </w:p>
        </w:tc>
      </w:tr>
      <w:tr w:rsidR="00201F66" w14:paraId="45D6E42C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66A9EDB" w14:textId="3034C0F8" w:rsidR="00201F66" w:rsidRDefault="001860F7" w:rsidP="007462BC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Taub et al. (2021)</w:t>
            </w:r>
          </w:p>
        </w:tc>
        <w:tc>
          <w:tcPr>
            <w:tcW w:w="2551" w:type="dxa"/>
            <w:vMerge w:val="restart"/>
          </w:tcPr>
          <w:p w14:paraId="133C06FB" w14:textId="54172170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Ivabradine</w:t>
            </w:r>
          </w:p>
          <w:p w14:paraId="2C3A86B8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7F6BCD08" w14:textId="5C4F1643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5mg (2x / d)</w:t>
            </w:r>
          </w:p>
          <w:p w14:paraId="1F1EE77A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277FD0DB" w14:textId="45CB436E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[10 mg / d]</w:t>
            </w:r>
          </w:p>
        </w:tc>
        <w:tc>
          <w:tcPr>
            <w:tcW w:w="1311" w:type="dxa"/>
          </w:tcPr>
          <w:p w14:paraId="6D7C2A50" w14:textId="7099D1A4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305" w:type="dxa"/>
          </w:tcPr>
          <w:p w14:paraId="1C9D2F0A" w14:textId="7777777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 participants (1 RCT study)</w:t>
            </w:r>
          </w:p>
        </w:tc>
        <w:tc>
          <w:tcPr>
            <w:tcW w:w="1305" w:type="dxa"/>
          </w:tcPr>
          <w:p w14:paraId="1DE89EC9" w14:textId="19D913C4" w:rsidR="00201F66" w:rsidRPr="007A6885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A6885">
              <w:rPr>
                <w:rFonts w:ascii="Palatino Linotype" w:hAnsi="Palatino Linotype"/>
                <w:sz w:val="20"/>
                <w:szCs w:val="20"/>
              </w:rPr>
              <w:t>33.9 ± 11.7 years</w:t>
            </w:r>
          </w:p>
        </w:tc>
        <w:tc>
          <w:tcPr>
            <w:tcW w:w="1205" w:type="dxa"/>
          </w:tcPr>
          <w:p w14:paraId="5FC2AD7C" w14:textId="7A6C9A97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980" w:type="dxa"/>
          </w:tcPr>
          <w:p w14:paraId="23ACF1C9" w14:textId="526C8F36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5522661A" w14:textId="2EB9A99F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23B3DAA0" w14:textId="3E3D8391" w:rsidR="00201F66" w:rsidRDefault="00201F66" w:rsidP="00746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In adult patients,  after one month of undergoing Ivabradine therapy, there </w:t>
            </w:r>
            <w:r w:rsidR="00EA0FFD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s a significant decrease in the change in heart rate </w:t>
            </w:r>
            <w:r w:rsidR="00EA0FFD">
              <w:rPr>
                <w:rFonts w:ascii="Palatino Linotype" w:hAnsi="Palatino Linotype"/>
                <w:sz w:val="20"/>
                <w:szCs w:val="20"/>
              </w:rPr>
              <w:t>following HUT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 vs. placebo (p &lt; 0.001). Due to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the risk of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imprecision including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Ivabradine might have an effect on HR increment 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Ivabradine in ME/CFS.</w:t>
            </w:r>
          </w:p>
        </w:tc>
      </w:tr>
      <w:tr w:rsidR="00201F66" w14:paraId="40998F8D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6F91BFDA" w14:textId="0CFD97BE" w:rsidR="00201F66" w:rsidRDefault="001860F7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Taub et al. (2021)</w:t>
            </w:r>
          </w:p>
        </w:tc>
        <w:tc>
          <w:tcPr>
            <w:tcW w:w="2551" w:type="dxa"/>
            <w:vMerge/>
          </w:tcPr>
          <w:p w14:paraId="5FFC40BA" w14:textId="135CF0E2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B4C0A1E" w14:textId="722590D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Quality of Life (SF-36)</w:t>
            </w:r>
          </w:p>
        </w:tc>
        <w:tc>
          <w:tcPr>
            <w:tcW w:w="1305" w:type="dxa"/>
          </w:tcPr>
          <w:p w14:paraId="5D4B2302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 participants (1 RCT study)</w:t>
            </w:r>
          </w:p>
        </w:tc>
        <w:tc>
          <w:tcPr>
            <w:tcW w:w="1305" w:type="dxa"/>
          </w:tcPr>
          <w:p w14:paraId="7400D9CF" w14:textId="73CC855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A6885">
              <w:rPr>
                <w:rFonts w:ascii="Palatino Linotype" w:hAnsi="Palatino Linotype"/>
                <w:sz w:val="20"/>
                <w:szCs w:val="20"/>
              </w:rPr>
              <w:t>33.9 ± 11.7 years</w:t>
            </w:r>
          </w:p>
        </w:tc>
        <w:tc>
          <w:tcPr>
            <w:tcW w:w="1205" w:type="dxa"/>
          </w:tcPr>
          <w:p w14:paraId="1FED59B2" w14:textId="3D974AB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not clearly presented</w:t>
            </w:r>
          </w:p>
        </w:tc>
        <w:tc>
          <w:tcPr>
            <w:tcW w:w="980" w:type="dxa"/>
          </w:tcPr>
          <w:p w14:paraId="55E0ADAD" w14:textId="1839009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268ADFBE" w14:textId="3CC46843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38B63199" w14:textId="50F65092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In adult patients, after one month of undergoing Ivabradine therapy, there </w:t>
            </w:r>
            <w:r w:rsidR="00F90655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>s a significant decrease in physical functioning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(p 0.008) and social functioning (p 0.021) vs. placebo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. Due </w:t>
            </w:r>
            <w:r>
              <w:rPr>
                <w:rFonts w:ascii="Palatino Linotype" w:hAnsi="Palatino Linotype"/>
                <w:sz w:val="20"/>
                <w:szCs w:val="20"/>
              </w:rPr>
              <w:t>to the risk of imprecision, including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t xml:space="preserve"> a small size of population, </w:t>
            </w:r>
            <w:r w:rsidRPr="00430486">
              <w:rPr>
                <w:rFonts w:ascii="Palatino Linotype" w:hAnsi="Palatino Linotype"/>
                <w:sz w:val="20"/>
                <w:szCs w:val="20"/>
              </w:rPr>
              <w:lastRenderedPageBreak/>
              <w:t>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Ivabradine might improve quality of life 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Ivabradine in ME/CFS.</w:t>
            </w:r>
          </w:p>
        </w:tc>
      </w:tr>
      <w:tr w:rsidR="00201F66" w14:paraId="7E5BC643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4484AAA" w14:textId="29E9C105" w:rsidR="00201F66" w:rsidRDefault="001860F7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Green et al. (2014)</w:t>
            </w:r>
          </w:p>
        </w:tc>
        <w:tc>
          <w:tcPr>
            <w:tcW w:w="2551" w:type="dxa"/>
            <w:vMerge w:val="restart"/>
          </w:tcPr>
          <w:p w14:paraId="450FA445" w14:textId="4579FF69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Melatonin</w:t>
            </w:r>
          </w:p>
          <w:p w14:paraId="3DB9F81A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3675163C" w14:textId="711DC72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 mg (single dose)</w:t>
            </w:r>
          </w:p>
          <w:p w14:paraId="5E24ED50" w14:textId="0404962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49B0EEC7" w14:textId="213EBF43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305" w:type="dxa"/>
          </w:tcPr>
          <w:p w14:paraId="5D173FE2" w14:textId="475A326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78 participants (1 RCT study)</w:t>
            </w:r>
          </w:p>
        </w:tc>
        <w:tc>
          <w:tcPr>
            <w:tcW w:w="1305" w:type="dxa"/>
          </w:tcPr>
          <w:p w14:paraId="1BB24444" w14:textId="2997822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B8579E">
              <w:rPr>
                <w:rFonts w:ascii="Palatino Linotype" w:hAnsi="Palatino Linotype"/>
                <w:sz w:val="20"/>
                <w:szCs w:val="20"/>
              </w:rPr>
              <w:t>32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</w:t>
            </w:r>
            <w:r w:rsidRPr="00B8579E">
              <w:rPr>
                <w:rFonts w:ascii="Palatino Linotype" w:hAnsi="Palatino Linotype"/>
                <w:sz w:val="20"/>
                <w:szCs w:val="20"/>
              </w:rPr>
              <w:t xml:space="preserve"> 9 years</w:t>
            </w:r>
          </w:p>
        </w:tc>
        <w:tc>
          <w:tcPr>
            <w:tcW w:w="1205" w:type="dxa"/>
          </w:tcPr>
          <w:p w14:paraId="04FA88E2" w14:textId="3B64B25B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72 : 6 (92 %)</w:t>
            </w:r>
          </w:p>
        </w:tc>
        <w:tc>
          <w:tcPr>
            <w:tcW w:w="980" w:type="dxa"/>
          </w:tcPr>
          <w:p w14:paraId="1C2BF8CF" w14:textId="07165E73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5FFAB012" w14:textId="2773AFCC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2F417CC1" w14:textId="7FCB3AD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melatonin, there </w:t>
            </w:r>
            <w:r w:rsidR="007F74A7">
              <w:rPr>
                <w:rFonts w:ascii="Palatino Linotype" w:hAnsi="Palatino Linotype"/>
                <w:sz w:val="20"/>
                <w:szCs w:val="20"/>
              </w:rPr>
              <w:t>wa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s a significant decrease in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upright HR 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>vs. placebo. Due to a moderate risk of bias and a small size of population, and a high risk of publication bias,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Melatonin might have a positive effect on HR increment 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lastRenderedPageBreak/>
              <w:t>There was no specific data on the use of Melatonin in ME/CFS.</w:t>
            </w:r>
          </w:p>
        </w:tc>
      </w:tr>
      <w:tr w:rsidR="00201F66" w14:paraId="6E81D83A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0D88F515" w14:textId="608AC7C4" w:rsidR="00201F66" w:rsidRDefault="00217D0B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Green et al. (2014)</w:t>
            </w:r>
          </w:p>
        </w:tc>
        <w:tc>
          <w:tcPr>
            <w:tcW w:w="2551" w:type="dxa"/>
            <w:vMerge/>
          </w:tcPr>
          <w:p w14:paraId="21D1E37D" w14:textId="14654EB3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C1102A9" w14:textId="4219D43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25CD791F" w14:textId="28709E0B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78 participants (1 RCT study)</w:t>
            </w:r>
          </w:p>
        </w:tc>
        <w:tc>
          <w:tcPr>
            <w:tcW w:w="1305" w:type="dxa"/>
          </w:tcPr>
          <w:p w14:paraId="73C61C12" w14:textId="5C2C621F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B8579E">
              <w:rPr>
                <w:rFonts w:ascii="Palatino Linotype" w:hAnsi="Palatino Linotype"/>
                <w:sz w:val="20"/>
                <w:szCs w:val="20"/>
              </w:rPr>
              <w:t>32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</w:t>
            </w:r>
            <w:r w:rsidRPr="00B8579E">
              <w:rPr>
                <w:rFonts w:ascii="Palatino Linotype" w:hAnsi="Palatino Linotype"/>
                <w:sz w:val="20"/>
                <w:szCs w:val="20"/>
              </w:rPr>
              <w:t xml:space="preserve"> 9 years</w:t>
            </w:r>
          </w:p>
        </w:tc>
        <w:tc>
          <w:tcPr>
            <w:tcW w:w="1205" w:type="dxa"/>
          </w:tcPr>
          <w:p w14:paraId="3999CC7E" w14:textId="64DBD6F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72 : 6 (92 %)</w:t>
            </w:r>
          </w:p>
        </w:tc>
        <w:tc>
          <w:tcPr>
            <w:tcW w:w="980" w:type="dxa"/>
          </w:tcPr>
          <w:p w14:paraId="135835A3" w14:textId="470D8A43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56AC5EE5" w14:textId="5DF4CC8D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2DC15FB8" w14:textId="730706FE" w:rsidR="00201F66" w:rsidRPr="00AB6A48" w:rsidRDefault="00201F66" w:rsidP="00B8579E">
            <w:pPr>
              <w:tabs>
                <w:tab w:val="left" w:pos="11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melatonin, there </w:t>
            </w:r>
            <w:r w:rsidR="00515D89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no 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significant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change in 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>symptom burden vs. placebo. Due to a moderate risk of bias and a small size of population, and a high risk of publication bias,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 w:rsidRPr="00AB6A48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A positive effect on symptom burden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Melatonin in ME/CFS.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</w:p>
        </w:tc>
      </w:tr>
      <w:tr w:rsidR="00201F66" w14:paraId="644BADCF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548B974C" w14:textId="3F2C99A9" w:rsidR="00201F66" w:rsidRDefault="00033F8B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Ross et al. (2014)</w:t>
            </w:r>
          </w:p>
        </w:tc>
        <w:tc>
          <w:tcPr>
            <w:tcW w:w="2551" w:type="dxa"/>
          </w:tcPr>
          <w:p w14:paraId="6F03E945" w14:textId="5A2EE81D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Midodrine</w:t>
            </w:r>
          </w:p>
          <w:p w14:paraId="4DFD0FF4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3C501247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2.5 – 10 mg 3x/d</w:t>
            </w:r>
          </w:p>
          <w:p w14:paraId="5748B5B8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065126BB" w14:textId="02AD389A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[max. 30 mg / d]</w:t>
            </w:r>
          </w:p>
        </w:tc>
        <w:tc>
          <w:tcPr>
            <w:tcW w:w="1311" w:type="dxa"/>
          </w:tcPr>
          <w:p w14:paraId="72477892" w14:textId="2CBC4FAF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Upright Heart Rate (bpm)</w:t>
            </w:r>
          </w:p>
        </w:tc>
        <w:tc>
          <w:tcPr>
            <w:tcW w:w="1305" w:type="dxa"/>
          </w:tcPr>
          <w:p w14:paraId="28D77CF7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20 participants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(1 RCT study)</w:t>
            </w:r>
          </w:p>
        </w:tc>
        <w:tc>
          <w:tcPr>
            <w:tcW w:w="1305" w:type="dxa"/>
          </w:tcPr>
          <w:p w14:paraId="52A90386" w14:textId="0796CCE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12 – 20 years</w:t>
            </w:r>
          </w:p>
        </w:tc>
        <w:tc>
          <w:tcPr>
            <w:tcW w:w="1205" w:type="dxa"/>
          </w:tcPr>
          <w:p w14:paraId="249C75C7" w14:textId="2216E65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 : 5 (75 %)</w:t>
            </w:r>
          </w:p>
        </w:tc>
        <w:tc>
          <w:tcPr>
            <w:tcW w:w="980" w:type="dxa"/>
          </w:tcPr>
          <w:p w14:paraId="542E3BD3" w14:textId="5B389331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6DE1E080" w14:textId="3A0E5DB8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0D6E875D" w14:textId="07DC148B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A815FE">
              <w:rPr>
                <w:rFonts w:ascii="Palatino Linotype" w:hAnsi="Palatino Linotype"/>
                <w:sz w:val="20"/>
                <w:szCs w:val="20"/>
              </w:rPr>
              <w:t xml:space="preserve">In teenage patients with neuropathic POTS, a therapy </w:t>
            </w:r>
            <w:r w:rsidRPr="00A815FE">
              <w:rPr>
                <w:rFonts w:ascii="Palatino Linotype" w:hAnsi="Palatino Linotype"/>
                <w:sz w:val="20"/>
                <w:szCs w:val="20"/>
              </w:rPr>
              <w:lastRenderedPageBreak/>
              <w:t>with Midodrine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over</w:t>
            </w:r>
            <w:r w:rsidRPr="00A815FE">
              <w:rPr>
                <w:rFonts w:ascii="Palatino Linotype" w:hAnsi="Palatino Linotype"/>
                <w:sz w:val="20"/>
                <w:szCs w:val="20"/>
              </w:rPr>
              <w:t xml:space="preserve"> 2 weeks resulted in a significant decrease in heart rate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upon tilt. In hyperadrenergic POTS, there was no significant decrease in HR (p = 0.3). </w:t>
            </w:r>
            <w:r w:rsidRPr="00A815FE">
              <w:rPr>
                <w:rFonts w:ascii="Palatino Linotype" w:hAnsi="Palatino Linotype"/>
                <w:sz w:val="20"/>
                <w:szCs w:val="20"/>
              </w:rPr>
              <w:t xml:space="preserve"> Due to a very small population size and a moderate risk of bias, this study´s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In daily clinical practice, a differentiation between subtypes of POTS is not usual. Midodrine might have a positive effect on upright heart rate 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Midodrine in ME/CFS.</w:t>
            </w:r>
          </w:p>
        </w:tc>
      </w:tr>
      <w:tr w:rsidR="00201F66" w14:paraId="090E185E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47C2C0C" w14:textId="6DA3D64B" w:rsidR="00201F66" w:rsidRPr="00033F8B" w:rsidRDefault="00033F8B" w:rsidP="00B8579E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033F8B">
              <w:rPr>
                <w:rFonts w:ascii="Palatino Linotype" w:hAnsi="Palatino Linotype"/>
                <w:sz w:val="20"/>
                <w:szCs w:val="20"/>
              </w:rPr>
              <w:lastRenderedPageBreak/>
              <w:t>Kpaeyeh</w:t>
            </w:r>
            <w:proofErr w:type="spellEnd"/>
            <w:r w:rsidRPr="00033F8B">
              <w:rPr>
                <w:rFonts w:ascii="Palatino Linotype" w:hAnsi="Palatino Linotype"/>
                <w:sz w:val="20"/>
                <w:szCs w:val="20"/>
              </w:rPr>
              <w:t xml:space="preserve"> et. al (2014)</w:t>
            </w:r>
          </w:p>
        </w:tc>
        <w:tc>
          <w:tcPr>
            <w:tcW w:w="2551" w:type="dxa"/>
            <w:vMerge w:val="restart"/>
          </w:tcPr>
          <w:p w14:paraId="03951081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Modafinil</w:t>
            </w:r>
          </w:p>
          <w:p w14:paraId="386DF191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6240871B" w14:textId="237E1C6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100 mg</w:t>
            </w:r>
          </w:p>
          <w:p w14:paraId="4657D2CA" w14:textId="5F0C4BCC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23E5B23" w14:textId="5A033C9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305" w:type="dxa"/>
          </w:tcPr>
          <w:p w14:paraId="7F557C2E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 participants (1 RCT study)</w:t>
            </w:r>
          </w:p>
        </w:tc>
        <w:tc>
          <w:tcPr>
            <w:tcW w:w="1305" w:type="dxa"/>
          </w:tcPr>
          <w:p w14:paraId="45FC1DFA" w14:textId="328A00F9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A2C5D">
              <w:rPr>
                <w:rFonts w:ascii="Palatino Linotype" w:hAnsi="Palatino Linotype"/>
                <w:sz w:val="20"/>
                <w:szCs w:val="20"/>
              </w:rPr>
              <w:t xml:space="preserve">32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7A2C5D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59A4166C" w14:textId="40E3E6F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48 : 6 (89 %)</w:t>
            </w:r>
          </w:p>
        </w:tc>
        <w:tc>
          <w:tcPr>
            <w:tcW w:w="980" w:type="dxa"/>
          </w:tcPr>
          <w:p w14:paraId="56DDD14F" w14:textId="7DECEDBF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0D89EB99" w14:textId="0CBA01A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7F1FFBDC" w14:textId="2046191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42DD0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100 mg modafinil, there </w:t>
            </w:r>
            <w:r w:rsidR="00D83FA7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C42DD0">
              <w:rPr>
                <w:rFonts w:ascii="Palatino Linotype" w:hAnsi="Palatino Linotype"/>
                <w:sz w:val="20"/>
                <w:szCs w:val="20"/>
              </w:rPr>
              <w:t xml:space="preserve"> a non-significant decrease in the change in upright heart rate vs. placebo 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. A positive effect on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Modafinil in ME/CFS.</w:t>
            </w:r>
          </w:p>
        </w:tc>
      </w:tr>
      <w:tr w:rsidR="00201F66" w14:paraId="66876039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EF49381" w14:textId="561CF8F6" w:rsidR="00201F66" w:rsidRDefault="00033F8B" w:rsidP="00B8579E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033F8B">
              <w:rPr>
                <w:rFonts w:ascii="Palatino Linotype" w:hAnsi="Palatino Linotype"/>
                <w:sz w:val="20"/>
                <w:szCs w:val="20"/>
              </w:rPr>
              <w:t>Kpaeyeh</w:t>
            </w:r>
            <w:proofErr w:type="spellEnd"/>
            <w:r w:rsidRPr="00033F8B">
              <w:rPr>
                <w:rFonts w:ascii="Palatino Linotype" w:hAnsi="Palatino Linotype"/>
                <w:sz w:val="20"/>
                <w:szCs w:val="20"/>
              </w:rPr>
              <w:t xml:space="preserve"> et. al (2014)</w:t>
            </w:r>
          </w:p>
        </w:tc>
        <w:tc>
          <w:tcPr>
            <w:tcW w:w="2551" w:type="dxa"/>
            <w:vMerge/>
          </w:tcPr>
          <w:p w14:paraId="7CC981EC" w14:textId="4AB28DB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98A2847" w14:textId="662F024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1778C448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 participants (1 RCT study)</w:t>
            </w:r>
          </w:p>
        </w:tc>
        <w:tc>
          <w:tcPr>
            <w:tcW w:w="1305" w:type="dxa"/>
          </w:tcPr>
          <w:p w14:paraId="2CCB4D02" w14:textId="06D8F5F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7A2C5D">
              <w:rPr>
                <w:rFonts w:ascii="Palatino Linotype" w:hAnsi="Palatino Linotype"/>
                <w:sz w:val="20"/>
                <w:szCs w:val="20"/>
              </w:rPr>
              <w:t xml:space="preserve">32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7A2C5D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349AAEDA" w14:textId="4760FE8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48 : 6 (89 %)</w:t>
            </w:r>
          </w:p>
        </w:tc>
        <w:tc>
          <w:tcPr>
            <w:tcW w:w="980" w:type="dxa"/>
          </w:tcPr>
          <w:p w14:paraId="068C87D5" w14:textId="4353EB0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0F0EB395" w14:textId="16B3B0A6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420C2229" w14:textId="0DEBAD6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42DD0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100 mg modafinil, there </w:t>
            </w:r>
            <w:r w:rsidR="00D83FA7">
              <w:rPr>
                <w:rFonts w:ascii="Palatino Linotype" w:hAnsi="Palatino Linotype"/>
                <w:sz w:val="20"/>
                <w:szCs w:val="20"/>
              </w:rPr>
              <w:t>was</w:t>
            </w:r>
            <w:r w:rsidRPr="00C42DD0">
              <w:rPr>
                <w:rFonts w:ascii="Palatino Linotype" w:hAnsi="Palatino Linotype"/>
                <w:sz w:val="20"/>
                <w:szCs w:val="20"/>
              </w:rPr>
              <w:t xml:space="preserve"> no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C42DD0">
              <w:rPr>
                <w:rFonts w:ascii="Palatino Linotype" w:hAnsi="Palatino Linotype"/>
                <w:sz w:val="20"/>
                <w:szCs w:val="20"/>
              </w:rPr>
              <w:t xml:space="preserve">significant </w:t>
            </w:r>
            <w:r w:rsidRPr="00C42DD0">
              <w:rPr>
                <w:rFonts w:ascii="Palatino Linotype" w:hAnsi="Palatino Linotype"/>
                <w:sz w:val="20"/>
                <w:szCs w:val="20"/>
              </w:rPr>
              <w:lastRenderedPageBreak/>
              <w:t>decrease in the change in symptom burden vs. placebo 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A positive effect on symptom burden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Modafinil in ME/CFS.</w:t>
            </w:r>
          </w:p>
        </w:tc>
      </w:tr>
      <w:tr w:rsidR="00201F66" w14:paraId="745D831B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6A09B73D" w14:textId="2CC06210" w:rsidR="00201F66" w:rsidRDefault="008B168D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Raj et al. (2005)</w:t>
            </w:r>
          </w:p>
        </w:tc>
        <w:tc>
          <w:tcPr>
            <w:tcW w:w="2551" w:type="dxa"/>
            <w:vMerge w:val="restart"/>
          </w:tcPr>
          <w:p w14:paraId="72836909" w14:textId="47CBA1C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Pyridostigmine (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Acetylcholineesterase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-Inhibitor)</w:t>
            </w:r>
          </w:p>
          <w:p w14:paraId="35FBE9E0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10F3DE90" w14:textId="4DA4F0B9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 mg (single dose)</w:t>
            </w:r>
          </w:p>
          <w:p w14:paraId="3661618D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0E82B9F" w14:textId="06ED2C3A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HR (bpm)</w:t>
            </w:r>
          </w:p>
        </w:tc>
        <w:tc>
          <w:tcPr>
            <w:tcW w:w="1305" w:type="dxa"/>
          </w:tcPr>
          <w:p w14:paraId="6FD3B795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 participants (1 RCT study)</w:t>
            </w:r>
          </w:p>
        </w:tc>
        <w:tc>
          <w:tcPr>
            <w:tcW w:w="1305" w:type="dxa"/>
          </w:tcPr>
          <w:p w14:paraId="14150841" w14:textId="1B63B7F2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E6F31">
              <w:rPr>
                <w:rFonts w:ascii="Palatino Linotype" w:hAnsi="Palatino Linotype"/>
                <w:sz w:val="20"/>
                <w:szCs w:val="20"/>
              </w:rPr>
              <w:t>37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DE6F31">
              <w:rPr>
                <w:rFonts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0ACE8185" w14:textId="584C1B9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 : 3 (80 %)</w:t>
            </w:r>
          </w:p>
        </w:tc>
        <w:tc>
          <w:tcPr>
            <w:tcW w:w="980" w:type="dxa"/>
          </w:tcPr>
          <w:p w14:paraId="34850300" w14:textId="41073A19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2836D255" w14:textId="58439A58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5A2FBC74" w14:textId="4EB71DF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2020E0">
              <w:rPr>
                <w:rFonts w:ascii="Palatino Linotype" w:hAnsi="Palatino Linotype"/>
                <w:sz w:val="20"/>
                <w:szCs w:val="20"/>
              </w:rPr>
              <w:t xml:space="preserve">In adult patients, </w:t>
            </w:r>
            <w:r w:rsidR="004B7006">
              <w:rPr>
                <w:rFonts w:ascii="Palatino Linotype" w:hAnsi="Palatino Linotype"/>
                <w:sz w:val="20"/>
                <w:szCs w:val="20"/>
              </w:rPr>
              <w:t xml:space="preserve">two hours after administration of 30 mg Pyridostigmine, there was a significant </w:t>
            </w:r>
            <w:r w:rsidRPr="002020E0">
              <w:rPr>
                <w:rFonts w:ascii="Palatino Linotype" w:hAnsi="Palatino Linotype"/>
                <w:sz w:val="20"/>
                <w:szCs w:val="20"/>
              </w:rPr>
              <w:t>decrease in the standing heart rate vs. placebo (p = 0.160)</w:t>
            </w:r>
            <w:r w:rsidR="004B7006">
              <w:rPr>
                <w:rFonts w:ascii="Palatino Linotype" w:hAnsi="Palatino Linotype"/>
                <w:sz w:val="20"/>
                <w:szCs w:val="20"/>
              </w:rPr>
              <w:t xml:space="preserve">, but </w:t>
            </w:r>
            <w:r w:rsidR="00913D49">
              <w:rPr>
                <w:rFonts w:ascii="Palatino Linotype" w:hAnsi="Palatino Linotype"/>
                <w:sz w:val="20"/>
                <w:szCs w:val="20"/>
              </w:rPr>
              <w:t xml:space="preserve">there was only a non-significant </w:t>
            </w:r>
            <w:r w:rsidR="00913D49">
              <w:rPr>
                <w:rFonts w:ascii="Palatino Linotype" w:hAnsi="Palatino Linotype"/>
                <w:sz w:val="20"/>
                <w:szCs w:val="20"/>
              </w:rPr>
              <w:lastRenderedPageBreak/>
              <w:t>decrease after</w:t>
            </w:r>
            <w:r w:rsidR="004B7006">
              <w:rPr>
                <w:rFonts w:ascii="Palatino Linotype" w:hAnsi="Palatino Linotype"/>
                <w:sz w:val="20"/>
                <w:szCs w:val="20"/>
              </w:rPr>
              <w:t xml:space="preserve"> hours</w:t>
            </w:r>
            <w:r w:rsidRPr="002020E0">
              <w:rPr>
                <w:rFonts w:ascii="Palatino Linotype" w:hAnsi="Palatino Linotype"/>
                <w:sz w:val="20"/>
                <w:szCs w:val="20"/>
              </w:rPr>
              <w:t>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. </w:t>
            </w:r>
            <w:r w:rsidR="00301899">
              <w:rPr>
                <w:rFonts w:ascii="Palatino Linotype" w:hAnsi="Palatino Linotype"/>
                <w:sz w:val="20"/>
                <w:szCs w:val="20"/>
              </w:rPr>
              <w:t xml:space="preserve">Pyridostigmine could have a beneficial effect on </w:t>
            </w:r>
            <w:proofErr w:type="spellStart"/>
            <w:r w:rsidR="00301899"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 w:rsidR="00301899">
              <w:rPr>
                <w:rFonts w:ascii="Palatino Linotype" w:hAnsi="Palatino Linotype"/>
                <w:sz w:val="20"/>
                <w:szCs w:val="20"/>
              </w:rPr>
              <w:t xml:space="preserve"> in POTS.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Pyridostigmine in ME/CFS.</w:t>
            </w:r>
          </w:p>
        </w:tc>
      </w:tr>
      <w:tr w:rsidR="00201F66" w14:paraId="7E5A7892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07638C3" w14:textId="25AD7524" w:rsidR="00201F66" w:rsidRDefault="008B168D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Raj et al. (2005)</w:t>
            </w:r>
          </w:p>
        </w:tc>
        <w:tc>
          <w:tcPr>
            <w:tcW w:w="2551" w:type="dxa"/>
            <w:vMerge/>
          </w:tcPr>
          <w:p w14:paraId="1C0CBD22" w14:textId="11C7939A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FC07E32" w14:textId="7DBA5DC9" w:rsidR="00201F66" w:rsidRDefault="00201F66" w:rsidP="00B85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10BE7FAA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 participants (1 RCT study)</w:t>
            </w:r>
          </w:p>
        </w:tc>
        <w:tc>
          <w:tcPr>
            <w:tcW w:w="1305" w:type="dxa"/>
          </w:tcPr>
          <w:p w14:paraId="0BDE4838" w14:textId="06D8CFA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DE6F31">
              <w:rPr>
                <w:rFonts w:ascii="Palatino Linotype" w:hAnsi="Palatino Linotype"/>
                <w:sz w:val="20"/>
                <w:szCs w:val="20"/>
              </w:rPr>
              <w:t>37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DE6F31">
              <w:rPr>
                <w:rFonts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7D7D0CBA" w14:textId="0277D4A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 : 3 (80 %)</w:t>
            </w:r>
          </w:p>
        </w:tc>
        <w:tc>
          <w:tcPr>
            <w:tcW w:w="980" w:type="dxa"/>
          </w:tcPr>
          <w:p w14:paraId="04FECAE9" w14:textId="54A73AF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77344D15" w14:textId="6DD0F974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2C7E24E7" w14:textId="6BC9436A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2020E0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30 mg </w:t>
            </w:r>
            <w:r>
              <w:rPr>
                <w:rFonts w:ascii="Palatino Linotype" w:hAnsi="Palatino Linotype"/>
                <w:sz w:val="20"/>
                <w:szCs w:val="20"/>
              </w:rPr>
              <w:t>P</w:t>
            </w:r>
            <w:r w:rsidRPr="002020E0">
              <w:rPr>
                <w:rFonts w:ascii="Palatino Linotype" w:hAnsi="Palatino Linotype"/>
                <w:sz w:val="20"/>
                <w:szCs w:val="20"/>
              </w:rPr>
              <w:t xml:space="preserve">yridostigmine, there is a non-significant decrease in symptom burden vs. placebo (p = 0.174). Due to a moderate risk of bias and a small </w:t>
            </w:r>
            <w:r w:rsidRPr="002020E0">
              <w:rPr>
                <w:rFonts w:ascii="Palatino Linotype" w:hAnsi="Palatino Linotype"/>
                <w:sz w:val="20"/>
                <w:szCs w:val="20"/>
              </w:rPr>
              <w:lastRenderedPageBreak/>
              <w:t>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 A positive effect on symptom burden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Pyridostigmine in ME/CFS.</w:t>
            </w:r>
          </w:p>
        </w:tc>
      </w:tr>
      <w:tr w:rsidR="00201F66" w14:paraId="2341D30F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536DD095" w14:textId="082AF551" w:rsidR="00201F66" w:rsidRDefault="00E17815" w:rsidP="00B8579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Mar et al. (2014)</w:t>
            </w:r>
          </w:p>
        </w:tc>
        <w:tc>
          <w:tcPr>
            <w:tcW w:w="2551" w:type="dxa"/>
            <w:vMerge w:val="restart"/>
          </w:tcPr>
          <w:p w14:paraId="043C077F" w14:textId="426C650F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Selective-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Serotonine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-Reuptake-Inhibitors (SSRI)</w:t>
            </w:r>
          </w:p>
          <w:p w14:paraId="6FD08441" w14:textId="31C4B500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50 mg Sertraline</w:t>
            </w:r>
          </w:p>
        </w:tc>
        <w:tc>
          <w:tcPr>
            <w:tcW w:w="1311" w:type="dxa"/>
          </w:tcPr>
          <w:p w14:paraId="2D6E9E56" w14:textId="0FDA358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305" w:type="dxa"/>
          </w:tcPr>
          <w:p w14:paraId="7B73CB44" w14:textId="77777777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39 participants (1 RCT study)</w:t>
            </w:r>
          </w:p>
        </w:tc>
        <w:tc>
          <w:tcPr>
            <w:tcW w:w="1305" w:type="dxa"/>
          </w:tcPr>
          <w:p w14:paraId="3810AB69" w14:textId="4B4A1FA5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45EAB">
              <w:rPr>
                <w:rFonts w:ascii="Palatino Linotype" w:hAnsi="Palatino Linotype"/>
                <w:sz w:val="20"/>
                <w:szCs w:val="20"/>
              </w:rPr>
              <w:t>39 ± 9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558FBF0A" w14:textId="5BDADC0E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37 : 2 (95 %)</w:t>
            </w:r>
          </w:p>
        </w:tc>
        <w:tc>
          <w:tcPr>
            <w:tcW w:w="980" w:type="dxa"/>
          </w:tcPr>
          <w:p w14:paraId="47E9CEFD" w14:textId="54770D56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2449F1DB" w14:textId="3DBAF22F" w:rsidR="00201F66" w:rsidRDefault="00201F66" w:rsidP="00B857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43D025AA" w14:textId="3D5DCB91" w:rsidR="00201F66" w:rsidRPr="00AB6A48" w:rsidRDefault="00201F66" w:rsidP="00B8579E">
            <w:pPr>
              <w:tabs>
                <w:tab w:val="left" w:pos="11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95347">
              <w:rPr>
                <w:rFonts w:ascii="Palatino Linotype" w:hAnsi="Palatino Linotype"/>
                <w:sz w:val="20"/>
                <w:szCs w:val="20"/>
              </w:rPr>
              <w:t>In adult patients, four hours after the application of sertraline, there is a non-significant decrease in heart rate increment upon postural change vs. placebo. Due to a moderate risk of bias and a small size of population,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. A positive effect on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in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Sertraline in ME/CFS.</w:t>
            </w:r>
          </w:p>
        </w:tc>
      </w:tr>
      <w:tr w:rsidR="00201F66" w14:paraId="6E51E31D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3B1C1CA" w14:textId="7F3D2ED7" w:rsidR="00201F66" w:rsidRDefault="00E17815" w:rsidP="008E342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Mar et al. (2014)</w:t>
            </w:r>
          </w:p>
        </w:tc>
        <w:tc>
          <w:tcPr>
            <w:tcW w:w="2551" w:type="dxa"/>
            <w:vMerge/>
          </w:tcPr>
          <w:p w14:paraId="2F4ABA4C" w14:textId="36E7BFB1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0D9B2E6" w14:textId="71E53BB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1601BCD4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39 participants (1 RCT study)</w:t>
            </w:r>
          </w:p>
        </w:tc>
        <w:tc>
          <w:tcPr>
            <w:tcW w:w="1305" w:type="dxa"/>
          </w:tcPr>
          <w:p w14:paraId="194D4D23" w14:textId="3CE5689D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45EAB">
              <w:rPr>
                <w:rFonts w:ascii="Palatino Linotype" w:hAnsi="Palatino Linotype"/>
                <w:sz w:val="20"/>
                <w:szCs w:val="20"/>
              </w:rPr>
              <w:t>39 ± 9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61DB0390" w14:textId="0873C6BD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37 : 2 (95 %)</w:t>
            </w:r>
          </w:p>
        </w:tc>
        <w:tc>
          <w:tcPr>
            <w:tcW w:w="980" w:type="dxa"/>
          </w:tcPr>
          <w:p w14:paraId="4B072E7E" w14:textId="037207D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5BB5C397" w14:textId="6FB6988C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671D68FF" w14:textId="6D5449C7" w:rsidR="00201F66" w:rsidRPr="00AB6A48" w:rsidRDefault="00201F66" w:rsidP="008E342D">
            <w:pPr>
              <w:tabs>
                <w:tab w:val="left" w:pos="11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95347">
              <w:rPr>
                <w:rFonts w:ascii="Palatino Linotype" w:hAnsi="Palatino Linotype"/>
                <w:sz w:val="20"/>
                <w:szCs w:val="20"/>
              </w:rPr>
              <w:t xml:space="preserve">In adult patients, four hours after the application of sertraline, there is no significant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decrease in </w:t>
            </w:r>
            <w:r w:rsidRPr="00895347">
              <w:rPr>
                <w:rFonts w:ascii="Palatino Linotype" w:hAnsi="Palatino Linotype"/>
                <w:sz w:val="20"/>
                <w:szCs w:val="20"/>
              </w:rPr>
              <w:t>symptom burden vs. placebo. Due to a moderate risk of bias and a small size of population, and a high risk of publication bias, this study´s level of certainty is very low</w:t>
            </w:r>
            <w:r>
              <w:rPr>
                <w:rFonts w:ascii="Palatino Linotype" w:hAnsi="Palatino Linotype"/>
                <w:sz w:val="20"/>
                <w:szCs w:val="20"/>
              </w:rPr>
              <w:t>.</w:t>
            </w:r>
            <w:r w:rsidRPr="0089534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DA17E7">
              <w:rPr>
                <w:rFonts w:ascii="Palatino Linotype" w:hAnsi="Palatino Linotype"/>
                <w:sz w:val="20"/>
                <w:szCs w:val="20"/>
              </w:rPr>
              <w:t>A positive effect on symptom burden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Sertraline in ME/CFS.</w:t>
            </w:r>
          </w:p>
        </w:tc>
      </w:tr>
      <w:tr w:rsidR="00201F66" w14:paraId="20B83FB3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6EEFCAB4" w14:textId="77777777" w:rsidR="00AB48C9" w:rsidRDefault="00AB48C9" w:rsidP="008E342D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Smith et al. (2020)</w:t>
            </w:r>
          </w:p>
          <w:p w14:paraId="2CADB835" w14:textId="77777777" w:rsidR="00AB48C9" w:rsidRDefault="00AB48C9" w:rsidP="008E342D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65D62C7D" w14:textId="77777777" w:rsidR="00AB48C9" w:rsidRDefault="00AB48C9" w:rsidP="008E342D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Raj et al. (2009)</w:t>
            </w:r>
          </w:p>
          <w:p w14:paraId="113D48CA" w14:textId="77777777" w:rsidR="007448DC" w:rsidRDefault="007448DC" w:rsidP="008E342D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71E33F6" w14:textId="77777777" w:rsidR="007448DC" w:rsidRDefault="007448DC" w:rsidP="007448DC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Moon et al. (2018)</w:t>
            </w:r>
          </w:p>
          <w:p w14:paraId="7460E61B" w14:textId="2EE146E8" w:rsidR="007448DC" w:rsidRPr="00AB48C9" w:rsidRDefault="007448DC" w:rsidP="008E342D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682BFA0" w14:textId="0564501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ß-Adrenergic-Blocking-Agents</w:t>
            </w:r>
          </w:p>
          <w:p w14:paraId="26DAD3AA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14:paraId="4DEDCCFD" w14:textId="33F6E624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Propanolol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(20 mg single dose)</w:t>
            </w:r>
          </w:p>
          <w:p w14:paraId="46A41F58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032026C2" w14:textId="21E7D490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OR </w:t>
            </w:r>
          </w:p>
          <w:p w14:paraId="4EBEB576" w14:textId="55D257DA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Propanolol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10 mg- 20 2x /d</w:t>
            </w:r>
          </w:p>
          <w:p w14:paraId="11A2AAC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03F76666" w14:textId="0181213D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OR</w:t>
            </w:r>
          </w:p>
          <w:p w14:paraId="79BF4F62" w14:textId="79A846DC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BISOPROLOL 2.5 – 5 mg 1x /d</w:t>
            </w:r>
          </w:p>
          <w:p w14:paraId="737CB795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70FE5322" w14:textId="4D8E1481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7C842C6" w14:textId="19E975C6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Heart Rate upon postural change (bpm)</w:t>
            </w:r>
          </w:p>
        </w:tc>
        <w:tc>
          <w:tcPr>
            <w:tcW w:w="1305" w:type="dxa"/>
          </w:tcPr>
          <w:p w14:paraId="10A89DEE" w14:textId="2FBF79D2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108 participants</w:t>
            </w:r>
          </w:p>
          <w:p w14:paraId="18BF20E7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(3 RCT studies*)</w:t>
            </w:r>
          </w:p>
        </w:tc>
        <w:tc>
          <w:tcPr>
            <w:tcW w:w="1305" w:type="dxa"/>
          </w:tcPr>
          <w:p w14:paraId="00CA0CEE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(n = 54) </w:t>
            </w:r>
          </w:p>
          <w:p w14:paraId="2CB1E22A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0E46DB">
              <w:rPr>
                <w:rFonts w:ascii="Palatino Linotype" w:hAnsi="Palatino Linotype"/>
                <w:sz w:val="20"/>
                <w:szCs w:val="20"/>
              </w:rPr>
              <w:t>34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0E46DB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  <w:p w14:paraId="51525BE7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10DA1C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 = 19)</w:t>
            </w:r>
          </w:p>
          <w:p w14:paraId="29C58027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32</w:t>
            </w:r>
            <w:r w:rsidRPr="00E163F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±</w:t>
            </w:r>
            <w:r w:rsidRPr="00E163F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2 years</w:t>
            </w:r>
          </w:p>
          <w:p w14:paraId="50CFDFA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</w:p>
          <w:p w14:paraId="2CF3C676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>
              <w:rPr>
                <w:rFonts w:ascii="Palatino Linotype" w:hAnsi="Palatino Linotype"/>
                <w:sz w:val="20"/>
                <w:szCs w:val="20"/>
                <w:lang w:bidi="en-US"/>
              </w:rPr>
              <w:t xml:space="preserve">(n = 19) </w:t>
            </w:r>
          </w:p>
          <w:p w14:paraId="4F6865B5" w14:textId="5CE4500E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>
              <w:rPr>
                <w:rFonts w:ascii="Palatino Linotype" w:hAnsi="Palatino Linotype"/>
                <w:sz w:val="20"/>
                <w:szCs w:val="20"/>
                <w:lang w:bidi="en-US"/>
              </w:rPr>
              <w:t>39.4 ± 11.6 years</w:t>
            </w:r>
          </w:p>
          <w:p w14:paraId="2D2A6646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8D933E4" w14:textId="5A752C6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 = 17)</w:t>
            </w:r>
          </w:p>
          <w:p w14:paraId="001D654D" w14:textId="61635556" w:rsidR="00201F66" w:rsidRPr="00E163FC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bookmarkStart w:id="0" w:name="_Hlk196801987"/>
            <w:r>
              <w:rPr>
                <w:rFonts w:ascii="Palatino Linotype" w:hAnsi="Palatino Linotype"/>
                <w:sz w:val="20"/>
                <w:szCs w:val="20"/>
              </w:rPr>
              <w:t>29.8 ± 9.9</w:t>
            </w:r>
            <w:bookmarkEnd w:id="0"/>
            <w:r w:rsidR="001A04EF"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</w:tc>
        <w:tc>
          <w:tcPr>
            <w:tcW w:w="1205" w:type="dxa"/>
          </w:tcPr>
          <w:p w14:paraId="54FD1CDA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49 : 5 (91 %)</w:t>
            </w:r>
          </w:p>
          <w:p w14:paraId="3AE73EFB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1EA46D3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538D538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205CAD1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: 0 (100 %)</w:t>
            </w:r>
          </w:p>
          <w:p w14:paraId="0C67BCD1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17996BF1" w14:textId="500993E0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 : 6 (68 %)</w:t>
            </w:r>
          </w:p>
          <w:p w14:paraId="74863DA9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6C7F2B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7BF1629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FE5988A" w14:textId="5D7A82A4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 : 8 (53 %)</w:t>
            </w:r>
          </w:p>
          <w:p w14:paraId="59FA6DF6" w14:textId="51A5A003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80" w:type="dxa"/>
          </w:tcPr>
          <w:p w14:paraId="315CF8D9" w14:textId="307D0FC2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(US), South Korea</w:t>
            </w:r>
          </w:p>
        </w:tc>
        <w:tc>
          <w:tcPr>
            <w:tcW w:w="1102" w:type="dxa"/>
          </w:tcPr>
          <w:p w14:paraId="775DFF2D" w14:textId="6D8F668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6C136991" w14:textId="1F1E9AAF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Two to four hours after the application of a ß-Adrenergic-Blocking-Agent, such as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Propanolol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, a decrease in heart rate increment c</w:t>
            </w:r>
            <w:r w:rsidR="001A04EF">
              <w:rPr>
                <w:rFonts w:ascii="Palatino Linotype" w:hAnsi="Palatino Linotype"/>
                <w:sz w:val="20"/>
                <w:szCs w:val="20"/>
              </w:rPr>
              <w:t>ould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be detected. Four hours after medication, a significant change c</w:t>
            </w:r>
            <w:r w:rsidR="001A04EF">
              <w:rPr>
                <w:rFonts w:ascii="Palatino Linotype" w:hAnsi="Palatino Linotype"/>
                <w:sz w:val="20"/>
                <w:szCs w:val="20"/>
              </w:rPr>
              <w:t>ould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be seen compared to the control group.</w:t>
            </w:r>
          </w:p>
          <w:p w14:paraId="3FC5C235" w14:textId="7E21C224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After three months of ß-Adrenergic-Blocking-Agents, patients show</w:t>
            </w:r>
            <w:r w:rsidR="001A04EF">
              <w:rPr>
                <w:rFonts w:ascii="Palatino Linotype" w:hAnsi="Palatino Linotype"/>
                <w:sz w:val="20"/>
                <w:szCs w:val="20"/>
              </w:rPr>
              <w:t>ed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 significant change in HR increment compared to pre-intervention analysis. Since all included studies comprise a moderate to high risk of bias and a small size of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population, there is a very low certainty of evidence. Application of ß-Adrenergic-Blocking-Agents might have a positive effect </w:t>
            </w:r>
            <w:proofErr w:type="spellStart"/>
            <w:r w:rsidR="00CB752F">
              <w:rPr>
                <w:rFonts w:ascii="Palatino Linotype" w:hAnsi="Palatino Linotype"/>
                <w:sz w:val="20"/>
                <w:szCs w:val="20"/>
              </w:rPr>
              <w:t>a</w:t>
            </w:r>
            <w:r>
              <w:rPr>
                <w:rFonts w:ascii="Palatino Linotype" w:hAnsi="Palatino Linotype"/>
                <w:sz w:val="20"/>
                <w:szCs w:val="20"/>
              </w:rPr>
              <w:t>on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HR increment </w:t>
            </w:r>
            <w:r w:rsidR="00CB752F">
              <w:rPr>
                <w:rFonts w:ascii="Palatino Linotype" w:hAnsi="Palatino Linotype"/>
                <w:sz w:val="20"/>
                <w:szCs w:val="20"/>
              </w:rPr>
              <w:t xml:space="preserve">and could be considered as a treatment option </w:t>
            </w:r>
            <w:r>
              <w:rPr>
                <w:rFonts w:ascii="Palatino Linotype" w:hAnsi="Palatino Linotype"/>
                <w:sz w:val="20"/>
                <w:szCs w:val="20"/>
              </w:rPr>
              <w:t>in POTS patients in the long term-use.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ß-Adrenergic-Blocking-Agents in ME/CFS.</w:t>
            </w:r>
          </w:p>
        </w:tc>
      </w:tr>
      <w:tr w:rsidR="00201F66" w14:paraId="1D54CF2B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505C8935" w14:textId="77777777" w:rsidR="00AB48C9" w:rsidRDefault="00AB48C9" w:rsidP="00AB48C9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Smith et al. (2020)</w:t>
            </w:r>
          </w:p>
          <w:p w14:paraId="538FA647" w14:textId="77777777" w:rsidR="00AB48C9" w:rsidRDefault="00AB48C9" w:rsidP="00AB48C9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731431B3" w14:textId="68C3A626" w:rsidR="00AB48C9" w:rsidRDefault="00AB48C9" w:rsidP="00AB48C9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Raj et al. (2009)</w:t>
            </w:r>
          </w:p>
          <w:p w14:paraId="7928F698" w14:textId="77777777" w:rsidR="00201F66" w:rsidRDefault="00201F66" w:rsidP="008E342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29FBC98" w14:textId="446887A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1512C679" w14:textId="43F52B30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305" w:type="dxa"/>
          </w:tcPr>
          <w:p w14:paraId="2C3EBAF6" w14:textId="0A5EE1D0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55 participants</w:t>
            </w:r>
          </w:p>
          <w:p w14:paraId="7D973C77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(2 RCT studies)</w:t>
            </w:r>
          </w:p>
        </w:tc>
        <w:tc>
          <w:tcPr>
            <w:tcW w:w="1305" w:type="dxa"/>
          </w:tcPr>
          <w:p w14:paraId="4A705C70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 = 19)</w:t>
            </w:r>
          </w:p>
          <w:p w14:paraId="53970F0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32</w:t>
            </w:r>
            <w:r w:rsidRPr="00E163F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±</w:t>
            </w:r>
            <w:r w:rsidRPr="00E163F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E163FC">
              <w:rPr>
                <w:rFonts w:ascii="Palatino Linotype" w:hAnsi="Palatino Linotype"/>
                <w:sz w:val="20"/>
                <w:szCs w:val="20"/>
                <w:lang w:bidi="en-US"/>
              </w:rPr>
              <w:t>2 years</w:t>
            </w:r>
          </w:p>
          <w:p w14:paraId="17A687E6" w14:textId="77777777" w:rsidR="00490C29" w:rsidRDefault="00490C29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</w:p>
          <w:p w14:paraId="7EBF8093" w14:textId="77777777" w:rsidR="00490C29" w:rsidRDefault="00490C29" w:rsidP="0049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(n = 36) </w:t>
            </w:r>
          </w:p>
          <w:p w14:paraId="13B47720" w14:textId="77777777" w:rsidR="00490C29" w:rsidRDefault="00490C29" w:rsidP="00490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0E46DB">
              <w:rPr>
                <w:rFonts w:ascii="Palatino Linotype" w:hAnsi="Palatino Linotype"/>
                <w:sz w:val="20"/>
                <w:szCs w:val="20"/>
              </w:rPr>
              <w:t>34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± </w:t>
            </w:r>
            <w:r w:rsidRPr="000E46DB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  <w:p w14:paraId="37D84443" w14:textId="77777777" w:rsidR="00490C29" w:rsidRDefault="00490C29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</w:p>
          <w:p w14:paraId="14743DB7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04C52B6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05" w:type="dxa"/>
          </w:tcPr>
          <w:p w14:paraId="78BB977F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49 : 5 (91 %)</w:t>
            </w:r>
          </w:p>
          <w:p w14:paraId="06F66ED5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D091792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19 : 0 </w:t>
            </w:r>
          </w:p>
          <w:p w14:paraId="37069468" w14:textId="11D254BA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  <w:p w14:paraId="3C8003B9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80" w:type="dxa"/>
          </w:tcPr>
          <w:p w14:paraId="230B7D67" w14:textId="5A2062AB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02" w:type="dxa"/>
          </w:tcPr>
          <w:p w14:paraId="2DF79DEA" w14:textId="56C37279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0F71D714" w14:textId="3594AD51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 one study, two hours after intervention, a non-significant decrease in Symptom Burden was detected. Another study found a significant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decrease in symptom burden after two and four hours. Since all included studies comprise a moderate risk of bias and a small size of population, there is a very low certainty of evidence. A positive effect on symptom burden in POTS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ß-Adrenergic-Blocking-Agents in ME/CFS.</w:t>
            </w:r>
          </w:p>
        </w:tc>
      </w:tr>
      <w:tr w:rsidR="00201F66" w14:paraId="77A9C77B" w14:textId="77777777" w:rsidTr="00201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D87A7EA" w14:textId="1F1A3B7C" w:rsidR="00201F66" w:rsidRDefault="00AB48C9" w:rsidP="008E342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Moon et al. (2018)</w:t>
            </w:r>
          </w:p>
        </w:tc>
        <w:tc>
          <w:tcPr>
            <w:tcW w:w="2551" w:type="dxa"/>
            <w:vMerge/>
          </w:tcPr>
          <w:p w14:paraId="5F4B38F9" w14:textId="338918C2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3D5A429" w14:textId="5AC9884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Quality of Life (SF-36)</w:t>
            </w:r>
          </w:p>
        </w:tc>
        <w:tc>
          <w:tcPr>
            <w:tcW w:w="1305" w:type="dxa"/>
          </w:tcPr>
          <w:p w14:paraId="40B0ED20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36 participants</w:t>
            </w:r>
          </w:p>
          <w:p w14:paraId="5E85C2BC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(1 RCT study*)</w:t>
            </w:r>
          </w:p>
        </w:tc>
        <w:tc>
          <w:tcPr>
            <w:tcW w:w="1305" w:type="dxa"/>
          </w:tcPr>
          <w:p w14:paraId="6983B363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>
              <w:rPr>
                <w:rFonts w:ascii="Palatino Linotype" w:hAnsi="Palatino Linotype"/>
                <w:sz w:val="20"/>
                <w:szCs w:val="20"/>
                <w:lang w:bidi="en-US"/>
              </w:rPr>
              <w:t xml:space="preserve">(n = 19) </w:t>
            </w:r>
          </w:p>
          <w:p w14:paraId="7C85D00D" w14:textId="1BDA81CF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  <w:lang w:bidi="en-US"/>
              </w:rPr>
            </w:pPr>
            <w:r>
              <w:rPr>
                <w:rFonts w:ascii="Palatino Linotype" w:hAnsi="Palatino Linotype"/>
                <w:sz w:val="20"/>
                <w:szCs w:val="20"/>
                <w:lang w:bidi="en-US"/>
              </w:rPr>
              <w:t>39.4 ± 11.6 years</w:t>
            </w:r>
          </w:p>
          <w:p w14:paraId="348B82ED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72A8FD8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 = 17)</w:t>
            </w:r>
          </w:p>
          <w:p w14:paraId="600E381C" w14:textId="66DD31D3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29.8 ± 9.9</w:t>
            </w:r>
          </w:p>
        </w:tc>
        <w:tc>
          <w:tcPr>
            <w:tcW w:w="1205" w:type="dxa"/>
          </w:tcPr>
          <w:p w14:paraId="1B2E6560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 : 6 (68 %)</w:t>
            </w:r>
          </w:p>
          <w:p w14:paraId="5DF3C673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C111AEB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 : 8 (53 %)</w:t>
            </w:r>
          </w:p>
          <w:p w14:paraId="3D156E84" w14:textId="77777777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80" w:type="dxa"/>
          </w:tcPr>
          <w:p w14:paraId="63C7619A" w14:textId="37AC25F1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South Korea</w:t>
            </w:r>
          </w:p>
        </w:tc>
        <w:tc>
          <w:tcPr>
            <w:tcW w:w="1102" w:type="dxa"/>
          </w:tcPr>
          <w:p w14:paraId="4C8C8588" w14:textId="0AD68C0C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1926" w:type="dxa"/>
          </w:tcPr>
          <w:p w14:paraId="45EB8713" w14:textId="21A6D7E5" w:rsidR="00201F66" w:rsidRDefault="00201F66" w:rsidP="008E3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 a Pre-Post-analysis, after three months of taking ß-Adrenergic-Blocking-Agents, a significant improvement in physical and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mental components could be detected in POTS patients. Due to a high risk of bias and a small size of population, as well as a missing placebo-/standard-of-care comparison, the certainty of evidence is very low. ß-Adrenergic-Blocking-Agents might have a positive effect on Quality of Life in POTS patients in the long term use.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ß-Adrenergic-Blocking-Agents in ME/CFS.</w:t>
            </w:r>
          </w:p>
        </w:tc>
      </w:tr>
    </w:tbl>
    <w:p w14:paraId="618C3728" w14:textId="38D462D3" w:rsidR="00617AC7" w:rsidRDefault="008E6597" w:rsidP="00617AC7">
      <w:pPr>
        <w:pStyle w:val="Listenabsatz"/>
        <w:ind w:left="4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*one study (Moon, 2018) was analysed by </w:t>
      </w:r>
      <w:r w:rsidR="00213B69">
        <w:rPr>
          <w:rFonts w:ascii="Palatino Linotype" w:hAnsi="Palatino Linotype"/>
          <w:sz w:val="20"/>
          <w:szCs w:val="20"/>
        </w:rPr>
        <w:t xml:space="preserve">using </w:t>
      </w:r>
      <w:r>
        <w:rPr>
          <w:rFonts w:ascii="Palatino Linotype" w:hAnsi="Palatino Linotype"/>
          <w:sz w:val="20"/>
          <w:szCs w:val="20"/>
        </w:rPr>
        <w:t>a Pre-Post-Intervention-approach since Placebo- or Standard-of-Care- data was not available.</w:t>
      </w:r>
    </w:p>
    <w:p w14:paraId="1CEBD862" w14:textId="77777777" w:rsidR="00617AC7" w:rsidRDefault="00617AC7" w:rsidP="00617AC7">
      <w:pPr>
        <w:rPr>
          <w:rFonts w:ascii="Palatino Linotype" w:hAnsi="Palatino Linotype"/>
          <w:sz w:val="20"/>
          <w:szCs w:val="20"/>
        </w:rPr>
      </w:pPr>
    </w:p>
    <w:p w14:paraId="1B8E9054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0B544A76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4DB37350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649E86F9" w14:textId="77777777" w:rsidR="00213B69" w:rsidRDefault="00213B69" w:rsidP="00617AC7">
      <w:pPr>
        <w:rPr>
          <w:rFonts w:ascii="Palatino Linotype" w:hAnsi="Palatino Linotype"/>
          <w:sz w:val="20"/>
          <w:szCs w:val="20"/>
        </w:rPr>
      </w:pPr>
    </w:p>
    <w:p w14:paraId="095D9AAA" w14:textId="43B9AA32" w:rsidR="00617AC7" w:rsidRPr="00C70956" w:rsidRDefault="00617AC7" w:rsidP="00617AC7">
      <w:pPr>
        <w:pBdr>
          <w:bottom w:val="single" w:sz="12" w:space="1" w:color="auto"/>
        </w:pBdr>
        <w:rPr>
          <w:rFonts w:ascii="Palatino Linotype" w:hAnsi="Palatino Linotype"/>
          <w:b/>
          <w:bCs/>
        </w:rPr>
      </w:pPr>
      <w:r w:rsidRPr="00C70956">
        <w:rPr>
          <w:rFonts w:ascii="Palatino Linotype" w:hAnsi="Palatino Linotype"/>
          <w:b/>
          <w:bCs/>
        </w:rPr>
        <w:t xml:space="preserve">Summary of </w:t>
      </w:r>
      <w:r w:rsidR="00213B69">
        <w:rPr>
          <w:rFonts w:ascii="Palatino Linotype" w:hAnsi="Palatino Linotype"/>
          <w:b/>
          <w:bCs/>
        </w:rPr>
        <w:t>F</w:t>
      </w:r>
      <w:r w:rsidRPr="00C70956">
        <w:rPr>
          <w:rFonts w:ascii="Palatino Linotype" w:hAnsi="Palatino Linotype"/>
          <w:b/>
          <w:bCs/>
        </w:rPr>
        <w:t xml:space="preserve">indings  – </w:t>
      </w:r>
      <w:r>
        <w:rPr>
          <w:rFonts w:ascii="Palatino Linotype" w:hAnsi="Palatino Linotype"/>
          <w:b/>
          <w:bCs/>
        </w:rPr>
        <w:t>Non-p</w:t>
      </w:r>
      <w:r w:rsidRPr="00C70956">
        <w:rPr>
          <w:rFonts w:ascii="Palatino Linotype" w:hAnsi="Palatino Linotype"/>
          <w:b/>
          <w:bCs/>
        </w:rPr>
        <w:t>harmacological interventions compared to Placebo or Standard-of-Care in patients with POTS</w:t>
      </w:r>
      <w:r>
        <w:rPr>
          <w:rFonts w:ascii="Palatino Linotype" w:hAnsi="Palatino Linotype"/>
          <w:b/>
          <w:bCs/>
        </w:rPr>
        <w:t xml:space="preserve"> (RCT)</w:t>
      </w:r>
    </w:p>
    <w:p w14:paraId="67032BAB" w14:textId="5BDC718D" w:rsidR="00617AC7" w:rsidRDefault="00617AC7" w:rsidP="00617AC7">
      <w:pPr>
        <w:rPr>
          <w:rFonts w:ascii="Palatino Linotype" w:hAnsi="Palatino Linotype"/>
          <w:b/>
          <w:bCs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Non-p</w:t>
      </w:r>
      <w:r w:rsidRPr="00C70956">
        <w:rPr>
          <w:rFonts w:ascii="Palatino Linotype" w:hAnsi="Palatino Linotype"/>
          <w:b/>
          <w:bCs/>
          <w:sz w:val="20"/>
          <w:szCs w:val="20"/>
        </w:rPr>
        <w:t>harmacological interventions compared to Placebo or Standard-of-Care in Patients with POTS</w:t>
      </w:r>
      <w:r>
        <w:rPr>
          <w:rFonts w:ascii="Palatino Linotype" w:hAnsi="Palatino Linotype"/>
          <w:b/>
          <w:bCs/>
          <w:sz w:val="20"/>
          <w:szCs w:val="20"/>
        </w:rPr>
        <w:t xml:space="preserve"> (RCT studies)</w:t>
      </w:r>
    </w:p>
    <w:p w14:paraId="7FAF3CFF" w14:textId="77777777" w:rsidR="00617AC7" w:rsidRDefault="00617AC7" w:rsidP="00617AC7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Population: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Adults and / or children with a confirmed diagnosis of POTS</w:t>
      </w:r>
    </w:p>
    <w:p w14:paraId="00C408D6" w14:textId="622F5375" w:rsidR="00617AC7" w:rsidRDefault="00617AC7" w:rsidP="00617AC7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Intervention:</w:t>
      </w:r>
      <w:r>
        <w:rPr>
          <w:rFonts w:ascii="Palatino Linotype" w:hAnsi="Palatino Linotype"/>
          <w:sz w:val="20"/>
          <w:szCs w:val="20"/>
        </w:rPr>
        <w:t xml:space="preserve"> Non-pharmacological interventions (see below)</w:t>
      </w:r>
    </w:p>
    <w:p w14:paraId="7B93B981" w14:textId="77777777" w:rsidR="00617AC7" w:rsidRDefault="00617AC7" w:rsidP="00617AC7">
      <w:pPr>
        <w:rPr>
          <w:rFonts w:ascii="Palatino Linotype" w:hAnsi="Palatino Linotype"/>
          <w:sz w:val="20"/>
          <w:szCs w:val="20"/>
        </w:rPr>
      </w:pPr>
      <w:r w:rsidRPr="00C70956">
        <w:rPr>
          <w:rFonts w:ascii="Palatino Linotype" w:hAnsi="Palatino Linotype"/>
          <w:b/>
          <w:bCs/>
          <w:sz w:val="20"/>
          <w:szCs w:val="20"/>
        </w:rPr>
        <w:t>Comparison:</w:t>
      </w:r>
      <w:r>
        <w:rPr>
          <w:rFonts w:ascii="Palatino Linotype" w:hAnsi="Palatino Linotype"/>
          <w:sz w:val="20"/>
          <w:szCs w:val="20"/>
        </w:rPr>
        <w:t xml:space="preserve"> Placebo or Standard-of-Care</w:t>
      </w:r>
    </w:p>
    <w:tbl>
      <w:tblPr>
        <w:tblStyle w:val="Gitternetztabelle1hell"/>
        <w:tblW w:w="14034" w:type="dxa"/>
        <w:tblInd w:w="-5" w:type="dxa"/>
        <w:tblLook w:val="04A0" w:firstRow="1" w:lastRow="0" w:firstColumn="1" w:lastColumn="0" w:noHBand="0" w:noVBand="1"/>
      </w:tblPr>
      <w:tblGrid>
        <w:gridCol w:w="1860"/>
        <w:gridCol w:w="1861"/>
        <w:gridCol w:w="1311"/>
        <w:gridCol w:w="1814"/>
        <w:gridCol w:w="1443"/>
        <w:gridCol w:w="1311"/>
        <w:gridCol w:w="1234"/>
        <w:gridCol w:w="1129"/>
        <w:gridCol w:w="2071"/>
      </w:tblGrid>
      <w:tr w:rsidR="00DE117F" w14:paraId="20B774AF" w14:textId="77777777" w:rsidTr="001340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63277F74" w14:textId="70BDC6F7" w:rsidR="00DE117F" w:rsidRDefault="00DE117F" w:rsidP="00822549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Studies</w:t>
            </w:r>
          </w:p>
        </w:tc>
        <w:tc>
          <w:tcPr>
            <w:tcW w:w="1861" w:type="dxa"/>
          </w:tcPr>
          <w:p w14:paraId="496FE498" w14:textId="4A7B67DE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Intervention (+ Dosage)</w:t>
            </w:r>
          </w:p>
        </w:tc>
        <w:tc>
          <w:tcPr>
            <w:tcW w:w="1311" w:type="dxa"/>
          </w:tcPr>
          <w:p w14:paraId="64A17FB2" w14:textId="77777777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Outcome</w:t>
            </w:r>
          </w:p>
        </w:tc>
        <w:tc>
          <w:tcPr>
            <w:tcW w:w="1814" w:type="dxa"/>
          </w:tcPr>
          <w:p w14:paraId="0004887C" w14:textId="77777777" w:rsidR="00DE117F" w:rsidRDefault="00DE117F" w:rsidP="00102E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Number of participants included in the analysis</w:t>
            </w:r>
          </w:p>
          <w:p w14:paraId="48F4B039" w14:textId="77777777" w:rsidR="00DE117F" w:rsidRDefault="00DE117F" w:rsidP="00102E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(studies)</w:t>
            </w:r>
          </w:p>
          <w:p w14:paraId="58454520" w14:textId="092588FA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43" w:type="dxa"/>
          </w:tcPr>
          <w:p w14:paraId="5CDF7FB9" w14:textId="77777777" w:rsidR="00DE117F" w:rsidRDefault="00DE117F" w:rsidP="00102E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Age of participants</w:t>
            </w:r>
          </w:p>
          <w:p w14:paraId="231BBFB8" w14:textId="0A4262D9" w:rsidR="00DE117F" w:rsidRPr="000E46DB" w:rsidRDefault="00DE117F" w:rsidP="00102E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(MEAN + SD or Age Range)</w:t>
            </w:r>
          </w:p>
        </w:tc>
        <w:tc>
          <w:tcPr>
            <w:tcW w:w="1311" w:type="dxa"/>
          </w:tcPr>
          <w:p w14:paraId="183453E6" w14:textId="7A678834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Sex Ratio (female : male; percentage of females)</w:t>
            </w:r>
          </w:p>
        </w:tc>
        <w:tc>
          <w:tcPr>
            <w:tcW w:w="1234" w:type="dxa"/>
          </w:tcPr>
          <w:p w14:paraId="266DB55F" w14:textId="161E01B6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Country</w:t>
            </w:r>
          </w:p>
        </w:tc>
        <w:tc>
          <w:tcPr>
            <w:tcW w:w="1129" w:type="dxa"/>
          </w:tcPr>
          <w:p w14:paraId="7479B9AF" w14:textId="7F74299F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Certainty of evidence (GRADE)</w:t>
            </w:r>
          </w:p>
        </w:tc>
        <w:tc>
          <w:tcPr>
            <w:tcW w:w="2071" w:type="dxa"/>
          </w:tcPr>
          <w:p w14:paraId="7CD55F57" w14:textId="77777777" w:rsidR="00DE117F" w:rsidRDefault="00DE117F" w:rsidP="0082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Comments</w:t>
            </w:r>
          </w:p>
        </w:tc>
      </w:tr>
      <w:tr w:rsidR="00DE117F" w14:paraId="509C2A81" w14:textId="77777777" w:rsidTr="0066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157DDACA" w14:textId="7E26A42E" w:rsidR="00DE117F" w:rsidRDefault="00DE117F" w:rsidP="00442CC2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Bourne et al. (2021)</w:t>
            </w:r>
          </w:p>
          <w:p w14:paraId="53E9038C" w14:textId="77777777" w:rsidR="00DE117F" w:rsidRDefault="00DE117F" w:rsidP="00442CC2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24CE8446" w14:textId="6CFB2DD0" w:rsidR="00DE117F" w:rsidRDefault="00DE117F" w:rsidP="00442CC2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Smith et al. (2020)</w:t>
            </w:r>
          </w:p>
          <w:p w14:paraId="3DD51933" w14:textId="183A5043" w:rsidR="00DE117F" w:rsidRDefault="00DE117F" w:rsidP="00442CC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61" w:type="dxa"/>
            <w:vMerge w:val="restart"/>
          </w:tcPr>
          <w:p w14:paraId="1089A991" w14:textId="77777777" w:rsidR="00DE117F" w:rsidRPr="00DE117F" w:rsidRDefault="00DE117F" w:rsidP="00DE1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E117F">
              <w:rPr>
                <w:rFonts w:ascii="Palatino Linotype" w:hAnsi="Palatino Linotype"/>
                <w:b/>
                <w:bCs/>
                <w:sz w:val="20"/>
                <w:szCs w:val="20"/>
              </w:rPr>
              <w:t>Compression Garments</w:t>
            </w:r>
          </w:p>
          <w:p w14:paraId="41B1CD82" w14:textId="0C3AC87A" w:rsidR="00DE117F" w:rsidRDefault="00DE117F" w:rsidP="00DE11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(Abdominal Compression, Leg Compression)</w:t>
            </w:r>
          </w:p>
          <w:p w14:paraId="39041C97" w14:textId="2ECD0CFB" w:rsidR="00DE117F" w:rsidRPr="00F005CA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[20 – 40 mmHg]</w:t>
            </w:r>
          </w:p>
        </w:tc>
        <w:tc>
          <w:tcPr>
            <w:tcW w:w="1311" w:type="dxa"/>
          </w:tcPr>
          <w:p w14:paraId="6DC99D7A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HR upon postural change (bpm)</w:t>
            </w:r>
          </w:p>
        </w:tc>
        <w:tc>
          <w:tcPr>
            <w:tcW w:w="1814" w:type="dxa"/>
          </w:tcPr>
          <w:p w14:paraId="4632F828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49 participants (2 studies)</w:t>
            </w:r>
          </w:p>
        </w:tc>
        <w:tc>
          <w:tcPr>
            <w:tcW w:w="1443" w:type="dxa"/>
          </w:tcPr>
          <w:p w14:paraId="4D89E16F" w14:textId="27EECCD4" w:rsidR="00DE117F" w:rsidRDefault="00DE117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60 years (n=30)</w:t>
            </w:r>
          </w:p>
          <w:p w14:paraId="3D9A3CFC" w14:textId="77777777" w:rsidR="00DE117F" w:rsidRDefault="00DE117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1C643ED" w14:textId="77777777" w:rsidR="00DE117F" w:rsidRDefault="00DE117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A16F3D8" w14:textId="77777777" w:rsidR="00DE117F" w:rsidRDefault="00DE117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1226B55" w14:textId="77777777" w:rsidR="00DE117F" w:rsidRDefault="00DE117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bookmarkStart w:id="1" w:name="_Hlk192512238"/>
            <w:r w:rsidRPr="00BC7744">
              <w:rPr>
                <w:rFonts w:ascii="Palatino Linotype" w:hAnsi="Palatino Linotype"/>
                <w:sz w:val="20"/>
                <w:szCs w:val="20"/>
              </w:rPr>
              <w:t>32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BC7744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BC7744">
              <w:rPr>
                <w:rFonts w:ascii="Palatino Linotype" w:hAnsi="Palatino Linotype"/>
                <w:sz w:val="20"/>
                <w:szCs w:val="20"/>
              </w:rPr>
              <w:t>2 years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bookmarkEnd w:id="1"/>
            <w:r>
              <w:rPr>
                <w:rFonts w:ascii="Palatino Linotype" w:hAnsi="Palatino Linotype"/>
                <w:sz w:val="20"/>
                <w:szCs w:val="20"/>
              </w:rPr>
              <w:t>(n = 19)</w:t>
            </w:r>
          </w:p>
          <w:p w14:paraId="05E3E72C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B9850CB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28 : 2 </w:t>
            </w:r>
          </w:p>
          <w:p w14:paraId="1B1F2B58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(93%)</w:t>
            </w:r>
          </w:p>
          <w:p w14:paraId="32297627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D75E84C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077792A" w14:textId="6761C956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: 0</w:t>
            </w:r>
          </w:p>
          <w:p w14:paraId="0C5BDE28" w14:textId="796B792E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</w:tc>
        <w:tc>
          <w:tcPr>
            <w:tcW w:w="1234" w:type="dxa"/>
          </w:tcPr>
          <w:p w14:paraId="716603C3" w14:textId="2A835B8C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(US),</w:t>
            </w:r>
          </w:p>
          <w:p w14:paraId="29A126EE" w14:textId="628B3D29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Canada</w:t>
            </w:r>
          </w:p>
        </w:tc>
        <w:tc>
          <w:tcPr>
            <w:tcW w:w="1129" w:type="dxa"/>
          </w:tcPr>
          <w:p w14:paraId="2C66E402" w14:textId="59D3B3AF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0245F387" w14:textId="7AFD3EF6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1281E">
              <w:rPr>
                <w:rFonts w:ascii="Palatino Linotype" w:hAnsi="Palatino Linotype"/>
                <w:sz w:val="20"/>
                <w:szCs w:val="20"/>
              </w:rPr>
              <w:t>In adult patients, abdominal compression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alone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 xml:space="preserve"> caused a non-significant change in HR increment upon postural change compared to placebo 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after two hours of application. </w:t>
            </w:r>
            <w:r>
              <w:rPr>
                <w:rFonts w:ascii="Palatino Linotype" w:hAnsi="Palatino Linotype"/>
                <w:sz w:val="20"/>
                <w:szCs w:val="20"/>
              </w:rPr>
              <w:t>With additional leg compression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>, a significant decrease in HR increment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could be detected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 xml:space="preserve"> upon postural change (p &lt; 0.001) vs. no compression garments. Due to concerns regarding risk of bias,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the impact of 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 xml:space="preserve">patients` awareness and a small size of the study population, certainty of evidence is very low. Compression garments might have a beneficial effect on HR increment </w:t>
            </w:r>
            <w:r w:rsidR="00094891">
              <w:rPr>
                <w:rFonts w:ascii="Palatino Linotype" w:hAnsi="Palatino Linotype"/>
                <w:sz w:val="20"/>
                <w:szCs w:val="20"/>
              </w:rPr>
              <w:t xml:space="preserve">and could be considered as a treatment option 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>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compression 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lastRenderedPageBreak/>
              <w:t>garments in patients with  ME/CFS.</w:t>
            </w:r>
          </w:p>
        </w:tc>
      </w:tr>
      <w:tr w:rsidR="00DE117F" w14:paraId="73668CE5" w14:textId="77777777" w:rsidTr="0066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7C6067AC" w14:textId="77777777" w:rsidR="006033AB" w:rsidRDefault="006033AB" w:rsidP="006033AB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Bourne et al. (2021)</w:t>
            </w:r>
          </w:p>
          <w:p w14:paraId="1976337D" w14:textId="77777777" w:rsidR="006033AB" w:rsidRDefault="006033AB" w:rsidP="006033AB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</w:p>
          <w:p w14:paraId="50707261" w14:textId="4DB009D5" w:rsidR="00DE117F" w:rsidRDefault="006033AB" w:rsidP="006033AB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Smith et al. (2020</w:t>
            </w:r>
            <w:r w:rsidR="000824CF"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1861" w:type="dxa"/>
            <w:vMerge/>
          </w:tcPr>
          <w:p w14:paraId="12177401" w14:textId="25D0A5AC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28CA0C60" w14:textId="77777777" w:rsidR="00DE117F" w:rsidRDefault="00DE117F" w:rsidP="00442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814" w:type="dxa"/>
          </w:tcPr>
          <w:p w14:paraId="2499D479" w14:textId="33FE3D2C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49 participants (2 RCT studies)</w:t>
            </w:r>
          </w:p>
        </w:tc>
        <w:tc>
          <w:tcPr>
            <w:tcW w:w="1443" w:type="dxa"/>
          </w:tcPr>
          <w:p w14:paraId="39330161" w14:textId="01071F53" w:rsidR="00DE117F" w:rsidRDefault="00DE117F" w:rsidP="00435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 – 60 years(n=30)</w:t>
            </w:r>
          </w:p>
          <w:p w14:paraId="266151A7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E86280A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BBB068F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0F790C3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BC7744">
              <w:rPr>
                <w:rFonts w:ascii="Palatino Linotype" w:hAnsi="Palatino Linotype"/>
                <w:sz w:val="20"/>
                <w:szCs w:val="20"/>
              </w:rPr>
              <w:t>32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BC7744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BC7744">
              <w:rPr>
                <w:rFonts w:ascii="Palatino Linotype" w:hAnsi="Palatino Linotype"/>
                <w:sz w:val="20"/>
                <w:szCs w:val="20"/>
              </w:rPr>
              <w:t>2 years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(n = 19)</w:t>
            </w:r>
          </w:p>
          <w:p w14:paraId="0B0E43E7" w14:textId="77777777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7C1CB50D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28 : 2 </w:t>
            </w:r>
          </w:p>
          <w:p w14:paraId="745AB2E0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(93%)</w:t>
            </w:r>
          </w:p>
          <w:p w14:paraId="568D1EA7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7EDDE06E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0F7CE27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 : 0</w:t>
            </w:r>
          </w:p>
          <w:p w14:paraId="6247DF82" w14:textId="5DAC811D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</w:tc>
        <w:tc>
          <w:tcPr>
            <w:tcW w:w="1234" w:type="dxa"/>
          </w:tcPr>
          <w:p w14:paraId="6EA33FFF" w14:textId="77777777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(US),</w:t>
            </w:r>
          </w:p>
          <w:p w14:paraId="2CD79FD8" w14:textId="07DB089C" w:rsidR="00DE117F" w:rsidRDefault="00DE117F" w:rsidP="00D94A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Canada</w:t>
            </w:r>
          </w:p>
        </w:tc>
        <w:tc>
          <w:tcPr>
            <w:tcW w:w="1129" w:type="dxa"/>
          </w:tcPr>
          <w:p w14:paraId="3C78F023" w14:textId="265F3096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06A141D0" w14:textId="6191021A" w:rsidR="00DE117F" w:rsidRDefault="00DE117F" w:rsidP="00442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1281E">
              <w:rPr>
                <w:rFonts w:ascii="Palatino Linotype" w:hAnsi="Palatino Linotype"/>
                <w:sz w:val="20"/>
                <w:szCs w:val="20"/>
              </w:rPr>
              <w:t>In adult patients, abdominal compression did not cause a significant change in symptom burden compared to placebo after two hours of application.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With additional leg compression, 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>a significant decrease in symptom burden (p &lt; 0.001)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could be detected compared to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wearing </w:t>
            </w:r>
            <w:r w:rsidRPr="00C1281E">
              <w:rPr>
                <w:rFonts w:ascii="Palatino Linotype" w:hAnsi="Palatino Linotype"/>
                <w:sz w:val="20"/>
                <w:szCs w:val="20"/>
              </w:rPr>
              <w:t>no compression garments.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Compression garments might have a beneficial effect on symptom burden </w:t>
            </w:r>
            <w:r w:rsidR="00813F02">
              <w:rPr>
                <w:rFonts w:ascii="Palatino Linotype" w:hAnsi="Palatino Linotype"/>
                <w:sz w:val="20"/>
                <w:szCs w:val="20"/>
              </w:rPr>
              <w:t xml:space="preserve">and could be considered as a treatment option </w:t>
            </w:r>
            <w:r>
              <w:rPr>
                <w:rFonts w:ascii="Palatino Linotype" w:hAnsi="Palatino Linotype"/>
                <w:sz w:val="20"/>
                <w:szCs w:val="20"/>
              </w:rPr>
              <w:t>in POTS patients.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compression 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lastRenderedPageBreak/>
              <w:t>garments in ME/CFS.</w:t>
            </w:r>
          </w:p>
        </w:tc>
      </w:tr>
      <w:tr w:rsidR="000824CF" w14:paraId="51CCAEE8" w14:textId="77777777" w:rsidTr="003E3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2BB5E3D7" w14:textId="21B95B53" w:rsidR="000824CF" w:rsidRDefault="000824CF" w:rsidP="00BC774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Gamboa et al. (2015)</w:t>
            </w:r>
          </w:p>
        </w:tc>
        <w:tc>
          <w:tcPr>
            <w:tcW w:w="1861" w:type="dxa"/>
            <w:vMerge w:val="restart"/>
          </w:tcPr>
          <w:p w14:paraId="40382035" w14:textId="24E3A489" w:rsidR="000824CF" w:rsidRP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0824C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Impedance </w:t>
            </w:r>
            <w:proofErr w:type="spellStart"/>
            <w:r w:rsidRPr="000824CF">
              <w:rPr>
                <w:rFonts w:ascii="Palatino Linotype" w:hAnsi="Palatino Linotype"/>
                <w:b/>
                <w:bCs/>
                <w:sz w:val="20"/>
                <w:szCs w:val="20"/>
              </w:rPr>
              <w:t>Treshold</w:t>
            </w:r>
            <w:proofErr w:type="spellEnd"/>
            <w:r w:rsidRPr="000824C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Device (ITD), Breathing Device</w:t>
            </w:r>
          </w:p>
        </w:tc>
        <w:tc>
          <w:tcPr>
            <w:tcW w:w="1311" w:type="dxa"/>
          </w:tcPr>
          <w:p w14:paraId="44386433" w14:textId="7777777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814" w:type="dxa"/>
          </w:tcPr>
          <w:p w14:paraId="4ACB4CC7" w14:textId="7777777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26 participants (1 RCT study)</w:t>
            </w:r>
          </w:p>
        </w:tc>
        <w:tc>
          <w:tcPr>
            <w:tcW w:w="1443" w:type="dxa"/>
          </w:tcPr>
          <w:p w14:paraId="332D05AD" w14:textId="7DF52E66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 ± 2 years</w:t>
            </w:r>
          </w:p>
        </w:tc>
        <w:tc>
          <w:tcPr>
            <w:tcW w:w="1311" w:type="dxa"/>
          </w:tcPr>
          <w:p w14:paraId="35731FAE" w14:textId="7777777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1</w:t>
            </w:r>
          </w:p>
          <w:p w14:paraId="5D57F787" w14:textId="6DE1D303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(96 %)</w:t>
            </w:r>
          </w:p>
        </w:tc>
        <w:tc>
          <w:tcPr>
            <w:tcW w:w="1234" w:type="dxa"/>
          </w:tcPr>
          <w:p w14:paraId="33A803DC" w14:textId="7A56571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bookmarkStart w:id="2" w:name="_Hlk192512223"/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  <w:bookmarkEnd w:id="2"/>
          </w:p>
        </w:tc>
        <w:tc>
          <w:tcPr>
            <w:tcW w:w="1129" w:type="dxa"/>
          </w:tcPr>
          <w:p w14:paraId="744D4069" w14:textId="671BE188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52ACFF58" w14:textId="6B5CA6C6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In adult patients, the use of an impedance </w:t>
            </w:r>
            <w:proofErr w:type="spellStart"/>
            <w:r w:rsidRPr="00442CC2">
              <w:rPr>
                <w:rFonts w:ascii="Palatino Linotype" w:hAnsi="Palatino Linotype"/>
                <w:sz w:val="20"/>
                <w:szCs w:val="20"/>
              </w:rPr>
              <w:t>treshold</w:t>
            </w:r>
            <w:proofErr w:type="spellEnd"/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 device (ITD) </w:t>
            </w:r>
            <w:r w:rsidR="0082049B">
              <w:rPr>
                <w:rFonts w:ascii="Palatino Linotype" w:hAnsi="Palatino Linotype"/>
                <w:sz w:val="20"/>
                <w:szCs w:val="20"/>
              </w:rPr>
              <w:t>caused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 a significant decrease in upright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heart rate 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in comparison to the use of a sham device. Due to concerns regarding the risk of bias and due to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the 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small </w:t>
            </w:r>
            <w:r>
              <w:rPr>
                <w:rFonts w:ascii="Palatino Linotype" w:hAnsi="Palatino Linotype"/>
                <w:sz w:val="20"/>
                <w:szCs w:val="20"/>
              </w:rPr>
              <w:t>size of study population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>, the level of certainty for the use of ITD is very low. By enhancing venous return, an ITD might have a beneficial effect on upright heart rate in POTS patients</w:t>
            </w:r>
            <w:r w:rsidR="0082049B">
              <w:rPr>
                <w:rFonts w:ascii="Palatino Linotype" w:hAnsi="Palatino Linotype"/>
                <w:sz w:val="20"/>
                <w:szCs w:val="20"/>
              </w:rPr>
              <w:t xml:space="preserve"> but can currently not be generally recommended.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</w:t>
            </w:r>
            <w:proofErr w:type="spellStart"/>
            <w:r w:rsidR="00544F24">
              <w:rPr>
                <w:rFonts w:ascii="Palatino Linotype" w:hAnsi="Palatino Linotype"/>
                <w:sz w:val="20"/>
                <w:szCs w:val="20"/>
              </w:rPr>
              <w:t>Impendance</w:t>
            </w:r>
            <w:proofErr w:type="spellEnd"/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="00544F24">
              <w:rPr>
                <w:rFonts w:ascii="Palatino Linotype" w:hAnsi="Palatino Linotype"/>
                <w:sz w:val="20"/>
                <w:szCs w:val="20"/>
              </w:rPr>
              <w:lastRenderedPageBreak/>
              <w:t>Treshold</w:t>
            </w:r>
            <w:proofErr w:type="spellEnd"/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Devices in  ME/CFS.</w:t>
            </w:r>
          </w:p>
        </w:tc>
      </w:tr>
      <w:tr w:rsidR="000824CF" w14:paraId="7D45253B" w14:textId="77777777" w:rsidTr="003E3C8D">
        <w:trPr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123546C8" w14:textId="76044F7A" w:rsidR="000824CF" w:rsidRDefault="000824CF" w:rsidP="00BC7744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Gamboa et al. (2015)</w:t>
            </w:r>
          </w:p>
        </w:tc>
        <w:tc>
          <w:tcPr>
            <w:tcW w:w="1861" w:type="dxa"/>
            <w:vMerge/>
          </w:tcPr>
          <w:p w14:paraId="345ECF40" w14:textId="272A0602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441A357" w14:textId="7777777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814" w:type="dxa"/>
          </w:tcPr>
          <w:p w14:paraId="64EC3B06" w14:textId="77777777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26 participants (1 RCT study)</w:t>
            </w:r>
          </w:p>
        </w:tc>
        <w:tc>
          <w:tcPr>
            <w:tcW w:w="1443" w:type="dxa"/>
          </w:tcPr>
          <w:p w14:paraId="5E12DEF9" w14:textId="2546BC2C" w:rsidR="000824CF" w:rsidRDefault="000824CF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 ± 2 years</w:t>
            </w:r>
          </w:p>
        </w:tc>
        <w:tc>
          <w:tcPr>
            <w:tcW w:w="1311" w:type="dxa"/>
          </w:tcPr>
          <w:p w14:paraId="4DDFB060" w14:textId="77777777" w:rsidR="000824CF" w:rsidRDefault="000824CF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1</w:t>
            </w:r>
          </w:p>
          <w:p w14:paraId="65D0092A" w14:textId="197E4152" w:rsidR="000824CF" w:rsidRDefault="000824CF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(96 %)</w:t>
            </w:r>
          </w:p>
        </w:tc>
        <w:tc>
          <w:tcPr>
            <w:tcW w:w="1234" w:type="dxa"/>
          </w:tcPr>
          <w:p w14:paraId="1DA01665" w14:textId="12BFDEB9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29" w:type="dxa"/>
          </w:tcPr>
          <w:p w14:paraId="55A14605" w14:textId="4FA8E683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27081CC9" w14:textId="5C67AEBA" w:rsidR="000824CF" w:rsidRDefault="000824CF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In adult patients, the use of an impedance </w:t>
            </w:r>
            <w:proofErr w:type="spellStart"/>
            <w:r w:rsidRPr="00442CC2">
              <w:rPr>
                <w:rFonts w:ascii="Palatino Linotype" w:hAnsi="Palatino Linotype"/>
                <w:sz w:val="20"/>
                <w:szCs w:val="20"/>
              </w:rPr>
              <w:t>treshold</w:t>
            </w:r>
            <w:proofErr w:type="spellEnd"/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 device (ITD)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did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so far 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not cause any significant decrease in </w:t>
            </w:r>
            <w:r>
              <w:rPr>
                <w:rFonts w:ascii="Palatino Linotype" w:hAnsi="Palatino Linotype"/>
                <w:sz w:val="20"/>
                <w:szCs w:val="20"/>
              </w:rPr>
              <w:t>symptom burden</w:t>
            </w:r>
            <w:r w:rsidRPr="00442CC2">
              <w:rPr>
                <w:rFonts w:ascii="Palatino Linotype" w:hAnsi="Palatino Linotype"/>
                <w:sz w:val="20"/>
                <w:szCs w:val="20"/>
              </w:rPr>
              <w:t xml:space="preserve"> in comparison to the use of a sham device. Due to concerns regarding the risk of bias and due to a small study population, the level of certainty for the use of ITD is very low.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An effect on symptom burden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Impedance </w:t>
            </w:r>
            <w:proofErr w:type="spellStart"/>
            <w:r w:rsidR="00544F24">
              <w:rPr>
                <w:rFonts w:ascii="Palatino Linotype" w:hAnsi="Palatino Linotype"/>
                <w:sz w:val="20"/>
                <w:szCs w:val="20"/>
              </w:rPr>
              <w:t>Treshold</w:t>
            </w:r>
            <w:proofErr w:type="spellEnd"/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Devices in ME/CFS.</w:t>
            </w:r>
          </w:p>
        </w:tc>
      </w:tr>
      <w:tr w:rsidR="00D27A09" w14:paraId="60B0BB0C" w14:textId="77777777" w:rsidTr="00343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5DA5E9CA" w14:textId="36334133" w:rsidR="00D27A09" w:rsidRDefault="00D27A09" w:rsidP="00BC774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Nardone et al. (2020)</w:t>
            </w:r>
          </w:p>
        </w:tc>
        <w:tc>
          <w:tcPr>
            <w:tcW w:w="1861" w:type="dxa"/>
            <w:vMerge w:val="restart"/>
          </w:tcPr>
          <w:p w14:paraId="60B23CF2" w14:textId="0FEFC541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Neck Compression</w:t>
            </w:r>
          </w:p>
        </w:tc>
        <w:tc>
          <w:tcPr>
            <w:tcW w:w="1311" w:type="dxa"/>
          </w:tcPr>
          <w:p w14:paraId="30D8FB23" w14:textId="77777777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Upright Heart Rate (bpm)</w:t>
            </w:r>
          </w:p>
        </w:tc>
        <w:tc>
          <w:tcPr>
            <w:tcW w:w="1814" w:type="dxa"/>
          </w:tcPr>
          <w:p w14:paraId="7086890A" w14:textId="77777777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 participants (1 RCT study)</w:t>
            </w:r>
          </w:p>
        </w:tc>
        <w:tc>
          <w:tcPr>
            <w:tcW w:w="1443" w:type="dxa"/>
          </w:tcPr>
          <w:p w14:paraId="5CA8353E" w14:textId="31FA90BD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2434A">
              <w:rPr>
                <w:rFonts w:ascii="Palatino Linotype" w:hAnsi="Palatino Linotype"/>
                <w:sz w:val="20"/>
                <w:szCs w:val="20"/>
              </w:rPr>
              <w:t xml:space="preserve">40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F2434A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 </w:t>
            </w:r>
          </w:p>
        </w:tc>
        <w:tc>
          <w:tcPr>
            <w:tcW w:w="1311" w:type="dxa"/>
          </w:tcPr>
          <w:p w14:paraId="3B480337" w14:textId="77777777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 : 1</w:t>
            </w:r>
          </w:p>
          <w:p w14:paraId="0AA0E32A" w14:textId="0FAFDD33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(90 %)</w:t>
            </w:r>
          </w:p>
        </w:tc>
        <w:tc>
          <w:tcPr>
            <w:tcW w:w="1234" w:type="dxa"/>
          </w:tcPr>
          <w:p w14:paraId="7419B953" w14:textId="1D381A98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Canada</w:t>
            </w:r>
          </w:p>
        </w:tc>
        <w:tc>
          <w:tcPr>
            <w:tcW w:w="1129" w:type="dxa"/>
          </w:tcPr>
          <w:p w14:paraId="74444369" w14:textId="2187DC43" w:rsidR="00D27A09" w:rsidRDefault="00D27A09" w:rsidP="00BC7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79DAF9DE" w14:textId="69039D6B" w:rsidR="00D27A09" w:rsidRDefault="00D27A09" w:rsidP="00BC7744">
            <w:pPr>
              <w:tabs>
                <w:tab w:val="left" w:pos="189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F04C1">
              <w:rPr>
                <w:rFonts w:ascii="Palatino Linotype" w:hAnsi="Palatino Linotype"/>
                <w:sz w:val="20"/>
                <w:szCs w:val="20"/>
              </w:rPr>
              <w:t xml:space="preserve">In adult patients, neck compression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did not show a </w:t>
            </w:r>
            <w:r w:rsidRPr="00CF04C1">
              <w:rPr>
                <w:rFonts w:ascii="Palatino Linotype" w:hAnsi="Palatino Linotype"/>
                <w:sz w:val="20"/>
                <w:szCs w:val="20"/>
              </w:rPr>
              <w:t xml:space="preserve">significant change in </w:t>
            </w:r>
            <w:r w:rsidRPr="00CF04C1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upright heart rate. Since </w:t>
            </w:r>
            <w:r>
              <w:rPr>
                <w:rFonts w:ascii="Palatino Linotype" w:hAnsi="Palatino Linotype"/>
                <w:sz w:val="20"/>
                <w:szCs w:val="20"/>
              </w:rPr>
              <w:t>there is only one study which</w:t>
            </w:r>
            <w:r w:rsidRPr="00CF04C1">
              <w:rPr>
                <w:rFonts w:ascii="Palatino Linotype" w:hAnsi="Palatino Linotype"/>
                <w:sz w:val="20"/>
                <w:szCs w:val="20"/>
              </w:rPr>
              <w:t xml:space="preserve"> included very few participants and comprises concerns regarding risk of bias, certainty of evidence is very low. A beneficial effect on heart rate increment upon postural change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neck compression garments in ME/CFS.</w:t>
            </w:r>
          </w:p>
        </w:tc>
      </w:tr>
      <w:tr w:rsidR="00D27A09" w14:paraId="621AEFF3" w14:textId="77777777" w:rsidTr="00343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0452061C" w14:textId="7D531C8E" w:rsidR="00D27A09" w:rsidRDefault="00206676" w:rsidP="00876C77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Nardone et al. (2020)</w:t>
            </w:r>
          </w:p>
        </w:tc>
        <w:tc>
          <w:tcPr>
            <w:tcW w:w="1861" w:type="dxa"/>
            <w:vMerge/>
          </w:tcPr>
          <w:p w14:paraId="7704AFDF" w14:textId="07BD4D7A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9DBE92A" w14:textId="77777777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(Vanderbilt Orthostatic Symptom Scale)</w:t>
            </w:r>
          </w:p>
        </w:tc>
        <w:tc>
          <w:tcPr>
            <w:tcW w:w="1814" w:type="dxa"/>
          </w:tcPr>
          <w:p w14:paraId="31024586" w14:textId="77777777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 participants (1 RCT study)</w:t>
            </w:r>
          </w:p>
        </w:tc>
        <w:tc>
          <w:tcPr>
            <w:tcW w:w="1443" w:type="dxa"/>
          </w:tcPr>
          <w:p w14:paraId="3987863A" w14:textId="1C919FE9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2434A">
              <w:rPr>
                <w:rFonts w:ascii="Palatino Linotype" w:hAnsi="Palatino Linotype"/>
                <w:sz w:val="20"/>
                <w:szCs w:val="20"/>
              </w:rPr>
              <w:t xml:space="preserve">40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± </w:t>
            </w:r>
            <w:r w:rsidRPr="00F2434A">
              <w:rPr>
                <w:rFonts w:ascii="Palatino Linotype" w:hAnsi="Palatino Linotype"/>
                <w:sz w:val="20"/>
                <w:szCs w:val="20"/>
              </w:rPr>
              <w:t>10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 </w:t>
            </w:r>
          </w:p>
        </w:tc>
        <w:tc>
          <w:tcPr>
            <w:tcW w:w="1311" w:type="dxa"/>
          </w:tcPr>
          <w:p w14:paraId="52EB1215" w14:textId="77777777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 : 1</w:t>
            </w:r>
          </w:p>
          <w:p w14:paraId="4252E073" w14:textId="1F2191DD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(90 %)</w:t>
            </w:r>
          </w:p>
        </w:tc>
        <w:tc>
          <w:tcPr>
            <w:tcW w:w="1234" w:type="dxa"/>
          </w:tcPr>
          <w:p w14:paraId="6338CE69" w14:textId="11BD4E9C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Canada</w:t>
            </w:r>
          </w:p>
        </w:tc>
        <w:tc>
          <w:tcPr>
            <w:tcW w:w="1129" w:type="dxa"/>
          </w:tcPr>
          <w:p w14:paraId="3F31F57B" w14:textId="19E78DD4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7AA33451" w14:textId="0443DE60" w:rsidR="00D27A09" w:rsidRDefault="00D27A09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F04C1">
              <w:rPr>
                <w:rFonts w:ascii="Palatino Linotype" w:hAnsi="Palatino Linotype"/>
                <w:sz w:val="20"/>
                <w:szCs w:val="20"/>
              </w:rPr>
              <w:t>In adult patients, neck compression led to a significant change in symptom burden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(p = 0.04)</w:t>
            </w:r>
            <w:r w:rsidRPr="00CF04C1">
              <w:rPr>
                <w:rFonts w:ascii="Palatino Linotype" w:hAnsi="Palatino Linotype"/>
                <w:sz w:val="20"/>
                <w:szCs w:val="20"/>
              </w:rPr>
              <w:t xml:space="preserve">. Since this study included very few participants and comprises concerns regarding risk of </w:t>
            </w:r>
            <w:r w:rsidRPr="00CF04C1">
              <w:rPr>
                <w:rFonts w:ascii="Palatino Linotype" w:hAnsi="Palatino Linotype"/>
                <w:sz w:val="20"/>
                <w:szCs w:val="20"/>
              </w:rPr>
              <w:lastRenderedPageBreak/>
              <w:t>bias, especially patients´ awareness, certainty of evidence is very low. A beneficial effect on symptom burden in POTS patients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neck compression garments in ME/CFS.</w:t>
            </w:r>
          </w:p>
        </w:tc>
      </w:tr>
      <w:tr w:rsidR="00DA1A7C" w14:paraId="4DD76D7D" w14:textId="77777777" w:rsidTr="00D63F4A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7AB19AEF" w14:textId="37329C61" w:rsidR="00DA1A7C" w:rsidRDefault="00DA1A7C" w:rsidP="00876C77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Wheatley-Guy et al. (2023)</w:t>
            </w:r>
          </w:p>
        </w:tc>
        <w:tc>
          <w:tcPr>
            <w:tcW w:w="1861" w:type="dxa"/>
          </w:tcPr>
          <w:p w14:paraId="3E74261A" w14:textId="0DC2CDE4" w:rsidR="00DA1A7C" w:rsidRP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DA1A7C">
              <w:rPr>
                <w:rFonts w:ascii="Palatino Linotype" w:hAnsi="Palatino Linotype"/>
                <w:b/>
                <w:bCs/>
                <w:sz w:val="20"/>
                <w:szCs w:val="20"/>
              </w:rPr>
              <w:t>Physical exercise</w:t>
            </w:r>
          </w:p>
        </w:tc>
        <w:tc>
          <w:tcPr>
            <w:tcW w:w="1311" w:type="dxa"/>
          </w:tcPr>
          <w:p w14:paraId="08E691B5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(COMPASS-31)</w:t>
            </w:r>
          </w:p>
        </w:tc>
        <w:tc>
          <w:tcPr>
            <w:tcW w:w="1814" w:type="dxa"/>
          </w:tcPr>
          <w:p w14:paraId="49D9C7BD" w14:textId="16200246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49 participants (1 RCT study)</w:t>
            </w:r>
          </w:p>
        </w:tc>
        <w:tc>
          <w:tcPr>
            <w:tcW w:w="1443" w:type="dxa"/>
          </w:tcPr>
          <w:p w14:paraId="14D73398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Intervention group (n = 26): </w:t>
            </w:r>
          </w:p>
          <w:p w14:paraId="051B42F8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0126C">
              <w:rPr>
                <w:rFonts w:ascii="Palatino Linotype" w:hAnsi="Palatino Linotype"/>
                <w:sz w:val="20"/>
                <w:szCs w:val="20"/>
              </w:rPr>
              <w:t>33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50126C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50126C">
              <w:rPr>
                <w:rFonts w:ascii="Palatino Linotype" w:hAnsi="Palatino Linotype"/>
                <w:sz w:val="20"/>
                <w:szCs w:val="20"/>
              </w:rPr>
              <w:t>11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 </w:t>
            </w:r>
          </w:p>
          <w:p w14:paraId="0BC685CF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553EC230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50ED81D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Control group </w:t>
            </w:r>
          </w:p>
          <w:p w14:paraId="523BCC18" w14:textId="01E4E416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(n= 23):</w:t>
            </w:r>
          </w:p>
          <w:p w14:paraId="542DEA51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50126C">
              <w:rPr>
                <w:rFonts w:ascii="Palatino Linotype" w:hAnsi="Palatino Linotype"/>
                <w:sz w:val="20"/>
                <w:szCs w:val="20"/>
              </w:rPr>
              <w:t>37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50126C">
              <w:rPr>
                <w:rFonts w:ascii="Palatino Linotype" w:hAnsi="Palatino Linotype"/>
                <w:sz w:val="20"/>
                <w:szCs w:val="20"/>
              </w:rPr>
              <w:t>±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50126C">
              <w:rPr>
                <w:rFonts w:ascii="Palatino Linotype" w:hAnsi="Palatino Linotype"/>
                <w:sz w:val="20"/>
                <w:szCs w:val="20"/>
              </w:rPr>
              <w:t>10 years</w:t>
            </w:r>
          </w:p>
          <w:p w14:paraId="594503C3" w14:textId="09496A8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0F2F986B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Intervention group:</w:t>
            </w:r>
          </w:p>
          <w:p w14:paraId="213BF7E9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 : 3</w:t>
            </w:r>
          </w:p>
          <w:p w14:paraId="3067BBFD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(88.5 %)</w:t>
            </w:r>
          </w:p>
          <w:p w14:paraId="1D222590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DC53089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Control group:</w:t>
            </w:r>
          </w:p>
          <w:p w14:paraId="661D7E6A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 : 1</w:t>
            </w:r>
          </w:p>
          <w:p w14:paraId="4C8B5820" w14:textId="2E790E53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(95.7 %)</w:t>
            </w:r>
          </w:p>
        </w:tc>
        <w:tc>
          <w:tcPr>
            <w:tcW w:w="1234" w:type="dxa"/>
          </w:tcPr>
          <w:p w14:paraId="418F989A" w14:textId="353E25D4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29" w:type="dxa"/>
          </w:tcPr>
          <w:p w14:paraId="42D081FD" w14:textId="15538E8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  <w:p w14:paraId="5417A911" w14:textId="77777777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071" w:type="dxa"/>
          </w:tcPr>
          <w:p w14:paraId="2ABDC911" w14:textId="7B0DF1FE" w:rsidR="00DA1A7C" w:rsidRDefault="00DA1A7C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866BEC">
              <w:rPr>
                <w:rFonts w:ascii="Palatino Linotype" w:hAnsi="Palatino Linotype"/>
                <w:sz w:val="20"/>
                <w:szCs w:val="20"/>
              </w:rPr>
              <w:t xml:space="preserve">In adult patients who participated </w:t>
            </w:r>
            <w:r w:rsidR="007A30ED">
              <w:rPr>
                <w:rFonts w:ascii="Palatino Linotype" w:hAnsi="Palatino Linotype"/>
                <w:sz w:val="20"/>
                <w:szCs w:val="20"/>
              </w:rPr>
              <w:t xml:space="preserve">in </w:t>
            </w:r>
            <w:r w:rsidRPr="00866BEC">
              <w:rPr>
                <w:rFonts w:ascii="Palatino Linotype" w:hAnsi="Palatino Linotype"/>
                <w:sz w:val="20"/>
                <w:szCs w:val="20"/>
              </w:rPr>
              <w:t>a partly supervised exercise programme over three months, no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866BEC">
              <w:rPr>
                <w:rFonts w:ascii="Palatino Linotype" w:hAnsi="Palatino Linotype"/>
                <w:sz w:val="20"/>
                <w:szCs w:val="20"/>
              </w:rPr>
              <w:t xml:space="preserve">significant changes in symptom burden </w:t>
            </w:r>
            <w:r>
              <w:rPr>
                <w:rFonts w:ascii="Palatino Linotype" w:hAnsi="Palatino Linotype"/>
                <w:sz w:val="20"/>
                <w:szCs w:val="20"/>
              </w:rPr>
              <w:t>could be</w:t>
            </w:r>
            <w:r w:rsidRPr="00866BEC">
              <w:rPr>
                <w:rFonts w:ascii="Palatino Linotype" w:hAnsi="Palatino Linotype"/>
                <w:sz w:val="20"/>
                <w:szCs w:val="20"/>
              </w:rPr>
              <w:t xml:space="preserve"> detected vs. a standard-of-care group. </w:t>
            </w:r>
            <w:r>
              <w:rPr>
                <w:rFonts w:ascii="Palatino Linotype" w:hAnsi="Palatino Linotype"/>
                <w:sz w:val="20"/>
                <w:szCs w:val="20"/>
              </w:rPr>
              <w:t>Since there is only one RCT study and due to a</w:t>
            </w:r>
            <w:r w:rsidRPr="00866BEC">
              <w:rPr>
                <w:rFonts w:ascii="Palatino Linotype" w:hAnsi="Palatino Linotype"/>
                <w:sz w:val="20"/>
                <w:szCs w:val="20"/>
              </w:rPr>
              <w:t xml:space="preserve"> moderate risk of bias, a high dependence on </w:t>
            </w:r>
            <w:r w:rsidRPr="00866BEC">
              <w:rPr>
                <w:rFonts w:ascii="Palatino Linotype" w:hAnsi="Palatino Linotype"/>
                <w:sz w:val="20"/>
                <w:szCs w:val="20"/>
              </w:rPr>
              <w:lastRenderedPageBreak/>
              <w:t>patient compliance and a small number of participants, certainty of evidence is very low. Physical exercise might have a beneficial effect on symptom burden in POTS patients.</w:t>
            </w:r>
            <w:r w:rsidR="00F11E37">
              <w:rPr>
                <w:rFonts w:ascii="Palatino Linotype" w:hAnsi="Palatino Linotype"/>
                <w:sz w:val="20"/>
                <w:szCs w:val="20"/>
              </w:rPr>
              <w:t xml:space="preserve"> As it can be individually adapted, it could be considered as a </w:t>
            </w:r>
            <w:r w:rsidR="002B0EEE">
              <w:rPr>
                <w:rFonts w:ascii="Palatino Linotype" w:hAnsi="Palatino Linotype"/>
                <w:sz w:val="20"/>
                <w:szCs w:val="20"/>
              </w:rPr>
              <w:t xml:space="preserve">possible </w:t>
            </w:r>
            <w:r w:rsidR="00F11E37">
              <w:rPr>
                <w:rFonts w:ascii="Palatino Linotype" w:hAnsi="Palatino Linotype"/>
                <w:sz w:val="20"/>
                <w:szCs w:val="20"/>
              </w:rPr>
              <w:t>treatment option.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physical training approaches in ME/CFS.</w:t>
            </w:r>
          </w:p>
        </w:tc>
      </w:tr>
      <w:tr w:rsidR="00F016F3" w14:paraId="09AA5B12" w14:textId="77777777" w:rsidTr="00D86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66AC40A5" w14:textId="4013EF55" w:rsidR="00F016F3" w:rsidRDefault="00F016F3" w:rsidP="00F016F3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Garland et al. (2021)</w:t>
            </w:r>
          </w:p>
        </w:tc>
        <w:tc>
          <w:tcPr>
            <w:tcW w:w="1861" w:type="dxa"/>
          </w:tcPr>
          <w:p w14:paraId="0CB6E223" w14:textId="77777777" w:rsidR="00F016F3" w:rsidRPr="00F016F3" w:rsidRDefault="00F016F3" w:rsidP="00F01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F016F3">
              <w:rPr>
                <w:rFonts w:ascii="Palatino Linotype" w:hAnsi="Palatino Linotype"/>
                <w:b/>
                <w:bCs/>
                <w:sz w:val="20"/>
                <w:szCs w:val="20"/>
              </w:rPr>
              <w:t>Salt supplementation</w:t>
            </w:r>
          </w:p>
          <w:p w14:paraId="5C9025DB" w14:textId="58AA798B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F016F3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High Na+ Diet (300 </w:t>
            </w:r>
            <w:proofErr w:type="spellStart"/>
            <w:r w:rsidRPr="00F016F3">
              <w:rPr>
                <w:rFonts w:ascii="Palatino Linotype" w:hAnsi="Palatino Linotype"/>
                <w:b/>
                <w:bCs/>
                <w:sz w:val="20"/>
                <w:szCs w:val="20"/>
              </w:rPr>
              <w:t>mEq</w:t>
            </w:r>
            <w:proofErr w:type="spellEnd"/>
            <w:r w:rsidRPr="00F016F3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/ day)</w:t>
            </w:r>
          </w:p>
        </w:tc>
        <w:tc>
          <w:tcPr>
            <w:tcW w:w="1311" w:type="dxa"/>
          </w:tcPr>
          <w:p w14:paraId="21092D69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Change in HR upon postural change (bpm)</w:t>
            </w:r>
          </w:p>
        </w:tc>
        <w:tc>
          <w:tcPr>
            <w:tcW w:w="1814" w:type="dxa"/>
          </w:tcPr>
          <w:p w14:paraId="767D0C23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27 participants (1 RCT study)</w:t>
            </w:r>
          </w:p>
        </w:tc>
        <w:tc>
          <w:tcPr>
            <w:tcW w:w="1443" w:type="dxa"/>
          </w:tcPr>
          <w:p w14:paraId="382EC3C6" w14:textId="6DC81C42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POTS: 35 ± 8 years</w:t>
            </w:r>
          </w:p>
          <w:p w14:paraId="3B5E7751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E91056C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42DE35C7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38E13487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9731E73" w14:textId="716524A9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Healthy controls: 31 ± 6 years</w:t>
            </w:r>
          </w:p>
          <w:p w14:paraId="00E07A1C" w14:textId="63AC995B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517E4EBF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POTS patients:</w:t>
            </w:r>
          </w:p>
          <w:p w14:paraId="4D07CCC2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14 : 0 </w:t>
            </w:r>
          </w:p>
          <w:p w14:paraId="14162EF1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  <w:p w14:paraId="34ED49A9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03A515A1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Healthy controls:</w:t>
            </w:r>
          </w:p>
          <w:p w14:paraId="60916761" w14:textId="77777777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13 : 0 </w:t>
            </w:r>
          </w:p>
          <w:p w14:paraId="3037BD70" w14:textId="61D5C272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</w:tc>
        <w:tc>
          <w:tcPr>
            <w:tcW w:w="1234" w:type="dxa"/>
          </w:tcPr>
          <w:p w14:paraId="2E4BA500" w14:textId="003A9ACE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29" w:type="dxa"/>
          </w:tcPr>
          <w:p w14:paraId="3647979F" w14:textId="3CDE1154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739080CE" w14:textId="1C81D312" w:rsidR="00F016F3" w:rsidRDefault="00F016F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CB53FF">
              <w:rPr>
                <w:rFonts w:ascii="Palatino Linotype" w:hAnsi="Palatino Linotype"/>
                <w:sz w:val="20"/>
                <w:szCs w:val="20"/>
              </w:rPr>
              <w:t xml:space="preserve">In adult patients performing a high sodium diet for six days, a significant change in HR increment upon postural change could be detected compared to a control group with low sodium diet.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Since there is only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one RCT study, and due</w:t>
            </w:r>
            <w:r w:rsidRPr="00CB53FF">
              <w:rPr>
                <w:rFonts w:ascii="Palatino Linotype" w:hAnsi="Palatino Linotype"/>
                <w:sz w:val="20"/>
                <w:szCs w:val="20"/>
              </w:rPr>
              <w:t xml:space="preserve"> to a moderate risk of bias and a small size of the study population, certainty of evidence is very low for this study. There might be a beneficial effect of salt supplementation on </w:t>
            </w:r>
            <w:proofErr w:type="spellStart"/>
            <w:r w:rsidRPr="00CB53FF"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 w:rsidRPr="00CB53FF">
              <w:rPr>
                <w:rFonts w:ascii="Palatino Linotype" w:hAnsi="Palatino Linotype"/>
                <w:sz w:val="20"/>
                <w:szCs w:val="20"/>
              </w:rPr>
              <w:t xml:space="preserve"> of POTS patients.</w:t>
            </w:r>
            <w:r w:rsidR="002E464F">
              <w:rPr>
                <w:rFonts w:ascii="Palatino Linotype" w:hAnsi="Palatino Linotype"/>
                <w:sz w:val="20"/>
                <w:szCs w:val="20"/>
              </w:rPr>
              <w:t xml:space="preserve"> Due to its simple applicability, it could be considered as a possible treatment option.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salt supplementation in ME/CFS</w:t>
            </w:r>
          </w:p>
        </w:tc>
      </w:tr>
      <w:tr w:rsidR="00041D63" w14:paraId="467512D0" w14:textId="77777777" w:rsidTr="00081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7F5656FF" w14:textId="69383029" w:rsidR="00041D63" w:rsidRPr="00041D63" w:rsidRDefault="00041D63" w:rsidP="00876C77">
            <w:pPr>
              <w:rPr>
                <w:rFonts w:ascii="Palatino Linotype" w:hAnsi="Palatino Linotype"/>
                <w:sz w:val="20"/>
                <w:szCs w:val="20"/>
              </w:rPr>
            </w:pPr>
            <w:r w:rsidRPr="00041D63">
              <w:rPr>
                <w:rFonts w:ascii="Palatino Linotype" w:hAnsi="Palatino Linotype"/>
                <w:sz w:val="20"/>
                <w:szCs w:val="20"/>
              </w:rPr>
              <w:lastRenderedPageBreak/>
              <w:t>Stavrakis et al. (2024)</w:t>
            </w:r>
          </w:p>
        </w:tc>
        <w:tc>
          <w:tcPr>
            <w:tcW w:w="1861" w:type="dxa"/>
            <w:vMerge w:val="restart"/>
          </w:tcPr>
          <w:p w14:paraId="6FE11101" w14:textId="77777777" w:rsidR="00041D63" w:rsidRPr="00041D63" w:rsidRDefault="00041D63" w:rsidP="00041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041D63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Transdermal </w:t>
            </w:r>
            <w:proofErr w:type="spellStart"/>
            <w:r w:rsidRPr="00041D63">
              <w:rPr>
                <w:rFonts w:ascii="Palatino Linotype" w:hAnsi="Palatino Linotype"/>
                <w:b/>
                <w:bCs/>
                <w:sz w:val="20"/>
                <w:szCs w:val="20"/>
              </w:rPr>
              <w:t>Vagus</w:t>
            </w:r>
            <w:proofErr w:type="spellEnd"/>
            <w:r w:rsidRPr="00041D63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Nerve Stimulation (</w:t>
            </w:r>
            <w:proofErr w:type="spellStart"/>
            <w:r w:rsidRPr="00041D63">
              <w:rPr>
                <w:rFonts w:ascii="Palatino Linotype" w:hAnsi="Palatino Linotype"/>
                <w:b/>
                <w:bCs/>
                <w:sz w:val="20"/>
                <w:szCs w:val="20"/>
              </w:rPr>
              <w:t>tVNS</w:t>
            </w:r>
            <w:proofErr w:type="spellEnd"/>
            <w:r w:rsidRPr="00041D63">
              <w:rPr>
                <w:rFonts w:ascii="Palatino Linotype" w:hAnsi="Palatino Linotype"/>
                <w:b/>
                <w:bCs/>
                <w:sz w:val="20"/>
                <w:szCs w:val="20"/>
              </w:rPr>
              <w:t>)</w:t>
            </w:r>
          </w:p>
          <w:p w14:paraId="28564F85" w14:textId="77777777" w:rsidR="00041D63" w:rsidRDefault="00041D63" w:rsidP="00041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</w:p>
          <w:p w14:paraId="08F5B028" w14:textId="28A5C080" w:rsidR="00041D63" w:rsidRPr="00EC5823" w:rsidRDefault="00041D63" w:rsidP="00041D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EC5823">
              <w:rPr>
                <w:rFonts w:ascii="Palatino Linotype" w:hAnsi="Palatino Linotype"/>
                <w:sz w:val="20"/>
                <w:szCs w:val="20"/>
              </w:rPr>
              <w:t>1 hour per day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(</w:t>
            </w:r>
            <w:r w:rsidRPr="00EC5823">
              <w:rPr>
                <w:rFonts w:ascii="Palatino Linotype" w:hAnsi="Palatino Linotype"/>
                <w:sz w:val="20"/>
                <w:szCs w:val="20"/>
              </w:rPr>
              <w:t xml:space="preserve">Amplitude :1 mA </w:t>
            </w:r>
            <w:r w:rsidRPr="00EC5823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below discomfort threshold. </w:t>
            </w:r>
          </w:p>
          <w:p w14:paraId="67747B4F" w14:textId="664C37F6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EC5823">
              <w:rPr>
                <w:rFonts w:ascii="Palatino Linotype" w:hAnsi="Palatino Linotype"/>
                <w:sz w:val="20"/>
                <w:szCs w:val="20"/>
              </w:rPr>
              <w:t xml:space="preserve">20 Hz, pulse width of 200 </w:t>
            </w:r>
            <w:proofErr w:type="spellStart"/>
            <w:r w:rsidRPr="00EC5823">
              <w:rPr>
                <w:rFonts w:ascii="Palatino Linotype" w:hAnsi="Palatino Linotype"/>
                <w:sz w:val="20"/>
                <w:szCs w:val="20"/>
              </w:rPr>
              <w:t>ms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)</w:t>
            </w:r>
          </w:p>
        </w:tc>
        <w:tc>
          <w:tcPr>
            <w:tcW w:w="1311" w:type="dxa"/>
          </w:tcPr>
          <w:p w14:paraId="7AAB6142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Change in HR upon postural change (bpm)</w:t>
            </w:r>
          </w:p>
        </w:tc>
        <w:tc>
          <w:tcPr>
            <w:tcW w:w="1814" w:type="dxa"/>
          </w:tcPr>
          <w:p w14:paraId="0E34F5CA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participants (1 RCT study)</w:t>
            </w:r>
          </w:p>
        </w:tc>
        <w:tc>
          <w:tcPr>
            <w:tcW w:w="1443" w:type="dxa"/>
          </w:tcPr>
          <w:p w14:paraId="3DEA84E5" w14:textId="04A3D802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Intervention group (n = 11): </w:t>
            </w:r>
            <w:r w:rsidRPr="004B11AE">
              <w:rPr>
                <w:rFonts w:ascii="Palatino Linotype" w:hAnsi="Palatino Linotype"/>
                <w:sz w:val="20"/>
                <w:szCs w:val="20"/>
              </w:rPr>
              <w:t>31.2 ± 5.5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  <w:p w14:paraId="3EEC1E24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61EC34BC" w14:textId="78CA4E85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Control group (n =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14): </w:t>
            </w:r>
            <w:r w:rsidRPr="004B11AE">
              <w:rPr>
                <w:rFonts w:ascii="Palatino Linotype" w:hAnsi="Palatino Linotype"/>
                <w:sz w:val="20"/>
                <w:szCs w:val="20"/>
              </w:rPr>
              <w:t>30.8 ± 5.6 years</w:t>
            </w:r>
          </w:p>
        </w:tc>
        <w:tc>
          <w:tcPr>
            <w:tcW w:w="1311" w:type="dxa"/>
          </w:tcPr>
          <w:p w14:paraId="263D20D5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25 : 0</w:t>
            </w:r>
          </w:p>
          <w:p w14:paraId="5D5A8CF3" w14:textId="601461A8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</w:tc>
        <w:tc>
          <w:tcPr>
            <w:tcW w:w="1234" w:type="dxa"/>
          </w:tcPr>
          <w:p w14:paraId="2052792C" w14:textId="32E3420E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29" w:type="dxa"/>
          </w:tcPr>
          <w:p w14:paraId="20C5FDD5" w14:textId="2705B08B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66A797BD" w14:textId="45EA7048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In adult patients undergoing transdermal vagal nerve stimulation over a period of two months, a significant decrease in HR 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lastRenderedPageBreak/>
              <w:t>increment compared to the control group using a sham device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could be detected. Since there is only one RCT study and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ue to a small number of study participants and a moderate risk of bias, the level of certainty is very low. </w:t>
            </w:r>
            <w:proofErr w:type="spellStart"/>
            <w:r w:rsidRPr="002659A0">
              <w:rPr>
                <w:rFonts w:ascii="Palatino Linotype" w:hAnsi="Palatino Linotype"/>
                <w:sz w:val="20"/>
                <w:szCs w:val="20"/>
              </w:rPr>
              <w:t>tVNS</w:t>
            </w:r>
            <w:proofErr w:type="spellEnd"/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 might have a beneficial effect on </w:t>
            </w:r>
            <w:proofErr w:type="spellStart"/>
            <w:r w:rsidRPr="002659A0">
              <w:rPr>
                <w:rFonts w:ascii="Palatino Linotype" w:hAnsi="Palatino Linotype"/>
                <w:sz w:val="20"/>
                <w:szCs w:val="20"/>
              </w:rPr>
              <w:t>hemodynamics</w:t>
            </w:r>
            <w:proofErr w:type="spellEnd"/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 in POTS patients in the long term.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</w:t>
            </w:r>
            <w:proofErr w:type="spellStart"/>
            <w:r w:rsidR="00544F24">
              <w:rPr>
                <w:rFonts w:ascii="Palatino Linotype" w:hAnsi="Palatino Linotype"/>
                <w:sz w:val="20"/>
                <w:szCs w:val="20"/>
              </w:rPr>
              <w:t>tVNS</w:t>
            </w:r>
            <w:proofErr w:type="spellEnd"/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in ME/CFS.</w:t>
            </w:r>
          </w:p>
        </w:tc>
      </w:tr>
      <w:tr w:rsidR="00041D63" w14:paraId="45194A4B" w14:textId="77777777" w:rsidTr="00081C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</w:tcPr>
          <w:p w14:paraId="5726B774" w14:textId="53DDC516" w:rsidR="00041D63" w:rsidRDefault="00C160B8" w:rsidP="00876C77">
            <w:pPr>
              <w:rPr>
                <w:rFonts w:ascii="Palatino Linotype" w:hAnsi="Palatino Linotype"/>
                <w:b w:val="0"/>
                <w:bCs w:val="0"/>
                <w:sz w:val="20"/>
                <w:szCs w:val="20"/>
              </w:rPr>
            </w:pPr>
            <w:r w:rsidRPr="00041D63">
              <w:rPr>
                <w:rFonts w:ascii="Palatino Linotype" w:hAnsi="Palatino Linotype"/>
                <w:sz w:val="20"/>
                <w:szCs w:val="20"/>
              </w:rPr>
              <w:lastRenderedPageBreak/>
              <w:t>Stavrakis et al. (2024)</w:t>
            </w:r>
          </w:p>
        </w:tc>
        <w:tc>
          <w:tcPr>
            <w:tcW w:w="1861" w:type="dxa"/>
            <w:vMerge/>
          </w:tcPr>
          <w:p w14:paraId="145F97A6" w14:textId="369A43C5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11" w:type="dxa"/>
          </w:tcPr>
          <w:p w14:paraId="324965DD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Symptom Burden (COMPASS-31)</w:t>
            </w:r>
          </w:p>
        </w:tc>
        <w:tc>
          <w:tcPr>
            <w:tcW w:w="1814" w:type="dxa"/>
          </w:tcPr>
          <w:p w14:paraId="54C2F6EA" w14:textId="77777777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participants (1 RCT study)</w:t>
            </w:r>
          </w:p>
        </w:tc>
        <w:tc>
          <w:tcPr>
            <w:tcW w:w="1443" w:type="dxa"/>
          </w:tcPr>
          <w:p w14:paraId="7B2AA8C3" w14:textId="77777777" w:rsidR="00041D63" w:rsidRDefault="00041D63" w:rsidP="004B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Intervention group (n = 11): </w:t>
            </w:r>
            <w:r w:rsidRPr="004B11AE">
              <w:rPr>
                <w:rFonts w:ascii="Palatino Linotype" w:hAnsi="Palatino Linotype"/>
                <w:sz w:val="20"/>
                <w:szCs w:val="20"/>
              </w:rPr>
              <w:t>31.2 ± 5.5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years</w:t>
            </w:r>
          </w:p>
          <w:p w14:paraId="2E994D42" w14:textId="77777777" w:rsidR="00041D63" w:rsidRDefault="00041D63" w:rsidP="004B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</w:p>
          <w:p w14:paraId="24EC01E4" w14:textId="4A359FBD" w:rsidR="00041D63" w:rsidRDefault="00041D63" w:rsidP="004B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Control group (n = 14): </w:t>
            </w:r>
            <w:r w:rsidRPr="004B11AE">
              <w:rPr>
                <w:rFonts w:ascii="Palatino Linotype" w:hAnsi="Palatino Linotype"/>
                <w:sz w:val="20"/>
                <w:szCs w:val="20"/>
              </w:rPr>
              <w:t>30.8 ± 5.6 years</w:t>
            </w:r>
          </w:p>
        </w:tc>
        <w:tc>
          <w:tcPr>
            <w:tcW w:w="1311" w:type="dxa"/>
          </w:tcPr>
          <w:p w14:paraId="07951F14" w14:textId="77777777" w:rsidR="00041D63" w:rsidRDefault="00041D63" w:rsidP="004B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 : 0</w:t>
            </w:r>
          </w:p>
          <w:p w14:paraId="68EFA920" w14:textId="7ED60579" w:rsidR="00041D63" w:rsidRDefault="00041D63" w:rsidP="004B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(100 %)</w:t>
            </w:r>
          </w:p>
        </w:tc>
        <w:tc>
          <w:tcPr>
            <w:tcW w:w="1234" w:type="dxa"/>
          </w:tcPr>
          <w:p w14:paraId="5D5532A0" w14:textId="599D2FF1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United States (US)</w:t>
            </w:r>
          </w:p>
        </w:tc>
        <w:tc>
          <w:tcPr>
            <w:tcW w:w="1129" w:type="dxa"/>
          </w:tcPr>
          <w:p w14:paraId="56875D60" w14:textId="16FF5B10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Very low (ACIP 4)</w:t>
            </w:r>
          </w:p>
        </w:tc>
        <w:tc>
          <w:tcPr>
            <w:tcW w:w="2071" w:type="dxa"/>
          </w:tcPr>
          <w:p w14:paraId="22161B12" w14:textId="119F1A13" w:rsidR="00041D63" w:rsidRDefault="00041D63" w:rsidP="0087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20"/>
                <w:szCs w:val="20"/>
              </w:rPr>
            </w:pPr>
            <w:r w:rsidRPr="002659A0">
              <w:rPr>
                <w:rFonts w:ascii="Palatino Linotype" w:hAnsi="Palatino Linotype"/>
                <w:sz w:val="20"/>
                <w:szCs w:val="20"/>
              </w:rPr>
              <w:t>In adult patients undergoing transdermal vagal nerve stimulation over a period of two months, there was no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significant decrease in symptom burden  compared to the 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control group using a sham device. </w:t>
            </w:r>
            <w:r>
              <w:rPr>
                <w:rFonts w:ascii="Palatino Linotype" w:hAnsi="Palatino Linotype"/>
                <w:sz w:val="20"/>
                <w:szCs w:val="20"/>
              </w:rPr>
              <w:t>Since there is only one RCT study and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d</w:t>
            </w:r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ue to a small number of study participants and a moderate risk of bias, the level of certainty is very low. A beneficial effect of </w:t>
            </w:r>
            <w:proofErr w:type="spellStart"/>
            <w:r w:rsidRPr="002659A0">
              <w:rPr>
                <w:rFonts w:ascii="Palatino Linotype" w:hAnsi="Palatino Linotype"/>
                <w:sz w:val="20"/>
                <w:szCs w:val="20"/>
              </w:rPr>
              <w:t>tVNS</w:t>
            </w:r>
            <w:proofErr w:type="spellEnd"/>
            <w:r w:rsidRPr="002659A0">
              <w:rPr>
                <w:rFonts w:ascii="Palatino Linotype" w:hAnsi="Palatino Linotype"/>
                <w:sz w:val="20"/>
                <w:szCs w:val="20"/>
              </w:rPr>
              <w:t xml:space="preserve"> on symptom burden in POTS patients in the long term cannot be ruled out.</w:t>
            </w:r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There was no specific data on the use of </w:t>
            </w:r>
            <w:proofErr w:type="spellStart"/>
            <w:r w:rsidR="00544F24">
              <w:rPr>
                <w:rFonts w:ascii="Palatino Linotype" w:hAnsi="Palatino Linotype"/>
                <w:sz w:val="20"/>
                <w:szCs w:val="20"/>
              </w:rPr>
              <w:t>tVNS</w:t>
            </w:r>
            <w:proofErr w:type="spellEnd"/>
            <w:r w:rsidR="00544F24">
              <w:rPr>
                <w:rFonts w:ascii="Palatino Linotype" w:hAnsi="Palatino Linotype"/>
                <w:sz w:val="20"/>
                <w:szCs w:val="20"/>
              </w:rPr>
              <w:t xml:space="preserve"> in ME/CFS.</w:t>
            </w:r>
          </w:p>
        </w:tc>
      </w:tr>
    </w:tbl>
    <w:p w14:paraId="5657A3CC" w14:textId="77777777" w:rsidR="00617AC7" w:rsidRPr="00617AC7" w:rsidRDefault="00617AC7" w:rsidP="00617AC7">
      <w:pPr>
        <w:rPr>
          <w:rFonts w:ascii="Palatino Linotype" w:hAnsi="Palatino Linotype"/>
          <w:sz w:val="20"/>
          <w:szCs w:val="20"/>
        </w:rPr>
      </w:pPr>
    </w:p>
    <w:sectPr w:rsidR="00617AC7" w:rsidRPr="00617AC7" w:rsidSect="00D00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3D25" w14:textId="77777777" w:rsidR="00EB79C2" w:rsidRDefault="00EB79C2" w:rsidP="00A03444">
      <w:pPr>
        <w:spacing w:after="0" w:line="240" w:lineRule="auto"/>
      </w:pPr>
      <w:r>
        <w:separator/>
      </w:r>
    </w:p>
  </w:endnote>
  <w:endnote w:type="continuationSeparator" w:id="0">
    <w:p w14:paraId="5D23DDF8" w14:textId="77777777" w:rsidR="00EB79C2" w:rsidRDefault="00EB79C2" w:rsidP="00A0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A8C7" w14:textId="77777777" w:rsidR="00A03444" w:rsidRDefault="00A034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1EE2" w14:textId="0E9BB58B" w:rsidR="00A03444" w:rsidRPr="00B90786" w:rsidRDefault="00A03444" w:rsidP="00A03444">
    <w:pPr>
      <w:pStyle w:val="MDPI13authornames"/>
      <w:jc w:val="both"/>
      <w:rPr>
        <w:rFonts w:ascii="Times New Roman" w:hAnsi="Times New Roman"/>
        <w:snapToGrid w:val="0"/>
        <w:sz w:val="18"/>
        <w:szCs w:val="18"/>
        <w:lang w:val="en-DE"/>
      </w:rPr>
    </w:pPr>
    <w:r w:rsidRPr="00B90786">
      <w:rPr>
        <w:rFonts w:ascii="Times New Roman" w:hAnsi="Times New Roman"/>
        <w:i/>
        <w:iCs/>
        <w:snapToGrid w:val="0"/>
        <w:sz w:val="18"/>
        <w:szCs w:val="18"/>
        <w:lang w:val="en-DE"/>
      </w:rPr>
      <w:t>Systematic Literature Review - Treatment of Postural Orthostatic Tachycardia Syndrome (POTS)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>; Clinical Autonom</w:t>
    </w:r>
    <w:r>
      <w:rPr>
        <w:rFonts w:ascii="Times New Roman" w:hAnsi="Times New Roman"/>
        <w:snapToGrid w:val="0"/>
        <w:sz w:val="18"/>
        <w:szCs w:val="18"/>
        <w:lang w:val="en-DE"/>
      </w:rPr>
      <w:t>ic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 xml:space="preserve"> Research; Authors: </w:t>
    </w:r>
    <w:r w:rsidRPr="00B90786">
      <w:rPr>
        <w:rFonts w:ascii="Times New Roman" w:hAnsi="Times New Roman"/>
        <w:sz w:val="18"/>
        <w:szCs w:val="18"/>
        <w:lang w:val="en-GB"/>
      </w:rPr>
      <w:t>Nicole Schiweck, Katharina Langer, Andrea Maier, Daniel Vilser, Juliane Spiegler; University Hospital Wuerzburg; Corresponding author: Juliane Spiegler (spiegler_j@ukw.de)</w:t>
    </w:r>
  </w:p>
  <w:p w14:paraId="3DFE4F26" w14:textId="4EE1DF7A" w:rsidR="00A03444" w:rsidRDefault="00A03444">
    <w:pPr>
      <w:pStyle w:val="Fuzeile"/>
    </w:pPr>
  </w:p>
  <w:p w14:paraId="59A61D3A" w14:textId="77777777" w:rsidR="00A03444" w:rsidRDefault="00A034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79E2" w14:textId="77777777" w:rsidR="00A03444" w:rsidRDefault="00A034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90CF" w14:textId="77777777" w:rsidR="00EB79C2" w:rsidRDefault="00EB79C2" w:rsidP="00A03444">
      <w:pPr>
        <w:spacing w:after="0" w:line="240" w:lineRule="auto"/>
      </w:pPr>
      <w:r>
        <w:separator/>
      </w:r>
    </w:p>
  </w:footnote>
  <w:footnote w:type="continuationSeparator" w:id="0">
    <w:p w14:paraId="19252969" w14:textId="77777777" w:rsidR="00EB79C2" w:rsidRDefault="00EB79C2" w:rsidP="00A0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6749" w14:textId="77777777" w:rsidR="00A03444" w:rsidRDefault="00A034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1932" w14:textId="77777777" w:rsidR="00A03444" w:rsidRDefault="00A034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6E8D" w14:textId="77777777" w:rsidR="00A03444" w:rsidRDefault="00A034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6839"/>
    <w:multiLevelType w:val="hybridMultilevel"/>
    <w:tmpl w:val="EB4EAE0E"/>
    <w:lvl w:ilvl="0" w:tplc="5E508356">
      <w:start w:val="3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2105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A4"/>
    <w:rsid w:val="00033F8B"/>
    <w:rsid w:val="00041D63"/>
    <w:rsid w:val="000824CF"/>
    <w:rsid w:val="00094891"/>
    <w:rsid w:val="000A6567"/>
    <w:rsid w:val="000C263D"/>
    <w:rsid w:val="000E46DB"/>
    <w:rsid w:val="00102E94"/>
    <w:rsid w:val="001077B4"/>
    <w:rsid w:val="001168DF"/>
    <w:rsid w:val="0015267B"/>
    <w:rsid w:val="001860F7"/>
    <w:rsid w:val="00197A4E"/>
    <w:rsid w:val="001A04EF"/>
    <w:rsid w:val="001B4B53"/>
    <w:rsid w:val="001D0DDD"/>
    <w:rsid w:val="00201F66"/>
    <w:rsid w:val="002020E0"/>
    <w:rsid w:val="00206676"/>
    <w:rsid w:val="00213B69"/>
    <w:rsid w:val="00217D0B"/>
    <w:rsid w:val="00217E15"/>
    <w:rsid w:val="002279F0"/>
    <w:rsid w:val="00243A26"/>
    <w:rsid w:val="00251DC9"/>
    <w:rsid w:val="00256FBE"/>
    <w:rsid w:val="002659A0"/>
    <w:rsid w:val="00266A10"/>
    <w:rsid w:val="00272F0E"/>
    <w:rsid w:val="002A2AB2"/>
    <w:rsid w:val="002A699B"/>
    <w:rsid w:val="002B0EEE"/>
    <w:rsid w:val="002B62D5"/>
    <w:rsid w:val="002E464F"/>
    <w:rsid w:val="002F3163"/>
    <w:rsid w:val="00301899"/>
    <w:rsid w:val="00317318"/>
    <w:rsid w:val="00365CF2"/>
    <w:rsid w:val="0037397B"/>
    <w:rsid w:val="003826D4"/>
    <w:rsid w:val="003B275B"/>
    <w:rsid w:val="003C22C8"/>
    <w:rsid w:val="003F05B1"/>
    <w:rsid w:val="0040606A"/>
    <w:rsid w:val="00430486"/>
    <w:rsid w:val="00434647"/>
    <w:rsid w:val="00435C37"/>
    <w:rsid w:val="00440F26"/>
    <w:rsid w:val="00442CC2"/>
    <w:rsid w:val="00450252"/>
    <w:rsid w:val="00476EB6"/>
    <w:rsid w:val="004845A1"/>
    <w:rsid w:val="00485E59"/>
    <w:rsid w:val="00490C29"/>
    <w:rsid w:val="004954C7"/>
    <w:rsid w:val="00496E17"/>
    <w:rsid w:val="004A3E01"/>
    <w:rsid w:val="004B11AE"/>
    <w:rsid w:val="004B7006"/>
    <w:rsid w:val="004D62F2"/>
    <w:rsid w:val="004F0778"/>
    <w:rsid w:val="0050126C"/>
    <w:rsid w:val="00515D89"/>
    <w:rsid w:val="005403BA"/>
    <w:rsid w:val="005408F7"/>
    <w:rsid w:val="00544F24"/>
    <w:rsid w:val="00566E70"/>
    <w:rsid w:val="00567718"/>
    <w:rsid w:val="00583AE1"/>
    <w:rsid w:val="005F2216"/>
    <w:rsid w:val="005F4FC6"/>
    <w:rsid w:val="006033AB"/>
    <w:rsid w:val="00606689"/>
    <w:rsid w:val="00617AC7"/>
    <w:rsid w:val="00625C78"/>
    <w:rsid w:val="0065413B"/>
    <w:rsid w:val="006565A2"/>
    <w:rsid w:val="0066780C"/>
    <w:rsid w:val="00696C4D"/>
    <w:rsid w:val="006B0265"/>
    <w:rsid w:val="006D367A"/>
    <w:rsid w:val="006F5B8A"/>
    <w:rsid w:val="00714AFF"/>
    <w:rsid w:val="007159FA"/>
    <w:rsid w:val="007247C6"/>
    <w:rsid w:val="007448DC"/>
    <w:rsid w:val="00745D20"/>
    <w:rsid w:val="007462BC"/>
    <w:rsid w:val="00784486"/>
    <w:rsid w:val="007A1BFA"/>
    <w:rsid w:val="007A2C5D"/>
    <w:rsid w:val="007A30ED"/>
    <w:rsid w:val="007A6885"/>
    <w:rsid w:val="007C7F57"/>
    <w:rsid w:val="007F74A7"/>
    <w:rsid w:val="00813F02"/>
    <w:rsid w:val="0082049B"/>
    <w:rsid w:val="00844114"/>
    <w:rsid w:val="00866BEC"/>
    <w:rsid w:val="00876C77"/>
    <w:rsid w:val="00881A1B"/>
    <w:rsid w:val="00895347"/>
    <w:rsid w:val="008A018B"/>
    <w:rsid w:val="008B168D"/>
    <w:rsid w:val="008B4C4F"/>
    <w:rsid w:val="008C41DA"/>
    <w:rsid w:val="008D2920"/>
    <w:rsid w:val="008E0A5C"/>
    <w:rsid w:val="008E342D"/>
    <w:rsid w:val="008E531E"/>
    <w:rsid w:val="008E6597"/>
    <w:rsid w:val="00913D49"/>
    <w:rsid w:val="009802A4"/>
    <w:rsid w:val="009D4E8E"/>
    <w:rsid w:val="009F4BE6"/>
    <w:rsid w:val="00A03444"/>
    <w:rsid w:val="00A228EB"/>
    <w:rsid w:val="00A70B22"/>
    <w:rsid w:val="00A815FE"/>
    <w:rsid w:val="00A87F4F"/>
    <w:rsid w:val="00AA3080"/>
    <w:rsid w:val="00AB48C9"/>
    <w:rsid w:val="00AB6A48"/>
    <w:rsid w:val="00AD4E17"/>
    <w:rsid w:val="00B34A2B"/>
    <w:rsid w:val="00B83751"/>
    <w:rsid w:val="00B8579E"/>
    <w:rsid w:val="00B94D15"/>
    <w:rsid w:val="00BC7744"/>
    <w:rsid w:val="00BD538B"/>
    <w:rsid w:val="00BF75C1"/>
    <w:rsid w:val="00C04C7E"/>
    <w:rsid w:val="00C1281E"/>
    <w:rsid w:val="00C160B8"/>
    <w:rsid w:val="00C42DD0"/>
    <w:rsid w:val="00C678B2"/>
    <w:rsid w:val="00C70956"/>
    <w:rsid w:val="00C9358B"/>
    <w:rsid w:val="00CB53FF"/>
    <w:rsid w:val="00CB752F"/>
    <w:rsid w:val="00CF04C1"/>
    <w:rsid w:val="00D0047A"/>
    <w:rsid w:val="00D27A09"/>
    <w:rsid w:val="00D46F9A"/>
    <w:rsid w:val="00D7518B"/>
    <w:rsid w:val="00D83FA7"/>
    <w:rsid w:val="00D94A4B"/>
    <w:rsid w:val="00DA17E7"/>
    <w:rsid w:val="00DA1A7C"/>
    <w:rsid w:val="00DB4435"/>
    <w:rsid w:val="00DD1989"/>
    <w:rsid w:val="00DD2EA3"/>
    <w:rsid w:val="00DD6C6C"/>
    <w:rsid w:val="00DE117F"/>
    <w:rsid w:val="00DE5D31"/>
    <w:rsid w:val="00DE6F31"/>
    <w:rsid w:val="00DE7DAE"/>
    <w:rsid w:val="00E017B7"/>
    <w:rsid w:val="00E07F55"/>
    <w:rsid w:val="00E163FC"/>
    <w:rsid w:val="00E17815"/>
    <w:rsid w:val="00E23001"/>
    <w:rsid w:val="00E45EAB"/>
    <w:rsid w:val="00E66E58"/>
    <w:rsid w:val="00EA0FFD"/>
    <w:rsid w:val="00EB79C2"/>
    <w:rsid w:val="00EC57FE"/>
    <w:rsid w:val="00EC5823"/>
    <w:rsid w:val="00EE2A58"/>
    <w:rsid w:val="00EE33FF"/>
    <w:rsid w:val="00EF5948"/>
    <w:rsid w:val="00F005CA"/>
    <w:rsid w:val="00F016F3"/>
    <w:rsid w:val="00F11E37"/>
    <w:rsid w:val="00F2434A"/>
    <w:rsid w:val="00F327E5"/>
    <w:rsid w:val="00F66CFF"/>
    <w:rsid w:val="00F71E2F"/>
    <w:rsid w:val="00F770CF"/>
    <w:rsid w:val="00F90655"/>
    <w:rsid w:val="00F9699C"/>
    <w:rsid w:val="00FC4C87"/>
    <w:rsid w:val="00FE6B0A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4DE55C"/>
  <w15:chartTrackingRefBased/>
  <w15:docId w15:val="{07C3FC4F-B92F-445B-B142-74A0D0B1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16F3"/>
  </w:style>
  <w:style w:type="paragraph" w:styleId="berschrift1">
    <w:name w:val="heading 1"/>
    <w:basedOn w:val="Standard"/>
    <w:next w:val="Standard"/>
    <w:link w:val="berschrift1Zchn"/>
    <w:uiPriority w:val="9"/>
    <w:qFormat/>
    <w:rsid w:val="00980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80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80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80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80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80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0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80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80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0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80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80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802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802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802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802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802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802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80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80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0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0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80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802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802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802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80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802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802A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C709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C709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5">
    <w:name w:val="Plain Table 5"/>
    <w:basedOn w:val="NormaleTabelle"/>
    <w:uiPriority w:val="45"/>
    <w:rsid w:val="00C709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A03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3444"/>
  </w:style>
  <w:style w:type="paragraph" w:styleId="Fuzeile">
    <w:name w:val="footer"/>
    <w:basedOn w:val="Standard"/>
    <w:link w:val="FuzeileZchn"/>
    <w:uiPriority w:val="99"/>
    <w:unhideWhenUsed/>
    <w:rsid w:val="00A034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3444"/>
  </w:style>
  <w:style w:type="paragraph" w:customStyle="1" w:styleId="MDPI13authornames">
    <w:name w:val="MDPI_1.3_authornames"/>
    <w:next w:val="Standard"/>
    <w:qFormat/>
    <w:rsid w:val="00A0344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3282</Words>
  <Characters>18709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Schiweck</dc:creator>
  <cp:keywords/>
  <dc:description/>
  <cp:lastModifiedBy>Nicole Schiweck</cp:lastModifiedBy>
  <cp:revision>61</cp:revision>
  <cp:lastPrinted>2025-05-23T09:26:00Z</cp:lastPrinted>
  <dcterms:created xsi:type="dcterms:W3CDTF">2025-03-24T13:15:00Z</dcterms:created>
  <dcterms:modified xsi:type="dcterms:W3CDTF">2025-10-13T17:26:00Z</dcterms:modified>
</cp:coreProperties>
</file>