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FC83" w14:textId="4A0AF57A" w:rsidR="009802A4" w:rsidRPr="00C70956" w:rsidRDefault="00EF7883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Supplement </w:t>
      </w:r>
      <w:r w:rsidR="0067618B">
        <w:rPr>
          <w:rFonts w:ascii="Palatino Linotype" w:hAnsi="Palatino Linotype"/>
          <w:b/>
          <w:bCs/>
        </w:rPr>
        <w:t>8</w:t>
      </w:r>
      <w:r>
        <w:rPr>
          <w:rFonts w:ascii="Palatino Linotype" w:hAnsi="Palatino Linotype"/>
          <w:b/>
          <w:bCs/>
        </w:rPr>
        <w:t xml:space="preserve"> - </w:t>
      </w:r>
      <w:r w:rsidR="00D0047A" w:rsidRPr="00C70956">
        <w:rPr>
          <w:rFonts w:ascii="Palatino Linotype" w:hAnsi="Palatino Linotype"/>
          <w:b/>
          <w:bCs/>
        </w:rPr>
        <w:t xml:space="preserve">SUMMARY OF FINDINGS </w:t>
      </w:r>
      <w:r>
        <w:rPr>
          <w:rFonts w:ascii="Palatino Linotype" w:hAnsi="Palatino Linotype"/>
          <w:b/>
          <w:bCs/>
        </w:rPr>
        <w:t>(Non-RCT)</w:t>
      </w:r>
    </w:p>
    <w:p w14:paraId="099D7910" w14:textId="21782F90" w:rsidR="00D0047A" w:rsidRPr="00C70956" w:rsidRDefault="00D0047A">
      <w:pPr>
        <w:pBdr>
          <w:bottom w:val="single" w:sz="12" w:space="1" w:color="auto"/>
        </w:pBdr>
        <w:rPr>
          <w:rFonts w:ascii="Palatino Linotype" w:hAnsi="Palatino Linotype"/>
          <w:b/>
          <w:bCs/>
        </w:rPr>
      </w:pPr>
      <w:r w:rsidRPr="00C70956">
        <w:rPr>
          <w:rFonts w:ascii="Palatino Linotype" w:hAnsi="Palatino Linotype"/>
          <w:b/>
          <w:bCs/>
        </w:rPr>
        <w:t xml:space="preserve">Summary of findings  – Pharmacological interventions </w:t>
      </w:r>
      <w:r w:rsidR="006F3C20">
        <w:rPr>
          <w:rFonts w:ascii="Palatino Linotype" w:hAnsi="Palatino Linotype"/>
          <w:b/>
          <w:bCs/>
        </w:rPr>
        <w:t>in Patients with POTS (Non-RCT studies)</w:t>
      </w:r>
    </w:p>
    <w:p w14:paraId="0C262387" w14:textId="514CFF3B" w:rsidR="00C70956" w:rsidRDefault="00C70956">
      <w:pPr>
        <w:rPr>
          <w:rFonts w:ascii="Palatino Linotype" w:hAnsi="Palatino Linotype"/>
          <w:b/>
          <w:bCs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 xml:space="preserve">Pharmacological interventions </w:t>
      </w:r>
      <w:r w:rsidR="006F3C20">
        <w:rPr>
          <w:rFonts w:ascii="Palatino Linotype" w:hAnsi="Palatino Linotype"/>
          <w:b/>
          <w:bCs/>
          <w:sz w:val="20"/>
          <w:szCs w:val="20"/>
        </w:rPr>
        <w:t>evaluated in a pre- and post-intervention analysis or compared to a non-randomized control group</w:t>
      </w:r>
    </w:p>
    <w:p w14:paraId="08E09B6A" w14:textId="0F90F2E8" w:rsidR="00C70956" w:rsidRDefault="0021338E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="00C70956" w:rsidRPr="00C70956">
        <w:rPr>
          <w:rFonts w:ascii="Palatino Linotype" w:hAnsi="Palatino Linotype"/>
          <w:b/>
          <w:bCs/>
          <w:sz w:val="20"/>
          <w:szCs w:val="20"/>
        </w:rPr>
        <w:t>Population:</w:t>
      </w:r>
      <w:r w:rsidR="00C70956"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="00C70956">
        <w:rPr>
          <w:rFonts w:ascii="Palatino Linotype" w:hAnsi="Palatino Linotype"/>
          <w:sz w:val="20"/>
          <w:szCs w:val="20"/>
        </w:rPr>
        <w:t>Adults and / or children with a confirmed diagnosis of POTS</w:t>
      </w:r>
    </w:p>
    <w:p w14:paraId="71CA0393" w14:textId="5B8F31B1" w:rsidR="00C70956" w:rsidRDefault="00C70956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Intervention:</w:t>
      </w:r>
      <w:r>
        <w:rPr>
          <w:rFonts w:ascii="Palatino Linotype" w:hAnsi="Palatino Linotype"/>
          <w:sz w:val="20"/>
          <w:szCs w:val="20"/>
        </w:rPr>
        <w:t xml:space="preserve"> Pharmacological interventions (see below)</w:t>
      </w:r>
    </w:p>
    <w:p w14:paraId="7A3A8FBF" w14:textId="1E0878C8" w:rsidR="00C70956" w:rsidRDefault="00C70956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Comparison: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6F3C20">
        <w:rPr>
          <w:rFonts w:ascii="Palatino Linotype" w:hAnsi="Palatino Linotype"/>
          <w:sz w:val="20"/>
          <w:szCs w:val="20"/>
        </w:rPr>
        <w:t>Pre-intervention assessments; baseline data</w:t>
      </w:r>
    </w:p>
    <w:p w14:paraId="7654A92D" w14:textId="77777777" w:rsidR="00C70956" w:rsidRDefault="00C70956">
      <w:pPr>
        <w:rPr>
          <w:rFonts w:ascii="Palatino Linotype" w:hAnsi="Palatino Linotype"/>
          <w:sz w:val="20"/>
          <w:szCs w:val="20"/>
        </w:rPr>
      </w:pPr>
    </w:p>
    <w:tbl>
      <w:tblPr>
        <w:tblStyle w:val="Gitternetztabelle1hell"/>
        <w:tblW w:w="14420" w:type="dxa"/>
        <w:tblLook w:val="04A0" w:firstRow="1" w:lastRow="0" w:firstColumn="1" w:lastColumn="0" w:noHBand="0" w:noVBand="1"/>
      </w:tblPr>
      <w:tblGrid>
        <w:gridCol w:w="1637"/>
        <w:gridCol w:w="1627"/>
        <w:gridCol w:w="1779"/>
        <w:gridCol w:w="1599"/>
        <w:gridCol w:w="1716"/>
        <w:gridCol w:w="1422"/>
        <w:gridCol w:w="1190"/>
        <w:gridCol w:w="1294"/>
        <w:gridCol w:w="2156"/>
      </w:tblGrid>
      <w:tr w:rsidR="00D544DC" w14:paraId="69B90FAE" w14:textId="77777777" w:rsidTr="00D54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B458CD7" w14:textId="12495959" w:rsidR="00D544DC" w:rsidRPr="00D544DC" w:rsidRDefault="00D544DC" w:rsidP="001F16BA">
            <w:pPr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Studies</w:t>
            </w:r>
          </w:p>
        </w:tc>
        <w:tc>
          <w:tcPr>
            <w:tcW w:w="1627" w:type="dxa"/>
          </w:tcPr>
          <w:p w14:paraId="4638E5EB" w14:textId="2CFA8F27" w:rsidR="00D544DC" w:rsidRPr="00D544DC" w:rsidRDefault="00D544DC" w:rsidP="001F16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Intervention (+ Dosage)</w:t>
            </w:r>
          </w:p>
        </w:tc>
        <w:tc>
          <w:tcPr>
            <w:tcW w:w="1779" w:type="dxa"/>
          </w:tcPr>
          <w:p w14:paraId="0FD9406A" w14:textId="10D0F943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Outcome</w:t>
            </w:r>
          </w:p>
        </w:tc>
        <w:tc>
          <w:tcPr>
            <w:tcW w:w="1599" w:type="dxa"/>
          </w:tcPr>
          <w:p w14:paraId="1C88E665" w14:textId="7A85E538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Number of participants (studies)</w:t>
            </w:r>
          </w:p>
        </w:tc>
        <w:tc>
          <w:tcPr>
            <w:tcW w:w="1716" w:type="dxa"/>
          </w:tcPr>
          <w:p w14:paraId="64DA36AF" w14:textId="77777777" w:rsidR="00D544DC" w:rsidRPr="00D544DC" w:rsidRDefault="00D544DC" w:rsidP="00D5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Age of participants</w:t>
            </w:r>
          </w:p>
          <w:p w14:paraId="4AFB79E5" w14:textId="2270C74B" w:rsidR="00D544DC" w:rsidRPr="00D544DC" w:rsidRDefault="00D544DC" w:rsidP="00D544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(MEAN + SD or Age Range)</w:t>
            </w:r>
          </w:p>
        </w:tc>
        <w:tc>
          <w:tcPr>
            <w:tcW w:w="1422" w:type="dxa"/>
          </w:tcPr>
          <w:p w14:paraId="2C8031CA" w14:textId="610EBF23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Sex Ratio (female : male; percentage of females)</w:t>
            </w:r>
          </w:p>
        </w:tc>
        <w:tc>
          <w:tcPr>
            <w:tcW w:w="1190" w:type="dxa"/>
          </w:tcPr>
          <w:p w14:paraId="4D02E5ED" w14:textId="05C04C40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Country</w:t>
            </w:r>
          </w:p>
        </w:tc>
        <w:tc>
          <w:tcPr>
            <w:tcW w:w="1294" w:type="dxa"/>
          </w:tcPr>
          <w:p w14:paraId="033BA33F" w14:textId="13957EA1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Certainty of evidence (GRADE)</w:t>
            </w:r>
          </w:p>
        </w:tc>
        <w:tc>
          <w:tcPr>
            <w:tcW w:w="2156" w:type="dxa"/>
          </w:tcPr>
          <w:p w14:paraId="21F25BD0" w14:textId="58E56039" w:rsidR="00D544DC" w:rsidRPr="00D544DC" w:rsidRDefault="00D544DC" w:rsidP="006C24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544DC">
              <w:rPr>
                <w:rFonts w:ascii="Palatino Linotype" w:hAnsi="Palatino Linotype"/>
                <w:sz w:val="20"/>
                <w:szCs w:val="20"/>
              </w:rPr>
              <w:t>Comments</w:t>
            </w:r>
          </w:p>
        </w:tc>
      </w:tr>
      <w:tr w:rsidR="00D544DC" w14:paraId="191235BF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043209E" w14:textId="564E4970" w:rsidR="00D544DC" w:rsidRPr="001F16BA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Nesheiwat et al. (2020)</w:t>
            </w:r>
          </w:p>
        </w:tc>
        <w:tc>
          <w:tcPr>
            <w:tcW w:w="1627" w:type="dxa"/>
          </w:tcPr>
          <w:p w14:paraId="04093982" w14:textId="77777777" w:rsidR="00D544DC" w:rsidRPr="00846D2E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46D2E">
              <w:rPr>
                <w:rFonts w:ascii="Palatino Linotype" w:hAnsi="Palatino Linotype"/>
                <w:b/>
                <w:bCs/>
                <w:sz w:val="20"/>
                <w:szCs w:val="20"/>
              </w:rPr>
              <w:t>Buproprion</w:t>
            </w:r>
          </w:p>
          <w:p w14:paraId="5A474FEC" w14:textId="70EFE832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46D2E">
              <w:rPr>
                <w:rFonts w:ascii="Palatino Linotype" w:hAnsi="Palatino Linotype"/>
                <w:b/>
                <w:bCs/>
                <w:sz w:val="20"/>
                <w:szCs w:val="20"/>
              </w:rPr>
              <w:t>150 mg – 450 mg od</w:t>
            </w:r>
          </w:p>
        </w:tc>
        <w:tc>
          <w:tcPr>
            <w:tcW w:w="1779" w:type="dxa"/>
          </w:tcPr>
          <w:p w14:paraId="7CD1FAC1" w14:textId="5303F76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1E8DBF24" w14:textId="490818F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47 participants (1  study)</w:t>
            </w:r>
          </w:p>
        </w:tc>
        <w:tc>
          <w:tcPr>
            <w:tcW w:w="1716" w:type="dxa"/>
          </w:tcPr>
          <w:p w14:paraId="3EEA99D3" w14:textId="445FCB54" w:rsidR="00D544DC" w:rsidRPr="00E178CA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21338E">
              <w:rPr>
                <w:rFonts w:ascii="Palatino Linotype" w:hAnsi="Palatino Linotype"/>
                <w:sz w:val="20"/>
                <w:szCs w:val="20"/>
              </w:rPr>
              <w:t>42.0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21338E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21338E">
              <w:rPr>
                <w:rFonts w:ascii="Palatino Linotype" w:hAnsi="Palatino Linotype"/>
                <w:sz w:val="20"/>
                <w:szCs w:val="20"/>
              </w:rPr>
              <w:t>13.6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422" w:type="dxa"/>
          </w:tcPr>
          <w:p w14:paraId="7F177F5F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38 : 9 </w:t>
            </w:r>
          </w:p>
          <w:p w14:paraId="491C1403" w14:textId="437E6256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(80.1 %)</w:t>
            </w:r>
          </w:p>
        </w:tc>
        <w:tc>
          <w:tcPr>
            <w:tcW w:w="1190" w:type="dxa"/>
          </w:tcPr>
          <w:p w14:paraId="55388131" w14:textId="6F3DC7F6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73C1274A" w14:textId="56D2AD19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540D30B3" w14:textId="50E12EEA" w:rsidR="00D544DC" w:rsidRPr="00D80721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9074A">
              <w:rPr>
                <w:rFonts w:ascii="Palatino Linotype" w:hAnsi="Palatino Linotype"/>
                <w:sz w:val="20"/>
                <w:szCs w:val="20"/>
              </w:rPr>
              <w:t>Buproprion has not shown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to cause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any significant changes in upright heart rate. Since there is only one study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which uses a retrospective approach,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and due to a certain risk of bias and a small study population, certainty of evidence is very low. A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potential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lastRenderedPageBreak/>
              <w:t>effect of buproprion in POTS patients cannot be ruled ou</w:t>
            </w:r>
            <w:r>
              <w:rPr>
                <w:rFonts w:ascii="Palatino Linotype" w:hAnsi="Palatino Linotype"/>
                <w:sz w:val="20"/>
                <w:szCs w:val="20"/>
              </w:rPr>
              <w:t>t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Buproprion in ME/CFS.</w:t>
            </w:r>
          </w:p>
        </w:tc>
      </w:tr>
      <w:tr w:rsidR="00D544DC" w14:paraId="56695F0E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31244BED" w14:textId="72271944" w:rsidR="00D544DC" w:rsidRPr="001F16BA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 w:rsidRPr="001F16BA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Gordon et al. (2000) </w:t>
            </w:r>
          </w:p>
          <w:p w14:paraId="09E93B57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1914662" w14:textId="151A6869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Jacob et al. (1997)</w:t>
            </w:r>
          </w:p>
        </w:tc>
        <w:tc>
          <w:tcPr>
            <w:tcW w:w="1627" w:type="dxa"/>
          </w:tcPr>
          <w:p w14:paraId="34F2652B" w14:textId="77777777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Clonidine</w:t>
            </w:r>
          </w:p>
          <w:p w14:paraId="57EEA93D" w14:textId="65FB0D98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0.1 - 0.2 mg (single dose)</w:t>
            </w:r>
          </w:p>
        </w:tc>
        <w:tc>
          <w:tcPr>
            <w:tcW w:w="1779" w:type="dxa"/>
          </w:tcPr>
          <w:p w14:paraId="79DF6A7D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62D1A517" w14:textId="10F6A4E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participants (2 studies)</w:t>
            </w:r>
          </w:p>
        </w:tc>
        <w:tc>
          <w:tcPr>
            <w:tcW w:w="1716" w:type="dxa"/>
          </w:tcPr>
          <w:p w14:paraId="4B910896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178CA">
              <w:rPr>
                <w:rFonts w:ascii="Palatino Linotype" w:hAnsi="Palatino Linotype"/>
                <w:sz w:val="20"/>
                <w:szCs w:val="20"/>
              </w:rPr>
              <w:t>14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78CA"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78CA">
              <w:rPr>
                <w:rFonts w:ascii="Palatino Linotype" w:hAnsi="Palatino Linotype"/>
                <w:sz w:val="20"/>
                <w:szCs w:val="20"/>
              </w:rPr>
              <w:t>39 y</w:t>
            </w:r>
            <w:r>
              <w:rPr>
                <w:rFonts w:ascii="Palatino Linotype" w:hAnsi="Palatino Linotype"/>
                <w:sz w:val="20"/>
                <w:szCs w:val="20"/>
              </w:rPr>
              <w:t>ears (n = 6)</w:t>
            </w:r>
          </w:p>
          <w:p w14:paraId="181C98CD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E821194" w14:textId="5A34B8F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47 years (n = 13)</w:t>
            </w:r>
          </w:p>
        </w:tc>
        <w:tc>
          <w:tcPr>
            <w:tcW w:w="1422" w:type="dxa"/>
          </w:tcPr>
          <w:p w14:paraId="36A7ABF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2E3C78D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BAECA63" w14:textId="4FD6392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 : 2 (85 %)</w:t>
            </w:r>
          </w:p>
        </w:tc>
        <w:tc>
          <w:tcPr>
            <w:tcW w:w="1190" w:type="dxa"/>
          </w:tcPr>
          <w:p w14:paraId="04F89F3F" w14:textId="22139B46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1FB73E9F" w14:textId="13FDA6E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53EA1661" w14:textId="1A3ED8BA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80721">
              <w:rPr>
                <w:rFonts w:ascii="Palatino Linotype" w:hAnsi="Palatino Linotype"/>
                <w:sz w:val="20"/>
                <w:szCs w:val="20"/>
              </w:rPr>
              <w:t>In adult POTS patients, short-term application of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Clonidine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did not lead to a significant decrease in heart rate increment upon postural change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or upright HR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. Due to a very small size of population and high risk of impecision, certainty of evidence is very low. A potential effect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of Clonidine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on hemodynamics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in POTS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cannot be ruled out.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Clonidine in ME/CFS.</w:t>
            </w:r>
          </w:p>
        </w:tc>
      </w:tr>
      <w:tr w:rsidR="00D544DC" w14:paraId="48E5F2FE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45979BF" w14:textId="535DABBD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Stewart et al. (2021)</w:t>
            </w:r>
          </w:p>
        </w:tc>
        <w:tc>
          <w:tcPr>
            <w:tcW w:w="1627" w:type="dxa"/>
          </w:tcPr>
          <w:p w14:paraId="5412B1D0" w14:textId="77777777" w:rsidR="00D544DC" w:rsidRPr="001F16BA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F16BA">
              <w:rPr>
                <w:rFonts w:ascii="Palatino Linotype" w:hAnsi="Palatino Linotype"/>
                <w:b/>
                <w:bCs/>
                <w:sz w:val="20"/>
                <w:szCs w:val="20"/>
              </w:rPr>
              <w:t>Digoxin</w:t>
            </w:r>
          </w:p>
          <w:p w14:paraId="2370716E" w14:textId="0F538EE0" w:rsidR="00D544DC" w:rsidRPr="001F16BA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F16BA">
              <w:rPr>
                <w:rFonts w:ascii="Palatino Linotype" w:hAnsi="Palatino Linotype"/>
                <w:b/>
                <w:bCs/>
                <w:sz w:val="20"/>
                <w:szCs w:val="20"/>
              </w:rPr>
              <w:t>500 mg</w:t>
            </w:r>
          </w:p>
        </w:tc>
        <w:tc>
          <w:tcPr>
            <w:tcW w:w="1779" w:type="dxa"/>
          </w:tcPr>
          <w:p w14:paraId="2BBC5E8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6BF4E510" w14:textId="61321C1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36 participants (1 study)</w:t>
            </w:r>
          </w:p>
        </w:tc>
        <w:tc>
          <w:tcPr>
            <w:tcW w:w="1716" w:type="dxa"/>
          </w:tcPr>
          <w:p w14:paraId="1365F20D" w14:textId="39E2104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 – 30 years</w:t>
            </w:r>
          </w:p>
        </w:tc>
        <w:tc>
          <w:tcPr>
            <w:tcW w:w="1422" w:type="dxa"/>
          </w:tcPr>
          <w:p w14:paraId="7B25F970" w14:textId="310E72F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36 : 0 (100 %)</w:t>
            </w:r>
          </w:p>
        </w:tc>
        <w:tc>
          <w:tcPr>
            <w:tcW w:w="1190" w:type="dxa"/>
          </w:tcPr>
          <w:p w14:paraId="53857064" w14:textId="2D8C42B9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2D04760C" w14:textId="5101F79F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1F317F1B" w14:textId="4BC3EA85" w:rsidR="00D544DC" w:rsidRPr="00AB6A48" w:rsidRDefault="00D544DC" w:rsidP="00D544DC">
            <w:pPr>
              <w:tabs>
                <w:tab w:val="left" w:pos="11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In patients with POTS, short-term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lastRenderedPageBreak/>
              <w:t>application of Digoxin did not lead to significant changes in upright heart rate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compared to untreated POTS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. Due to a small size of population and certain concerns regarding the risk of bias, certainty of evidence is very low. A potential effect on hemodynamics cannot be ruled out.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Digoxin in ME/CFS.</w:t>
            </w:r>
          </w:p>
        </w:tc>
      </w:tr>
      <w:tr w:rsidR="00D544DC" w14:paraId="78D8D93F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1AF9E5F" w14:textId="6469FA18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Ruzieh et al. (2017)</w:t>
            </w:r>
          </w:p>
        </w:tc>
        <w:tc>
          <w:tcPr>
            <w:tcW w:w="1627" w:type="dxa"/>
          </w:tcPr>
          <w:p w14:paraId="2B4B8E72" w14:textId="77777777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Droxidopa</w:t>
            </w:r>
          </w:p>
          <w:p w14:paraId="0CA4888E" w14:textId="77777777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3FE7A1EC" w14:textId="1F175A99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100 – 600 mg 3x/d</w:t>
            </w:r>
          </w:p>
          <w:p w14:paraId="1B305AD0" w14:textId="1D39A4C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[MAX. 1800 mg]</w:t>
            </w:r>
          </w:p>
        </w:tc>
        <w:tc>
          <w:tcPr>
            <w:tcW w:w="1779" w:type="dxa"/>
          </w:tcPr>
          <w:p w14:paraId="29188C3F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140E56BA" w14:textId="795475C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37 participants  (1 study)</w:t>
            </w:r>
          </w:p>
        </w:tc>
        <w:tc>
          <w:tcPr>
            <w:tcW w:w="1716" w:type="dxa"/>
          </w:tcPr>
          <w:p w14:paraId="2CD05762" w14:textId="2D2342D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0704BF">
              <w:rPr>
                <w:rFonts w:ascii="Palatino Linotype" w:hAnsi="Palatino Linotype"/>
                <w:sz w:val="20"/>
                <w:szCs w:val="20"/>
              </w:rPr>
              <w:t xml:space="preserve">48.08 </w:t>
            </w:r>
            <w:r>
              <w:rPr>
                <w:rFonts w:ascii="Palatino Linotype" w:hAnsi="Palatino Linotype"/>
                <w:sz w:val="20"/>
                <w:szCs w:val="20"/>
              </w:rPr>
              <w:t>±</w:t>
            </w:r>
            <w:r w:rsidRPr="000704BF">
              <w:rPr>
                <w:rFonts w:ascii="Palatino Linotype" w:hAnsi="Palatino Linotype"/>
                <w:sz w:val="20"/>
                <w:szCs w:val="20"/>
              </w:rPr>
              <w:t xml:space="preserve"> 18.1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422" w:type="dxa"/>
          </w:tcPr>
          <w:p w14:paraId="626FD8E6" w14:textId="022A953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28 : 9 (75.7 %)</w:t>
            </w:r>
          </w:p>
        </w:tc>
        <w:tc>
          <w:tcPr>
            <w:tcW w:w="1190" w:type="dxa"/>
          </w:tcPr>
          <w:p w14:paraId="414E646B" w14:textId="09F30DF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0521D3D3" w14:textId="4135A02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7DC7E63E" w14:textId="05257F7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Application of droxidopa over up to one year </w:t>
            </w:r>
            <w:r>
              <w:rPr>
                <w:rFonts w:ascii="Palatino Linotype" w:hAnsi="Palatino Linotype"/>
                <w:sz w:val="20"/>
                <w:szCs w:val="20"/>
              </w:rPr>
              <w:t>did not lead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to a significant decrease in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standing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heart rate in POTS patients. Since </w:t>
            </w:r>
            <w:r>
              <w:rPr>
                <w:rFonts w:ascii="Palatino Linotype" w:hAnsi="Palatino Linotype"/>
                <w:sz w:val="20"/>
                <w:szCs w:val="20"/>
              </w:rPr>
              <w:t>there is only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one non-randomized study which uses a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retrospective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approach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with a small size of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lastRenderedPageBreak/>
              <w:t>population and a certain risk of bias, certainty of evidence is very low. A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potential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effect of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droxidopa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in POTS patients cannot be ruled ou</w:t>
            </w:r>
            <w:r>
              <w:rPr>
                <w:rFonts w:ascii="Palatino Linotype" w:hAnsi="Palatino Linotype"/>
                <w:sz w:val="20"/>
                <w:szCs w:val="20"/>
              </w:rPr>
              <w:t>t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Droxidopa in ME/CFS.</w:t>
            </w:r>
          </w:p>
        </w:tc>
      </w:tr>
      <w:tr w:rsidR="00D544DC" w14:paraId="2198D858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FE9384B" w14:textId="4E2667A1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Kanjwal et al. (2012)</w:t>
            </w:r>
          </w:p>
          <w:p w14:paraId="48CFDB0C" w14:textId="77777777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346CB79" w14:textId="77777777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Erythropoetin</w:t>
            </w:r>
          </w:p>
          <w:p w14:paraId="3213487D" w14:textId="0503B248" w:rsidR="00D544DC" w:rsidRPr="0081623F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1623F">
              <w:rPr>
                <w:rFonts w:ascii="Palatino Linotype" w:hAnsi="Palatino Linotype"/>
                <w:b/>
                <w:bCs/>
                <w:sz w:val="20"/>
                <w:szCs w:val="20"/>
              </w:rPr>
              <w:t>10.000 – 20.000 I.E./week if Hct &lt; 50 %</w:t>
            </w:r>
          </w:p>
        </w:tc>
        <w:tc>
          <w:tcPr>
            <w:tcW w:w="1779" w:type="dxa"/>
          </w:tcPr>
          <w:p w14:paraId="28D0ADF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1015026F" w14:textId="7175AF2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39 participants (1 study)</w:t>
            </w:r>
          </w:p>
        </w:tc>
        <w:tc>
          <w:tcPr>
            <w:tcW w:w="1716" w:type="dxa"/>
          </w:tcPr>
          <w:p w14:paraId="73D94DFF" w14:textId="268AF350" w:rsidR="00D544DC" w:rsidRPr="00D74BB2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74BB2">
              <w:rPr>
                <w:rFonts w:ascii="Palatino Linotype" w:hAnsi="Palatino Linotype"/>
                <w:sz w:val="20"/>
                <w:szCs w:val="20"/>
              </w:rPr>
              <w:t>33 ± 12 years</w:t>
            </w:r>
          </w:p>
        </w:tc>
        <w:tc>
          <w:tcPr>
            <w:tcW w:w="1422" w:type="dxa"/>
          </w:tcPr>
          <w:p w14:paraId="094F8EB0" w14:textId="60FA139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37 : 2 (95 %)</w:t>
            </w:r>
          </w:p>
        </w:tc>
        <w:tc>
          <w:tcPr>
            <w:tcW w:w="1190" w:type="dxa"/>
          </w:tcPr>
          <w:p w14:paraId="7EEC28CC" w14:textId="38894C8C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110B047D" w14:textId="776F2BB1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6EB7F0AC" w14:textId="54EB2DB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In adult patients, application of Erythropoetin over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six 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months did not lead to any significant changes in upright heart rate. </w:t>
            </w:r>
            <w:r>
              <w:rPr>
                <w:rFonts w:ascii="Palatino Linotype" w:hAnsi="Palatino Linotype"/>
                <w:sz w:val="20"/>
                <w:szCs w:val="20"/>
              </w:rPr>
              <w:t>Since there is only one study which uses a retrospective approach and d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>ue to a small size of population and a certain risk of bias, certainty of evidence is very low. A potential effect of Erythropoetin cannot be ruled out.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on the use of Erythropoetin in ME/CFS.</w:t>
            </w:r>
          </w:p>
        </w:tc>
      </w:tr>
      <w:tr w:rsidR="00D544DC" w14:paraId="1B3B5709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4356F53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Towheed et al. (2020)</w:t>
            </w:r>
          </w:p>
          <w:p w14:paraId="39F6A1CB" w14:textId="77777777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19564BCD" w14:textId="0CEAF903" w:rsidR="00D544DC" w:rsidRPr="00BC7169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 w:rsidRPr="00BC7169">
              <w:rPr>
                <w:rFonts w:ascii="Palatino Linotype" w:hAnsi="Palatino Linotype"/>
                <w:sz w:val="20"/>
                <w:szCs w:val="20"/>
              </w:rPr>
              <w:t>Ruzieh et al. (2017)</w:t>
            </w:r>
          </w:p>
          <w:p w14:paraId="49838877" w14:textId="77777777" w:rsidR="00D544DC" w:rsidRPr="00BC7169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509D4B09" w14:textId="6CA9C8A2" w:rsidR="00D544DC" w:rsidRPr="00BC7169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 w:rsidRPr="00BC7169">
              <w:rPr>
                <w:rFonts w:ascii="Palatino Linotype" w:hAnsi="Palatino Linotype"/>
                <w:sz w:val="20"/>
                <w:szCs w:val="20"/>
              </w:rPr>
              <w:t>Barzilai et al. (2015)</w:t>
            </w:r>
          </w:p>
          <w:p w14:paraId="4B0DB2F7" w14:textId="6A80AEE6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D6C51D3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Ivabradine</w:t>
            </w:r>
          </w:p>
          <w:p w14:paraId="3F8C165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7C42103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2.5 – 10 mg 2x / d</w:t>
            </w:r>
          </w:p>
          <w:p w14:paraId="0D745364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136B396C" w14:textId="42AFD54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7.5 mg (single dose)</w:t>
            </w:r>
          </w:p>
          <w:p w14:paraId="6E765773" w14:textId="4D05CA0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MAX. (children): </w:t>
            </w:r>
          </w:p>
          <w:p w14:paraId="3E188BD5" w14:textId="68E6848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7.5 mg 2x/d</w:t>
            </w:r>
          </w:p>
          <w:p w14:paraId="7FB06422" w14:textId="2119175F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CFE6716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599" w:type="dxa"/>
          </w:tcPr>
          <w:p w14:paraId="51A02C17" w14:textId="2C5F0FFC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84 participants (3 studies)</w:t>
            </w:r>
          </w:p>
        </w:tc>
        <w:tc>
          <w:tcPr>
            <w:tcW w:w="1716" w:type="dxa"/>
          </w:tcPr>
          <w:p w14:paraId="4E7C44DB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85458">
              <w:rPr>
                <w:rFonts w:ascii="Palatino Linotype" w:hAnsi="Palatino Linotype"/>
                <w:sz w:val="20"/>
                <w:szCs w:val="20"/>
              </w:rPr>
              <w:t>31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85458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85458">
              <w:rPr>
                <w:rFonts w:ascii="Palatino Linotype" w:hAnsi="Palatino Linotype"/>
                <w:sz w:val="20"/>
                <w:szCs w:val="20"/>
              </w:rPr>
              <w:t>3 years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(n = 8)</w:t>
            </w:r>
          </w:p>
          <w:p w14:paraId="5D86EA7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E24A92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85458">
              <w:rPr>
                <w:rFonts w:ascii="Palatino Linotype" w:hAnsi="Palatino Linotype"/>
                <w:sz w:val="20"/>
                <w:szCs w:val="20"/>
              </w:rPr>
              <w:t>35.1 ± 10.35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 (n = 49)</w:t>
            </w:r>
          </w:p>
          <w:p w14:paraId="59FF27E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9D2846C" w14:textId="62281F9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 – 17 years (n = 27)</w:t>
            </w:r>
          </w:p>
        </w:tc>
        <w:tc>
          <w:tcPr>
            <w:tcW w:w="1422" w:type="dxa"/>
          </w:tcPr>
          <w:p w14:paraId="24E4862B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 : 2 (75 %)</w:t>
            </w:r>
          </w:p>
          <w:p w14:paraId="7602BC8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926600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133611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47 : 2 (95.9 %)</w:t>
            </w:r>
          </w:p>
          <w:p w14:paraId="45F4E61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CA19C5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1061CF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586757C" w14:textId="7D09456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2 (92.5 %)</w:t>
            </w:r>
          </w:p>
        </w:tc>
        <w:tc>
          <w:tcPr>
            <w:tcW w:w="1190" w:type="dxa"/>
          </w:tcPr>
          <w:p w14:paraId="494A4F4B" w14:textId="349CA7A6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Israel, United States (US)</w:t>
            </w:r>
          </w:p>
        </w:tc>
        <w:tc>
          <w:tcPr>
            <w:tcW w:w="1294" w:type="dxa"/>
          </w:tcPr>
          <w:p w14:paraId="08C83F5B" w14:textId="44E611E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0533471A" w14:textId="59DC84C1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In children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and adults 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>receiving Ivabradine for 3-12 months, a significant change in upright heart rate could be detected.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S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hort-term application of Ivabradine led to a significant change in upright heart rate. Since there </w:t>
            </w:r>
            <w:r>
              <w:rPr>
                <w:rFonts w:ascii="Palatino Linotype" w:hAnsi="Palatino Linotype"/>
                <w:sz w:val="20"/>
                <w:szCs w:val="20"/>
              </w:rPr>
              <w:t>are few studies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and a small size of each study population as well as a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 certain risk of bias, certainty of evidence is very low. Ivabradine might be a suitable treatment option to improve hemodynamics in POTS patients, </w:t>
            </w:r>
            <w:r>
              <w:rPr>
                <w:rFonts w:ascii="Palatino Linotype" w:hAnsi="Palatino Linotype"/>
                <w:sz w:val="20"/>
                <w:szCs w:val="20"/>
              </w:rPr>
              <w:t>including</w:t>
            </w:r>
            <w:r w:rsidRPr="006C24EF">
              <w:rPr>
                <w:rFonts w:ascii="Palatino Linotype" w:hAnsi="Palatino Linotype"/>
                <w:sz w:val="20"/>
                <w:szCs w:val="20"/>
              </w:rPr>
              <w:t xml:space="preserve"> children.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Ivabradine in ME/CFS.</w:t>
            </w:r>
          </w:p>
        </w:tc>
      </w:tr>
      <w:tr w:rsidR="00D544DC" w14:paraId="2B636EE2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124FE31" w14:textId="77C8793A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4339683C" w14:textId="638B76E4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Gordon et al. (2000)</w:t>
            </w:r>
          </w:p>
          <w:p w14:paraId="1F997652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312D98CB" w14:textId="311FF32D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</w:tcPr>
          <w:p w14:paraId="7A0A961A" w14:textId="77777777" w:rsidR="00D544DC" w:rsidRPr="00144C80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44C80">
              <w:rPr>
                <w:rFonts w:ascii="Palatino Linotype" w:hAnsi="Palatino Linotype"/>
                <w:b/>
                <w:bCs/>
                <w:sz w:val="20"/>
                <w:szCs w:val="20"/>
              </w:rPr>
              <w:t>Midodrine</w:t>
            </w:r>
          </w:p>
          <w:p w14:paraId="032D6C45" w14:textId="77777777" w:rsidR="00D544DC" w:rsidRPr="00144C80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009F3A42" w14:textId="77777777" w:rsidR="00D544DC" w:rsidRPr="00144C80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44C80">
              <w:rPr>
                <w:rFonts w:ascii="Palatino Linotype" w:hAnsi="Palatino Linotype"/>
                <w:b/>
                <w:bCs/>
                <w:sz w:val="20"/>
                <w:szCs w:val="20"/>
              </w:rPr>
              <w:t>2.5 mg 1x/d (children)</w:t>
            </w:r>
          </w:p>
          <w:p w14:paraId="621206A0" w14:textId="2852B771" w:rsidR="00D544DC" w:rsidRPr="00144C80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44C80">
              <w:rPr>
                <w:rFonts w:ascii="Palatino Linotype" w:hAnsi="Palatino Linotype"/>
                <w:b/>
                <w:bCs/>
                <w:sz w:val="20"/>
                <w:szCs w:val="20"/>
              </w:rPr>
              <w:t>10 mg (single dose)</w:t>
            </w:r>
          </w:p>
          <w:p w14:paraId="3C13BD61" w14:textId="77777777" w:rsidR="00D544DC" w:rsidRPr="00144C80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4E86BCA6" w14:textId="6682C1B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20017FB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599" w:type="dxa"/>
          </w:tcPr>
          <w:p w14:paraId="607422E7" w14:textId="644941F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 participants (1 study)</w:t>
            </w:r>
          </w:p>
        </w:tc>
        <w:tc>
          <w:tcPr>
            <w:tcW w:w="1716" w:type="dxa"/>
          </w:tcPr>
          <w:p w14:paraId="4BDA03AD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 – 39 years (n = 12)</w:t>
            </w:r>
          </w:p>
          <w:p w14:paraId="47AE8E84" w14:textId="506A757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22" w:type="dxa"/>
          </w:tcPr>
          <w:p w14:paraId="47D4D2A2" w14:textId="73C95B6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190" w:type="dxa"/>
          </w:tcPr>
          <w:p w14:paraId="600D9258" w14:textId="63EB55B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626BD2A8" w14:textId="42D0D1C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  <w:vMerge w:val="restart"/>
          </w:tcPr>
          <w:p w14:paraId="5D7D4F98" w14:textId="2EE2A96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41CD6">
              <w:rPr>
                <w:rFonts w:ascii="Palatino Linotype" w:hAnsi="Palatino Linotype"/>
                <w:sz w:val="20"/>
                <w:szCs w:val="20"/>
              </w:rPr>
              <w:t>In children suffering from POTS, application of Midodrine hydrochloride over three months led to a significant decrease in HR increment upon postural change compared to the control group.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 xml:space="preserve">In adult POTS patients, short-term application of Midodrine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partly 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 xml:space="preserve">led to a significant change in </w:t>
            </w:r>
            <w:r>
              <w:rPr>
                <w:rFonts w:ascii="Palatino Linotype" w:hAnsi="Palatino Linotype"/>
                <w:sz w:val="20"/>
                <w:szCs w:val="20"/>
              </w:rPr>
              <w:t>HR increment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>Since the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studies are non-randomized trials with 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>certain concerns regarding risk of bias and due to a small size of the study population, certainty of evidence is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very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t xml:space="preserve"> low. Midodrine hydrochloride might have a beneficial effect on hemodynamics in </w:t>
            </w:r>
            <w:r w:rsidRPr="00A41CD6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POTS patients, </w:t>
            </w:r>
            <w:r>
              <w:rPr>
                <w:rFonts w:ascii="Palatino Linotype" w:hAnsi="Palatino Linotype"/>
                <w:sz w:val="20"/>
                <w:szCs w:val="20"/>
              </w:rPr>
              <w:t>including children and could be considered as a treatment option. There was no specific data on the use of Midodrine in ME/CFS.</w:t>
            </w:r>
          </w:p>
        </w:tc>
      </w:tr>
      <w:tr w:rsidR="00D544DC" w14:paraId="7D0B2682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0DF8E85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Yang et al. (2013)</w:t>
            </w:r>
          </w:p>
          <w:p w14:paraId="7B6B663F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623E683C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Zhang et al. (2012)</w:t>
            </w:r>
          </w:p>
          <w:p w14:paraId="0F31AEA0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0004E807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Chen et al. (2011)</w:t>
            </w:r>
          </w:p>
          <w:p w14:paraId="48DA9DAA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31B987CD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Hoeldtke et al. (2006)</w:t>
            </w:r>
          </w:p>
          <w:p w14:paraId="29BBC81B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E918F26" w14:textId="61C394DF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Jacob et al. (1997)</w:t>
            </w:r>
          </w:p>
        </w:tc>
        <w:tc>
          <w:tcPr>
            <w:tcW w:w="1627" w:type="dxa"/>
            <w:vMerge/>
          </w:tcPr>
          <w:p w14:paraId="20A1A6D3" w14:textId="2EFEC32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489B48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599" w:type="dxa"/>
          </w:tcPr>
          <w:p w14:paraId="398B2632" w14:textId="679F2C5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119 participants (5 studies)</w:t>
            </w:r>
          </w:p>
        </w:tc>
        <w:tc>
          <w:tcPr>
            <w:tcW w:w="1716" w:type="dxa"/>
          </w:tcPr>
          <w:p w14:paraId="65E6020E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 – 54 years (n = 15)</w:t>
            </w:r>
          </w:p>
          <w:p w14:paraId="7ADA60E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D937A96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 – 17 years (n = 19)</w:t>
            </w:r>
          </w:p>
          <w:p w14:paraId="6560A6C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795317E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47 years (n = 13)</w:t>
            </w:r>
          </w:p>
          <w:p w14:paraId="61C9973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072F08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1E7428">
              <w:rPr>
                <w:rFonts w:ascii="Palatino Linotype" w:hAnsi="Palatino Linotype"/>
                <w:sz w:val="20"/>
                <w:szCs w:val="20"/>
              </w:rPr>
              <w:t xml:space="preserve">11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1E7428">
              <w:rPr>
                <w:rFonts w:ascii="Palatino Linotype" w:hAnsi="Palatino Linotype"/>
                <w:sz w:val="20"/>
                <w:szCs w:val="20"/>
              </w:rPr>
              <w:t>3 years</w:t>
            </w:r>
          </w:p>
          <w:p w14:paraId="1F8716F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 = 44)</w:t>
            </w:r>
          </w:p>
          <w:p w14:paraId="2234E4A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4A7513F" w14:textId="159D4301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1E7428">
              <w:rPr>
                <w:rFonts w:ascii="Palatino Linotype" w:hAnsi="Palatino Linotype"/>
                <w:sz w:val="20"/>
                <w:szCs w:val="20"/>
              </w:rPr>
              <w:t xml:space="preserve">11.5 </w:t>
            </w:r>
            <w:r>
              <w:rPr>
                <w:rFonts w:ascii="Palatino Linotype" w:hAnsi="Palatino Linotype"/>
                <w:sz w:val="20"/>
                <w:szCs w:val="20"/>
              </w:rPr>
              <w:t>±</w:t>
            </w:r>
            <w:r w:rsidRPr="001E7428">
              <w:rPr>
                <w:rFonts w:ascii="Palatino Linotype" w:hAnsi="Palatino Linotype"/>
                <w:sz w:val="20"/>
                <w:szCs w:val="20"/>
              </w:rPr>
              <w:t xml:space="preserve"> 2.5 years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(n = 28)</w:t>
            </w:r>
          </w:p>
        </w:tc>
        <w:tc>
          <w:tcPr>
            <w:tcW w:w="1422" w:type="dxa"/>
          </w:tcPr>
          <w:p w14:paraId="17DBAEC0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60EF91D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63B8468" w14:textId="4E7BC6B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3FA6FC6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FAC031E" w14:textId="1F36CF71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 : 2 (85 %)</w:t>
            </w:r>
          </w:p>
          <w:p w14:paraId="374CBC44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647DCA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80A22B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 : 12 (57.1 %)</w:t>
            </w:r>
          </w:p>
          <w:p w14:paraId="5C9A2720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F3BC651" w14:textId="42573DD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190" w:type="dxa"/>
          </w:tcPr>
          <w:p w14:paraId="2DF8A2EB" w14:textId="318B1A9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(US), China</w:t>
            </w:r>
          </w:p>
        </w:tc>
        <w:tc>
          <w:tcPr>
            <w:tcW w:w="1294" w:type="dxa"/>
          </w:tcPr>
          <w:p w14:paraId="2A451B24" w14:textId="03B410E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  <w:vMerge/>
          </w:tcPr>
          <w:p w14:paraId="382EF8CA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544DC" w14:paraId="3524ED23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767D5F7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Hoeldtke et al. (2006)</w:t>
            </w:r>
          </w:p>
          <w:p w14:paraId="37B71686" w14:textId="77777777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27" w:type="dxa"/>
          </w:tcPr>
          <w:p w14:paraId="0F6176EF" w14:textId="77777777" w:rsidR="00D544DC" w:rsidRPr="00FC12A8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FC12A8">
              <w:rPr>
                <w:rFonts w:ascii="Palatino Linotype" w:hAnsi="Palatino Linotype"/>
                <w:b/>
                <w:bCs/>
                <w:sz w:val="20"/>
                <w:szCs w:val="20"/>
              </w:rPr>
              <w:t>Octreotide</w:t>
            </w:r>
          </w:p>
          <w:p w14:paraId="2FD15438" w14:textId="6AEB832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C12A8">
              <w:rPr>
                <w:rFonts w:ascii="Palatino Linotype" w:hAnsi="Palatino Linotype"/>
                <w:b/>
                <w:bCs/>
                <w:sz w:val="20"/>
                <w:szCs w:val="20"/>
              </w:rPr>
              <w:t>0.9 µg/kg s.c.</w:t>
            </w:r>
          </w:p>
        </w:tc>
        <w:tc>
          <w:tcPr>
            <w:tcW w:w="1779" w:type="dxa"/>
          </w:tcPr>
          <w:p w14:paraId="0C98C01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3D7F21D7" w14:textId="20DA923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 participants (1 study)</w:t>
            </w:r>
          </w:p>
        </w:tc>
        <w:tc>
          <w:tcPr>
            <w:tcW w:w="1716" w:type="dxa"/>
          </w:tcPr>
          <w:p w14:paraId="41EFC3A2" w14:textId="7B0CD52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 – 54 years (n = 9)</w:t>
            </w:r>
          </w:p>
        </w:tc>
        <w:tc>
          <w:tcPr>
            <w:tcW w:w="1422" w:type="dxa"/>
          </w:tcPr>
          <w:p w14:paraId="17E137E1" w14:textId="434FA0F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190" w:type="dxa"/>
          </w:tcPr>
          <w:p w14:paraId="1F281EBD" w14:textId="2941229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</w:t>
            </w:r>
          </w:p>
        </w:tc>
        <w:tc>
          <w:tcPr>
            <w:tcW w:w="1294" w:type="dxa"/>
          </w:tcPr>
          <w:p w14:paraId="5141F8D7" w14:textId="368ECBA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6AF431BC" w14:textId="033DCA5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n adult POTS patients, short-term application of Octreotide led to a significant change in upright heart rate. Due to a very small size of population and high risk of impecision, certainty of evidence is very low. Octreotide might have a beneficial effect on hemodynamics in POTS.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Octreotide in ME/CFS.</w:t>
            </w:r>
          </w:p>
        </w:tc>
      </w:tr>
      <w:tr w:rsidR="00D544DC" w14:paraId="7752811A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5CF7479E" w14:textId="66003B80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Gordon et al. (2000)</w:t>
            </w:r>
          </w:p>
        </w:tc>
        <w:tc>
          <w:tcPr>
            <w:tcW w:w="1627" w:type="dxa"/>
          </w:tcPr>
          <w:p w14:paraId="69DFC0DD" w14:textId="77777777" w:rsidR="00D544DC" w:rsidRPr="00FC12A8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FC12A8">
              <w:rPr>
                <w:rFonts w:ascii="Palatino Linotype" w:hAnsi="Palatino Linotype"/>
                <w:b/>
                <w:bCs/>
                <w:sz w:val="20"/>
                <w:szCs w:val="20"/>
              </w:rPr>
              <w:t>Phenobarbital</w:t>
            </w:r>
          </w:p>
          <w:p w14:paraId="64AA2AA9" w14:textId="5176B6CF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C12A8">
              <w:rPr>
                <w:rFonts w:ascii="Palatino Linotype" w:hAnsi="Palatino Linotype"/>
                <w:b/>
                <w:bCs/>
                <w:sz w:val="20"/>
                <w:szCs w:val="20"/>
              </w:rPr>
              <w:t>120 mg (single dose)</w:t>
            </w:r>
          </w:p>
        </w:tc>
        <w:tc>
          <w:tcPr>
            <w:tcW w:w="1779" w:type="dxa"/>
          </w:tcPr>
          <w:p w14:paraId="6F33722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14D450CC" w14:textId="2DC2832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 participants (1 study)</w:t>
            </w:r>
          </w:p>
        </w:tc>
        <w:tc>
          <w:tcPr>
            <w:tcW w:w="1716" w:type="dxa"/>
          </w:tcPr>
          <w:p w14:paraId="411698E8" w14:textId="620FFED2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 – 39 years</w:t>
            </w:r>
          </w:p>
        </w:tc>
        <w:tc>
          <w:tcPr>
            <w:tcW w:w="1422" w:type="dxa"/>
          </w:tcPr>
          <w:p w14:paraId="712B70A5" w14:textId="2B33280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190" w:type="dxa"/>
          </w:tcPr>
          <w:p w14:paraId="07BC1E4B" w14:textId="4CFBB4C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302C5F8D" w14:textId="612FF44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315A7BF7" w14:textId="4BAD9C5F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In patients with POTS, short-term application of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lastRenderedPageBreak/>
              <w:t>Phenobarbital did not lead to significant changes in upright heart rate compared to pooled baseline data.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Due to a very small number of participants, and certain concerns regarding risk of bias, the certainty of evidence is very low.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A positive effect of Phenobarbital on hemodynamics in POTS cannot be ruled out.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Phenobarbital in ME/CFS.</w:t>
            </w:r>
          </w:p>
        </w:tc>
      </w:tr>
      <w:tr w:rsidR="00D544DC" w14:paraId="341EAD0E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21CBF90C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Stewart et al. (2021)</w:t>
            </w:r>
          </w:p>
          <w:p w14:paraId="00E13DE8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32420B70" w14:textId="020DA419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Kanjwal et al. (2011)</w:t>
            </w:r>
          </w:p>
        </w:tc>
        <w:tc>
          <w:tcPr>
            <w:tcW w:w="1627" w:type="dxa"/>
          </w:tcPr>
          <w:p w14:paraId="45017589" w14:textId="77777777" w:rsidR="00D544DC" w:rsidRPr="0088137B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8137B">
              <w:rPr>
                <w:rFonts w:ascii="Palatino Linotype" w:hAnsi="Palatino Linotype"/>
                <w:b/>
                <w:bCs/>
                <w:sz w:val="20"/>
                <w:szCs w:val="20"/>
              </w:rPr>
              <w:t>Pyridostigmine</w:t>
            </w:r>
          </w:p>
          <w:p w14:paraId="6406EB4C" w14:textId="77777777" w:rsidR="00D544DC" w:rsidRPr="0088137B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332FC280" w14:textId="787DBD57" w:rsidR="00D544DC" w:rsidRPr="0088137B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88137B">
              <w:rPr>
                <w:rFonts w:ascii="Palatino Linotype" w:hAnsi="Palatino Linotype"/>
                <w:b/>
                <w:bCs/>
                <w:sz w:val="20"/>
                <w:szCs w:val="20"/>
              </w:rPr>
              <w:t>60 mg (single dose)</w:t>
            </w:r>
          </w:p>
        </w:tc>
        <w:tc>
          <w:tcPr>
            <w:tcW w:w="1779" w:type="dxa"/>
          </w:tcPr>
          <w:p w14:paraId="4A456C4F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599" w:type="dxa"/>
          </w:tcPr>
          <w:p w14:paraId="44AD8254" w14:textId="2898D80B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206 participants (2 studies)</w:t>
            </w:r>
          </w:p>
        </w:tc>
        <w:tc>
          <w:tcPr>
            <w:tcW w:w="1716" w:type="dxa"/>
          </w:tcPr>
          <w:p w14:paraId="303F0853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 – 30 years (n = 36)</w:t>
            </w:r>
          </w:p>
          <w:p w14:paraId="145EC8D0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B51B142" w14:textId="21EADEBC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0150CD">
              <w:rPr>
                <w:rFonts w:ascii="Palatino Linotype" w:hAnsi="Palatino Linotype"/>
                <w:sz w:val="20"/>
                <w:szCs w:val="20"/>
              </w:rPr>
              <w:t>26 ± 12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 (n = 170)</w:t>
            </w:r>
          </w:p>
        </w:tc>
        <w:tc>
          <w:tcPr>
            <w:tcW w:w="1422" w:type="dxa"/>
          </w:tcPr>
          <w:p w14:paraId="37B01D75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36 : 0 (100 %)</w:t>
            </w:r>
          </w:p>
          <w:p w14:paraId="5A569584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73785C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BE93951" w14:textId="798F6C2E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(not clearly presented)</w:t>
            </w:r>
          </w:p>
        </w:tc>
        <w:tc>
          <w:tcPr>
            <w:tcW w:w="1190" w:type="dxa"/>
          </w:tcPr>
          <w:p w14:paraId="58EF5662" w14:textId="0CECBC06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294" w:type="dxa"/>
          </w:tcPr>
          <w:p w14:paraId="4F6DA3AF" w14:textId="4B7C309A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</w:tcPr>
          <w:p w14:paraId="3C2D623E" w14:textId="24480062" w:rsidR="00D544DC" w:rsidRPr="00D80721" w:rsidRDefault="00D544DC" w:rsidP="00D544DC">
            <w:pPr>
              <w:tabs>
                <w:tab w:val="left" w:pos="11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In patients with POTS,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short-term and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long-term application of Pyridostigmine led to a significant decrease in upright heart rate. </w:t>
            </w:r>
            <w:r>
              <w:rPr>
                <w:rFonts w:ascii="Palatino Linotype" w:hAnsi="Palatino Linotype"/>
                <w:sz w:val="20"/>
                <w:szCs w:val="20"/>
              </w:rPr>
              <w:t>Since the studies are non-randomized trials with a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 xml:space="preserve"> risk of imprecision and 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lastRenderedPageBreak/>
              <w:t>some concerns regarding the risk-of-bias assessment, certainty of evidence is very low. Pyridostigmine might be a suitable treatment option to improve hemodynami</w:t>
            </w:r>
            <w:r>
              <w:rPr>
                <w:rFonts w:ascii="Palatino Linotype" w:hAnsi="Palatino Linotype"/>
                <w:sz w:val="20"/>
                <w:szCs w:val="20"/>
              </w:rPr>
              <w:t>c</w:t>
            </w:r>
            <w:r w:rsidRPr="00D80721">
              <w:rPr>
                <w:rFonts w:ascii="Palatino Linotype" w:hAnsi="Palatino Linotype"/>
                <w:sz w:val="20"/>
                <w:szCs w:val="20"/>
              </w:rPr>
              <w:t>s in patients with POTS, including children.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Pyridostigmine in ME/CFS.</w:t>
            </w:r>
          </w:p>
        </w:tc>
      </w:tr>
      <w:tr w:rsidR="00D544DC" w14:paraId="1B80999E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033B5C3D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Zhao et al. (2014)</w:t>
            </w:r>
          </w:p>
          <w:p w14:paraId="30EFF11B" w14:textId="77777777" w:rsidR="00D544DC" w:rsidRDefault="00D544DC" w:rsidP="00D544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09B231BD" w14:textId="7FE2C817" w:rsidR="00D544DC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Chen et al. (2011)</w:t>
            </w:r>
          </w:p>
        </w:tc>
        <w:tc>
          <w:tcPr>
            <w:tcW w:w="1627" w:type="dxa"/>
            <w:vMerge w:val="restart"/>
          </w:tcPr>
          <w:p w14:paraId="78EA2D96" w14:textId="77777777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ß</w:t>
            </w:r>
            <w:r w:rsidRPr="00B66F66">
              <w:rPr>
                <w:rFonts w:ascii="Palatino Linotype" w:hAnsi="Palatino Linotype"/>
                <w:b/>
                <w:bCs/>
                <w:sz w:val="20"/>
                <w:szCs w:val="20"/>
              </w:rPr>
              <w:t>-Adrenergic-Blocking-Agents</w:t>
            </w:r>
          </w:p>
          <w:p w14:paraId="4AE3BECA" w14:textId="77777777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1E1B296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66F66">
              <w:rPr>
                <w:rFonts w:ascii="Palatino Linotype" w:hAnsi="Palatino Linotype"/>
                <w:b/>
                <w:bCs/>
                <w:sz w:val="20"/>
                <w:szCs w:val="20"/>
              </w:rPr>
              <w:t>Propanolol 40 mg (single dose)</w:t>
            </w:r>
          </w:p>
          <w:p w14:paraId="5F2187C3" w14:textId="77777777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681D45D8" w14:textId="15C70448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66F66">
              <w:rPr>
                <w:rFonts w:ascii="Palatino Linotype" w:hAnsi="Palatino Linotype"/>
                <w:b/>
                <w:bCs/>
                <w:sz w:val="20"/>
                <w:szCs w:val="20"/>
              </w:rPr>
              <w:t>Bisoprolol 5 mg 1x/d</w:t>
            </w:r>
          </w:p>
          <w:p w14:paraId="78129FAC" w14:textId="77777777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5ED98F4F" w14:textId="13902B10" w:rsidR="00D544DC" w:rsidRPr="00B66F66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66F66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Metoprolol 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0</w:t>
            </w:r>
            <w:r w:rsidRPr="00B66F66">
              <w:rPr>
                <w:rFonts w:ascii="Palatino Linotype" w:hAnsi="Palatino Linotype"/>
                <w:b/>
                <w:bCs/>
                <w:sz w:val="20"/>
                <w:szCs w:val="20"/>
              </w:rPr>
              <w:t>.5 mg twice daily) (children)</w:t>
            </w:r>
          </w:p>
          <w:p w14:paraId="4B5C2026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79" w:type="dxa"/>
          </w:tcPr>
          <w:p w14:paraId="284A3C94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599" w:type="dxa"/>
          </w:tcPr>
          <w:p w14:paraId="5D8E1DB7" w14:textId="700831B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68 participants (2 studies)</w:t>
            </w:r>
          </w:p>
        </w:tc>
        <w:tc>
          <w:tcPr>
            <w:tcW w:w="1716" w:type="dxa"/>
          </w:tcPr>
          <w:p w14:paraId="5B601F30" w14:textId="266511F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7- 16 years (n = 49)</w:t>
            </w:r>
          </w:p>
          <w:p w14:paraId="40D2D1A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18205CD" w14:textId="092DE7C0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6 – 17 years (n = 19) </w:t>
            </w:r>
          </w:p>
        </w:tc>
        <w:tc>
          <w:tcPr>
            <w:tcW w:w="1422" w:type="dxa"/>
          </w:tcPr>
          <w:p w14:paraId="4F63A473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24 : 25 (49 %)</w:t>
            </w:r>
          </w:p>
          <w:p w14:paraId="14ABBFF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261A46D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1AD563D" w14:textId="4E491EE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2F8DEC68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26B5741" w14:textId="6F327AC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E77C236" w14:textId="75688CB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China</w:t>
            </w:r>
          </w:p>
        </w:tc>
        <w:tc>
          <w:tcPr>
            <w:tcW w:w="1294" w:type="dxa"/>
          </w:tcPr>
          <w:p w14:paraId="3016CBA6" w14:textId="70D1DF7D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  <w:vMerge w:val="restart"/>
          </w:tcPr>
          <w:p w14:paraId="758F74CC" w14:textId="740A106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In children, the application of a ß-Adrenergic-Blocking-Agent over a period of 1.5 to 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months, resulted in a significant decrease in HR increment upon postural change compared to baseline data. In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adult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patients with POTS, short-term application of ß-Adrenergic-Blocking-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lastRenderedPageBreak/>
              <w:t>Agents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, as well as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application of ß-Adrenergic-Blocking-Agents over </w:t>
            </w:r>
            <w:r>
              <w:rPr>
                <w:rFonts w:ascii="Palatino Linotype" w:hAnsi="Palatino Linotype"/>
                <w:sz w:val="20"/>
                <w:szCs w:val="20"/>
              </w:rPr>
              <w:t>3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months led to a significant decrease in upright heart rate compared to baseline data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Since the studies were non randomized trials and d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ue to a small size of  study population and a certain risk of bias, the level of certainty is very low. ß-Adrenergic Blocking Agents might have a beneficial effect on hemodynamics in POTS patients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9074A">
              <w:rPr>
                <w:rFonts w:ascii="Palatino Linotype" w:hAnsi="Palatino Linotype"/>
                <w:sz w:val="20"/>
                <w:szCs w:val="20"/>
              </w:rPr>
              <w:t>including children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and could be considered a suitable treatment option. There was no specific data on the use of ß-Adrenergic-Blocking-Agents in ME/CFS.</w:t>
            </w:r>
          </w:p>
        </w:tc>
      </w:tr>
      <w:tr w:rsidR="00D544DC" w14:paraId="38541DE9" w14:textId="77777777" w:rsidTr="00D54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0A8E21C5" w14:textId="77777777" w:rsidR="00D544DC" w:rsidRPr="00B66F66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 w:rsidRPr="00B66F66">
              <w:rPr>
                <w:rFonts w:ascii="Palatino Linotype" w:hAnsi="Palatino Linotype"/>
                <w:sz w:val="20"/>
                <w:szCs w:val="20"/>
              </w:rPr>
              <w:t>Gordon et al. (2000)</w:t>
            </w:r>
          </w:p>
          <w:p w14:paraId="15880D65" w14:textId="77777777" w:rsidR="00D544DC" w:rsidRPr="00B66F66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66B6B106" w14:textId="2BD5CB14" w:rsidR="00D544DC" w:rsidRPr="00B66F66" w:rsidRDefault="00D544DC" w:rsidP="00D544DC">
            <w:pPr>
              <w:rPr>
                <w:rFonts w:ascii="Palatino Linotype" w:hAnsi="Palatino Linotype"/>
                <w:sz w:val="20"/>
                <w:szCs w:val="20"/>
              </w:rPr>
            </w:pPr>
            <w:r w:rsidRPr="00B66F66">
              <w:rPr>
                <w:rFonts w:ascii="Palatino Linotype" w:hAnsi="Palatino Linotype"/>
                <w:sz w:val="20"/>
                <w:szCs w:val="20"/>
              </w:rPr>
              <w:t>Freitas et al. (2000)</w:t>
            </w:r>
          </w:p>
        </w:tc>
        <w:tc>
          <w:tcPr>
            <w:tcW w:w="1627" w:type="dxa"/>
            <w:vMerge/>
          </w:tcPr>
          <w:p w14:paraId="0ED45591" w14:textId="2CC0422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2E34D82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599" w:type="dxa"/>
          </w:tcPr>
          <w:p w14:paraId="42C963E7" w14:textId="7707204F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participants</w:t>
            </w:r>
          </w:p>
          <w:p w14:paraId="430A71E7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(2 studies)</w:t>
            </w:r>
          </w:p>
        </w:tc>
        <w:tc>
          <w:tcPr>
            <w:tcW w:w="1716" w:type="dxa"/>
          </w:tcPr>
          <w:p w14:paraId="3C96E42C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 – 39 years (n = 9)</w:t>
            </w:r>
          </w:p>
          <w:p w14:paraId="697BF990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7DBB732" w14:textId="0F201A7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36EAA">
              <w:rPr>
                <w:rFonts w:ascii="Palatino Linotype" w:hAnsi="Palatino Linotype"/>
                <w:sz w:val="20"/>
                <w:szCs w:val="20"/>
              </w:rPr>
              <w:t>17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36EAA"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36EAA">
              <w:rPr>
                <w:rFonts w:ascii="Palatino Linotype" w:hAnsi="Palatino Linotype"/>
                <w:sz w:val="20"/>
                <w:szCs w:val="20"/>
              </w:rPr>
              <w:t>57 y</w:t>
            </w:r>
            <w:r>
              <w:rPr>
                <w:rFonts w:ascii="Palatino Linotype" w:hAnsi="Palatino Linotype"/>
                <w:sz w:val="20"/>
                <w:szCs w:val="20"/>
              </w:rPr>
              <w:t>ears ( n = 10)</w:t>
            </w:r>
          </w:p>
        </w:tc>
        <w:tc>
          <w:tcPr>
            <w:tcW w:w="1422" w:type="dxa"/>
          </w:tcPr>
          <w:p w14:paraId="75AB2AC3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52D162E1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C507188" w14:textId="5E2FBEE8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 : 0 (100 %)</w:t>
            </w:r>
          </w:p>
        </w:tc>
        <w:tc>
          <w:tcPr>
            <w:tcW w:w="1190" w:type="dxa"/>
          </w:tcPr>
          <w:p w14:paraId="3EECD9C4" w14:textId="4D00CB03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(US), Portugal</w:t>
            </w:r>
          </w:p>
        </w:tc>
        <w:tc>
          <w:tcPr>
            <w:tcW w:w="1294" w:type="dxa"/>
          </w:tcPr>
          <w:p w14:paraId="02C094B9" w14:textId="13625894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156" w:type="dxa"/>
            <w:vMerge/>
          </w:tcPr>
          <w:p w14:paraId="31161C9A" w14:textId="77777777" w:rsidR="00D544DC" w:rsidRDefault="00D544DC" w:rsidP="00D54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1CEBD862" w14:textId="77777777" w:rsidR="00617AC7" w:rsidRDefault="00617AC7" w:rsidP="00617AC7">
      <w:pPr>
        <w:rPr>
          <w:rFonts w:ascii="Palatino Linotype" w:hAnsi="Palatino Linotype"/>
          <w:sz w:val="20"/>
          <w:szCs w:val="20"/>
        </w:rPr>
      </w:pPr>
    </w:p>
    <w:p w14:paraId="1B8E9054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0B544A76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4BF0207D" w14:textId="77777777" w:rsidR="003D3165" w:rsidRDefault="003D3165" w:rsidP="00463144">
      <w:pPr>
        <w:rPr>
          <w:rFonts w:ascii="Palatino Linotype" w:hAnsi="Palatino Linotype"/>
          <w:sz w:val="20"/>
          <w:szCs w:val="20"/>
        </w:rPr>
      </w:pPr>
    </w:p>
    <w:p w14:paraId="07B80E1B" w14:textId="1AC56834" w:rsidR="003D3165" w:rsidRPr="00C70956" w:rsidRDefault="003D3165" w:rsidP="003D3165">
      <w:pPr>
        <w:pBdr>
          <w:bottom w:val="single" w:sz="12" w:space="1" w:color="auto"/>
        </w:pBdr>
        <w:rPr>
          <w:rFonts w:ascii="Palatino Linotype" w:hAnsi="Palatino Linotype"/>
          <w:b/>
          <w:bCs/>
        </w:rPr>
      </w:pPr>
      <w:r w:rsidRPr="00C70956">
        <w:rPr>
          <w:rFonts w:ascii="Palatino Linotype" w:hAnsi="Palatino Linotype"/>
          <w:b/>
          <w:bCs/>
        </w:rPr>
        <w:t xml:space="preserve">Summary of findings  – </w:t>
      </w:r>
      <w:r>
        <w:rPr>
          <w:rFonts w:ascii="Palatino Linotype" w:hAnsi="Palatino Linotype"/>
          <w:b/>
          <w:bCs/>
        </w:rPr>
        <w:t>Non-p</w:t>
      </w:r>
      <w:r w:rsidRPr="00C70956">
        <w:rPr>
          <w:rFonts w:ascii="Palatino Linotype" w:hAnsi="Palatino Linotype"/>
          <w:b/>
          <w:bCs/>
        </w:rPr>
        <w:t xml:space="preserve">harmacological interventions </w:t>
      </w:r>
      <w:r>
        <w:rPr>
          <w:rFonts w:ascii="Palatino Linotype" w:hAnsi="Palatino Linotype"/>
          <w:b/>
          <w:bCs/>
        </w:rPr>
        <w:t>in Patients with POTS (Non-RCT studies)</w:t>
      </w:r>
    </w:p>
    <w:p w14:paraId="3B01D62F" w14:textId="6B521B48" w:rsidR="003D3165" w:rsidRDefault="005B316B" w:rsidP="003D3165">
      <w:pPr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Non-p</w:t>
      </w:r>
      <w:r w:rsidR="003D3165" w:rsidRPr="00C70956">
        <w:rPr>
          <w:rFonts w:ascii="Palatino Linotype" w:hAnsi="Palatino Linotype"/>
          <w:b/>
          <w:bCs/>
          <w:sz w:val="20"/>
          <w:szCs w:val="20"/>
        </w:rPr>
        <w:t xml:space="preserve">harmacological interventions </w:t>
      </w:r>
      <w:r w:rsidR="003D3165">
        <w:rPr>
          <w:rFonts w:ascii="Palatino Linotype" w:hAnsi="Palatino Linotype"/>
          <w:b/>
          <w:bCs/>
          <w:sz w:val="20"/>
          <w:szCs w:val="20"/>
        </w:rPr>
        <w:t>evaluated in a pre- and post-intervention analysis or compared to a non-randomized control group</w:t>
      </w:r>
    </w:p>
    <w:p w14:paraId="5082A1A4" w14:textId="77777777" w:rsidR="003D3165" w:rsidRDefault="003D3165" w:rsidP="003D3165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Population: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Adults and / or children with a confirmed diagnosis of POTS</w:t>
      </w:r>
    </w:p>
    <w:p w14:paraId="3E7FDEE1" w14:textId="1BBBD66B" w:rsidR="003D3165" w:rsidRDefault="003D3165" w:rsidP="003D3165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Intervention:</w:t>
      </w:r>
      <w:r>
        <w:rPr>
          <w:rFonts w:ascii="Palatino Linotype" w:hAnsi="Palatino Linotype"/>
          <w:sz w:val="20"/>
          <w:szCs w:val="20"/>
        </w:rPr>
        <w:t xml:space="preserve"> Non-pharmacological interventions (see below)</w:t>
      </w:r>
    </w:p>
    <w:p w14:paraId="4A963075" w14:textId="77777777" w:rsidR="003D3165" w:rsidRDefault="003D3165" w:rsidP="003D3165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Comparison:</w:t>
      </w:r>
      <w:r>
        <w:rPr>
          <w:rFonts w:ascii="Palatino Linotype" w:hAnsi="Palatino Linotype"/>
          <w:sz w:val="20"/>
          <w:szCs w:val="20"/>
        </w:rPr>
        <w:t xml:space="preserve"> Pre-intervention assessments; baseline data</w:t>
      </w:r>
    </w:p>
    <w:p w14:paraId="6F82CB24" w14:textId="77777777" w:rsidR="003D3165" w:rsidRDefault="003D3165" w:rsidP="00617AC7">
      <w:pPr>
        <w:rPr>
          <w:rFonts w:ascii="Palatino Linotype" w:hAnsi="Palatino Linotype"/>
          <w:sz w:val="20"/>
          <w:szCs w:val="20"/>
        </w:rPr>
      </w:pPr>
    </w:p>
    <w:p w14:paraId="7B93B981" w14:textId="101D7B2D" w:rsidR="00617AC7" w:rsidRDefault="00617AC7" w:rsidP="00617AC7">
      <w:pPr>
        <w:rPr>
          <w:rFonts w:ascii="Palatino Linotype" w:hAnsi="Palatino Linotype"/>
          <w:sz w:val="20"/>
          <w:szCs w:val="20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843"/>
        <w:gridCol w:w="1418"/>
        <w:gridCol w:w="1417"/>
        <w:gridCol w:w="1276"/>
        <w:gridCol w:w="1417"/>
        <w:gridCol w:w="1134"/>
        <w:gridCol w:w="2046"/>
      </w:tblGrid>
      <w:tr w:rsidR="00D44369" w14:paraId="7835E679" w14:textId="77777777" w:rsidTr="003B3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20E98C3C" w14:textId="3A659C2D" w:rsidR="00D44369" w:rsidRDefault="00D44369" w:rsidP="00822549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Studies</w:t>
            </w:r>
          </w:p>
        </w:tc>
        <w:tc>
          <w:tcPr>
            <w:tcW w:w="1699" w:type="dxa"/>
          </w:tcPr>
          <w:p w14:paraId="4D3C6800" w14:textId="4C751459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Intervention</w:t>
            </w:r>
          </w:p>
        </w:tc>
        <w:tc>
          <w:tcPr>
            <w:tcW w:w="1843" w:type="dxa"/>
          </w:tcPr>
          <w:p w14:paraId="216EB71F" w14:textId="77777777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Outcome</w:t>
            </w:r>
          </w:p>
        </w:tc>
        <w:tc>
          <w:tcPr>
            <w:tcW w:w="1418" w:type="dxa"/>
          </w:tcPr>
          <w:p w14:paraId="548EEE8E" w14:textId="2292A6FB" w:rsidR="00D44369" w:rsidRDefault="00D44369" w:rsidP="00C65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Number of participants </w:t>
            </w:r>
          </w:p>
          <w:p w14:paraId="0A629DF3" w14:textId="77777777" w:rsidR="00D44369" w:rsidRDefault="00D44369" w:rsidP="00C65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(studies)</w:t>
            </w:r>
          </w:p>
          <w:p w14:paraId="0BB3D2A2" w14:textId="4B53451B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145217" w14:textId="77777777" w:rsidR="00D44369" w:rsidRDefault="00D44369" w:rsidP="00C65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Age of participants</w:t>
            </w:r>
          </w:p>
          <w:p w14:paraId="54B4A3D2" w14:textId="5AE8221D" w:rsidR="00D44369" w:rsidRDefault="00D44369" w:rsidP="00C654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(MEAN + SD or Age Range)</w:t>
            </w:r>
          </w:p>
        </w:tc>
        <w:tc>
          <w:tcPr>
            <w:tcW w:w="1276" w:type="dxa"/>
          </w:tcPr>
          <w:p w14:paraId="54E4CB01" w14:textId="08448520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Sex Ratio (female : male; percentage of females)</w:t>
            </w:r>
          </w:p>
        </w:tc>
        <w:tc>
          <w:tcPr>
            <w:tcW w:w="1417" w:type="dxa"/>
          </w:tcPr>
          <w:p w14:paraId="1F2CAF63" w14:textId="3B071F68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Country</w:t>
            </w:r>
          </w:p>
        </w:tc>
        <w:tc>
          <w:tcPr>
            <w:tcW w:w="1134" w:type="dxa"/>
          </w:tcPr>
          <w:p w14:paraId="0CA45663" w14:textId="6CCD6871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Certainty of evidence (GRADE)</w:t>
            </w:r>
          </w:p>
        </w:tc>
        <w:tc>
          <w:tcPr>
            <w:tcW w:w="2046" w:type="dxa"/>
          </w:tcPr>
          <w:p w14:paraId="1792DD06" w14:textId="77777777" w:rsidR="00D44369" w:rsidRDefault="00D44369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Comments</w:t>
            </w:r>
          </w:p>
        </w:tc>
      </w:tr>
      <w:tr w:rsidR="00D44369" w14:paraId="792A97EC" w14:textId="77777777" w:rsidTr="003B3CE2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352A1B42" w14:textId="5E0B66F4" w:rsidR="00D44369" w:rsidRDefault="00D44369" w:rsidP="00D4436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Heyer et al. (2014)</w:t>
            </w:r>
          </w:p>
        </w:tc>
        <w:tc>
          <w:tcPr>
            <w:tcW w:w="1699" w:type="dxa"/>
          </w:tcPr>
          <w:p w14:paraId="5B06DA6C" w14:textId="77777777" w:rsidR="00D44369" w:rsidRPr="00D44369" w:rsidRDefault="00D44369" w:rsidP="00D44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44369">
              <w:rPr>
                <w:rFonts w:ascii="Palatino Linotype" w:hAnsi="Palatino Linotype"/>
                <w:b/>
                <w:bCs/>
                <w:sz w:val="20"/>
                <w:szCs w:val="20"/>
              </w:rPr>
              <w:t>Compression garments</w:t>
            </w:r>
          </w:p>
          <w:p w14:paraId="46D7B21B" w14:textId="060CDD61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44369">
              <w:rPr>
                <w:rFonts w:ascii="Palatino Linotype" w:hAnsi="Palatino Linotype"/>
                <w:b/>
                <w:bCs/>
                <w:sz w:val="20"/>
                <w:szCs w:val="20"/>
              </w:rPr>
              <w:t>20 – 40 mmHg</w:t>
            </w:r>
          </w:p>
        </w:tc>
        <w:tc>
          <w:tcPr>
            <w:tcW w:w="1843" w:type="dxa"/>
          </w:tcPr>
          <w:p w14:paraId="5BD8A347" w14:textId="7D2920F8" w:rsidR="00D44369" w:rsidRDefault="0088447F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HR upon postural change</w:t>
            </w:r>
          </w:p>
        </w:tc>
        <w:tc>
          <w:tcPr>
            <w:tcW w:w="1418" w:type="dxa"/>
          </w:tcPr>
          <w:p w14:paraId="1BD54391" w14:textId="77777777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 participants (1 study)</w:t>
            </w:r>
          </w:p>
        </w:tc>
        <w:tc>
          <w:tcPr>
            <w:tcW w:w="1417" w:type="dxa"/>
          </w:tcPr>
          <w:p w14:paraId="270B9C35" w14:textId="4B7BE739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Mean age:  15. 8 years</w:t>
            </w:r>
          </w:p>
          <w:p w14:paraId="0B42F47D" w14:textId="34C94896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[13 – 19 years]</w:t>
            </w:r>
          </w:p>
        </w:tc>
        <w:tc>
          <w:tcPr>
            <w:tcW w:w="1276" w:type="dxa"/>
          </w:tcPr>
          <w:p w14:paraId="63D9F95A" w14:textId="7EB92466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: 1 (95 %)</w:t>
            </w:r>
          </w:p>
        </w:tc>
        <w:tc>
          <w:tcPr>
            <w:tcW w:w="1417" w:type="dxa"/>
          </w:tcPr>
          <w:p w14:paraId="16DEBD22" w14:textId="3B628150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5F8DCEF7" w14:textId="10513804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  <w:p w14:paraId="5E49C9E6" w14:textId="77777777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46" w:type="dxa"/>
          </w:tcPr>
          <w:p w14:paraId="4FD3532C" w14:textId="152EF87F" w:rsidR="00D44369" w:rsidRDefault="00D44369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In children, short term application of lower-extremity and abdominal compression garments led to a significant decrease in heart rate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lastRenderedPageBreak/>
              <w:t>increment upon postural change. Due to a moderate risk of bias in this non-randomized trial and due to a small size of the study population, level of certainty is very low. Compression garments might have a positive effect on hemodynamics in POTS</w:t>
            </w:r>
            <w:r w:rsidR="003B3CE2">
              <w:rPr>
                <w:rFonts w:ascii="Palatino Linotype" w:hAnsi="Palatino Linotype"/>
                <w:sz w:val="20"/>
                <w:szCs w:val="20"/>
              </w:rPr>
              <w:t xml:space="preserve"> and could be considered as a potential treatment option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>.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 xml:space="preserve"> There was no 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specific 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>data on the use of compression garments in ME/CFS.</w:t>
            </w:r>
          </w:p>
        </w:tc>
      </w:tr>
      <w:tr w:rsidR="001A0C86" w14:paraId="7FB57D49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2765363F" w14:textId="433791AC" w:rsidR="001A0C86" w:rsidRDefault="001A0C86" w:rsidP="00FD23D0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Zha et al. (2023)</w:t>
            </w:r>
          </w:p>
        </w:tc>
        <w:tc>
          <w:tcPr>
            <w:tcW w:w="1699" w:type="dxa"/>
          </w:tcPr>
          <w:p w14:paraId="5B56E6D7" w14:textId="64650811" w:rsidR="001A0C86" w:rsidRPr="001A0C86" w:rsidRDefault="001A0C86" w:rsidP="00FD23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A0C86">
              <w:rPr>
                <w:rFonts w:ascii="Palatino Linotype" w:hAnsi="Palatino Linotype"/>
                <w:b/>
                <w:bCs/>
                <w:sz w:val="20"/>
                <w:szCs w:val="20"/>
              </w:rPr>
              <w:t>Gluten-free Diet</w:t>
            </w:r>
          </w:p>
        </w:tc>
        <w:tc>
          <w:tcPr>
            <w:tcW w:w="1843" w:type="dxa"/>
          </w:tcPr>
          <w:p w14:paraId="2FE29FDF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(COMPASS-31)</w:t>
            </w:r>
          </w:p>
        </w:tc>
        <w:tc>
          <w:tcPr>
            <w:tcW w:w="1418" w:type="dxa"/>
          </w:tcPr>
          <w:p w14:paraId="602161FD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 participants (1 study)</w:t>
            </w:r>
          </w:p>
        </w:tc>
        <w:tc>
          <w:tcPr>
            <w:tcW w:w="1417" w:type="dxa"/>
          </w:tcPr>
          <w:p w14:paraId="1C86EA0A" w14:textId="70987909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 – 62 years</w:t>
            </w:r>
          </w:p>
        </w:tc>
        <w:tc>
          <w:tcPr>
            <w:tcW w:w="1276" w:type="dxa"/>
          </w:tcPr>
          <w:p w14:paraId="0557B3BC" w14:textId="1B81704D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 : 0 (100%)</w:t>
            </w:r>
          </w:p>
        </w:tc>
        <w:tc>
          <w:tcPr>
            <w:tcW w:w="1417" w:type="dxa"/>
          </w:tcPr>
          <w:p w14:paraId="22247331" w14:textId="7BF1C90F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7BB91B1F" w14:textId="7AD395BD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</w:tcPr>
          <w:p w14:paraId="075269E7" w14:textId="35DFD594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In mainly adult patients, performing a gluten-free diet for four weeks led to a significant decrease in symptom burden. Due to a high risk of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lastRenderedPageBreak/>
              <w:t>bias and a small size of the study population, certainty of evidence is very low. A Gluten-free diet might have a positive impact on symptom burden in POTS patients.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 xml:space="preserve"> There was no 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specific 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>data on the use of gluten-free dietary approaches in ME/CFS.</w:t>
            </w:r>
          </w:p>
        </w:tc>
      </w:tr>
      <w:tr w:rsidR="001A0C86" w14:paraId="43EB90CC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65A1DE77" w14:textId="4A3452A4" w:rsidR="001A0C86" w:rsidRDefault="001A0C86" w:rsidP="001A0C86">
            <w:pPr>
              <w:rPr>
                <w:rFonts w:ascii="Palatino Linotype" w:hAnsi="Palatino Linotype"/>
                <w:sz w:val="20"/>
                <w:szCs w:val="20"/>
              </w:rPr>
            </w:pPr>
            <w:r w:rsidRPr="001A0C86">
              <w:rPr>
                <w:rFonts w:ascii="Palatino Linotype" w:hAnsi="Palatino Linotype"/>
                <w:sz w:val="20"/>
                <w:szCs w:val="20"/>
              </w:rPr>
              <w:lastRenderedPageBreak/>
              <w:t>Rodriguez et al. (2022)</w:t>
            </w:r>
          </w:p>
        </w:tc>
        <w:tc>
          <w:tcPr>
            <w:tcW w:w="1699" w:type="dxa"/>
            <w:vMerge w:val="restart"/>
          </w:tcPr>
          <w:p w14:paraId="321F783E" w14:textId="539E9601" w:rsidR="001A0C86" w:rsidRPr="001A0C86" w:rsidRDefault="00477B55" w:rsidP="001A0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Oral water intake</w:t>
            </w:r>
          </w:p>
          <w:p w14:paraId="7C54A7FB" w14:textId="77777777" w:rsidR="001A0C86" w:rsidRP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56BD30A2" w14:textId="0E3BDFE6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1A0C86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450 </w:t>
            </w: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– 500 </w:t>
            </w:r>
            <w:r w:rsidRPr="001A0C86">
              <w:rPr>
                <w:rFonts w:ascii="Palatino Linotype" w:hAnsi="Palatino Linotype"/>
                <w:b/>
                <w:bCs/>
                <w:sz w:val="20"/>
                <w:szCs w:val="20"/>
              </w:rPr>
              <w:t>ml water or clear soup (oral)</w:t>
            </w:r>
          </w:p>
          <w:p w14:paraId="08B1EDF5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70944676" w14:textId="2B991FAB" w:rsidR="001A0C86" w:rsidRP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602145" w14:textId="77777777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418" w:type="dxa"/>
          </w:tcPr>
          <w:p w14:paraId="1B99B3C2" w14:textId="5E20614A" w:rsidR="001A0C86" w:rsidRDefault="00793317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28 participants (3 studies)</w:t>
            </w:r>
          </w:p>
        </w:tc>
        <w:tc>
          <w:tcPr>
            <w:tcW w:w="1417" w:type="dxa"/>
          </w:tcPr>
          <w:p w14:paraId="216445E1" w14:textId="6C8DD939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A2FEB">
              <w:rPr>
                <w:rFonts w:ascii="Palatino Linotype" w:hAnsi="Palatino Linotype"/>
                <w:sz w:val="20"/>
                <w:szCs w:val="20"/>
              </w:rPr>
              <w:t>27.62 ± 5.95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(n = 13)</w:t>
            </w:r>
          </w:p>
        </w:tc>
        <w:tc>
          <w:tcPr>
            <w:tcW w:w="1276" w:type="dxa"/>
          </w:tcPr>
          <w:p w14:paraId="1B81E1C3" w14:textId="77777777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 : 2 (85 %)</w:t>
            </w:r>
          </w:p>
          <w:p w14:paraId="0CB78282" w14:textId="77777777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1907501" w14:textId="77777777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673BEE0" w14:textId="31FD6281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417" w:type="dxa"/>
          </w:tcPr>
          <w:p w14:paraId="7221A175" w14:textId="218883B3" w:rsidR="001A0C86" w:rsidRDefault="00793317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Switzerland</w:t>
            </w:r>
          </w:p>
        </w:tc>
        <w:tc>
          <w:tcPr>
            <w:tcW w:w="1134" w:type="dxa"/>
          </w:tcPr>
          <w:p w14:paraId="7291D232" w14:textId="6B63E3A8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  <w:vMerge w:val="restart"/>
          </w:tcPr>
          <w:p w14:paraId="5F39B542" w14:textId="6998250C" w:rsidR="001A0C86" w:rsidRDefault="001A0C86" w:rsidP="0082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In adult patients, short-term hydration with mineral water or clear soup did not lead to significant changes in heart rate increment upon postural change.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Due to the design as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>non-randomized trial</w:t>
            </w:r>
            <w:r>
              <w:rPr>
                <w:rFonts w:ascii="Palatino Linotype" w:hAnsi="Palatino Linotype"/>
                <w:sz w:val="20"/>
                <w:szCs w:val="20"/>
              </w:rPr>
              <w:t>s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 with a very small size of population, level of certainty is very low. </w:t>
            </w:r>
            <w:r w:rsidR="00205CF4">
              <w:rPr>
                <w:rFonts w:ascii="Palatino Linotype" w:hAnsi="Palatino Linotype"/>
                <w:sz w:val="20"/>
                <w:szCs w:val="20"/>
              </w:rPr>
              <w:t xml:space="preserve">Due to its </w:t>
            </w:r>
            <w:r w:rsidR="00205CF4">
              <w:rPr>
                <w:rFonts w:ascii="Palatino Linotype" w:hAnsi="Palatino Linotype"/>
                <w:sz w:val="20"/>
                <w:szCs w:val="20"/>
              </w:rPr>
              <w:lastRenderedPageBreak/>
              <w:t>simple applicability, oral hydration could be considered as a possible treatment option.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 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specific 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>data on the use of increased oral water intake in patients with ME/CFS.</w:t>
            </w:r>
          </w:p>
        </w:tc>
      </w:tr>
      <w:tr w:rsidR="001A0C86" w14:paraId="58963118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0A7DBDE9" w14:textId="77777777" w:rsidR="001A0C86" w:rsidRDefault="001A0C86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Rodriguez et al. (2019)</w:t>
            </w:r>
          </w:p>
          <w:p w14:paraId="2389C59D" w14:textId="77777777" w:rsidR="001A0C86" w:rsidRDefault="001A0C86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29EDCE03" w14:textId="77777777" w:rsidR="001A0C86" w:rsidRDefault="001A0C86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Z´Graggen et al. (2010)</w:t>
            </w:r>
          </w:p>
          <w:p w14:paraId="140BF950" w14:textId="77777777" w:rsidR="001A0C86" w:rsidRDefault="001A0C86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87B2809" w14:textId="3AC4B688" w:rsidR="001A0C86" w:rsidRDefault="001A0C86" w:rsidP="001A0C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14:paraId="3F1ECA8F" w14:textId="04704065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4DB1BC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(bpm)</w:t>
            </w:r>
          </w:p>
        </w:tc>
        <w:tc>
          <w:tcPr>
            <w:tcW w:w="1418" w:type="dxa"/>
          </w:tcPr>
          <w:p w14:paraId="6506D6E2" w14:textId="117759A6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53DF2C" w14:textId="72FC846A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37.7 ± 6 years (n = 7)</w:t>
            </w:r>
          </w:p>
          <w:p w14:paraId="3BF9DD36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0C8A379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45 years (n = 8)</w:t>
            </w:r>
          </w:p>
          <w:p w14:paraId="2DCECBE1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A178793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D646345" w14:textId="7E5AFA95" w:rsidR="001A0C86" w:rsidRPr="007A2FEB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1422E7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 : 0 (100%)</w:t>
            </w:r>
          </w:p>
          <w:p w14:paraId="3426C8C2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F7F2D32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FC34D14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EEF3BEA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7E29EB2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 : 2 (75 %)</w:t>
            </w:r>
          </w:p>
          <w:p w14:paraId="2F18B932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8627254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8C898F6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8FED133" w14:textId="77777777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F31BF42" w14:textId="7E543CDB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1B3DD9" w14:textId="5E5B5BC1" w:rsidR="001A0C86" w:rsidRDefault="001A0C86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6E920A" w14:textId="3334537F" w:rsidR="001A0C86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  <w:vMerge/>
          </w:tcPr>
          <w:p w14:paraId="76E55FB9" w14:textId="77777777" w:rsidR="001A0C86" w:rsidRPr="00442CC2" w:rsidRDefault="001A0C86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477B55" w14:paraId="4FB9C9FF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0B0116FD" w14:textId="77777777" w:rsidR="00477B55" w:rsidRDefault="00477B55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Gordon et al. (2000)</w:t>
            </w:r>
          </w:p>
          <w:p w14:paraId="5B6C108F" w14:textId="77777777" w:rsidR="00477B55" w:rsidRDefault="00477B55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44CE0B96" w14:textId="77777777" w:rsidR="00477B55" w:rsidRDefault="00477B55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Jacob et al. (1997)</w:t>
            </w:r>
          </w:p>
          <w:p w14:paraId="0FF6226A" w14:textId="77777777" w:rsidR="00793317" w:rsidRDefault="00793317" w:rsidP="001A0C86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1AC1324" w14:textId="7092F36D" w:rsidR="00793317" w:rsidRDefault="00793317" w:rsidP="001A0C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Ruzieh et al. (2017)</w:t>
            </w:r>
          </w:p>
        </w:tc>
        <w:tc>
          <w:tcPr>
            <w:tcW w:w="1699" w:type="dxa"/>
          </w:tcPr>
          <w:p w14:paraId="71674935" w14:textId="2C60A8F5" w:rsidR="00477B55" w:rsidRDefault="00477B55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1A0C86">
              <w:rPr>
                <w:rFonts w:ascii="Palatino Linotype" w:hAnsi="Palatino Linotype"/>
                <w:b/>
                <w:bCs/>
                <w:sz w:val="20"/>
                <w:szCs w:val="20"/>
              </w:rPr>
              <w:t>1 Liter Saline (intravenous)</w:t>
            </w:r>
          </w:p>
        </w:tc>
        <w:tc>
          <w:tcPr>
            <w:tcW w:w="1843" w:type="dxa"/>
          </w:tcPr>
          <w:p w14:paraId="22705D48" w14:textId="0230148B" w:rsidR="00477B55" w:rsidRDefault="00477B55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(bpm)</w:t>
            </w:r>
          </w:p>
        </w:tc>
        <w:tc>
          <w:tcPr>
            <w:tcW w:w="1418" w:type="dxa"/>
          </w:tcPr>
          <w:p w14:paraId="4BB763B4" w14:textId="5AD89842" w:rsidR="00477B55" w:rsidRDefault="00793317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81 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>participants (</w:t>
            </w:r>
            <w:r>
              <w:rPr>
                <w:rFonts w:ascii="Palatino Linotype" w:hAnsi="Palatino Linotype"/>
                <w:sz w:val="20"/>
                <w:szCs w:val="20"/>
              </w:rPr>
              <w:t>3</w:t>
            </w:r>
            <w:r w:rsidR="00477B55">
              <w:rPr>
                <w:rFonts w:ascii="Palatino Linotype" w:hAnsi="Palatino Linotype"/>
                <w:sz w:val="20"/>
                <w:szCs w:val="20"/>
              </w:rPr>
              <w:t xml:space="preserve"> studies)</w:t>
            </w:r>
          </w:p>
        </w:tc>
        <w:tc>
          <w:tcPr>
            <w:tcW w:w="1417" w:type="dxa"/>
          </w:tcPr>
          <w:p w14:paraId="5A52F5C6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 – 39 years (n = 11)</w:t>
            </w:r>
          </w:p>
          <w:p w14:paraId="41606294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78CF847" w14:textId="3BAB9ADA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47 years (n = 13)</w:t>
            </w:r>
          </w:p>
          <w:p w14:paraId="00F10D76" w14:textId="77777777" w:rsidR="00477B55" w:rsidRDefault="00477B55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578D458" w14:textId="3A9E1593" w:rsidR="00793317" w:rsidRDefault="00793317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B422E">
              <w:rPr>
                <w:rFonts w:ascii="Palatino Linotype" w:hAnsi="Palatino Linotype"/>
                <w:sz w:val="20"/>
                <w:szCs w:val="20"/>
              </w:rPr>
              <w:t>35.0 ± 12.9 years</w:t>
            </w:r>
          </w:p>
        </w:tc>
        <w:tc>
          <w:tcPr>
            <w:tcW w:w="1276" w:type="dxa"/>
          </w:tcPr>
          <w:p w14:paraId="17D80587" w14:textId="7B9536BC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  <w:p w14:paraId="4C897704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E826623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E180F6B" w14:textId="50A7C020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 : 2 (85 %)</w:t>
            </w:r>
          </w:p>
          <w:p w14:paraId="28072F75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00730AE" w14:textId="6C6D4B1A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55 : 2 (96.5 %)</w:t>
            </w:r>
          </w:p>
          <w:p w14:paraId="177719A6" w14:textId="77777777" w:rsidR="00477B55" w:rsidRDefault="00477B55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954D3E" w14:textId="77777777" w:rsidR="00793317" w:rsidRDefault="00793317" w:rsidP="0079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  <w:p w14:paraId="4F1FBB70" w14:textId="77777777" w:rsidR="00477B55" w:rsidRDefault="00477B55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669221" w14:textId="1D5CAAC8" w:rsidR="00477B55" w:rsidRDefault="00793317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</w:tcPr>
          <w:p w14:paraId="6D00B8AE" w14:textId="3B9AEAF3" w:rsidR="00477B55" w:rsidRPr="00442CC2" w:rsidRDefault="00793317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 adolescents and adult patients,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 short-term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, as well as long-term intermittend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intravenous hydration with saline led to significant </w:t>
            </w:r>
            <w:r>
              <w:rPr>
                <w:rFonts w:ascii="Palatino Linotype" w:hAnsi="Palatino Linotype"/>
                <w:sz w:val="20"/>
                <w:szCs w:val="20"/>
              </w:rPr>
              <w:t>decrease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 in  heart rate increment.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Due to the design as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>non-randomized trial</w:t>
            </w:r>
            <w:r>
              <w:rPr>
                <w:rFonts w:ascii="Palatino Linotype" w:hAnsi="Palatino Linotype"/>
                <w:sz w:val="20"/>
                <w:szCs w:val="20"/>
              </w:rPr>
              <w:t>s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 with a very small size of population, level of certainty is very low. Intravenous saline might have a positive effect on hemodynamics in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lastRenderedPageBreak/>
              <w:t>POTS in the long term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but is an invasive method that carries risks and can currently not be recommended for POTS patients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>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The effect of oral rehydration, especially in the long term remains unclear.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 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specific 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>data on the use of intravenous saline infusions in ME/CFS.</w:t>
            </w:r>
          </w:p>
        </w:tc>
      </w:tr>
      <w:tr w:rsidR="00F25830" w14:paraId="3A2889A2" w14:textId="77777777" w:rsidTr="003B3CE2">
        <w:trPr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4FEDBF2B" w14:textId="036A0386" w:rsidR="00F25830" w:rsidRDefault="00F25830" w:rsidP="00F2583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Ruzieh et al. (2017)</w:t>
            </w:r>
          </w:p>
        </w:tc>
        <w:tc>
          <w:tcPr>
            <w:tcW w:w="1699" w:type="dxa"/>
          </w:tcPr>
          <w:p w14:paraId="14E64D59" w14:textId="3DF03F40" w:rsidR="00F25830" w:rsidRP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F25830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1 Liter </w:t>
            </w:r>
            <w:r w:rsidR="00477B55">
              <w:rPr>
                <w:rFonts w:ascii="Palatino Linotype" w:hAnsi="Palatino Linotype"/>
                <w:b/>
                <w:bCs/>
                <w:sz w:val="20"/>
                <w:szCs w:val="20"/>
              </w:rPr>
              <w:t>saline infusions</w:t>
            </w:r>
          </w:p>
        </w:tc>
        <w:tc>
          <w:tcPr>
            <w:tcW w:w="1843" w:type="dxa"/>
          </w:tcPr>
          <w:p w14:paraId="62320AD3" w14:textId="77777777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Quality of Life (SF-36)</w:t>
            </w:r>
          </w:p>
        </w:tc>
        <w:tc>
          <w:tcPr>
            <w:tcW w:w="1418" w:type="dxa"/>
          </w:tcPr>
          <w:p w14:paraId="160AD6B4" w14:textId="26B3BB53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57 participants (1 study)</w:t>
            </w:r>
          </w:p>
        </w:tc>
        <w:tc>
          <w:tcPr>
            <w:tcW w:w="1417" w:type="dxa"/>
          </w:tcPr>
          <w:p w14:paraId="6CC53914" w14:textId="48135E40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B422E">
              <w:rPr>
                <w:rFonts w:ascii="Palatino Linotype" w:hAnsi="Palatino Linotype"/>
                <w:sz w:val="20"/>
                <w:szCs w:val="20"/>
              </w:rPr>
              <w:t>35.0 ± 12.9 years</w:t>
            </w:r>
          </w:p>
        </w:tc>
        <w:tc>
          <w:tcPr>
            <w:tcW w:w="1276" w:type="dxa"/>
          </w:tcPr>
          <w:p w14:paraId="07981141" w14:textId="74E0C9A7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55 : 2 (96.5 %)</w:t>
            </w:r>
          </w:p>
        </w:tc>
        <w:tc>
          <w:tcPr>
            <w:tcW w:w="1417" w:type="dxa"/>
          </w:tcPr>
          <w:p w14:paraId="1BFF7154" w14:textId="1F747B28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38DB8757" w14:textId="69206CEB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</w:tcPr>
          <w:p w14:paraId="58E3E72D" w14:textId="69658B18" w:rsidR="00F25830" w:rsidRDefault="00F25830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In adult patients, intermittent saline infusions over 3-12 months led to a significant improvement in quality of life. Since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there is only one study, designed as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t xml:space="preserve">a non-randomized trial with few participants and a high risk of bias, </w:t>
            </w:r>
            <w:r w:rsidRPr="00592A75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certainty of evidence is very low. </w:t>
            </w:r>
            <w:r w:rsidR="00205CF4" w:rsidRPr="00592A75">
              <w:rPr>
                <w:rFonts w:ascii="Palatino Linotype" w:hAnsi="Palatino Linotype"/>
                <w:sz w:val="20"/>
                <w:szCs w:val="20"/>
              </w:rPr>
              <w:t xml:space="preserve">Intravenous saline might have a positive effect on </w:t>
            </w:r>
            <w:r w:rsidR="00205CF4">
              <w:rPr>
                <w:rFonts w:ascii="Palatino Linotype" w:hAnsi="Palatino Linotype"/>
                <w:sz w:val="20"/>
                <w:szCs w:val="20"/>
              </w:rPr>
              <w:t>symptom burden</w:t>
            </w:r>
            <w:r w:rsidR="00205CF4" w:rsidRPr="00592A75">
              <w:rPr>
                <w:rFonts w:ascii="Palatino Linotype" w:hAnsi="Palatino Linotype"/>
                <w:sz w:val="20"/>
                <w:szCs w:val="20"/>
              </w:rPr>
              <w:t xml:space="preserve"> in POTS in the long term</w:t>
            </w:r>
            <w:r w:rsidR="00205CF4">
              <w:rPr>
                <w:rFonts w:ascii="Palatino Linotype" w:hAnsi="Palatino Linotype"/>
                <w:sz w:val="20"/>
                <w:szCs w:val="20"/>
              </w:rPr>
              <w:t xml:space="preserve"> but is an invasive method that carries risks and can currently not be recommended for POTS patients</w:t>
            </w:r>
            <w:r w:rsidR="00205CF4" w:rsidRPr="00592A75">
              <w:rPr>
                <w:rFonts w:ascii="Palatino Linotype" w:hAnsi="Palatino Linotype"/>
                <w:sz w:val="20"/>
                <w:szCs w:val="20"/>
              </w:rPr>
              <w:t>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 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specific 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>data on the use of intravenous saline infusions in patients with ME/CFS.</w:t>
            </w:r>
          </w:p>
        </w:tc>
      </w:tr>
      <w:tr w:rsidR="00A9365B" w14:paraId="1F02D7BC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49B9F6D6" w14:textId="32B1B494" w:rsidR="00A9365B" w:rsidRPr="00A9365B" w:rsidRDefault="00A9365B" w:rsidP="00A9365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Gibbons et al. (2021</w:t>
            </w:r>
            <w:r>
              <w:rPr>
                <w:rFonts w:ascii="Palatino Linotype" w:hAnsi="Palatino Linotype"/>
                <w:sz w:val="22"/>
                <w:szCs w:val="22"/>
              </w:rPr>
              <w:t>)</w:t>
            </w:r>
          </w:p>
        </w:tc>
        <w:tc>
          <w:tcPr>
            <w:tcW w:w="1699" w:type="dxa"/>
          </w:tcPr>
          <w:p w14:paraId="5D97A38F" w14:textId="77777777" w:rsidR="00A9365B" w:rsidRDefault="00A9365B" w:rsidP="00A93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A9365B">
              <w:rPr>
                <w:rFonts w:ascii="Palatino Linotype" w:hAnsi="Palatino Linotype"/>
                <w:b/>
                <w:bCs/>
                <w:sz w:val="20"/>
                <w:szCs w:val="20"/>
              </w:rPr>
              <w:t>Physical training</w:t>
            </w:r>
          </w:p>
          <w:p w14:paraId="61C7D1F1" w14:textId="77777777" w:rsidR="007B095C" w:rsidRPr="00A9365B" w:rsidRDefault="007B095C" w:rsidP="00A93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4034CEFD" w14:textId="39919B53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9365B">
              <w:rPr>
                <w:rFonts w:ascii="Palatino Linotype" w:hAnsi="Palatino Linotype"/>
                <w:b/>
                <w:bCs/>
                <w:sz w:val="20"/>
                <w:szCs w:val="20"/>
              </w:rPr>
              <w:t>6 months</w:t>
            </w:r>
          </w:p>
        </w:tc>
        <w:tc>
          <w:tcPr>
            <w:tcW w:w="1843" w:type="dxa"/>
          </w:tcPr>
          <w:p w14:paraId="44F59029" w14:textId="77777777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HR upon postural change (bpm)</w:t>
            </w:r>
          </w:p>
        </w:tc>
        <w:tc>
          <w:tcPr>
            <w:tcW w:w="1418" w:type="dxa"/>
          </w:tcPr>
          <w:p w14:paraId="2038129F" w14:textId="77777777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48 participants (1 study)</w:t>
            </w:r>
          </w:p>
        </w:tc>
        <w:tc>
          <w:tcPr>
            <w:tcW w:w="1417" w:type="dxa"/>
          </w:tcPr>
          <w:p w14:paraId="56784B34" w14:textId="76D94663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BC577D">
              <w:rPr>
                <w:rFonts w:ascii="Palatino Linotype" w:hAnsi="Palatino Linotype"/>
                <w:sz w:val="20"/>
                <w:szCs w:val="20"/>
              </w:rPr>
              <w:t xml:space="preserve">26.3 </w:t>
            </w:r>
            <w:r>
              <w:rPr>
                <w:rFonts w:ascii="Palatino Linotype" w:hAnsi="Palatino Linotype"/>
                <w:sz w:val="20"/>
                <w:szCs w:val="20"/>
              </w:rPr>
              <w:t>±</w:t>
            </w:r>
            <w:r w:rsidRPr="00BC577D">
              <w:rPr>
                <w:rFonts w:ascii="Palatino Linotype" w:hAnsi="Palatino Linotype"/>
                <w:sz w:val="20"/>
                <w:szCs w:val="20"/>
              </w:rPr>
              <w:t xml:space="preserve"> 6.6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76" w:type="dxa"/>
          </w:tcPr>
          <w:p w14:paraId="3068901B" w14:textId="09E6787F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43 : 5 (89.6 %)</w:t>
            </w:r>
          </w:p>
        </w:tc>
        <w:tc>
          <w:tcPr>
            <w:tcW w:w="1417" w:type="dxa"/>
          </w:tcPr>
          <w:p w14:paraId="17266993" w14:textId="30386F26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222F2266" w14:textId="31AB63F5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  <w:vMerge w:val="restart"/>
          </w:tcPr>
          <w:p w14:paraId="05476538" w14:textId="7B55A08E" w:rsidR="00A9365B" w:rsidRDefault="00A9365B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Adult patients who completed a physical training programme over 3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– 6 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>months, showed a significant decrease in upright heart rate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and change in HR upon postural change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Due to the study design 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</w:rPr>
              <w:t>s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lastRenderedPageBreak/>
              <w:t>non-randomized trial</w:t>
            </w:r>
            <w:r>
              <w:rPr>
                <w:rFonts w:ascii="Palatino Linotype" w:hAnsi="Palatino Linotype"/>
                <w:sz w:val="20"/>
                <w:szCs w:val="20"/>
              </w:rPr>
              <w:t>s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 with few participants, certainty of evidence is very low. Physical exercise might have a beneficial effect on hemodynamics in POTS</w:t>
            </w:r>
            <w:r w:rsidR="0084637B">
              <w:rPr>
                <w:rFonts w:ascii="Palatino Linotype" w:hAnsi="Palatino Linotype"/>
                <w:sz w:val="20"/>
                <w:szCs w:val="20"/>
              </w:rPr>
              <w:t xml:space="preserve"> and could be considered as a possible treatment option, as it i</w:t>
            </w:r>
            <w:r w:rsidR="00E3273F">
              <w:rPr>
                <w:rFonts w:ascii="Palatino Linotype" w:hAnsi="Palatino Linotype"/>
                <w:sz w:val="20"/>
                <w:szCs w:val="20"/>
              </w:rPr>
              <w:t xml:space="preserve">s </w:t>
            </w:r>
            <w:r w:rsidR="0084637B">
              <w:rPr>
                <w:rFonts w:ascii="Palatino Linotype" w:hAnsi="Palatino Linotype"/>
                <w:sz w:val="20"/>
                <w:szCs w:val="20"/>
              </w:rPr>
              <w:t>individually adaptable and easy to apply.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</w:t>
            </w:r>
            <w:r w:rsidR="005D264E">
              <w:rPr>
                <w:rFonts w:ascii="Palatino Linotype" w:hAnsi="Palatino Linotype"/>
                <w:sz w:val="20"/>
                <w:szCs w:val="20"/>
              </w:rPr>
              <w:t xml:space="preserve"> specific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data on the use of physical training as a therapeutic approach in ME/CFS.</w:t>
            </w:r>
          </w:p>
        </w:tc>
      </w:tr>
      <w:tr w:rsidR="007B095C" w14:paraId="2552E055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5A430807" w14:textId="77777777" w:rsidR="007B095C" w:rsidRDefault="007B095C" w:rsidP="007B095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Shibata et al. (2012)</w:t>
            </w:r>
          </w:p>
          <w:p w14:paraId="52C4180C" w14:textId="77777777" w:rsidR="007B095C" w:rsidRDefault="007B095C" w:rsidP="007B095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3F9A1A92" w14:textId="2DF0AAF2" w:rsidR="007B095C" w:rsidRDefault="007B095C" w:rsidP="007B095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Fu et al. (2010)</w:t>
            </w:r>
          </w:p>
        </w:tc>
        <w:tc>
          <w:tcPr>
            <w:tcW w:w="1699" w:type="dxa"/>
          </w:tcPr>
          <w:p w14:paraId="37EF188D" w14:textId="77777777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Physical training</w:t>
            </w:r>
          </w:p>
          <w:p w14:paraId="7DEFFD45" w14:textId="77777777" w:rsidR="007B095C" w:rsidRP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4B1AF83A" w14:textId="32BEEC8C" w:rsidR="007B095C" w:rsidRP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3  months</w:t>
            </w:r>
          </w:p>
        </w:tc>
        <w:tc>
          <w:tcPr>
            <w:tcW w:w="1843" w:type="dxa"/>
          </w:tcPr>
          <w:p w14:paraId="64B193FF" w14:textId="77777777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418" w:type="dxa"/>
          </w:tcPr>
          <w:p w14:paraId="6AAE2A92" w14:textId="0F4FECB6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participants (2 studies)</w:t>
            </w:r>
          </w:p>
        </w:tc>
        <w:tc>
          <w:tcPr>
            <w:tcW w:w="1417" w:type="dxa"/>
          </w:tcPr>
          <w:p w14:paraId="2E954348" w14:textId="7D8E1D80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32522">
              <w:rPr>
                <w:rFonts w:ascii="Palatino Linotype" w:hAnsi="Palatino Linotype"/>
                <w:sz w:val="20"/>
                <w:szCs w:val="20"/>
              </w:rPr>
              <w:t>27 ± 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76" w:type="dxa"/>
          </w:tcPr>
          <w:p w14:paraId="16E97065" w14:textId="108F935D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: 1 (95 %)</w:t>
            </w:r>
          </w:p>
        </w:tc>
        <w:tc>
          <w:tcPr>
            <w:tcW w:w="1417" w:type="dxa"/>
          </w:tcPr>
          <w:p w14:paraId="006891A5" w14:textId="35EABCFE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36A419CD" w14:textId="37ACEF64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  <w:vMerge/>
          </w:tcPr>
          <w:p w14:paraId="507EA37D" w14:textId="77777777" w:rsidR="007B095C" w:rsidRDefault="007B095C" w:rsidP="003D3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7B095C" w14:paraId="71CC98E9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49B1B3CE" w14:textId="2963C6D8" w:rsidR="007B095C" w:rsidRDefault="007B095C" w:rsidP="007B095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Svensson et al. (2024)</w:t>
            </w:r>
          </w:p>
        </w:tc>
        <w:tc>
          <w:tcPr>
            <w:tcW w:w="1699" w:type="dxa"/>
          </w:tcPr>
          <w:p w14:paraId="6C03A95F" w14:textId="77777777" w:rsidR="007B095C" w:rsidRP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Physical training</w:t>
            </w:r>
          </w:p>
          <w:p w14:paraId="38B5CB37" w14:textId="77777777" w:rsidR="007B095C" w:rsidRP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7774E242" w14:textId="5EB55954" w:rsidR="007B095C" w:rsidRP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3 months</w:t>
            </w:r>
          </w:p>
        </w:tc>
        <w:tc>
          <w:tcPr>
            <w:tcW w:w="1843" w:type="dxa"/>
          </w:tcPr>
          <w:p w14:paraId="5A1905D2" w14:textId="77777777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418" w:type="dxa"/>
          </w:tcPr>
          <w:p w14:paraId="017F25B7" w14:textId="6EB24BED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participants (1 study)</w:t>
            </w:r>
          </w:p>
        </w:tc>
        <w:tc>
          <w:tcPr>
            <w:tcW w:w="1417" w:type="dxa"/>
          </w:tcPr>
          <w:p w14:paraId="37A6BA2E" w14:textId="5945DB40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[</w:t>
            </w:r>
            <w:r w:rsidRPr="002F4A79">
              <w:rPr>
                <w:rFonts w:ascii="Palatino Linotype" w:hAnsi="Palatino Linotype"/>
                <w:sz w:val="20"/>
                <w:szCs w:val="20"/>
              </w:rPr>
              <w:t>21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2F4A79">
              <w:rPr>
                <w:rFonts w:ascii="Palatino Linotype" w:hAnsi="Palatino Linotype"/>
                <w:sz w:val="20"/>
                <w:szCs w:val="20"/>
              </w:rPr>
              <w:t>–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2F4A79">
              <w:rPr>
                <w:rFonts w:ascii="Palatino Linotype" w:hAnsi="Palatino Linotype"/>
                <w:sz w:val="20"/>
                <w:szCs w:val="20"/>
              </w:rPr>
              <w:t>55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years]</w:t>
            </w:r>
          </w:p>
        </w:tc>
        <w:tc>
          <w:tcPr>
            <w:tcW w:w="1276" w:type="dxa"/>
          </w:tcPr>
          <w:p w14:paraId="7A013BE5" w14:textId="0C5024E0" w:rsidR="007B095C" w:rsidRDefault="007B095C" w:rsidP="007B095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21 : 4 (84 %)</w:t>
            </w:r>
          </w:p>
        </w:tc>
        <w:tc>
          <w:tcPr>
            <w:tcW w:w="1417" w:type="dxa"/>
          </w:tcPr>
          <w:p w14:paraId="389D3CF8" w14:textId="770F1682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Sweden</w:t>
            </w:r>
          </w:p>
        </w:tc>
        <w:tc>
          <w:tcPr>
            <w:tcW w:w="1134" w:type="dxa"/>
          </w:tcPr>
          <w:p w14:paraId="05D68113" w14:textId="46A810E7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</w:tcPr>
          <w:p w14:paraId="11227419" w14:textId="2BD1603E" w:rsidR="007B095C" w:rsidRPr="002659A0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Adult patients participating in a three-month supervised physical exercise programme showed a significant decrease in symptom burden compared to 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lastRenderedPageBreak/>
              <w:t>baseline. Since this is a non-randomized trial with few participants and a certain risk of bias, level of certainty is very low. Physical exercise might have a positive impact on symptom burden in POTS</w:t>
            </w:r>
            <w:r w:rsidR="0073325E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E3273F">
              <w:rPr>
                <w:rFonts w:ascii="Palatino Linotype" w:hAnsi="Palatino Linotype"/>
                <w:sz w:val="20"/>
                <w:szCs w:val="20"/>
              </w:rPr>
              <w:t>and could be considered as a possible treatment option, as it is individually adaptable and easy to apply.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physical training as a therapeutic approach in ME/CFS.</w:t>
            </w:r>
          </w:p>
        </w:tc>
      </w:tr>
      <w:tr w:rsidR="007B095C" w14:paraId="70E5DDCF" w14:textId="77777777" w:rsidTr="003B3C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8" w:type="dxa"/>
          </w:tcPr>
          <w:p w14:paraId="5C585529" w14:textId="34301819" w:rsidR="007B095C" w:rsidRDefault="007B095C" w:rsidP="007B095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George et al. (2016)</w:t>
            </w:r>
          </w:p>
          <w:p w14:paraId="122033A9" w14:textId="77777777" w:rsidR="007B095C" w:rsidRDefault="007B095C" w:rsidP="007B095C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699" w:type="dxa"/>
          </w:tcPr>
          <w:p w14:paraId="2C7AE28B" w14:textId="77777777" w:rsidR="007B095C" w:rsidRP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Physical training</w:t>
            </w:r>
          </w:p>
          <w:p w14:paraId="51131B8F" w14:textId="2402E1C4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B095C">
              <w:rPr>
                <w:rFonts w:ascii="Palatino Linotype" w:hAnsi="Palatino Linotype"/>
                <w:b/>
                <w:bCs/>
                <w:sz w:val="20"/>
                <w:szCs w:val="20"/>
              </w:rPr>
              <w:t>3 months</w:t>
            </w:r>
          </w:p>
        </w:tc>
        <w:tc>
          <w:tcPr>
            <w:tcW w:w="1843" w:type="dxa"/>
          </w:tcPr>
          <w:p w14:paraId="6515252C" w14:textId="77777777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Quality of Life (SF-36)</w:t>
            </w:r>
          </w:p>
        </w:tc>
        <w:tc>
          <w:tcPr>
            <w:tcW w:w="1418" w:type="dxa"/>
          </w:tcPr>
          <w:p w14:paraId="6CBBFE7B" w14:textId="77777777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78 participants (1 study)</w:t>
            </w:r>
          </w:p>
        </w:tc>
        <w:tc>
          <w:tcPr>
            <w:tcW w:w="1417" w:type="dxa"/>
          </w:tcPr>
          <w:p w14:paraId="6E0CAAC8" w14:textId="2F79005A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77044">
              <w:rPr>
                <w:rFonts w:ascii="Palatino Linotype" w:hAnsi="Palatino Linotype"/>
                <w:sz w:val="20"/>
                <w:szCs w:val="20"/>
              </w:rPr>
              <w:t xml:space="preserve">26 </w:t>
            </w:r>
            <w:r>
              <w:rPr>
                <w:rFonts w:ascii="Palatino Linotype" w:hAnsi="Palatino Linotype"/>
                <w:sz w:val="20"/>
                <w:szCs w:val="20"/>
              </w:rPr>
              <w:t>±</w:t>
            </w:r>
            <w:r w:rsidRPr="00C77044">
              <w:rPr>
                <w:rFonts w:ascii="Palatino Linotype" w:hAnsi="Palatino Linotype"/>
                <w:sz w:val="20"/>
                <w:szCs w:val="20"/>
              </w:rPr>
              <w:t xml:space="preserve"> 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76" w:type="dxa"/>
          </w:tcPr>
          <w:p w14:paraId="38ADC1E4" w14:textId="2C19B4E0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1417" w:type="dxa"/>
          </w:tcPr>
          <w:p w14:paraId="3596751C" w14:textId="2CB57861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34" w:type="dxa"/>
          </w:tcPr>
          <w:p w14:paraId="031EA48E" w14:textId="0338D029" w:rsidR="007B095C" w:rsidRDefault="007B095C" w:rsidP="007B09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46" w:type="dxa"/>
          </w:tcPr>
          <w:p w14:paraId="499B9668" w14:textId="59E52D48" w:rsidR="007B095C" w:rsidRPr="002659A0" w:rsidRDefault="007B095C" w:rsidP="007B095C">
            <w:pPr>
              <w:tabs>
                <w:tab w:val="left" w:pos="106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Adult patients who completed a physical training programme over 3 months, showed a significant improvement in 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lastRenderedPageBreak/>
              <w:t>physical</w:t>
            </w:r>
            <w:r>
              <w:rPr>
                <w:rFonts w:ascii="Palatino Linotype" w:hAnsi="Palatino Linotype"/>
                <w:sz w:val="20"/>
                <w:szCs w:val="20"/>
              </w:rPr>
              <w:t>, mental and social components</w:t>
            </w:r>
            <w:r w:rsidRPr="008629BB">
              <w:rPr>
                <w:rFonts w:ascii="Palatino Linotype" w:hAnsi="Palatino Linotype"/>
                <w:sz w:val="20"/>
                <w:szCs w:val="20"/>
              </w:rPr>
              <w:t xml:space="preserve"> of life quality. Since this was a non-randomized trial with few participants, certainty of evidence is very low. Physical exercise might have a beneficial effect on quality of life in POTS</w:t>
            </w:r>
            <w:r w:rsidR="00E3273F">
              <w:rPr>
                <w:rFonts w:ascii="Palatino Linotype" w:hAnsi="Palatino Linotype"/>
                <w:sz w:val="20"/>
                <w:szCs w:val="20"/>
              </w:rPr>
              <w:t xml:space="preserve"> and could be considered as a possible treatment option, as it is individually adaptable and easy to apply.</w:t>
            </w:r>
            <w:r w:rsidR="000535EE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physical training as a therapeutic approach in ME/CFS.</w:t>
            </w:r>
          </w:p>
        </w:tc>
      </w:tr>
    </w:tbl>
    <w:p w14:paraId="5657A3CC" w14:textId="77777777" w:rsidR="00617AC7" w:rsidRDefault="00617AC7" w:rsidP="00617AC7">
      <w:pPr>
        <w:rPr>
          <w:rFonts w:ascii="Palatino Linotype" w:hAnsi="Palatino Linotype"/>
          <w:sz w:val="20"/>
          <w:szCs w:val="20"/>
        </w:rPr>
      </w:pPr>
    </w:p>
    <w:p w14:paraId="55988E18" w14:textId="77777777" w:rsidR="00EA2001" w:rsidRDefault="00EA2001" w:rsidP="00617AC7">
      <w:pPr>
        <w:rPr>
          <w:rFonts w:ascii="Palatino Linotype" w:hAnsi="Palatino Linotype"/>
          <w:sz w:val="20"/>
          <w:szCs w:val="20"/>
        </w:rPr>
      </w:pPr>
    </w:p>
    <w:p w14:paraId="29CA5A6E" w14:textId="46D2A415" w:rsidR="00EA2001" w:rsidRPr="00617AC7" w:rsidRDefault="00EA2001" w:rsidP="00617AC7">
      <w:pPr>
        <w:rPr>
          <w:rFonts w:ascii="Palatino Linotype" w:hAnsi="Palatino Linotype"/>
          <w:sz w:val="20"/>
          <w:szCs w:val="20"/>
        </w:rPr>
      </w:pPr>
    </w:p>
    <w:sectPr w:rsidR="00EA2001" w:rsidRPr="00617AC7" w:rsidSect="00D00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1206" w14:textId="77777777" w:rsidR="00F810AB" w:rsidRDefault="00F810AB" w:rsidP="001F0DCC">
      <w:pPr>
        <w:spacing w:after="0" w:line="240" w:lineRule="auto"/>
      </w:pPr>
      <w:r>
        <w:separator/>
      </w:r>
    </w:p>
  </w:endnote>
  <w:endnote w:type="continuationSeparator" w:id="0">
    <w:p w14:paraId="163B23B7" w14:textId="77777777" w:rsidR="00F810AB" w:rsidRDefault="00F810AB" w:rsidP="001F0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779E" w14:textId="77777777" w:rsidR="001F0DCC" w:rsidRDefault="001F0D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5F8C" w14:textId="34C36372" w:rsidR="001F0DCC" w:rsidRPr="00B90786" w:rsidRDefault="001F0DCC" w:rsidP="001F0DCC">
    <w:pPr>
      <w:pStyle w:val="MDPI13authornames"/>
      <w:jc w:val="both"/>
      <w:rPr>
        <w:rFonts w:ascii="Times New Roman" w:hAnsi="Times New Roman"/>
        <w:snapToGrid w:val="0"/>
        <w:sz w:val="18"/>
        <w:szCs w:val="18"/>
        <w:lang w:val="en-DE"/>
      </w:rPr>
    </w:pPr>
    <w:r w:rsidRPr="00B90786">
      <w:rPr>
        <w:rFonts w:ascii="Times New Roman" w:hAnsi="Times New Roman"/>
        <w:i/>
        <w:iCs/>
        <w:snapToGrid w:val="0"/>
        <w:sz w:val="18"/>
        <w:szCs w:val="18"/>
        <w:lang w:val="en-DE"/>
      </w:rPr>
      <w:t>Systematic Literature Review - Treatment of Postural Orthostatic Tachycardia Syndrome (POTS)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>; Clinical Autonom</w:t>
    </w:r>
    <w:r>
      <w:rPr>
        <w:rFonts w:ascii="Times New Roman" w:hAnsi="Times New Roman"/>
        <w:snapToGrid w:val="0"/>
        <w:sz w:val="18"/>
        <w:szCs w:val="18"/>
        <w:lang w:val="en-DE"/>
      </w:rPr>
      <w:t>ic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 xml:space="preserve"> Research; Authors: </w:t>
    </w:r>
    <w:r w:rsidRPr="00B90786">
      <w:rPr>
        <w:rFonts w:ascii="Times New Roman" w:hAnsi="Times New Roman"/>
        <w:sz w:val="18"/>
        <w:szCs w:val="18"/>
        <w:lang w:val="en-GB"/>
      </w:rPr>
      <w:t>Nicole Schiweck, Katharina Langer, Andrea Maier, Daniel Vilser, Juliane Spiegler; University Hospital Wuerzburg; Corresponding author: Juliane Spiegler (spiegler_j@ukw.de)</w:t>
    </w:r>
  </w:p>
  <w:p w14:paraId="027EC4AD" w14:textId="77777777" w:rsidR="001F0DCC" w:rsidRDefault="001F0DC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994D" w14:textId="77777777" w:rsidR="001F0DCC" w:rsidRDefault="001F0D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2312" w14:textId="77777777" w:rsidR="00F810AB" w:rsidRDefault="00F810AB" w:rsidP="001F0DCC">
      <w:pPr>
        <w:spacing w:after="0" w:line="240" w:lineRule="auto"/>
      </w:pPr>
      <w:r>
        <w:separator/>
      </w:r>
    </w:p>
  </w:footnote>
  <w:footnote w:type="continuationSeparator" w:id="0">
    <w:p w14:paraId="175D07E6" w14:textId="77777777" w:rsidR="00F810AB" w:rsidRDefault="00F810AB" w:rsidP="001F0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A2CA" w14:textId="77777777" w:rsidR="001F0DCC" w:rsidRDefault="001F0DC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436A" w14:textId="77777777" w:rsidR="001F0DCC" w:rsidRDefault="001F0DC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29C7" w14:textId="77777777" w:rsidR="001F0DCC" w:rsidRDefault="001F0D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6839"/>
    <w:multiLevelType w:val="hybridMultilevel"/>
    <w:tmpl w:val="EB4EAE0E"/>
    <w:lvl w:ilvl="0" w:tplc="5E508356">
      <w:start w:val="3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6AE77F23"/>
    <w:multiLevelType w:val="multilevel"/>
    <w:tmpl w:val="4DBEC4DA"/>
    <w:lvl w:ilvl="0"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053128">
    <w:abstractNumId w:val="0"/>
  </w:num>
  <w:num w:numId="2" w16cid:durableId="79864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A4"/>
    <w:rsid w:val="000150CD"/>
    <w:rsid w:val="0003541F"/>
    <w:rsid w:val="00045A0B"/>
    <w:rsid w:val="000535EE"/>
    <w:rsid w:val="000704BF"/>
    <w:rsid w:val="000809E4"/>
    <w:rsid w:val="000A6567"/>
    <w:rsid w:val="000C41FE"/>
    <w:rsid w:val="000C76FC"/>
    <w:rsid w:val="001077B4"/>
    <w:rsid w:val="001169CC"/>
    <w:rsid w:val="00144C80"/>
    <w:rsid w:val="0019766E"/>
    <w:rsid w:val="00197A4E"/>
    <w:rsid w:val="001A0C86"/>
    <w:rsid w:val="001B0DCB"/>
    <w:rsid w:val="001B4B53"/>
    <w:rsid w:val="001D4F3C"/>
    <w:rsid w:val="001E7428"/>
    <w:rsid w:val="001F0DCC"/>
    <w:rsid w:val="001F16BA"/>
    <w:rsid w:val="002020E0"/>
    <w:rsid w:val="00205CF4"/>
    <w:rsid w:val="0021338E"/>
    <w:rsid w:val="00213B69"/>
    <w:rsid w:val="00247620"/>
    <w:rsid w:val="002659A0"/>
    <w:rsid w:val="002745A3"/>
    <w:rsid w:val="00281748"/>
    <w:rsid w:val="002B3340"/>
    <w:rsid w:val="002C3F0F"/>
    <w:rsid w:val="002D319F"/>
    <w:rsid w:val="002F4A79"/>
    <w:rsid w:val="00317318"/>
    <w:rsid w:val="00320845"/>
    <w:rsid w:val="003262D6"/>
    <w:rsid w:val="00360297"/>
    <w:rsid w:val="00382C7C"/>
    <w:rsid w:val="00386FE7"/>
    <w:rsid w:val="0039656C"/>
    <w:rsid w:val="003B3CE2"/>
    <w:rsid w:val="003C22C8"/>
    <w:rsid w:val="003D3165"/>
    <w:rsid w:val="00430486"/>
    <w:rsid w:val="004324FB"/>
    <w:rsid w:val="00434647"/>
    <w:rsid w:val="00442CC2"/>
    <w:rsid w:val="00444258"/>
    <w:rsid w:val="00450252"/>
    <w:rsid w:val="00463144"/>
    <w:rsid w:val="00467F96"/>
    <w:rsid w:val="00477B55"/>
    <w:rsid w:val="004827A4"/>
    <w:rsid w:val="00485E59"/>
    <w:rsid w:val="004865AE"/>
    <w:rsid w:val="004A3E01"/>
    <w:rsid w:val="005074B5"/>
    <w:rsid w:val="00533851"/>
    <w:rsid w:val="0057700A"/>
    <w:rsid w:val="00592A75"/>
    <w:rsid w:val="00596DA0"/>
    <w:rsid w:val="005A564D"/>
    <w:rsid w:val="005A5C81"/>
    <w:rsid w:val="005B316B"/>
    <w:rsid w:val="005B422E"/>
    <w:rsid w:val="005C2D73"/>
    <w:rsid w:val="005D1B21"/>
    <w:rsid w:val="005D264E"/>
    <w:rsid w:val="00606689"/>
    <w:rsid w:val="00611B03"/>
    <w:rsid w:val="00617AC7"/>
    <w:rsid w:val="00625C78"/>
    <w:rsid w:val="00647A28"/>
    <w:rsid w:val="00652329"/>
    <w:rsid w:val="00655050"/>
    <w:rsid w:val="006565A2"/>
    <w:rsid w:val="00673291"/>
    <w:rsid w:val="0067618B"/>
    <w:rsid w:val="00686DB0"/>
    <w:rsid w:val="0069074A"/>
    <w:rsid w:val="00696C4D"/>
    <w:rsid w:val="006C24EF"/>
    <w:rsid w:val="006C2DAF"/>
    <w:rsid w:val="006D367A"/>
    <w:rsid w:val="006E4035"/>
    <w:rsid w:val="006F3C20"/>
    <w:rsid w:val="007047DB"/>
    <w:rsid w:val="0073325E"/>
    <w:rsid w:val="00785458"/>
    <w:rsid w:val="00791E0A"/>
    <w:rsid w:val="00793317"/>
    <w:rsid w:val="007A1BFA"/>
    <w:rsid w:val="007A2FEB"/>
    <w:rsid w:val="007B095C"/>
    <w:rsid w:val="0081623F"/>
    <w:rsid w:val="00830045"/>
    <w:rsid w:val="00844114"/>
    <w:rsid w:val="0084637B"/>
    <w:rsid w:val="00846D2E"/>
    <w:rsid w:val="008629BB"/>
    <w:rsid w:val="00866BEC"/>
    <w:rsid w:val="0088137B"/>
    <w:rsid w:val="00881A1B"/>
    <w:rsid w:val="0088447F"/>
    <w:rsid w:val="00895347"/>
    <w:rsid w:val="008B5149"/>
    <w:rsid w:val="008E6597"/>
    <w:rsid w:val="0092569B"/>
    <w:rsid w:val="00941C8D"/>
    <w:rsid w:val="009802A4"/>
    <w:rsid w:val="0098153E"/>
    <w:rsid w:val="009F4CC1"/>
    <w:rsid w:val="00A36EAA"/>
    <w:rsid w:val="00A40EDB"/>
    <w:rsid w:val="00A41CD6"/>
    <w:rsid w:val="00A4430A"/>
    <w:rsid w:val="00A47232"/>
    <w:rsid w:val="00A54233"/>
    <w:rsid w:val="00A545E8"/>
    <w:rsid w:val="00A7261B"/>
    <w:rsid w:val="00A73ECE"/>
    <w:rsid w:val="00A815FE"/>
    <w:rsid w:val="00A9365B"/>
    <w:rsid w:val="00AA449B"/>
    <w:rsid w:val="00AA5291"/>
    <w:rsid w:val="00AB6A48"/>
    <w:rsid w:val="00AD4E17"/>
    <w:rsid w:val="00AE32A4"/>
    <w:rsid w:val="00AF5038"/>
    <w:rsid w:val="00B01DC2"/>
    <w:rsid w:val="00B02C60"/>
    <w:rsid w:val="00B071B6"/>
    <w:rsid w:val="00B13A31"/>
    <w:rsid w:val="00B1735E"/>
    <w:rsid w:val="00B34A2B"/>
    <w:rsid w:val="00B4649F"/>
    <w:rsid w:val="00B533D6"/>
    <w:rsid w:val="00B57551"/>
    <w:rsid w:val="00B66F66"/>
    <w:rsid w:val="00BA5CCE"/>
    <w:rsid w:val="00BB640B"/>
    <w:rsid w:val="00BC577D"/>
    <w:rsid w:val="00BC7169"/>
    <w:rsid w:val="00BC7988"/>
    <w:rsid w:val="00C1281E"/>
    <w:rsid w:val="00C3403F"/>
    <w:rsid w:val="00C42DD0"/>
    <w:rsid w:val="00C65405"/>
    <w:rsid w:val="00C70956"/>
    <w:rsid w:val="00C77044"/>
    <w:rsid w:val="00CB53FF"/>
    <w:rsid w:val="00CB7260"/>
    <w:rsid w:val="00CE3DEC"/>
    <w:rsid w:val="00CF04C1"/>
    <w:rsid w:val="00CF375C"/>
    <w:rsid w:val="00CF6992"/>
    <w:rsid w:val="00D0047A"/>
    <w:rsid w:val="00D33133"/>
    <w:rsid w:val="00D37A86"/>
    <w:rsid w:val="00D41BBB"/>
    <w:rsid w:val="00D44369"/>
    <w:rsid w:val="00D544DC"/>
    <w:rsid w:val="00D6261A"/>
    <w:rsid w:val="00D74BB2"/>
    <w:rsid w:val="00D75533"/>
    <w:rsid w:val="00D80721"/>
    <w:rsid w:val="00D92EF6"/>
    <w:rsid w:val="00D937B3"/>
    <w:rsid w:val="00DB40B8"/>
    <w:rsid w:val="00DD1989"/>
    <w:rsid w:val="00DD7E66"/>
    <w:rsid w:val="00DE7DAE"/>
    <w:rsid w:val="00E017B7"/>
    <w:rsid w:val="00E178CA"/>
    <w:rsid w:val="00E32522"/>
    <w:rsid w:val="00E3273F"/>
    <w:rsid w:val="00E64100"/>
    <w:rsid w:val="00EA2001"/>
    <w:rsid w:val="00EC489A"/>
    <w:rsid w:val="00ED430D"/>
    <w:rsid w:val="00EF2FAA"/>
    <w:rsid w:val="00EF7883"/>
    <w:rsid w:val="00F25830"/>
    <w:rsid w:val="00F70A97"/>
    <w:rsid w:val="00F810AB"/>
    <w:rsid w:val="00F86A46"/>
    <w:rsid w:val="00FC12A8"/>
    <w:rsid w:val="00FC4C87"/>
    <w:rsid w:val="00FD23D0"/>
    <w:rsid w:val="00FE1CEA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DE55C"/>
  <w15:chartTrackingRefBased/>
  <w15:docId w15:val="{07C3FC4F-B92F-445B-B142-74A0D0B1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44DC"/>
  </w:style>
  <w:style w:type="paragraph" w:styleId="berschrift1">
    <w:name w:val="heading 1"/>
    <w:basedOn w:val="Standard"/>
    <w:next w:val="Standard"/>
    <w:link w:val="berschrift1Zchn"/>
    <w:uiPriority w:val="9"/>
    <w:qFormat/>
    <w:rsid w:val="00980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0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0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0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0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0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0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0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0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0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0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0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2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2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02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02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02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02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0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0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0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0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0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02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02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02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0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02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02A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C709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C709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C709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F0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0DCC"/>
  </w:style>
  <w:style w:type="paragraph" w:styleId="Fuzeile">
    <w:name w:val="footer"/>
    <w:basedOn w:val="Standard"/>
    <w:link w:val="FuzeileZchn"/>
    <w:uiPriority w:val="99"/>
    <w:unhideWhenUsed/>
    <w:rsid w:val="001F0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0DCC"/>
  </w:style>
  <w:style w:type="paragraph" w:customStyle="1" w:styleId="MDPI13authornames">
    <w:name w:val="MDPI_1.3_authornames"/>
    <w:next w:val="Standard"/>
    <w:qFormat/>
    <w:rsid w:val="001F0DC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2378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Schiweck</dc:creator>
  <cp:keywords/>
  <dc:description/>
  <cp:lastModifiedBy>Nicole Schiweck</cp:lastModifiedBy>
  <cp:revision>159</cp:revision>
  <cp:lastPrinted>2025-03-12T17:34:00Z</cp:lastPrinted>
  <dcterms:created xsi:type="dcterms:W3CDTF">2025-03-06T15:28:00Z</dcterms:created>
  <dcterms:modified xsi:type="dcterms:W3CDTF">2025-10-13T17:27:00Z</dcterms:modified>
</cp:coreProperties>
</file>