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8FE" w:rsidRPr="006F2080" w:rsidRDefault="003E62DB" w:rsidP="007738FE">
      <w:pPr>
        <w:pStyle w:val="Subtitle"/>
        <w:spacing w:after="120"/>
        <w:jc w:val="center"/>
        <w:rPr>
          <w:rFonts w:eastAsiaTheme="majorEastAsia" w:cs="Times New Roman"/>
          <w:b/>
          <w:color w:val="auto"/>
          <w:spacing w:val="-10"/>
          <w:kern w:val="28"/>
          <w:sz w:val="28"/>
          <w:szCs w:val="24"/>
          <w:lang w:val="en-US"/>
        </w:rPr>
      </w:pPr>
      <w:bookmarkStart w:id="0" w:name="_Ref182561560"/>
      <w:r w:rsidRPr="003E62DB">
        <w:rPr>
          <w:rFonts w:eastAsiaTheme="majorEastAsia" w:cs="Times New Roman"/>
          <w:b/>
          <w:color w:val="auto"/>
          <w:spacing w:val="-10"/>
          <w:kern w:val="28"/>
          <w:sz w:val="28"/>
          <w:szCs w:val="24"/>
          <w:lang w:val="en-US"/>
        </w:rPr>
        <w:t xml:space="preserve">Geocenter motion based on GNSS – </w:t>
      </w:r>
      <w:r w:rsidR="005C2351">
        <w:rPr>
          <w:rFonts w:eastAsiaTheme="majorEastAsia" w:cs="Times New Roman"/>
          <w:b/>
          <w:color w:val="auto"/>
          <w:spacing w:val="-10"/>
          <w:kern w:val="28"/>
          <w:sz w:val="28"/>
          <w:szCs w:val="24"/>
          <w:lang w:val="en-US"/>
        </w:rPr>
        <w:t>a comparison between</w:t>
      </w:r>
      <w:r w:rsidRPr="003E62DB">
        <w:rPr>
          <w:rFonts w:eastAsiaTheme="majorEastAsia" w:cs="Times New Roman"/>
          <w:b/>
          <w:color w:val="auto"/>
          <w:spacing w:val="-10"/>
          <w:kern w:val="28"/>
          <w:sz w:val="28"/>
          <w:szCs w:val="24"/>
          <w:lang w:val="en-US"/>
        </w:rPr>
        <w:t xml:space="preserve"> low-degree surface load coefficients and network shift parameters</w:t>
      </w:r>
    </w:p>
    <w:p w:rsidR="007738FE" w:rsidRPr="001A3F79" w:rsidRDefault="007738FE" w:rsidP="007738FE">
      <w:pPr>
        <w:pStyle w:val="Subtitle"/>
        <w:spacing w:after="120"/>
        <w:rPr>
          <w:rFonts w:cs="Times New Roman"/>
          <w:b/>
          <w:szCs w:val="24"/>
          <w:lang w:val="de-DE"/>
        </w:rPr>
      </w:pPr>
      <w:r>
        <w:rPr>
          <w:rFonts w:cs="Times New Roman"/>
          <w:szCs w:val="24"/>
          <w:lang w:val="de-DE"/>
        </w:rPr>
        <w:t>Adrian</w:t>
      </w:r>
      <w:r w:rsidRPr="001A3F79">
        <w:rPr>
          <w:rFonts w:cs="Times New Roman"/>
          <w:szCs w:val="24"/>
          <w:lang w:val="de-DE"/>
        </w:rPr>
        <w:t xml:space="preserve"> </w:t>
      </w:r>
      <w:r>
        <w:rPr>
          <w:rFonts w:cs="Times New Roman"/>
          <w:szCs w:val="24"/>
          <w:lang w:val="de-DE"/>
        </w:rPr>
        <w:t>Nowak</w:t>
      </w:r>
      <w:r w:rsidRPr="001A3F79">
        <w:rPr>
          <w:rFonts w:cs="Times New Roman"/>
          <w:szCs w:val="24"/>
          <w:vertAlign w:val="superscript"/>
          <w:lang w:val="de-DE"/>
        </w:rPr>
        <w:t>1</w:t>
      </w:r>
      <w:r w:rsidRPr="001A3F79">
        <w:rPr>
          <w:rFonts w:cs="Times New Roman"/>
          <w:szCs w:val="24"/>
          <w:lang w:val="de-DE"/>
        </w:rPr>
        <w:t xml:space="preserve"> (</w:t>
      </w:r>
      <w:r w:rsidRPr="00824272">
        <w:rPr>
          <w:rFonts w:cs="Times New Roman"/>
          <w:szCs w:val="24"/>
          <w:lang w:val="de-DE"/>
        </w:rPr>
        <w:t>0000-0003-2103-4245</w:t>
      </w:r>
      <w:r w:rsidRPr="001A3F79">
        <w:rPr>
          <w:rFonts w:cs="Times New Roman"/>
          <w:szCs w:val="24"/>
          <w:lang w:val="de-DE"/>
        </w:rPr>
        <w:t xml:space="preserve">), </w:t>
      </w:r>
      <w:r>
        <w:rPr>
          <w:rFonts w:cs="Times New Roman"/>
          <w:szCs w:val="24"/>
          <w:lang w:val="de-DE"/>
        </w:rPr>
        <w:t>Radosław Zajdel</w:t>
      </w:r>
      <w:r>
        <w:rPr>
          <w:rFonts w:cs="Times New Roman"/>
          <w:szCs w:val="24"/>
          <w:vertAlign w:val="superscript"/>
          <w:lang w:val="de-DE"/>
        </w:rPr>
        <w:t xml:space="preserve">2,1 </w:t>
      </w:r>
      <w:r w:rsidRPr="001A3F79">
        <w:rPr>
          <w:rFonts w:cs="Times New Roman"/>
          <w:szCs w:val="24"/>
          <w:lang w:val="de-DE"/>
        </w:rPr>
        <w:t>(</w:t>
      </w:r>
      <w:r w:rsidRPr="00824272">
        <w:rPr>
          <w:rFonts w:cs="Times New Roman"/>
          <w:szCs w:val="24"/>
          <w:lang w:val="de-DE"/>
        </w:rPr>
        <w:t>0000-0002-1634-388X</w:t>
      </w:r>
      <w:r w:rsidRPr="001A3F79">
        <w:rPr>
          <w:rFonts w:cs="Times New Roman"/>
          <w:szCs w:val="24"/>
          <w:lang w:val="de-DE"/>
        </w:rPr>
        <w:t xml:space="preserve">), </w:t>
      </w:r>
      <w:r>
        <w:rPr>
          <w:rFonts w:cs="Times New Roman"/>
          <w:szCs w:val="24"/>
          <w:lang w:val="de-DE"/>
        </w:rPr>
        <w:t>Krzysztof Sośnica</w:t>
      </w:r>
      <w:r w:rsidRPr="001A3F79">
        <w:rPr>
          <w:rFonts w:cs="Times New Roman"/>
          <w:szCs w:val="24"/>
          <w:vertAlign w:val="superscript"/>
          <w:lang w:val="de-DE"/>
        </w:rPr>
        <w:t>1</w:t>
      </w:r>
      <w:r w:rsidRPr="001A3F79">
        <w:rPr>
          <w:rFonts w:cs="Times New Roman"/>
          <w:szCs w:val="24"/>
          <w:lang w:val="de-DE"/>
        </w:rPr>
        <w:t xml:space="preserve"> (</w:t>
      </w:r>
      <w:r w:rsidRPr="00B411E2">
        <w:rPr>
          <w:rFonts w:cs="Times New Roman"/>
          <w:szCs w:val="24"/>
          <w:shd w:val="clear" w:color="auto" w:fill="FFFFFF"/>
          <w:lang w:val="de-DE"/>
        </w:rPr>
        <w:t>0000-0001-6181-1307</w:t>
      </w:r>
      <w:r w:rsidRPr="001A3F79">
        <w:rPr>
          <w:rFonts w:cs="Times New Roman"/>
          <w:szCs w:val="24"/>
          <w:shd w:val="clear" w:color="auto" w:fill="FFFFFF"/>
          <w:lang w:val="de-DE"/>
        </w:rPr>
        <w:t>)</w:t>
      </w:r>
    </w:p>
    <w:p w:rsidR="007738FE" w:rsidRDefault="007738FE" w:rsidP="007738FE">
      <w:pPr>
        <w:spacing w:after="120"/>
        <w:rPr>
          <w:rFonts w:cs="Times New Roman"/>
          <w:szCs w:val="24"/>
          <w:lang w:val="en-US"/>
        </w:rPr>
      </w:pPr>
      <w:r w:rsidRPr="00C33ACF">
        <w:rPr>
          <w:rFonts w:cs="Times New Roman"/>
          <w:szCs w:val="24"/>
          <w:vertAlign w:val="superscript"/>
          <w:lang w:val="en-US"/>
        </w:rPr>
        <w:t xml:space="preserve">1 </w:t>
      </w:r>
      <w:r w:rsidRPr="00C33ACF">
        <w:rPr>
          <w:rFonts w:cs="Times New Roman"/>
          <w:szCs w:val="24"/>
          <w:lang w:val="en-US"/>
        </w:rPr>
        <w:t>Wroc</w:t>
      </w:r>
      <w:r>
        <w:rPr>
          <w:rFonts w:cs="Times New Roman"/>
          <w:szCs w:val="24"/>
          <w:lang w:val="en-US"/>
        </w:rPr>
        <w:t>ł</w:t>
      </w:r>
      <w:r w:rsidRPr="00C33ACF">
        <w:rPr>
          <w:rFonts w:cs="Times New Roman"/>
          <w:szCs w:val="24"/>
          <w:lang w:val="en-US"/>
        </w:rPr>
        <w:t>aw University of Environmental and Life Sciences</w:t>
      </w:r>
      <w:r>
        <w:rPr>
          <w:rFonts w:cs="Times New Roman"/>
          <w:szCs w:val="24"/>
          <w:lang w:val="en-US"/>
        </w:rPr>
        <w:t>,</w:t>
      </w:r>
      <w:r w:rsidRPr="00C33ACF">
        <w:rPr>
          <w:rFonts w:cs="Times New Roman"/>
          <w:szCs w:val="24"/>
          <w:lang w:val="en-US"/>
        </w:rPr>
        <w:t xml:space="preserve"> Institute of Geodesy and Geoinformatics, Grunwaldzka </w:t>
      </w:r>
      <w:r>
        <w:rPr>
          <w:rFonts w:cs="Times New Roman"/>
          <w:szCs w:val="24"/>
          <w:lang w:val="en-US"/>
        </w:rPr>
        <w:t xml:space="preserve">Str. </w:t>
      </w:r>
      <w:r w:rsidRPr="00C33ACF">
        <w:rPr>
          <w:rFonts w:cs="Times New Roman"/>
          <w:szCs w:val="24"/>
          <w:lang w:val="en-US"/>
        </w:rPr>
        <w:t>53, 50-357 Wroc</w:t>
      </w:r>
      <w:r>
        <w:rPr>
          <w:rFonts w:cs="Times New Roman"/>
          <w:szCs w:val="24"/>
          <w:lang w:val="en-US"/>
        </w:rPr>
        <w:t>ł</w:t>
      </w:r>
      <w:r w:rsidRPr="00C33ACF">
        <w:rPr>
          <w:rFonts w:cs="Times New Roman"/>
          <w:szCs w:val="24"/>
          <w:lang w:val="en-US"/>
        </w:rPr>
        <w:t>aw, Poland</w:t>
      </w:r>
    </w:p>
    <w:p w:rsidR="007738FE" w:rsidRDefault="007738FE" w:rsidP="007738FE">
      <w:pPr>
        <w:spacing w:after="120"/>
        <w:rPr>
          <w:rFonts w:cs="Times New Roman"/>
          <w:szCs w:val="24"/>
          <w:lang w:val="en-US"/>
        </w:rPr>
      </w:pPr>
      <w:r>
        <w:rPr>
          <w:rFonts w:cs="Times New Roman"/>
          <w:szCs w:val="24"/>
          <w:vertAlign w:val="superscript"/>
          <w:lang w:val="en-US"/>
        </w:rPr>
        <w:t xml:space="preserve">2 </w:t>
      </w:r>
      <w:r w:rsidRPr="00510277">
        <w:rPr>
          <w:rFonts w:cs="Times New Roman"/>
          <w:szCs w:val="24"/>
          <w:lang w:val="en-US"/>
        </w:rPr>
        <w:t>Research Institute of Geodesy, Topography and Cartography, Geodetic Observatory Pecný, Ústecká 98, 250 66 Zdiby, Czechia</w:t>
      </w:r>
    </w:p>
    <w:p w:rsidR="007738FE" w:rsidRDefault="007738FE" w:rsidP="00463298">
      <w:pPr>
        <w:spacing w:after="120"/>
        <w:rPr>
          <w:rStyle w:val="Hyperlink"/>
          <w:rFonts w:cs="Times New Roman"/>
          <w:szCs w:val="24"/>
          <w:lang w:val="en-US"/>
        </w:rPr>
      </w:pPr>
      <w:r w:rsidRPr="00C33ACF">
        <w:rPr>
          <w:rFonts w:cs="Times New Roman"/>
          <w:szCs w:val="24"/>
          <w:lang w:val="en-US"/>
        </w:rPr>
        <w:t xml:space="preserve">e-mail: </w:t>
      </w:r>
      <w:hyperlink r:id="rId6" w:history="1">
        <w:r w:rsidRPr="003C201E">
          <w:rPr>
            <w:rStyle w:val="Hyperlink"/>
            <w:rFonts w:cs="Times New Roman"/>
            <w:szCs w:val="24"/>
          </w:rPr>
          <w:t>adrian</w:t>
        </w:r>
        <w:r w:rsidRPr="003C201E">
          <w:rPr>
            <w:rStyle w:val="Hyperlink"/>
            <w:rFonts w:cs="Times New Roman"/>
            <w:szCs w:val="24"/>
            <w:lang w:val="en-US"/>
          </w:rPr>
          <w:t>.nowak@upwr.edu.pl</w:t>
        </w:r>
      </w:hyperlink>
    </w:p>
    <w:p w:rsidR="00224835" w:rsidRDefault="00224835" w:rsidP="00463298">
      <w:pPr>
        <w:spacing w:after="120"/>
        <w:rPr>
          <w:rFonts w:cs="Times New Roman"/>
          <w:szCs w:val="24"/>
          <w:lang w:val="en-US"/>
        </w:rPr>
      </w:pPr>
    </w:p>
    <w:p w:rsidR="00224835" w:rsidRPr="00B60AEE" w:rsidRDefault="00224835" w:rsidP="00224835">
      <w:pPr>
        <w:spacing w:after="120" w:line="240" w:lineRule="auto"/>
        <w:rPr>
          <w:rFonts w:cs="Times New Roman"/>
          <w:b/>
          <w:szCs w:val="24"/>
          <w:lang w:val="en-US"/>
        </w:rPr>
      </w:pPr>
      <w:r w:rsidRPr="00B60AEE">
        <w:rPr>
          <w:rFonts w:cs="Times New Roman"/>
          <w:b/>
          <w:szCs w:val="24"/>
          <w:lang w:val="en-US"/>
        </w:rPr>
        <w:t>Contents of this file:</w:t>
      </w:r>
    </w:p>
    <w:p w:rsidR="00224835" w:rsidRDefault="00224835" w:rsidP="00B60AEE">
      <w:pPr>
        <w:pStyle w:val="ListParagraph"/>
        <w:numPr>
          <w:ilvl w:val="0"/>
          <w:numId w:val="1"/>
        </w:numPr>
        <w:spacing w:after="120" w:line="276" w:lineRule="auto"/>
        <w:rPr>
          <w:rFonts w:cs="Times New Roman"/>
          <w:szCs w:val="24"/>
          <w:lang w:val="en-US"/>
        </w:rPr>
      </w:pPr>
      <w:r w:rsidRPr="00BD2FC9">
        <w:rPr>
          <w:rFonts w:cs="Times New Roman"/>
          <w:szCs w:val="24"/>
          <w:lang w:val="en-US"/>
        </w:rPr>
        <w:t>Introduction</w:t>
      </w:r>
    </w:p>
    <w:p w:rsidR="00BD3FA0" w:rsidRPr="00BD3FA0" w:rsidRDefault="00BD3FA0" w:rsidP="00BD3FA0">
      <w:pPr>
        <w:pStyle w:val="ListParagraph"/>
        <w:numPr>
          <w:ilvl w:val="0"/>
          <w:numId w:val="1"/>
        </w:numPr>
        <w:spacing w:after="120" w:line="276" w:lineRule="auto"/>
        <w:rPr>
          <w:rFonts w:cs="Times New Roman"/>
          <w:szCs w:val="24"/>
          <w:lang w:val="en-US"/>
        </w:rPr>
      </w:pPr>
      <w:r w:rsidRPr="00BD2FC9">
        <w:rPr>
          <w:rFonts w:cs="Times New Roman"/>
          <w:szCs w:val="24"/>
          <w:lang w:val="en-US"/>
        </w:rPr>
        <w:t>Text S</w:t>
      </w:r>
      <w:r>
        <w:rPr>
          <w:rFonts w:cs="Times New Roman"/>
          <w:szCs w:val="24"/>
          <w:lang w:val="en-US"/>
        </w:rPr>
        <w:t>1</w:t>
      </w:r>
      <w:r w:rsidRPr="00BD2FC9">
        <w:rPr>
          <w:rFonts w:cs="Times New Roman"/>
          <w:szCs w:val="24"/>
          <w:lang w:val="en-US"/>
        </w:rPr>
        <w:t>, Figure S</w:t>
      </w:r>
      <w:r>
        <w:rPr>
          <w:rFonts w:cs="Times New Roman"/>
          <w:szCs w:val="24"/>
          <w:lang w:val="en-US"/>
        </w:rPr>
        <w:t>1</w:t>
      </w:r>
    </w:p>
    <w:p w:rsidR="00224835" w:rsidRPr="00BD2FC9" w:rsidRDefault="00224835" w:rsidP="00B60AEE">
      <w:pPr>
        <w:pStyle w:val="ListParagraph"/>
        <w:numPr>
          <w:ilvl w:val="0"/>
          <w:numId w:val="1"/>
        </w:numPr>
        <w:spacing w:after="120" w:line="276" w:lineRule="auto"/>
        <w:rPr>
          <w:rFonts w:cs="Times New Roman"/>
          <w:szCs w:val="24"/>
          <w:lang w:val="en-US"/>
        </w:rPr>
      </w:pPr>
      <w:r w:rsidRPr="00BD2FC9">
        <w:rPr>
          <w:rFonts w:cs="Times New Roman"/>
          <w:szCs w:val="24"/>
          <w:lang w:val="en-US"/>
        </w:rPr>
        <w:t>Table S</w:t>
      </w:r>
      <w:r w:rsidR="00BD3FA0">
        <w:rPr>
          <w:rFonts w:cs="Times New Roman"/>
          <w:szCs w:val="24"/>
          <w:lang w:val="en-US"/>
        </w:rPr>
        <w:t>1</w:t>
      </w:r>
    </w:p>
    <w:p w:rsidR="00224835" w:rsidRPr="00BD2FC9" w:rsidRDefault="00224835" w:rsidP="00B60AEE">
      <w:pPr>
        <w:pStyle w:val="ListParagraph"/>
        <w:numPr>
          <w:ilvl w:val="0"/>
          <w:numId w:val="1"/>
        </w:numPr>
        <w:spacing w:after="120" w:line="276" w:lineRule="auto"/>
        <w:rPr>
          <w:rFonts w:cs="Times New Roman"/>
          <w:szCs w:val="24"/>
          <w:lang w:val="en-US"/>
        </w:rPr>
      </w:pPr>
      <w:r w:rsidRPr="00BD2FC9">
        <w:rPr>
          <w:rFonts w:cs="Times New Roman"/>
          <w:szCs w:val="24"/>
          <w:lang w:val="en-US"/>
        </w:rPr>
        <w:t>Text S</w:t>
      </w:r>
      <w:r w:rsidR="00BD3FA0">
        <w:rPr>
          <w:rFonts w:cs="Times New Roman"/>
          <w:szCs w:val="24"/>
          <w:lang w:val="en-US"/>
        </w:rPr>
        <w:t>2</w:t>
      </w:r>
      <w:r w:rsidRPr="00BD2FC9">
        <w:rPr>
          <w:rFonts w:cs="Times New Roman"/>
          <w:szCs w:val="24"/>
          <w:lang w:val="en-US"/>
        </w:rPr>
        <w:t>, Figure S</w:t>
      </w:r>
      <w:r w:rsidR="00BD3FA0">
        <w:rPr>
          <w:rFonts w:cs="Times New Roman"/>
          <w:szCs w:val="24"/>
          <w:lang w:val="en-US"/>
        </w:rPr>
        <w:t>2</w:t>
      </w:r>
    </w:p>
    <w:p w:rsidR="00224835" w:rsidRPr="00BD2FC9" w:rsidRDefault="00224835" w:rsidP="00B60AEE">
      <w:pPr>
        <w:pStyle w:val="ListParagraph"/>
        <w:numPr>
          <w:ilvl w:val="0"/>
          <w:numId w:val="1"/>
        </w:numPr>
        <w:spacing w:after="120" w:line="276" w:lineRule="auto"/>
        <w:rPr>
          <w:rFonts w:cs="Times New Roman"/>
          <w:szCs w:val="24"/>
          <w:lang w:val="en-US"/>
        </w:rPr>
      </w:pPr>
      <w:r w:rsidRPr="00BD2FC9">
        <w:rPr>
          <w:rFonts w:cs="Times New Roman"/>
          <w:szCs w:val="24"/>
          <w:lang w:val="en-US"/>
        </w:rPr>
        <w:t>References</w:t>
      </w:r>
    </w:p>
    <w:p w:rsidR="00224835" w:rsidRDefault="00224835"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Default="00BD2FC9" w:rsidP="00224835">
      <w:pPr>
        <w:spacing w:after="120"/>
        <w:rPr>
          <w:rFonts w:cs="Times New Roman"/>
          <w:szCs w:val="24"/>
          <w:lang w:val="en-US"/>
        </w:rPr>
      </w:pPr>
    </w:p>
    <w:p w:rsidR="00BD2FC9" w:rsidRPr="00BD2FC9" w:rsidRDefault="00BD2FC9" w:rsidP="00BD2FC9">
      <w:pPr>
        <w:spacing w:after="120"/>
        <w:rPr>
          <w:rFonts w:cs="Times New Roman"/>
          <w:b/>
          <w:szCs w:val="24"/>
          <w:lang w:val="en-US"/>
        </w:rPr>
      </w:pPr>
      <w:r w:rsidRPr="00BD2FC9">
        <w:rPr>
          <w:rFonts w:cs="Times New Roman"/>
          <w:b/>
          <w:szCs w:val="24"/>
          <w:lang w:val="en-US"/>
        </w:rPr>
        <w:lastRenderedPageBreak/>
        <w:t>Introduction</w:t>
      </w:r>
      <w:bookmarkStart w:id="1" w:name="_GoBack"/>
      <w:bookmarkEnd w:id="1"/>
    </w:p>
    <w:p w:rsidR="00BD2FC9" w:rsidRPr="000E4019" w:rsidRDefault="00BD2FC9" w:rsidP="00BD2FC9">
      <w:pPr>
        <w:spacing w:after="120"/>
        <w:rPr>
          <w:rFonts w:cs="Times New Roman"/>
          <w:szCs w:val="24"/>
          <w:lang w:val="en-US"/>
        </w:rPr>
      </w:pPr>
      <w:r w:rsidRPr="000E4019">
        <w:rPr>
          <w:rFonts w:cs="Times New Roman"/>
          <w:szCs w:val="24"/>
          <w:lang w:val="en-US"/>
        </w:rPr>
        <w:t>Supp</w:t>
      </w:r>
      <w:r w:rsidR="00B60AEE" w:rsidRPr="000E4019">
        <w:rPr>
          <w:rFonts w:cs="Times New Roman"/>
          <w:szCs w:val="24"/>
          <w:lang w:val="en-US"/>
        </w:rPr>
        <w:t>lementary</w:t>
      </w:r>
      <w:r w:rsidRPr="000E4019">
        <w:rPr>
          <w:rFonts w:cs="Times New Roman"/>
          <w:szCs w:val="24"/>
          <w:lang w:val="en-US"/>
        </w:rPr>
        <w:t xml:space="preserve"> information provides additional results of the analyses that support the conclusions and justify the choices made in the main text of the article. The nomenclature and references in the supporting information are consistent with those in the main article.</w:t>
      </w:r>
    </w:p>
    <w:p w:rsidR="00BD2FC9" w:rsidRDefault="00BD3FA0" w:rsidP="00BD2FC9">
      <w:pPr>
        <w:spacing w:after="120"/>
        <w:rPr>
          <w:rFonts w:cs="Times New Roman"/>
          <w:szCs w:val="24"/>
          <w:lang w:val="en-US"/>
        </w:rPr>
      </w:pPr>
      <w:r w:rsidRPr="00E210CE">
        <w:rPr>
          <w:rFonts w:cs="Times New Roman"/>
          <w:b/>
          <w:szCs w:val="24"/>
          <w:lang w:val="en-US"/>
        </w:rPr>
        <w:fldChar w:fldCharType="begin"/>
      </w:r>
      <w:r w:rsidRPr="00E210CE">
        <w:rPr>
          <w:rFonts w:cs="Times New Roman"/>
          <w:b/>
          <w:szCs w:val="24"/>
          <w:lang w:val="en-US"/>
        </w:rPr>
        <w:instrText xml:space="preserve"> REF _Ref208930569 \h </w:instrText>
      </w:r>
      <w:r>
        <w:rPr>
          <w:rFonts w:cs="Times New Roman"/>
          <w:b/>
          <w:szCs w:val="24"/>
          <w:lang w:val="en-US"/>
        </w:rPr>
        <w:instrText xml:space="preserve"> \* MERGEFORMAT </w:instrText>
      </w:r>
      <w:r w:rsidRPr="00E210CE">
        <w:rPr>
          <w:rFonts w:cs="Times New Roman"/>
          <w:b/>
          <w:szCs w:val="24"/>
          <w:lang w:val="en-US"/>
        </w:rPr>
      </w:r>
      <w:r w:rsidRPr="00E210CE">
        <w:rPr>
          <w:rFonts w:cs="Times New Roman"/>
          <w:b/>
          <w:szCs w:val="24"/>
          <w:lang w:val="en-US"/>
        </w:rPr>
        <w:fldChar w:fldCharType="separate"/>
      </w:r>
      <w:r w:rsidRPr="00BD3FA0">
        <w:rPr>
          <w:b/>
        </w:rPr>
        <w:t>Text S1</w:t>
      </w:r>
      <w:r w:rsidRPr="00E210CE">
        <w:rPr>
          <w:rFonts w:cs="Times New Roman"/>
          <w:b/>
          <w:szCs w:val="24"/>
          <w:lang w:val="en-US"/>
        </w:rPr>
        <w:fldChar w:fldCharType="end"/>
      </w:r>
      <w:r>
        <w:rPr>
          <w:rFonts w:cs="Times New Roman"/>
          <w:b/>
          <w:szCs w:val="24"/>
          <w:lang w:val="en-US"/>
        </w:rPr>
        <w:t xml:space="preserve"> </w:t>
      </w:r>
      <w:r w:rsidRPr="00FF056F">
        <w:rPr>
          <w:rFonts w:cs="Times New Roman"/>
          <w:szCs w:val="24"/>
          <w:lang w:val="en-US"/>
        </w:rPr>
        <w:t xml:space="preserve">and </w:t>
      </w:r>
      <w:r>
        <w:rPr>
          <w:rFonts w:cs="Times New Roman"/>
          <w:szCs w:val="24"/>
          <w:lang w:val="en-US"/>
        </w:rPr>
        <w:fldChar w:fldCharType="begin"/>
      </w:r>
      <w:r>
        <w:rPr>
          <w:rFonts w:cs="Times New Roman"/>
          <w:szCs w:val="24"/>
          <w:lang w:val="en-US"/>
        </w:rPr>
        <w:instrText xml:space="preserve"> REF _Ref189143372 \h </w:instrText>
      </w:r>
      <w:r>
        <w:rPr>
          <w:rFonts w:cs="Times New Roman"/>
          <w:szCs w:val="24"/>
          <w:lang w:val="en-US"/>
        </w:rPr>
      </w:r>
      <w:r>
        <w:rPr>
          <w:rFonts w:cs="Times New Roman"/>
          <w:szCs w:val="24"/>
          <w:lang w:val="en-US"/>
        </w:rPr>
        <w:fldChar w:fldCharType="separate"/>
      </w:r>
      <w:r w:rsidRPr="000851B1">
        <w:rPr>
          <w:b/>
        </w:rPr>
        <w:t xml:space="preserve">Figure </w:t>
      </w:r>
      <w:r>
        <w:rPr>
          <w:b/>
        </w:rPr>
        <w:t>S</w:t>
      </w:r>
      <w:r>
        <w:rPr>
          <w:b/>
          <w:noProof/>
        </w:rPr>
        <w:t>1</w:t>
      </w:r>
      <w:r>
        <w:rPr>
          <w:rFonts w:cs="Times New Roman"/>
          <w:szCs w:val="24"/>
          <w:lang w:val="en-US"/>
        </w:rPr>
        <w:fldChar w:fldCharType="end"/>
      </w:r>
      <w:r w:rsidRPr="00FF056F">
        <w:rPr>
          <w:rFonts w:cs="Times New Roman"/>
          <w:szCs w:val="24"/>
          <w:lang w:val="en-US"/>
        </w:rPr>
        <w:t xml:space="preserve"> contain explanations related to </w:t>
      </w:r>
      <w:r>
        <w:rPr>
          <w:rFonts w:cs="Times New Roman"/>
          <w:szCs w:val="24"/>
          <w:lang w:val="en-US"/>
        </w:rPr>
        <w:t xml:space="preserve">the drifts of the GNSS-based geocenter solutions discussed in the article. </w:t>
      </w:r>
      <w:r w:rsidR="00BD2FC9" w:rsidRPr="00FF056F">
        <w:rPr>
          <w:rFonts w:cs="Times New Roman"/>
          <w:szCs w:val="24"/>
          <w:lang w:val="en-US"/>
        </w:rPr>
        <w:t xml:space="preserve">In </w:t>
      </w:r>
      <w:r w:rsidR="00E210CE">
        <w:rPr>
          <w:rFonts w:cs="Times New Roman"/>
          <w:szCs w:val="24"/>
          <w:lang w:val="en-US"/>
        </w:rPr>
        <w:fldChar w:fldCharType="begin"/>
      </w:r>
      <w:r w:rsidR="00E210CE">
        <w:rPr>
          <w:rFonts w:cs="Times New Roman"/>
          <w:szCs w:val="24"/>
          <w:lang w:val="en-US"/>
        </w:rPr>
        <w:instrText xml:space="preserve"> REF _Ref208930236 \h </w:instrText>
      </w:r>
      <w:r w:rsidR="00E210CE">
        <w:rPr>
          <w:rFonts w:cs="Times New Roman"/>
          <w:szCs w:val="24"/>
          <w:lang w:val="en-US"/>
        </w:rPr>
      </w:r>
      <w:r w:rsidR="00E210CE">
        <w:rPr>
          <w:rFonts w:cs="Times New Roman"/>
          <w:szCs w:val="24"/>
          <w:lang w:val="en-US"/>
        </w:rPr>
        <w:fldChar w:fldCharType="separate"/>
      </w:r>
      <w:r w:rsidRPr="003A2AB8">
        <w:rPr>
          <w:b/>
        </w:rPr>
        <w:t xml:space="preserve">Table </w:t>
      </w:r>
      <w:r>
        <w:rPr>
          <w:b/>
        </w:rPr>
        <w:t>S</w:t>
      </w:r>
      <w:r>
        <w:rPr>
          <w:b/>
          <w:noProof/>
        </w:rPr>
        <w:t>1</w:t>
      </w:r>
      <w:r w:rsidR="00E210CE">
        <w:rPr>
          <w:rFonts w:cs="Times New Roman"/>
          <w:szCs w:val="24"/>
          <w:lang w:val="en-US"/>
        </w:rPr>
        <w:fldChar w:fldCharType="end"/>
      </w:r>
      <w:r w:rsidR="00BD2FC9" w:rsidRPr="00FF056F">
        <w:rPr>
          <w:rFonts w:cs="Times New Roman"/>
          <w:szCs w:val="24"/>
          <w:lang w:val="en-US"/>
        </w:rPr>
        <w:t xml:space="preserve">, </w:t>
      </w:r>
      <w:r w:rsidR="00183C3A" w:rsidRPr="00FF056F">
        <w:rPr>
          <w:rFonts w:cs="Times New Roman"/>
          <w:szCs w:val="24"/>
          <w:lang w:val="en-US"/>
        </w:rPr>
        <w:t>the</w:t>
      </w:r>
      <w:r w:rsidR="00FF056F" w:rsidRPr="00FF056F">
        <w:rPr>
          <w:rFonts w:cs="Times New Roman"/>
          <w:szCs w:val="24"/>
          <w:lang w:val="en-US"/>
        </w:rPr>
        <w:t xml:space="preserve"> annual and semi-annual amplitudes and phases of the estimated geocenter variations </w:t>
      </w:r>
      <w:r w:rsidR="00183C3A" w:rsidRPr="00FF056F">
        <w:rPr>
          <w:rFonts w:cs="Times New Roman"/>
          <w:szCs w:val="24"/>
          <w:lang w:val="en-US"/>
        </w:rPr>
        <w:t>for the individual GNSS-based</w:t>
      </w:r>
      <w:r w:rsidR="00FF056F" w:rsidRPr="00FF056F">
        <w:rPr>
          <w:rFonts w:cs="Times New Roman"/>
          <w:szCs w:val="24"/>
          <w:lang w:val="en-US"/>
        </w:rPr>
        <w:t xml:space="preserve"> and SLR</w:t>
      </w:r>
      <w:r w:rsidR="00183C3A" w:rsidRPr="00FF056F">
        <w:rPr>
          <w:rFonts w:cs="Times New Roman"/>
          <w:szCs w:val="24"/>
          <w:lang w:val="en-US"/>
        </w:rPr>
        <w:t xml:space="preserve"> solutions are explored</w:t>
      </w:r>
      <w:r w:rsidR="00BD2FC9" w:rsidRPr="00FF056F">
        <w:rPr>
          <w:rFonts w:cs="Times New Roman"/>
          <w:szCs w:val="24"/>
          <w:lang w:val="en-US"/>
        </w:rPr>
        <w:t>.</w:t>
      </w:r>
      <w:r w:rsidR="00E210CE">
        <w:rPr>
          <w:rFonts w:cs="Times New Roman"/>
          <w:szCs w:val="24"/>
          <w:lang w:val="en-US"/>
        </w:rPr>
        <w:t xml:space="preserve"> </w:t>
      </w:r>
      <w:r w:rsidR="00E210CE" w:rsidRPr="00E210CE">
        <w:rPr>
          <w:rFonts w:cs="Times New Roman"/>
          <w:b/>
          <w:szCs w:val="24"/>
          <w:lang w:val="en-US"/>
        </w:rPr>
        <w:fldChar w:fldCharType="begin"/>
      </w:r>
      <w:r w:rsidR="00E210CE" w:rsidRPr="00E210CE">
        <w:rPr>
          <w:rFonts w:cs="Times New Roman"/>
          <w:b/>
          <w:szCs w:val="24"/>
          <w:lang w:val="en-US"/>
        </w:rPr>
        <w:instrText xml:space="preserve"> REF _Ref208930299 \h </w:instrText>
      </w:r>
      <w:r w:rsidR="00E210CE">
        <w:rPr>
          <w:rFonts w:cs="Times New Roman"/>
          <w:b/>
          <w:szCs w:val="24"/>
          <w:lang w:val="en-US"/>
        </w:rPr>
        <w:instrText xml:space="preserve"> \* MERGEFORMAT </w:instrText>
      </w:r>
      <w:r w:rsidR="00E210CE" w:rsidRPr="00E210CE">
        <w:rPr>
          <w:rFonts w:cs="Times New Roman"/>
          <w:b/>
          <w:szCs w:val="24"/>
          <w:lang w:val="en-US"/>
        </w:rPr>
      </w:r>
      <w:r w:rsidR="00E210CE" w:rsidRPr="00E210CE">
        <w:rPr>
          <w:rFonts w:cs="Times New Roman"/>
          <w:b/>
          <w:szCs w:val="24"/>
          <w:lang w:val="en-US"/>
        </w:rPr>
        <w:fldChar w:fldCharType="separate"/>
      </w:r>
      <w:r w:rsidRPr="00BD3FA0">
        <w:rPr>
          <w:b/>
        </w:rPr>
        <w:t>Text S2</w:t>
      </w:r>
      <w:r w:rsidR="00E210CE" w:rsidRPr="00E210CE">
        <w:rPr>
          <w:rFonts w:cs="Times New Roman"/>
          <w:b/>
          <w:szCs w:val="24"/>
          <w:lang w:val="en-US"/>
        </w:rPr>
        <w:fldChar w:fldCharType="end"/>
      </w:r>
      <w:r w:rsidR="00FF056F">
        <w:rPr>
          <w:rFonts w:cs="Times New Roman"/>
          <w:szCs w:val="24"/>
          <w:lang w:val="en-US"/>
        </w:rPr>
        <w:t xml:space="preserve"> </w:t>
      </w:r>
      <w:r w:rsidR="00183C3A" w:rsidRPr="00183C3A">
        <w:rPr>
          <w:rFonts w:cs="Times New Roman"/>
          <w:szCs w:val="24"/>
          <w:lang w:val="en-US"/>
        </w:rPr>
        <w:t xml:space="preserve">and </w:t>
      </w:r>
      <w:r w:rsidR="00E210CE">
        <w:rPr>
          <w:rFonts w:cs="Times New Roman"/>
          <w:szCs w:val="24"/>
          <w:lang w:val="en-US"/>
        </w:rPr>
        <w:fldChar w:fldCharType="begin"/>
      </w:r>
      <w:r w:rsidR="00E210CE">
        <w:rPr>
          <w:rFonts w:cs="Times New Roman"/>
          <w:szCs w:val="24"/>
          <w:lang w:val="en-US"/>
        </w:rPr>
        <w:instrText xml:space="preserve"> REF _Ref185932528 \h </w:instrText>
      </w:r>
      <w:r w:rsidR="00E210CE">
        <w:rPr>
          <w:rFonts w:cs="Times New Roman"/>
          <w:szCs w:val="24"/>
          <w:lang w:val="en-US"/>
        </w:rPr>
      </w:r>
      <w:r w:rsidR="00E210CE">
        <w:rPr>
          <w:rFonts w:cs="Times New Roman"/>
          <w:szCs w:val="24"/>
          <w:lang w:val="en-US"/>
        </w:rPr>
        <w:fldChar w:fldCharType="separate"/>
      </w:r>
      <w:r w:rsidRPr="00FC04C0">
        <w:rPr>
          <w:b/>
        </w:rPr>
        <w:t xml:space="preserve">Figure </w:t>
      </w:r>
      <w:r>
        <w:rPr>
          <w:b/>
        </w:rPr>
        <w:t>S</w:t>
      </w:r>
      <w:r>
        <w:rPr>
          <w:b/>
          <w:noProof/>
        </w:rPr>
        <w:t>2</w:t>
      </w:r>
      <w:r w:rsidR="00E210CE">
        <w:rPr>
          <w:rFonts w:cs="Times New Roman"/>
          <w:szCs w:val="24"/>
          <w:lang w:val="en-US"/>
        </w:rPr>
        <w:fldChar w:fldCharType="end"/>
      </w:r>
      <w:r w:rsidR="00BD2FC9" w:rsidRPr="00183C3A">
        <w:rPr>
          <w:rFonts w:cs="Times New Roman"/>
          <w:szCs w:val="24"/>
          <w:lang w:val="en-US"/>
        </w:rPr>
        <w:t xml:space="preserve"> </w:t>
      </w:r>
      <w:r w:rsidR="00183C3A" w:rsidRPr="00183C3A">
        <w:rPr>
          <w:rFonts w:cs="Times New Roman"/>
          <w:szCs w:val="24"/>
          <w:lang w:val="en-US"/>
        </w:rPr>
        <w:t xml:space="preserve">provide a complementary analysis of the seasonal component for all components of geocenter motion and all test cases, along with </w:t>
      </w:r>
      <w:r w:rsidR="00183C3A">
        <w:rPr>
          <w:rFonts w:cs="Times New Roman"/>
          <w:szCs w:val="24"/>
          <w:lang w:val="en-US"/>
        </w:rPr>
        <w:t xml:space="preserve">the </w:t>
      </w:r>
      <w:r w:rsidR="00183C3A" w:rsidRPr="00183C3A">
        <w:rPr>
          <w:rFonts w:cs="Times New Roman"/>
          <w:szCs w:val="24"/>
          <w:lang w:val="en-US"/>
        </w:rPr>
        <w:t xml:space="preserve">reference SLR solution for clarity. The analysis shows the percentage of the total variance in </w:t>
      </w:r>
      <w:r w:rsidR="00183C3A">
        <w:rPr>
          <w:rFonts w:cs="Times New Roman"/>
          <w:szCs w:val="24"/>
          <w:lang w:val="en-US"/>
        </w:rPr>
        <w:t xml:space="preserve">the </w:t>
      </w:r>
      <w:r w:rsidR="00183C3A" w:rsidRPr="00183C3A">
        <w:rPr>
          <w:rFonts w:cs="Times New Roman"/>
          <w:szCs w:val="24"/>
          <w:lang w:val="en-US"/>
        </w:rPr>
        <w:t>seasonal component that can be explained by the sum of annual and semi-annual signals.</w:t>
      </w:r>
    </w:p>
    <w:p w:rsidR="00BD2FC9" w:rsidRDefault="00BD2FC9" w:rsidP="00BD2FC9">
      <w:pPr>
        <w:spacing w:after="120"/>
        <w:rPr>
          <w:rFonts w:cs="Times New Roman"/>
          <w:szCs w:val="24"/>
          <w:lang w:val="en-US"/>
        </w:rPr>
      </w:pPr>
    </w:p>
    <w:p w:rsidR="00BD2FC9" w:rsidRDefault="00BD2FC9" w:rsidP="00BD2FC9">
      <w:pPr>
        <w:spacing w:after="120"/>
        <w:rPr>
          <w:rFonts w:cs="Times New Roman"/>
          <w:szCs w:val="24"/>
          <w:lang w:val="en-US"/>
        </w:rPr>
      </w:pPr>
    </w:p>
    <w:p w:rsidR="00BD2FC9" w:rsidRDefault="00BD2FC9" w:rsidP="00BD2FC9">
      <w:pPr>
        <w:spacing w:after="120"/>
        <w:rPr>
          <w:rFonts w:cs="Times New Roman"/>
          <w:szCs w:val="24"/>
          <w:lang w:val="en-US"/>
        </w:rPr>
      </w:pPr>
    </w:p>
    <w:p w:rsidR="00BD2FC9" w:rsidRDefault="00BD2FC9" w:rsidP="00BD2FC9">
      <w:pPr>
        <w:spacing w:after="120"/>
        <w:rPr>
          <w:rFonts w:cs="Times New Roman"/>
          <w:szCs w:val="24"/>
          <w:lang w:val="en-US"/>
        </w:rPr>
      </w:pPr>
    </w:p>
    <w:p w:rsidR="00BD2FC9" w:rsidRDefault="00BD2FC9" w:rsidP="00BD2FC9">
      <w:pPr>
        <w:spacing w:after="120"/>
        <w:rPr>
          <w:rFonts w:cs="Times New Roman"/>
          <w:szCs w:val="24"/>
          <w:lang w:val="en-US"/>
        </w:rPr>
      </w:pPr>
    </w:p>
    <w:p w:rsidR="00FF056F" w:rsidRDefault="00FF056F" w:rsidP="00BD2FC9">
      <w:pPr>
        <w:spacing w:after="120"/>
        <w:rPr>
          <w:rFonts w:cs="Times New Roman"/>
          <w:szCs w:val="24"/>
          <w:lang w:val="en-US"/>
        </w:rPr>
      </w:pPr>
    </w:p>
    <w:p w:rsidR="00FF056F" w:rsidRDefault="00FF056F" w:rsidP="00BD2FC9">
      <w:pPr>
        <w:spacing w:after="120"/>
        <w:rPr>
          <w:rFonts w:cs="Times New Roman"/>
          <w:szCs w:val="24"/>
          <w:lang w:val="en-US"/>
        </w:rPr>
      </w:pPr>
    </w:p>
    <w:p w:rsidR="00BD2FC9" w:rsidRDefault="00BD2FC9" w:rsidP="00BD2FC9">
      <w:pPr>
        <w:spacing w:after="120"/>
        <w:rPr>
          <w:rFonts w:cs="Times New Roman"/>
          <w:szCs w:val="24"/>
          <w:lang w:val="en-US"/>
        </w:rPr>
      </w:pPr>
    </w:p>
    <w:p w:rsidR="00FF056F" w:rsidRDefault="00FF056F" w:rsidP="00BD2FC9">
      <w:pPr>
        <w:spacing w:after="120"/>
        <w:rPr>
          <w:rFonts w:cs="Times New Roman"/>
          <w:szCs w:val="24"/>
          <w:lang w:val="en-US"/>
        </w:rPr>
      </w:pPr>
    </w:p>
    <w:p w:rsidR="00FF056F" w:rsidRDefault="00FF056F" w:rsidP="00BD2FC9">
      <w:pPr>
        <w:spacing w:after="120"/>
        <w:rPr>
          <w:rFonts w:cs="Times New Roman"/>
          <w:szCs w:val="24"/>
          <w:lang w:val="en-US"/>
        </w:rPr>
      </w:pPr>
    </w:p>
    <w:p w:rsidR="00FF056F" w:rsidRDefault="00FF056F" w:rsidP="00BD2FC9">
      <w:pPr>
        <w:spacing w:after="120"/>
        <w:rPr>
          <w:rFonts w:cs="Times New Roman"/>
          <w:szCs w:val="24"/>
          <w:lang w:val="en-US"/>
        </w:rPr>
      </w:pPr>
    </w:p>
    <w:p w:rsidR="00FF056F" w:rsidRDefault="00FF056F" w:rsidP="00BD2FC9">
      <w:pPr>
        <w:spacing w:after="120"/>
        <w:rPr>
          <w:rFonts w:cs="Times New Roman"/>
          <w:szCs w:val="24"/>
          <w:lang w:val="en-US"/>
        </w:rPr>
      </w:pPr>
    </w:p>
    <w:p w:rsidR="00FF056F" w:rsidRDefault="00FF056F" w:rsidP="00BD2FC9">
      <w:pPr>
        <w:spacing w:after="120"/>
        <w:rPr>
          <w:rFonts w:cs="Times New Roman"/>
          <w:szCs w:val="24"/>
          <w:lang w:val="en-US"/>
        </w:rPr>
      </w:pPr>
    </w:p>
    <w:p w:rsidR="00BD3FA0" w:rsidRDefault="00BD3FA0" w:rsidP="00BD2FC9">
      <w:pPr>
        <w:spacing w:after="120"/>
        <w:rPr>
          <w:rFonts w:cs="Times New Roman"/>
          <w:szCs w:val="24"/>
          <w:lang w:val="en-US"/>
        </w:rPr>
      </w:pPr>
    </w:p>
    <w:p w:rsidR="00BD3FA0" w:rsidRDefault="00BD3FA0" w:rsidP="00BD2FC9">
      <w:pPr>
        <w:spacing w:after="120"/>
        <w:rPr>
          <w:rFonts w:cs="Times New Roman"/>
          <w:szCs w:val="24"/>
          <w:lang w:val="en-US"/>
        </w:rPr>
      </w:pPr>
    </w:p>
    <w:p w:rsidR="00BD3FA0" w:rsidRDefault="00BD3FA0" w:rsidP="00BD3FA0">
      <w:pPr>
        <w:pStyle w:val="Heading1"/>
      </w:pPr>
      <w:bookmarkStart w:id="2" w:name="_Ref208930569"/>
      <w:r>
        <w:lastRenderedPageBreak/>
        <w:t xml:space="preserve">Text S1: </w:t>
      </w:r>
      <w:r w:rsidRPr="001547A1">
        <w:t>Drift of the geocenter</w:t>
      </w:r>
      <w:bookmarkEnd w:id="2"/>
    </w:p>
    <w:p w:rsidR="00BD3FA0" w:rsidRDefault="00BD3FA0" w:rsidP="00BD3FA0">
      <w:pPr>
        <w:rPr>
          <w:color w:val="000000"/>
        </w:rPr>
      </w:pPr>
      <w:r>
        <w:t xml:space="preserve">The current parametrization of the station positions indirectly accounts for linear motions caused by geophysical phenomena acting on secular time scales. These include the mixture of plate tectonics, glacial isostatic adjustment, and the present-day surface mass trend. The latter two phenomena are the primary drivers of the geocenter motion on secular time scales. As a consequence of this parametrization, the International Terrestrial Reference Frame (ITRF) origin reflects the Center of Mass (CM) on secular time scales, neglecting short-term deviations from the long-term mean. The definition of the ITRF origin as a linear function of time, as well as the limited stability of its origin </w:t>
      </w:r>
      <w:sdt>
        <w:sdtPr>
          <w:rPr>
            <w:color w:val="000000"/>
          </w:rPr>
          <w:tag w:val="MENDELEY_CITATION_v3_eyJjaXRhdGlvbklEIjoiTUVOREVMRVlfQ0lUQVRJT05fMzA4NzY0ZDEtZjkwNS00ZWZiLWIzMDMtYzg4M2U1MzdhODM4IiwicHJvcGVydGllcyI6eyJub3RlSW5kZXgiOjB9LCJpc0VkaXRlZCI6ZmFsc2UsIm1hbnVhbE92ZXJyaWRlIjp7ImlzTWFudWFsbHlPdmVycmlkZGVuIjpmYWxzZSwiY2l0ZXByb2NUZXh0IjoiKFJpZGRlbGwgZXQgYWwuLCAyMDE3KSIsIm1hbnVhbE92ZXJyaWRlVGV4dCI6IiJ9LCJjaXRhdGlvbkl0ZW1zIjpbeyJpZCI6Ijg5ZWUyYjBhLTdhMTYtMzQzOC1hZDZjLTc0ZDA4OTE0ZTNkYyIsIml0ZW1EYXRhIjp7InR5cGUiOiJhcnRpY2xlLWpvdXJuYWwiLCJpZCI6Ijg5ZWUyYjBhLTdhMTYtMzQzOC1hZDZjLTc0ZDA4OTE0ZTNkYyIsInRpdGxlIjoiVW5jZXJ0YWludHkgaW4gZ2VvY2VudGVyIGVzdGltYXRlcyBpbiB0aGUgY29udGV4dCBvZiBJVFJGMjAxNCIsImF1dGhvciI6W3siZmFtaWx5IjoiUmlkZGVsbCIsImdpdmVuIjoiQW5uYSBSIiwicGFyc2UtbmFtZXMiOmZhbHNlLCJkcm9wcGluZy1wYXJ0aWNsZSI6IiIsIm5vbi1kcm9wcGluZy1wYXJ0aWNsZSI6IiJ9LHsiZmFtaWx5IjoiS2luZyIsImdpdmVuIjoiTWF0dCBBIiwicGFyc2UtbmFtZXMiOmZhbHNlLCJkcm9wcGluZy1wYXJ0aWNsZSI6IiIsIm5vbi1kcm9wcGluZy1wYXJ0aWNsZSI6IiJ9LHsiZmFtaWx5IjoiV2F0c29uIiwiZ2l2ZW4iOiJDaHJpc3RvcGhlciBTIiwicGFyc2UtbmFtZXMiOmZhbHNlLCJkcm9wcGluZy1wYXJ0aWNsZSI6IiIsIm5vbi1kcm9wcGluZy1wYXJ0aWNsZSI6IiJ9LHsiZmFtaWx5IjoiU3VuIiwiZ2l2ZW4iOiJZdSIsInBhcnNlLW5hbWVzIjpmYWxzZSwiZHJvcHBpbmctcGFydGljbGUiOiIiLCJub24tZHJvcHBpbmctcGFydGljbGUiOiIifSx7ImZhbWlseSI6IlJpdmEiLCJnaXZlbiI6IlJpY2NhcmRvIEUgTSIsInBhcnNlLW5hbWVzIjpmYWxzZSwiZHJvcHBpbmctcGFydGljbGUiOiIiLCJub24tZHJvcHBpbmctcGFydGljbGUiOiIifSx7ImZhbWlseSI6IlJpZXRicm9layIsImdpdmVuIjoiUm9lbG9mIiwicGFyc2UtbmFtZXMiOmZhbHNlLCJkcm9wcGluZy1wYXJ0aWNsZSI6IiIsIm5vbi1kcm9wcGluZy1wYXJ0aWNsZSI6IiJ9XSwiY29udGFpbmVyLXRpdGxlIjoiSm91cm5hbCBvZiBHZW9waHlzaWNhbCBSZXNlYXJjaDogU29saWQgRWFydGgiLCJET0kiOiJodHRwczovL2RvaS5vcmcvMTAuMTAwMi8yMDE2SkIwMTM2OTgiLCJJU1NOIjoiMjE2OS05MzEzIiwiVVJMIjoiaHR0cHM6Ly9kb2kub3JnLzEwLjEwMDIvMjAxNkpCMDEzNjk4IiwiaXNzdWVkIjp7ImRhdGUtcGFydHMiOltbMjAxNyw1LDFdXX0sInBhZ2UiOiI0MDIwLTQwMzIiLCJhYnN0cmFjdCI6IkFic3RyYWN0IFVuY2VydGFpbnR5IGluIHRoZSBnZW9jZW50ZXIgcG9zaXRpb24gYW5kIGl0cyBzdWJzZXF1ZW50IG1vdGlvbiBhZmZlY3RzIHBvc2l0aW9uaW5nIGVzdGltYXRlcyBvbiB0aGUgc3VyZmFjZSBvZiB0aGUgRWFydGggYW5kIGRvd25zdHJlYW0gcHJvZHVjdHMgc3VjaCBhcyBzaXRlIHZlbG9jaXRpZXMsIHBhcnRpY3VsYXJseSB0aGUgdmVydGljYWwgY29tcG9uZW50LiBUaGUgY3VycmVudCB2ZXJzaW9uIG9mIHRoZSBJbnRlcm5hdGlvbmFsIFRlcnJlc3RyaWFsIFJlZmVyZW5jZSBGcmFtZSwgSVRSRjIwMTQsIGRlcml2ZXMgaXRzIG9yaWdpbiBhcyB0aGUgbG9uZy10ZXJtIGF2ZXJhZ2VkIGNlbnRlciBvZiBtYXNzIGFzIHNlbnNlZCBieSBzYXRlbGxpdGUgbGFzZXIgcmFuZ2luZyAoU0xSKSwgYW5kIGJ5IGRlZmluaXRpb24sIGl0IGFkb3B0cyBvbmx5IGxpbmVhciBtb3Rpb24gb2YgdGhlIG9yaWdpbiB3aXRoIHVuY2VydGFpbnR5IGRldGVybWluZWQgdXNpbmcgYSB3aGl0ZSBub2lzZSBwcm9jZXNzLiBXZSBjb21wYXJlIHdlZWtseSBTTFIgdHJhbnNsYXRpb25zIHJlbGF0aXZlIHRvIHRoZSBJVFJGMjAxNCBvcmlnaW4sIHdpdGggbmV0d29yayB0cmFuc2xhdGlvbnMgZXN0aW1hdGVkIGZyb20gc3RhdGlvbiBkaXNwbGFjZW1lbnRzIGZyb20gc3VyZmFjZSBtYXNzIHRyYW5zcG9ydCBtb2RlbHMuIFdlIGZpbmQgdGhhdCB0aGUgcHJvcG9ydGlvbiBvZiB2YXJpYW5jZSBleHBsYWluZWQgaW4gU0xSIHRyYW5zbGF0aW9ucyBieSB0aGUgbW9kZWwtZGVyaXZlZCB0cmFuc2xhdGlvbnMgaXMgb24gYXZlcmFnZSBsZXNzIHRoYW4gMTAlLiBUaW1lLWNvcnJlbGF0ZWQgbm9pc2UgYW5kIG5vbmxpbmVhciByYXRlcywgcGFydGljdWxhcmx5IGV2aWRlbnQgaW4gdGhlIFkgYW5kIFogY29tcG9uZW50cyBvZiB0aGUgU0xSIHRyYW5zbGF0aW9ucyB3aXRoIHJlc3BlY3QgdG8gdGhlIElUUkYyMDE0IG9yaWdpbiwgYXJlIG5vdCBmdWxseSByZXBsaWNhdGVkIGJ5IHRoZSBtb2RlbC1kZXJpdmVkIHRyYW5zbGF0aW9ucy4gVGhpcyBzdWdnZXN0cyB0aGF0IHRyYW5zbGF0aW9uLXJlbGF0ZWQgdW5jZXJ0YWludGllcyBhcmUgdW5kZXJlc3RpbWF0ZWQgd2hlbiBhIHdoaXRlIG5vaXNlIG1vZGVsIGlzIGFkb3B0ZWQgYW5kIHRoYXQgc3Vic3RhbnRpYWwgc3lzdGVtYXRpYyBlcnJvcnMgcmVtYWluIGluIHRoZSBkYXRhIGRlZmluaW5nIHRoZSBJVFJGIG9yaWdpbi4gV2hlbiB1c2luZyBhIHdoaXRlIG5vaXNlIG1vZGVsLCB3ZSBmaW5kIHVuY2VydGFpbnRpZXMgaW4gdGhlIHJhdGUgb2YgU0xSIFgsIFksIGFuZCBaIHRyYW5zbGF0aW9ucyBvZiDCsTAuMDMsIMKxMC4wMywgYW5kIMKxMC4wNiwgcmVzcGVjdGl2ZWx5LCBpbmNyZWFzaW5nIHRvIMKxMC4xMywgwrEwLjE3LCBhbmQgwrEwLjMzIChtbS95ciwgMSBzaWdtYSkgd2hlbiBhIHBvd2VyIGxhdyBhbmQgd2hpdGUgbm9pc2UgbW9kZWwgaXMgYWRvcHRlZC4iLCJwdWJsaXNoZXIiOiJKb2huIFdpbGV5ICYgU29ucywgTHRkIiwiaXNzdWUiOiI1Iiwidm9sdW1lIjoiMTIyIiwiY29udGFpbmVyLXRpdGxlLXNob3J0IjoiSiBHZW9waHlzIFJlcyBTb2xpZCBFYXJ0aCJ9LCJpc1RlbXBvcmFyeSI6ZmFsc2V9XX0="/>
          <w:id w:val="-1229372659"/>
          <w:placeholder>
            <w:docPart w:val="0AFCA3887F3E4542AB53553F44996D82"/>
          </w:placeholder>
        </w:sdtPr>
        <w:sdtEndPr/>
        <w:sdtContent>
          <w:r w:rsidRPr="00FF056F">
            <w:rPr>
              <w:color w:val="000000"/>
            </w:rPr>
            <w:t>(Riddell et al., 2017)</w:t>
          </w:r>
        </w:sdtContent>
      </w:sdt>
      <w:r>
        <w:rPr>
          <w:color w:val="000000"/>
        </w:rPr>
        <w:t xml:space="preserve">, has the effect of reducing the value of the secular geocenter motion derived from Satellite Laser Ranging (SLR) data. Consequently, the long-term trend becomes unobservable and, in theory, is ideally absorbed by estimated station velocities. The CM approach, employing elastic deformation time series from GNSS-repro3 data, also lacks the capacity to recover long-term trends in geocenter motion. The GNSS-based geocenter solutions to repro3 represent CM coordinates with respect to the IGSR3 datum, which naturally inherits its origin from ITRF2014. Therefore, the linear trends shown in </w:t>
      </w:r>
      <w:r>
        <w:rPr>
          <w:color w:val="000000"/>
        </w:rPr>
        <w:fldChar w:fldCharType="begin"/>
      </w:r>
      <w:r>
        <w:rPr>
          <w:color w:val="000000"/>
        </w:rPr>
        <w:instrText xml:space="preserve"> REF _Ref189143372 \h </w:instrText>
      </w:r>
      <w:r>
        <w:rPr>
          <w:color w:val="000000"/>
        </w:rPr>
      </w:r>
      <w:r>
        <w:rPr>
          <w:color w:val="000000"/>
        </w:rPr>
        <w:fldChar w:fldCharType="separate"/>
      </w:r>
      <w:r w:rsidRPr="000851B1">
        <w:rPr>
          <w:b/>
        </w:rPr>
        <w:t xml:space="preserve">Figure </w:t>
      </w:r>
      <w:r>
        <w:rPr>
          <w:b/>
        </w:rPr>
        <w:t>S</w:t>
      </w:r>
      <w:r>
        <w:rPr>
          <w:b/>
          <w:noProof/>
        </w:rPr>
        <w:t>1</w:t>
      </w:r>
      <w:r>
        <w:rPr>
          <w:color w:val="000000"/>
        </w:rPr>
        <w:fldChar w:fldCharType="end"/>
      </w:r>
      <w:r>
        <w:rPr>
          <w:color w:val="000000"/>
        </w:rPr>
        <w:t xml:space="preserve"> represent the long-term drift between the CM sensed by the CODE-repro3 solutions from the two approaches and the ITRF2014 origin. This drift linearly follows the CM sensed by the SLR input to ITRF2014 </w:t>
      </w:r>
      <w:sdt>
        <w:sdtPr>
          <w:rPr>
            <w:color w:val="000000"/>
          </w:rPr>
          <w:tag w:val="MENDELEY_CITATION_v3_eyJjaXRhdGlvbklEIjoiTUVOREVMRVlfQ0lUQVRJT05fMWRhOWRmNGUtNDBjMC00MDEzLWFlYWYtOWU3MGE5NjdjOTFiIiwicHJvcGVydGllcyI6eyJub3RlSW5kZXgiOjB9LCJpc0VkaXRlZCI6ZmFsc2UsIm1hbnVhbE92ZXJyaWRlIjp7ImlzTWFudWFsbHlPdmVycmlkZGVuIjpmYWxzZSwiY2l0ZXByb2NUZXh0IjoiKEFsdGFtaW1pIGV0IGFsLiwgMjAxNikiLCJtYW51YWxPdmVycmlkZVRleHQiOiIifSwiY2l0YXRpb25JdGVtcyI6W3siaWQiOiIzNjA4NzA5OS0wNDkwLTM0YjctYjQ0OC01ZDZkMGZlNTY1MDYiLCJpdGVtRGF0YSI6eyJ0eXBlIjoiYXJ0aWNsZS1qb3VybmFsIiwiaWQiOiIzNjA4NzA5OS0wNDkwLTM0YjctYjQ0OC01ZDZkMGZlNTY1MDYiLCJ0aXRsZSI6IklUUkYyMDE0OiBBIG5ldyByZWxlYXNlIG9mIHRoZSBJbnRlcm5hdGlvbmFsIFRlcnJlc3RyaWFsIFJlZmVyZW5jZSBGcmFtZSBtb2RlbGluZyBub25saW5lYXIgc3RhdGlvbiBtb3Rpb25zIiwiYXV0aG9yIjpbeyJmYW1pbHkiOiJBbHRhbWltaSIsImdpdmVuIjoiWnVoZWlyIiwicGFyc2UtbmFtZXMiOmZhbHNlLCJkcm9wcGluZy1wYXJ0aWNsZSI6IiIsIm5vbi1kcm9wcGluZy1wYXJ0aWNsZSI6IiJ9LHsiZmFtaWx5IjoiUmViaXNjaHVuZyIsImdpdmVuIjoiUGF1bCIsInBhcnNlLW5hbWVzIjpmYWxzZSwiZHJvcHBpbmctcGFydGljbGUiOiIiLCJub24tZHJvcHBpbmctcGFydGljbGUiOiIifSx7ImZhbWlseSI6Ik3DqXRpdmllciIsImdpdmVuIjoiTGF1cmVudCIsInBhcnNlLW5hbWVzIjpmYWxzZSwiZHJvcHBpbmctcGFydGljbGUiOiIiLCJub24tZHJvcHBpbmctcGFydGljbGUiOiIifSx7ImZhbWlseSI6IkNvbGxpbGlldXgiLCJnaXZlbiI6IlhhdmllciIsInBhcnNlLW5hbWVzIjpmYWxzZSwiZHJvcHBpbmctcGFydGljbGUiOiIiLCJub24tZHJvcHBpbmctcGFydGljbGUiOiIifV0sImNvbnRhaW5lci10aXRsZSI6IkpvdXJuYWwgb2YgR2VvcGh5c2ljYWwgUmVzZWFyY2g6IFNvbGlkIEVhcnRoIiwiY29udGFpbmVyLXRpdGxlLXNob3J0IjoiSiBHZW9waHlzIFJlcyBTb2xpZCBFYXJ0aCIsIkRPSSI6Imh0dHBzOi8vZG9pLm9yZy8xMC4xMDAyLzIwMTZKQjAxMzA5OCIsIklTU04iOiIyMTY5LTkzMTMiLCJVUkwiOiJodHRwczovL2RvaS5vcmcvMTAuMTAwMi8yMDE2SkIwMTMwOTgiLCJpc3N1ZWQiOnsiZGF0ZS1wYXJ0cyI6W1syMDE2LDgsMV1dfSwicGFnZSI6IjYxMDktNjEzMSIsImFic3RyYWN0IjoiQWJzdHJhY3QgRm9yIHRoZSBmaXJzdCB0aW1lIGluIHRoZSBJbnRlcm5hdGlvbmFsIFRlcnJlc3RyaWFsIFJlZmVyZW5jZSBGcmFtZSAoSVRSRikgaGlzdG9yeSwgdGhlIElUUkYyMDE0IGlzIGdlbmVyYXRlZCB3aXRoIGFuIGVuaGFuY2VkIG1vZGVsaW5nIG9mIG5vbmxpbmVhciBzdGF0aW9uIG1vdGlvbnMsIGluY2x1ZGluZyBzZWFzb25hbCAoYW5udWFsIGFuZCBzZW1pYW5udWFsKSBzaWduYWxzIG9mIHN0YXRpb24gcG9zaXRpb25zIGFuZCBwb3N0c2Vpc21pYyBkZWZvcm1hdGlvbiBmb3Igc2l0ZXMgdGhhdCB3ZXJlIHN1YmplY3QgdG8gbWFqb3IgZWFydGhxdWFrZXMuIFVzaW5nIHRoZSBmdWxsIG9ic2VydmF0aW9uIGhpc3Rvcnkgb2YgdGhlIGZvdXIgc3BhY2UgZ2VvZGV0aWMgdGVjaG5pcXVlcyAodmVyeSBsb25nIGJhc2VsaW5lIGludGVyZmVyb21ldHJ5IChWTEJJKSwgc2F0ZWxsaXRlIGxhc2VyIHJhbmdpbmcgKFNMUiksIEdsb2JhbCBOYXZpZ2F0aW9uIFNhdGVsbGl0ZSBTeXN0ZW1zIChHTlNTKSwgYW5kIERvcHBsZXIgb3JiaXRvZ3JhcGh5IGFuZCByYWRpb3Bvc2l0aW9uaW5nIGludGVncmF0ZWQgYnkgc2F0ZWxsaXRlIChET1JJUykpLCB0aGUgY29ycmVzcG9uZGluZyBpbnRlcm5hdGlvbmFsIHNlcnZpY2VzIHByb3ZpZGVkIHJlcHJvY2Vzc2VkIHRpbWUgc2VyaWVzICh3ZWVrbHkgZnJvbSBTTFIgYW5kIERPUklTLCBkYWlseSBmcm9tIEdOU1MsIGFuZCAyNCBoIHNlc3Npb24td2lzZSBmcm9tIFZMQkkpIG9mIHN0YXRpb24gcG9zaXRpb25zIGFuZCBkYWlseSBFYXJ0aCBPcmllbnRhdGlvbiBQYXJhbWV0ZXJzLiBJVFJGMjAxNCBpcyBkZW1vbnN0cmF0ZWQgdG8gYmUgc3VwZXJpb3IgdG8gcGFzdCBJVFJGIHJlbGVhc2VzLCBhcyBpdCBwcmVjaXNlbHkgbW9kZWxzIHRoZSBhY3R1YWwgc3RhdGlvbiB0cmFqZWN0b3JpZXMgbGVhZGluZyB0byBhIG1vcmUgcm9idXN0IHNlY3VsYXIgZnJhbWUgYW5kIHNpdGUgdmVsb2NpdGllcy4gVGhlIElUUkYyMDE0IGxvbmctdGVybSBvcmlnaW4gY29pbmNpZGVzIHdpdGggdGhlIEVhcnRoIHN5c3RlbSBjZW50ZXIgb2YgbWFzcyBhcyBzZW5zZWQgYnkgU0xSIG9ic2VydmF0aW9ucyBjb2xsZWN0ZWQgb24gdGhlIHR3byBMQUdFT1Mgc2F0ZWxsaXRlcyBvdmVyIHRoZSB0aW1lIHNwYW4gYmV0d2VlbiAxOTkzLjAgYW5kIDIwMTUuMC4gVGhlIGVzdGltYXRlZCBhY2N1cmFjeSBvZiB0aGUgSVRSRjIwMTQgb3JpZ2luLCBhcyByZWZsZWN0ZWQgYnkgdGhlIGxldmVsIG9mIGFncmVlbWVudCB3aXRoIHRoZSBJVFJGMjAwOCAoYm90aCBvcmlnaW5zIGFyZSBkZWZpbmVkIGJ5IFNMUiksIGlzIGF0IHRoZSBsZXZlbCBvZiBsZXNzIHRoYW4gMyBtbSBhdCBlcG9jaCAyMDEwLjAgYW5kIGxlc3MgdGhhbiAwLjIgbW0veXIgaW4gdGltZSBldm9sdXRpb24uIFRoZSBJVFJGMjAxNCBzY2FsZSBpcyBkZWZpbmVkIGJ5IHRoZSBhcml0aG1ldGljIGF2ZXJhZ2Ugb2YgdGhlIGltcGxpY2l0IHNjYWxlcyBvZiBTTFIgYW5kIFZMQkkgc29sdXRpb25zIGFzIG9idGFpbmVkIGJ5IHRoZSBzdGFja2luZyBvZiB0aGVpciByZXNwZWN0aXZlIHRpbWUgc2VyaWVzLiBUaGUgcmVzdWx0aW5nIHNjYWxlIGFuZCBzY2FsZSByYXRlIGRpZmZlcmVuY2VzIGJldHdlZW4gdGhlIHR3byBzb2x1dGlvbnMgYXJlIDEuMzcgKMKxMC4xMCkgcHBiIGF0IGVwb2NoIDIwMTAuMCBhbmQgMC4wMiAowrEwLjAyKSBwcGIveXIuIFdoaWxlIHRoZSBwb3N0c2Vpc21pYyBkZWZvcm1hdGlvbiBtb2RlbHMgd2VyZSBlc3RpbWF0ZWQgdXNpbmcgR05TUy9HUFMgZGF0YSwgdGhlIHJlc3VsdGluZyBwYXJhbWV0cmljIG1vZGVscyBhdCBlYXJ0aHF1YWtlIGNvbG9jYXRpb24gc2l0ZXMgd2VyZSBhcHBsaWVkIHRvIHRoZSBzdGF0aW9uIHBvc2l0aW9uIHRpbWUgc2VyaWVzIG9mIHRoZSB0aHJlZSBvdGhlciB0ZWNobmlxdWVzLCBzaG93aW5nIGEgdmVyeSBoaWdoIGxldmVsIG9mIGNvbnNpc3RlbmN5IHdoaWNoIGVuZm9yY2VzIG1vcmUgdGhlIGxpbmsgYmV0d2VlbiB0ZWNobmlxdWVzIHdpdGhpbiB0aGUgSVRSRjIwMTQgZnJhbWUuIFRoZSB1c2VycyBzaG91bGQgYmUgYXdhcmUgdGhhdCB0aGUgcG9zdHNlaXNtaWMgZGVmb3JtYXRpb24gbW9kZWxzIGFyZSBwYXJ0IG9mIHRoZSBJVFJGMjAxNCBwcm9kdWN0cywgdW5saWtlIHRoZSBhbm51YWwgYW5kIHNlbWlhbm51YWwgc2lnbmFscywgd2hpY2ggd2VyZSBlc3RpbWF0ZWQgaW50ZXJuYWxseSB3aXRoIHRoZSBvbmx5IHB1cnBvc2Ugb2YgZW5oYW5jaW5nIHRoZSB2ZWxvY2l0eSBmaWVsZCBlc3RpbWF0aW9uIG9mIHRoZSBzZWN1bGFyIGZyYW1lLiIsInB1Ymxpc2hlciI6IkpvaG4gV2lsZXkgJiBTb25zLCBMdGQiLCJpc3N1ZSI6IjgiLCJ2b2x1bWUiOiIxMjEifSwiaXNUZW1wb3JhcnkiOmZhbHNlfV19"/>
          <w:id w:val="1519276851"/>
          <w:placeholder>
            <w:docPart w:val="0AFCA3887F3E4542AB53553F44996D82"/>
          </w:placeholder>
        </w:sdtPr>
        <w:sdtEndPr/>
        <w:sdtContent>
          <w:r w:rsidRPr="00FF056F">
            <w:rPr>
              <w:color w:val="000000"/>
            </w:rPr>
            <w:t>(Altamimi et al., 2016)</w:t>
          </w:r>
        </w:sdtContent>
      </w:sdt>
      <w:r>
        <w:rPr>
          <w:color w:val="000000"/>
        </w:rPr>
        <w:t xml:space="preserve">. Additionally, </w:t>
      </w:r>
      <w:r>
        <w:rPr>
          <w:color w:val="000000"/>
        </w:rPr>
        <w:fldChar w:fldCharType="begin"/>
      </w:r>
      <w:r>
        <w:rPr>
          <w:color w:val="000000"/>
        </w:rPr>
        <w:instrText xml:space="preserve"> REF _Ref189143372 \h </w:instrText>
      </w:r>
      <w:r>
        <w:rPr>
          <w:color w:val="000000"/>
        </w:rPr>
      </w:r>
      <w:r>
        <w:rPr>
          <w:color w:val="000000"/>
        </w:rPr>
        <w:fldChar w:fldCharType="separate"/>
      </w:r>
      <w:r w:rsidRPr="000851B1">
        <w:rPr>
          <w:b/>
        </w:rPr>
        <w:t xml:space="preserve">Figure </w:t>
      </w:r>
      <w:r>
        <w:rPr>
          <w:b/>
        </w:rPr>
        <w:t>S</w:t>
      </w:r>
      <w:r>
        <w:rPr>
          <w:b/>
          <w:noProof/>
        </w:rPr>
        <w:t>1</w:t>
      </w:r>
      <w:r>
        <w:rPr>
          <w:color w:val="000000"/>
        </w:rPr>
        <w:fldChar w:fldCharType="end"/>
      </w:r>
      <w:r>
        <w:rPr>
          <w:color w:val="000000"/>
        </w:rPr>
        <w:t xml:space="preserve"> shows the trend estimated from SLR data from the dynamic approach for comparison.</w:t>
      </w:r>
    </w:p>
    <w:p w:rsidR="00BD3FA0" w:rsidRDefault="00BD3FA0" w:rsidP="00BD3FA0">
      <w:pPr>
        <w:spacing w:before="240"/>
        <w:rPr>
          <w:rFonts w:cs="Times New Roman"/>
          <w:color w:val="000000"/>
        </w:rPr>
      </w:pPr>
      <w:r>
        <w:t xml:space="preserve">In general, from 2002 to 2020, the long-term CM for the Z component, as determined by GNSS data, aligns with the long-term CM identified by SLR within the 1-sigma uncertainty range obtained by </w:t>
      </w:r>
      <w:sdt>
        <w:sdtPr>
          <w:rPr>
            <w:color w:val="000000"/>
          </w:rPr>
          <w:tag w:val="MENDELEY_CITATION_v3_eyJjaXRhdGlvbklEIjoiTUVOREVMRVlfQ0lUQVRJT05fN2UwYWNiZWUtNGNlMi00NGIyLTg0MDItODAyMzdlZDA1ZmM0IiwicHJvcGVydGllcyI6eyJub3RlSW5kZXgiOjAsIm1vZGUiOiJjb21wb3NpdGUifSwiaXNFZGl0ZWQiOmZhbHNlLCJtYW51YWxPdmVycmlkZSI6eyJpc01hbnVhbGx5T3ZlcnJpZGRlbiI6ZmFsc2UsImNpdGVwcm9jVGV4dCI6IlJpZGRlbGwgZXQgYWwuICgyMDE3KSIsIm1hbnVhbE92ZXJyaWRlVGV4dCI6IiJ9LCJjaXRhdGlvbkl0ZW1zIjpbeyJpZCI6Ijg5ZWUyYjBhLTdhMTYtMzQzOC1hZDZjLTc0ZDA4OTE0ZTNkYyIsIml0ZW1EYXRhIjp7InR5cGUiOiJhcnRpY2xlLWpvdXJuYWwiLCJpZCI6Ijg5ZWUyYjBhLTdhMTYtMzQzOC1hZDZjLTc0ZDA4OTE0ZTNkYyIsInRpdGxlIjoiVW5jZXJ0YWludHkgaW4gZ2VvY2VudGVyIGVzdGltYXRlcyBpbiB0aGUgY29udGV4dCBvZiBJVFJGMjAxNCIsImF1dGhvciI6W3siZmFtaWx5IjoiUmlkZGVsbCIsImdpdmVuIjoiQW5uYSBSIiwicGFyc2UtbmFtZXMiOmZhbHNlLCJkcm9wcGluZy1wYXJ0aWNsZSI6IiIsIm5vbi1kcm9wcGluZy1wYXJ0aWNsZSI6IiJ9LHsiZmFtaWx5IjoiS2luZyIsImdpdmVuIjoiTWF0dCBBIiwicGFyc2UtbmFtZXMiOmZhbHNlLCJkcm9wcGluZy1wYXJ0aWNsZSI6IiIsIm5vbi1kcm9wcGluZy1wYXJ0aWNsZSI6IiJ9LHsiZmFtaWx5IjoiV2F0c29uIiwiZ2l2ZW4iOiJDaHJpc3RvcGhlciBTIiwicGFyc2UtbmFtZXMiOmZhbHNlLCJkcm9wcGluZy1wYXJ0aWNsZSI6IiIsIm5vbi1kcm9wcGluZy1wYXJ0aWNsZSI6IiJ9LHsiZmFtaWx5IjoiU3VuIiwiZ2l2ZW4iOiJZdSIsInBhcnNlLW5hbWVzIjpmYWxzZSwiZHJvcHBpbmctcGFydGljbGUiOiIiLCJub24tZHJvcHBpbmctcGFydGljbGUiOiIifSx7ImZhbWlseSI6IlJpdmEiLCJnaXZlbiI6IlJpY2NhcmRvIEUgTSIsInBhcnNlLW5hbWVzIjpmYWxzZSwiZHJvcHBpbmctcGFydGljbGUiOiIiLCJub24tZHJvcHBpbmctcGFydGljbGUiOiIifSx7ImZhbWlseSI6IlJpZXRicm9layIsImdpdmVuIjoiUm9lbG9mIiwicGFyc2UtbmFtZXMiOmZhbHNlLCJkcm9wcGluZy1wYXJ0aWNsZSI6IiIsIm5vbi1kcm9wcGluZy1wYXJ0aWNsZSI6IiJ9XSwiY29udGFpbmVyLXRpdGxlIjoiSm91cm5hbCBvZiBHZW9waHlzaWNhbCBSZXNlYXJjaDogU29saWQgRWFydGgiLCJjb250YWluZXItdGl0bGUtc2hvcnQiOiJKIEdlb3BoeXMgUmVzIFNvbGlkIEVhcnRoIiwiRE9JIjoiaHR0cHM6Ly9kb2kub3JnLzEwLjEwMDIvMjAxNkpCMDEzNjk4IiwiSVNTTiI6IjIxNjktOTMxMyIsIlVSTCI6Imh0dHBzOi8vZG9pLm9yZy8xMC4xMDAyLzIwMTZKQjAxMzY5OCIsImlzc3VlZCI6eyJkYXRlLXBhcnRzIjpbWzIwMTcsNSwxXV19LCJwYWdlIjoiNDAyMC00MDMyIiwiYWJzdHJhY3QiOiJBYnN0cmFjdCBVbmNlcnRhaW50eSBpbiB0aGUgZ2VvY2VudGVyIHBvc2l0aW9uIGFuZCBpdHMgc3Vic2VxdWVudCBtb3Rpb24gYWZmZWN0cyBwb3NpdGlvbmluZyBlc3RpbWF0ZXMgb24gdGhlIHN1cmZhY2Ugb2YgdGhlIEVhcnRoIGFuZCBkb3duc3RyZWFtIHByb2R1Y3RzIHN1Y2ggYXMgc2l0ZSB2ZWxvY2l0aWVzLCBwYXJ0aWN1bGFybHkgdGhlIHZlcnRpY2FsIGNvbXBvbmVudC4gVGhlIGN1cnJlbnQgdmVyc2lvbiBvZiB0aGUgSW50ZXJuYXRpb25hbCBUZXJyZXN0cmlhbCBSZWZlcmVuY2UgRnJhbWUsIElUUkYyMDE0LCBkZXJpdmVzIGl0cyBvcmlnaW4gYXMgdGhlIGxvbmctdGVybSBhdmVyYWdlZCBjZW50ZXIgb2YgbWFzcyBhcyBzZW5zZWQgYnkgc2F0ZWxsaXRlIGxhc2VyIHJhbmdpbmcgKFNMUiksIGFuZCBieSBkZWZpbml0aW9uLCBpdCBhZG9wdHMgb25seSBsaW5lYXIgbW90aW9uIG9mIHRoZSBvcmlnaW4gd2l0aCB1bmNlcnRhaW50eSBkZXRlcm1pbmVkIHVzaW5nIGEgd2hpdGUgbm9pc2UgcHJvY2Vzcy4gV2UgY29tcGFyZSB3ZWVrbHkgU0xSIHRyYW5zbGF0aW9ucyByZWxhdGl2ZSB0byB0aGUgSVRSRjIwMTQgb3JpZ2luLCB3aXRoIG5ldHdvcmsgdHJhbnNsYXRpb25zIGVzdGltYXRlZCBmcm9tIHN0YXRpb24gZGlzcGxhY2VtZW50cyBmcm9tIHN1cmZhY2UgbWFzcyB0cmFuc3BvcnQgbW9kZWxzLiBXZSBmaW5kIHRoYXQgdGhlIHByb3BvcnRpb24gb2YgdmFyaWFuY2UgZXhwbGFpbmVkIGluIFNMUiB0cmFuc2xhdGlvbnMgYnkgdGhlIG1vZGVsLWRlcml2ZWQgdHJhbnNsYXRpb25zIGlzIG9uIGF2ZXJhZ2UgbGVzcyB0aGFuIDEwJS4gVGltZS1jb3JyZWxhdGVkIG5vaXNlIGFuZCBub25saW5lYXIgcmF0ZXMsIHBhcnRpY3VsYXJseSBldmlkZW50IGluIHRoZSBZIGFuZCBaIGNvbXBvbmVudHMgb2YgdGhlIFNMUiB0cmFuc2xhdGlvbnMgd2l0aCByZXNwZWN0IHRvIHRoZSBJVFJGMjAxNCBvcmlnaW4sIGFyZSBub3QgZnVsbHkgcmVwbGljYXRlZCBieSB0aGUgbW9kZWwtZGVyaXZlZCB0cmFuc2xhdGlvbnMuIFRoaXMgc3VnZ2VzdHMgdGhhdCB0cmFuc2xhdGlvbi1yZWxhdGVkIHVuY2VydGFpbnRpZXMgYXJlIHVuZGVyZXN0aW1hdGVkIHdoZW4gYSB3aGl0ZSBub2lzZSBtb2RlbCBpcyBhZG9wdGVkIGFuZCB0aGF0IHN1YnN0YW50aWFsIHN5c3RlbWF0aWMgZXJyb3JzIHJlbWFpbiBpbiB0aGUgZGF0YSBkZWZpbmluZyB0aGUgSVRSRiBvcmlnaW4uIFdoZW4gdXNpbmcgYSB3aGl0ZSBub2lzZSBtb2RlbCwgd2UgZmluZCB1bmNlcnRhaW50aWVzIGluIHRoZSByYXRlIG9mIFNMUiBYLCBZLCBhbmQgWiB0cmFuc2xhdGlvbnMgb2YgwrEwLjAzLCDCsTAuMDMsIGFuZCDCsTAuMDYsIHJlc3BlY3RpdmVseSwgaW5jcmVhc2luZyB0byDCsTAuMTMsIMKxMC4xNywgYW5kIMKxMC4zMyAobW0veXIsIDEgc2lnbWEpIHdoZW4gYSBwb3dlciBsYXcgYW5kIHdoaXRlIG5vaXNlIG1vZGVsIGlzIGFkb3B0ZWQuIiwicHVibGlzaGVyIjoiSm9obiBXaWxleSAmIFNvbnMsIEx0ZCIsImlzc3VlIjoiNSIsInZvbHVtZSI6IjEyMiJ9LCJpc1RlbXBvcmFyeSI6ZmFsc2UsImRpc3BsYXlBcyI6ImNvbXBvc2l0ZSIsInN1cHByZXNzLWF1dGhvciI6ZmFsc2UsImNvbXBvc2l0ZSI6dHJ1ZSwiYXV0aG9yLW9ubHkiOmZhbHNlfV19"/>
          <w:id w:val="-1063633534"/>
          <w:placeholder>
            <w:docPart w:val="8E54C0053A7742A3822853B9CB6F4179"/>
          </w:placeholder>
        </w:sdtPr>
        <w:sdtEndPr/>
        <w:sdtContent>
          <w:r w:rsidRPr="00FF056F">
            <w:rPr>
              <w:color w:val="000000"/>
            </w:rPr>
            <w:t>Riddell et al. (2017)</w:t>
          </w:r>
        </w:sdtContent>
      </w:sdt>
      <w:r>
        <w:rPr>
          <w:color w:val="000000"/>
        </w:rPr>
        <w:t xml:space="preserve"> for the ITRF2014 origin. This range is </w:t>
      </w:r>
      <w:r>
        <w:rPr>
          <w:rFonts w:cs="Times New Roman"/>
          <w:color w:val="000000"/>
        </w:rPr>
        <w:t>±</w:t>
      </w:r>
      <w:r>
        <w:rPr>
          <w:color w:val="000000"/>
        </w:rPr>
        <w:t xml:space="preserve">0.33 mm/year employing a power law and white noise model. From the same study, the uncertainties for the X- and Y-components are </w:t>
      </w:r>
      <w:r>
        <w:rPr>
          <w:rFonts w:cs="Times New Roman"/>
          <w:color w:val="000000"/>
        </w:rPr>
        <w:t xml:space="preserve">±0.13 and ±0.17 mm/year, respectively. For the X-component, all values obtained from GNSS do not fall outside this range. However, for the Y-component, three GNSS inversion solutions (CM-1, CM-7, and CM-8), which exceed the value of ±0.17 mm/year, while the </w:t>
      </w:r>
      <w:r>
        <w:t>Network Shift (</w:t>
      </w:r>
      <w:r>
        <w:rPr>
          <w:rFonts w:cs="Times New Roman"/>
          <w:color w:val="000000"/>
        </w:rPr>
        <w:t>NSH) solution is identified as having the largest value with a clear negative trend exceeding −0.5 mm/year.</w:t>
      </w:r>
    </w:p>
    <w:p w:rsidR="00BD3FA0" w:rsidRDefault="00BD3FA0" w:rsidP="00BD3FA0">
      <w:r>
        <w:t xml:space="preserve">The Z-component reflects the exchange of mass between the northern and southern hemispheres </w:t>
      </w:r>
      <w:sdt>
        <w:sdtPr>
          <w:rPr>
            <w:color w:val="000000"/>
          </w:rPr>
          <w:tag w:val="MENDELEY_CITATION_v3_eyJjaXRhdGlvbklEIjoiTUVOREVMRVlfQ0lUQVRJT05fMTliZDBmMmMtZmZkMC00ZDkyLWE3ZTgtNzExNDZlZGFhMWExIiwicHJvcGVydGllcyI6eyJub3RlSW5kZXgiOjB9LCJpc0VkaXRlZCI6ZmFsc2UsIm1hbnVhbE92ZXJyaWRlIjp7ImlzTWFudWFsbHlPdmVycmlkZGVuIjpmYWxzZSwiY2l0ZXByb2NUZXh0IjoiKEJsZXdpdHQgZXQgYWwuLCAyMDAxKSIsIm1hbnVhbE92ZXJyaWRlVGV4dCI6IiJ9LCJjaXRhdGlvbkl0ZW1zIjpbeyJpZCI6IjRlYTQzNDMzLWI3ZDMtM2FmNi1hMWM4LWJiMmRiODVhNmE4ZiIsIml0ZW1EYXRhIjp7InR5cGUiOiJhcnRpY2xlLWpvdXJuYWwiLCJpZCI6IjRlYTQzNDMzLWI3ZDMtM2FmNi1hMWM4LWJiMmRiODVhNmE4ZiIsInRpdGxlIjoiQSBuZXcgZ2xvYmFsIG1vZGUgb2YgRWFydGggZGVmb3JtYXRpb246IHNlYXNvbmFsIGN5Y2xlIGRldGVjdGVkIiwiYXV0aG9yIjpbeyJmYW1pbHkiOiJCbGV3aXR0IiwiZ2l2ZW4iOiJHIiwicGFyc2UtbmFtZXMiOmZhbHNlLCJkcm9wcGluZy1wYXJ0aWNsZSI6IiIsIm5vbi1kcm9wcGluZy1wYXJ0aWNsZSI6IiJ9LHsiZmFtaWx5IjoiTGF2YWxsw6llIiwiZ2l2ZW4iOiJEIiwicGFyc2UtbmFtZXMiOmZhbHNlLCJkcm9wcGluZy1wYXJ0aWNsZSI6IiIsIm5vbi1kcm9wcGluZy1wYXJ0aWNsZSI6IiJ9LHsiZmFtaWx5IjoiQ2xhcmtlIiwiZ2l2ZW4iOiJQIiwicGFyc2UtbmFtZXMiOmZhbHNlLCJkcm9wcGluZy1wYXJ0aWNsZSI6IiIsIm5vbi1kcm9wcGluZy1wYXJ0aWNsZSI6IiJ9LHsiZmFtaWx5IjoiTnVydXRkaW5vdiIsImdpdmVuIjoiSyIsInBhcnNlLW5hbWVzIjpmYWxzZSwiZHJvcHBpbmctcGFydGljbGUiOiIiLCJub24tZHJvcHBpbmctcGFydGljbGUiOiIifV0sImNvbnRhaW5lci10aXRsZSI6IlNjaWVuY2UgKE5ldyBZb3JrLCBOLlkuKSIsImNvbnRhaW5lci10aXRsZS1zaG9ydCI6IlNjaWVuY2UiLCJET0kiOiIxMC4xMTI2L3NjaWVuY2UuMTA2NTMyOCIsIklTU04iOiIwMDM2LTgwNzUiLCJVUkwiOiJodHRwOi8vZXVyb3BlcG1jLm9yZy9hYnN0cmFjdC9NRUQvMTE3NDMxOTgiLCJpc3N1ZWQiOnsiZGF0ZS1wYXJ0cyI6W1syMDAxXV19LCJwdWJsaXNoZXItcGxhY2UiOiJOZXZhZGEgQnVyZWF1IG9mIE1pbmVzIGFuZCBHZW9sb2d5LCBhbmQgU2Vpc21vbG9naWNhbCBMYWJvcmF0b3J5LCBVbml2ZXJzaXR5IG9mIE5ldmFkYSwgUmVubywgTlYgODk1NTcsIFVTQS4gZ2JsZXdpdHRAdW5yLmVkdSIsInBhZ2UiOiIyMzQyLTIzNDUiLCJsYW5ndWFnZSI6ImVuZyIsImFic3RyYWN0IjoiV2UgaGF2ZSBkZXRlY3RlZCBhIGdsb2JhbCBtb2RlIG9mIEVhcnRoIGRlZm9ybWF0aW9uIHRoYXQgaXMgcHJlZGljdGVkIGJ5IHRoZW9yeS4gUHJlY2lzZSBwb3NpdGlvbmluZyBvZiBHbG9iYWwgUG9zaXRpb25pbmcgU3lzdGVtIHNpdGVzIGRpc3RyaWJ1dGVkIHdvcmxkd2lkZSByZXZlYWxzIHRoYXQgZHVyaW5nIEZlYnJ1YXJ5IHRvIE1hcmNoLCB0aGUgTm9ydGhlcm4gSGVtaXNwaGVyZSBjb21wcmVzc2VzIChhbmQgdGhlIFNvdXRoZXJuIEhlbWlzcGhlcmUgZXhwYW5kcyksIHN1Y2ggdGhhdCBzaXRlcyBuZWFyIHRoZSBOb3J0aCBQb2xlIG1vdmUgZG93bndhcmQgYnkgMy4wIG1pbGxpbWV0ZXJzLCBhbmQgc2l0ZXMgbmVhciB0aGUgZXF1YXRvciBhcmUgcHVsbGVkIG5vcnRod2FyZCBieSAxLjUgbWlsbGltZXRlcnMuIFRoZSBvcHBvc2l0ZSBwYXR0ZXJuIG9mIGRlZm9ybWF0aW9uIG9jY3VycyBkdXJpbmcgQXVndXN0IHRvIFNlcHRlbWJlci4gV2UgaWRlbnRpZnkgdGhpcyBwYXR0ZXJuIGFzIHRoZSBkZWdyZWUtb25lIHNwaGVyaWNhbCBoYXJtb25pYyByZXNwb25zZSBvZiBhbiBlbGFzdGljIEVhcnRoIHRvIGluY3JlYXNlZCB3aW50ZXIgbG9hZGluZyBvZiBzb2lsIG1vaXN0dXJlLCBzbm93IGNvdmVyLCBhbmQgYXRtb3NwaGVyZS4gRGF0YSBpbnZlcnNpb24gc2hvd3MgdGhlIGxvYWQgbW9tZW50J3MgdHJhamVjdG9yeSBhcyBhIGdyZWF0IGNpcmNsZSB0cmF2ZXJzaW5nIHRoZSBjb250aW5lbnRzLCBwZWFraW5nIGF0IDYuOSB4IDEwKDIyKSBraWxvZ3JhbSBtZXRlcnMgbmVhciB0aGUgTm9ydGggUG9sZSBpbiB3aW50ZXIsIGluZGljYXRpbmcgaW50ZXJoZW1pc3BoZXJpYyBtYXNzIGV4Y2hhbmdlIG9mIDEuMCB4IDEwKDE2KSArLy0gMC4yIHggMTAoMTYpIGtpbG9ncmFtcy4iLCJpc3N1ZSI6IjU1NTAiLCJ2b2x1bWUiOiIyOTQifSwiaXNUZW1wb3JhcnkiOmZhbHNlfV19"/>
          <w:id w:val="8655362"/>
          <w:placeholder>
            <w:docPart w:val="26B0107B8FE745C791D06605A95C36B0"/>
          </w:placeholder>
        </w:sdtPr>
        <w:sdtEndPr/>
        <w:sdtContent>
          <w:r w:rsidRPr="00FF056F">
            <w:rPr>
              <w:color w:val="000000"/>
            </w:rPr>
            <w:t>(Blewitt et al., 2001)</w:t>
          </w:r>
        </w:sdtContent>
      </w:sdt>
      <w:r>
        <w:t xml:space="preserve">. In this case, with a negative trend, more mass is transported from north to south. Theoretically, no trend is expected in the SLR estimates over the period defining the ITRF, as station velocities are expected to absorb it. However, a slight positive trend in the SLR solution, with an approximate rate of 0.2 mm/year, has been observed. Due to the fact that ITRF2014 uses SLR input data up to 2015, trend values prior to 2015 and during the period 2015-2020 are calculated. The results </w:t>
      </w:r>
      <w:r>
        <w:lastRenderedPageBreak/>
        <w:t xml:space="preserve">obtained oscillate around 0 in the first period (for all components) and begin to drift after the start of 2015 with values of 0.35, 0.29, and 0.72 mm/year for X, Y, and Z components, respectively. This trend is most likely the result of ITRF2014 extrapolation errors rather than an actual geophysical signal. A similar observation can be made when examining GNSS-based estimates, though this is only evident for the Z component. In contrast to the SLR, an opposing trend is noted from about </w:t>
      </w:r>
      <w:r>
        <w:rPr>
          <w:rFonts w:cs="Times New Roman"/>
        </w:rPr>
        <w:t>−</w:t>
      </w:r>
      <w:r>
        <w:t xml:space="preserve">0.1 to </w:t>
      </w:r>
      <w:r>
        <w:rPr>
          <w:rFonts w:cs="Times New Roman"/>
        </w:rPr>
        <w:t>−</w:t>
      </w:r>
      <w:r>
        <w:t>0.8 mm/year in extreme cases (i.e., CM-8 and NSH solutions). The variable trends observed in GNSS approaches are likely attributable to the network effect and the associated complications arising from the approximation of CF by different CNs.</w:t>
      </w:r>
    </w:p>
    <w:p w:rsidR="00BD3FA0" w:rsidRPr="006E0589" w:rsidRDefault="00BD3FA0" w:rsidP="00BD3FA0">
      <w:pPr>
        <w:spacing w:before="240"/>
        <w:rPr>
          <w:rFonts w:cs="Times New Roman"/>
          <w:color w:val="000000"/>
        </w:rPr>
      </w:pPr>
    </w:p>
    <w:p w:rsidR="00BD3FA0" w:rsidRDefault="00BD3FA0" w:rsidP="00BD3FA0">
      <w:pPr>
        <w:keepNext/>
        <w:spacing w:before="240"/>
      </w:pPr>
      <w:r>
        <w:rPr>
          <w:noProof/>
        </w:rPr>
        <w:lastRenderedPageBreak/>
        <w:drawing>
          <wp:inline distT="0" distB="0" distL="0" distR="0" wp14:anchorId="70F1E42B" wp14:editId="0ACB30B2">
            <wp:extent cx="6188709" cy="7965006"/>
            <wp:effectExtent l="0" t="0" r="3175"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rend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88709" cy="7965006"/>
                    </a:xfrm>
                    <a:prstGeom prst="rect">
                      <a:avLst/>
                    </a:prstGeom>
                  </pic:spPr>
                </pic:pic>
              </a:graphicData>
            </a:graphic>
          </wp:inline>
        </w:drawing>
      </w:r>
    </w:p>
    <w:p w:rsidR="00BD3FA0" w:rsidRDefault="00BD3FA0" w:rsidP="00BD3FA0">
      <w:pPr>
        <w:pStyle w:val="Caption"/>
        <w:rPr>
          <w:color w:val="auto"/>
        </w:rPr>
      </w:pPr>
      <w:bookmarkStart w:id="3" w:name="_Ref189143372"/>
      <w:r w:rsidRPr="000851B1">
        <w:rPr>
          <w:b/>
          <w:color w:val="auto"/>
        </w:rPr>
        <w:t xml:space="preserve">Figure </w:t>
      </w:r>
      <w:r>
        <w:rPr>
          <w:b/>
          <w:color w:val="auto"/>
        </w:rPr>
        <w:t>S</w:t>
      </w:r>
      <w:r w:rsidRPr="000851B1">
        <w:rPr>
          <w:b/>
          <w:color w:val="auto"/>
        </w:rPr>
        <w:fldChar w:fldCharType="begin"/>
      </w:r>
      <w:r w:rsidRPr="000851B1">
        <w:rPr>
          <w:b/>
          <w:color w:val="auto"/>
        </w:rPr>
        <w:instrText xml:space="preserve"> SEQ Figure \* ARABIC </w:instrText>
      </w:r>
      <w:r w:rsidRPr="000851B1">
        <w:rPr>
          <w:b/>
          <w:color w:val="auto"/>
        </w:rPr>
        <w:fldChar w:fldCharType="separate"/>
      </w:r>
      <w:r>
        <w:rPr>
          <w:b/>
          <w:noProof/>
          <w:color w:val="auto"/>
        </w:rPr>
        <w:t>1</w:t>
      </w:r>
      <w:r w:rsidRPr="000851B1">
        <w:rPr>
          <w:b/>
          <w:color w:val="auto"/>
        </w:rPr>
        <w:fldChar w:fldCharType="end"/>
      </w:r>
      <w:bookmarkEnd w:id="3"/>
      <w:r w:rsidRPr="000851B1">
        <w:rPr>
          <w:b/>
          <w:color w:val="auto"/>
        </w:rPr>
        <w:t>.</w:t>
      </w:r>
      <w:r w:rsidRPr="000851B1">
        <w:rPr>
          <w:color w:val="auto"/>
        </w:rPr>
        <w:t xml:space="preserve"> Linear trends</w:t>
      </w:r>
      <w:r>
        <w:rPr>
          <w:color w:val="auto"/>
        </w:rPr>
        <w:t xml:space="preserve"> (in mm/year)</w:t>
      </w:r>
      <w:r w:rsidRPr="000851B1">
        <w:rPr>
          <w:color w:val="auto"/>
        </w:rPr>
        <w:t xml:space="preserve"> adjusted to the original geocenter time series from </w:t>
      </w:r>
      <w:r>
        <w:rPr>
          <w:color w:val="auto"/>
        </w:rPr>
        <w:t xml:space="preserve">the </w:t>
      </w:r>
      <w:r w:rsidRPr="000851B1">
        <w:rPr>
          <w:color w:val="auto"/>
        </w:rPr>
        <w:t>GNSS-NSH, GNSS-</w:t>
      </w:r>
      <w:r>
        <w:rPr>
          <w:color w:val="auto"/>
        </w:rPr>
        <w:t>CM</w:t>
      </w:r>
      <w:r w:rsidRPr="000851B1">
        <w:rPr>
          <w:color w:val="auto"/>
        </w:rPr>
        <w:t xml:space="preserve"> approach, and SLR for different periods.</w:t>
      </w:r>
    </w:p>
    <w:p w:rsidR="00BD3FA0" w:rsidRPr="00BD3FA0" w:rsidRDefault="00BD3FA0" w:rsidP="00BD2FC9">
      <w:pPr>
        <w:spacing w:after="120"/>
        <w:rPr>
          <w:rFonts w:cs="Times New Roman"/>
          <w:szCs w:val="24"/>
        </w:rPr>
      </w:pPr>
    </w:p>
    <w:p w:rsidR="007E387D" w:rsidRPr="003A2AB8" w:rsidRDefault="007E387D" w:rsidP="007E387D">
      <w:pPr>
        <w:pStyle w:val="Caption"/>
        <w:keepNext/>
        <w:rPr>
          <w:color w:val="auto"/>
        </w:rPr>
      </w:pPr>
      <w:bookmarkStart w:id="4" w:name="_Ref208930236"/>
      <w:r w:rsidRPr="003A2AB8">
        <w:rPr>
          <w:b/>
          <w:color w:val="auto"/>
        </w:rPr>
        <w:lastRenderedPageBreak/>
        <w:t xml:space="preserve">Table </w:t>
      </w:r>
      <w:r w:rsidR="00463298">
        <w:rPr>
          <w:b/>
          <w:color w:val="auto"/>
        </w:rPr>
        <w:t>S</w:t>
      </w:r>
      <w:r w:rsidRPr="003A2AB8">
        <w:rPr>
          <w:b/>
          <w:color w:val="auto"/>
        </w:rPr>
        <w:fldChar w:fldCharType="begin"/>
      </w:r>
      <w:r w:rsidRPr="003A2AB8">
        <w:rPr>
          <w:b/>
          <w:color w:val="auto"/>
        </w:rPr>
        <w:instrText xml:space="preserve"> SEQ Table \* ARABIC </w:instrText>
      </w:r>
      <w:r w:rsidRPr="003A2AB8">
        <w:rPr>
          <w:b/>
          <w:color w:val="auto"/>
        </w:rPr>
        <w:fldChar w:fldCharType="separate"/>
      </w:r>
      <w:r w:rsidR="00BD3FA0">
        <w:rPr>
          <w:b/>
          <w:noProof/>
          <w:color w:val="auto"/>
        </w:rPr>
        <w:t>1</w:t>
      </w:r>
      <w:r w:rsidRPr="003A2AB8">
        <w:rPr>
          <w:b/>
          <w:color w:val="auto"/>
        </w:rPr>
        <w:fldChar w:fldCharType="end"/>
      </w:r>
      <w:bookmarkEnd w:id="0"/>
      <w:bookmarkEnd w:id="4"/>
      <w:r>
        <w:rPr>
          <w:b/>
          <w:color w:val="auto"/>
        </w:rPr>
        <w:t xml:space="preserve">. </w:t>
      </w:r>
      <w:r w:rsidRPr="001A6DC7">
        <w:rPr>
          <w:color w:val="auto"/>
        </w:rPr>
        <w:t>Annual</w:t>
      </w:r>
      <w:r>
        <w:rPr>
          <w:color w:val="auto"/>
        </w:rPr>
        <w:t xml:space="preserve"> </w:t>
      </w:r>
      <w:r w:rsidR="00463298">
        <w:rPr>
          <w:color w:val="auto"/>
        </w:rPr>
        <w:t xml:space="preserve">and semi-annual </w:t>
      </w:r>
      <w:r w:rsidRPr="001A6DC7">
        <w:rPr>
          <w:color w:val="auto"/>
        </w:rPr>
        <w:t>amplitudes (A) and phases (</w:t>
      </w:r>
      <w:r w:rsidRPr="001A6DC7">
        <w:rPr>
          <w:rFonts w:cs="Times New Roman"/>
          <w:color w:val="auto"/>
        </w:rPr>
        <w:t>φ</w:t>
      </w:r>
      <w:r w:rsidRPr="001A6DC7">
        <w:rPr>
          <w:color w:val="auto"/>
        </w:rPr>
        <w:t xml:space="preserve">) of the </w:t>
      </w:r>
      <w:r>
        <w:rPr>
          <w:color w:val="auto"/>
        </w:rPr>
        <w:t>estimated</w:t>
      </w:r>
      <w:r w:rsidRPr="001A6DC7">
        <w:rPr>
          <w:color w:val="auto"/>
        </w:rPr>
        <w:t xml:space="preserve"> geocenter variations for different solutions.</w:t>
      </w:r>
      <w:r>
        <w:rPr>
          <w:color w:val="auto"/>
        </w:rPr>
        <w:t xml:space="preserve"> Uncertainties represent one-sigma formal errors from the least-square fits.</w:t>
      </w:r>
    </w:p>
    <w:tbl>
      <w:tblPr>
        <w:tblStyle w:val="TableGrid"/>
        <w:tblW w:w="0" w:type="auto"/>
        <w:jc w:val="center"/>
        <w:tblLook w:val="04A0" w:firstRow="1" w:lastRow="0" w:firstColumn="1" w:lastColumn="0" w:noHBand="0" w:noVBand="1"/>
      </w:tblPr>
      <w:tblGrid>
        <w:gridCol w:w="1440"/>
        <w:gridCol w:w="2540"/>
        <w:gridCol w:w="2541"/>
        <w:gridCol w:w="2541"/>
      </w:tblGrid>
      <w:tr w:rsidR="007E387D" w:rsidTr="00CE3BDA">
        <w:trPr>
          <w:trHeight w:val="397"/>
          <w:jc w:val="center"/>
        </w:trPr>
        <w:tc>
          <w:tcPr>
            <w:tcW w:w="1440" w:type="dxa"/>
            <w:vMerge w:val="restart"/>
            <w:vAlign w:val="center"/>
          </w:tcPr>
          <w:p w:rsidR="007E387D" w:rsidRPr="005A1430" w:rsidRDefault="007E387D" w:rsidP="003E62DB">
            <w:pPr>
              <w:spacing w:line="240" w:lineRule="auto"/>
              <w:jc w:val="center"/>
              <w:rPr>
                <w:b/>
              </w:rPr>
            </w:pPr>
            <w:r w:rsidRPr="005A1430">
              <w:rPr>
                <w:b/>
              </w:rPr>
              <w:t>S</w:t>
            </w:r>
            <w:r>
              <w:rPr>
                <w:b/>
              </w:rPr>
              <w:t>olution</w:t>
            </w:r>
          </w:p>
        </w:tc>
        <w:tc>
          <w:tcPr>
            <w:tcW w:w="2540" w:type="dxa"/>
            <w:vAlign w:val="center"/>
          </w:tcPr>
          <w:p w:rsidR="007E387D" w:rsidRPr="005A1430" w:rsidRDefault="007E387D" w:rsidP="003E62DB">
            <w:pPr>
              <w:spacing w:line="240" w:lineRule="auto"/>
              <w:jc w:val="center"/>
              <w:rPr>
                <w:b/>
              </w:rPr>
            </w:pPr>
            <w:r w:rsidRPr="005A1430">
              <w:rPr>
                <w:b/>
              </w:rPr>
              <w:t>X</w:t>
            </w:r>
          </w:p>
        </w:tc>
        <w:tc>
          <w:tcPr>
            <w:tcW w:w="2541" w:type="dxa"/>
            <w:vAlign w:val="center"/>
          </w:tcPr>
          <w:p w:rsidR="007E387D" w:rsidRPr="005A1430" w:rsidRDefault="007E387D" w:rsidP="003E62DB">
            <w:pPr>
              <w:spacing w:line="240" w:lineRule="auto"/>
              <w:jc w:val="center"/>
              <w:rPr>
                <w:b/>
              </w:rPr>
            </w:pPr>
            <w:r w:rsidRPr="005A1430">
              <w:rPr>
                <w:b/>
              </w:rPr>
              <w:t>Y</w:t>
            </w:r>
          </w:p>
        </w:tc>
        <w:tc>
          <w:tcPr>
            <w:tcW w:w="2541" w:type="dxa"/>
            <w:vAlign w:val="center"/>
          </w:tcPr>
          <w:p w:rsidR="007E387D" w:rsidRPr="005A1430" w:rsidRDefault="007E387D" w:rsidP="003E62DB">
            <w:pPr>
              <w:spacing w:line="240" w:lineRule="auto"/>
              <w:jc w:val="center"/>
              <w:rPr>
                <w:b/>
              </w:rPr>
            </w:pPr>
            <w:r w:rsidRPr="005A1430">
              <w:rPr>
                <w:b/>
              </w:rPr>
              <w:t>Z</w:t>
            </w:r>
          </w:p>
        </w:tc>
      </w:tr>
      <w:tr w:rsidR="007E387D" w:rsidTr="00CE3BDA">
        <w:trPr>
          <w:trHeight w:val="397"/>
          <w:jc w:val="center"/>
        </w:trPr>
        <w:tc>
          <w:tcPr>
            <w:tcW w:w="1440" w:type="dxa"/>
            <w:vMerge/>
            <w:vAlign w:val="center"/>
          </w:tcPr>
          <w:p w:rsidR="007E387D" w:rsidRPr="005A1430" w:rsidRDefault="007E387D" w:rsidP="003E62DB">
            <w:pPr>
              <w:spacing w:line="240" w:lineRule="auto"/>
              <w:jc w:val="center"/>
              <w:rPr>
                <w:b/>
              </w:rPr>
            </w:pPr>
          </w:p>
        </w:tc>
        <w:tc>
          <w:tcPr>
            <w:tcW w:w="2540" w:type="dxa"/>
            <w:vAlign w:val="center"/>
          </w:tcPr>
          <w:p w:rsidR="007E387D" w:rsidRPr="005A1430" w:rsidRDefault="007E387D" w:rsidP="003E62DB">
            <w:pPr>
              <w:spacing w:line="240" w:lineRule="auto"/>
              <w:jc w:val="center"/>
              <w:rPr>
                <w:b/>
              </w:rPr>
            </w:pPr>
            <w:r w:rsidRPr="005A1430">
              <w:rPr>
                <w:b/>
              </w:rPr>
              <w:t xml:space="preserve">A [mm] / </w:t>
            </w:r>
            <w:r w:rsidRPr="005A1430">
              <w:rPr>
                <w:rFonts w:cs="Times New Roman"/>
                <w:b/>
              </w:rPr>
              <w:t>φ [°]</w:t>
            </w:r>
          </w:p>
        </w:tc>
        <w:tc>
          <w:tcPr>
            <w:tcW w:w="2541" w:type="dxa"/>
            <w:vAlign w:val="center"/>
          </w:tcPr>
          <w:p w:rsidR="007E387D" w:rsidRPr="005A1430" w:rsidRDefault="007E387D" w:rsidP="003E62DB">
            <w:pPr>
              <w:spacing w:line="240" w:lineRule="auto"/>
              <w:jc w:val="center"/>
              <w:rPr>
                <w:b/>
              </w:rPr>
            </w:pPr>
            <w:r w:rsidRPr="005A1430">
              <w:rPr>
                <w:b/>
              </w:rPr>
              <w:t xml:space="preserve">A [mm] / </w:t>
            </w:r>
            <w:r w:rsidRPr="005A1430">
              <w:rPr>
                <w:rFonts w:cs="Times New Roman"/>
                <w:b/>
              </w:rPr>
              <w:t>φ [°]</w:t>
            </w:r>
          </w:p>
        </w:tc>
        <w:tc>
          <w:tcPr>
            <w:tcW w:w="2541" w:type="dxa"/>
            <w:vAlign w:val="center"/>
          </w:tcPr>
          <w:p w:rsidR="007E387D" w:rsidRPr="005A1430" w:rsidRDefault="007E387D" w:rsidP="003E62DB">
            <w:pPr>
              <w:spacing w:line="240" w:lineRule="auto"/>
              <w:jc w:val="center"/>
              <w:rPr>
                <w:b/>
              </w:rPr>
            </w:pPr>
            <w:r w:rsidRPr="005A1430">
              <w:rPr>
                <w:b/>
              </w:rPr>
              <w:t xml:space="preserve">A [mm] / </w:t>
            </w:r>
            <w:r w:rsidRPr="005A1430">
              <w:rPr>
                <w:rFonts w:cs="Times New Roman"/>
                <w:b/>
              </w:rPr>
              <w:t>φ [°]</w:t>
            </w:r>
          </w:p>
        </w:tc>
      </w:tr>
      <w:tr w:rsidR="00463298" w:rsidTr="00CE3BDA">
        <w:trPr>
          <w:trHeight w:val="454"/>
          <w:jc w:val="center"/>
        </w:trPr>
        <w:tc>
          <w:tcPr>
            <w:tcW w:w="1440" w:type="dxa"/>
            <w:vAlign w:val="center"/>
          </w:tcPr>
          <w:p w:rsidR="00463298" w:rsidRDefault="00463298" w:rsidP="003E62DB">
            <w:pPr>
              <w:spacing w:line="240" w:lineRule="auto"/>
              <w:jc w:val="center"/>
              <w:rPr>
                <w:sz w:val="22"/>
              </w:rPr>
            </w:pPr>
          </w:p>
        </w:tc>
        <w:tc>
          <w:tcPr>
            <w:tcW w:w="7622" w:type="dxa"/>
            <w:gridSpan w:val="3"/>
            <w:vAlign w:val="center"/>
          </w:tcPr>
          <w:p w:rsidR="00463298" w:rsidRPr="00B77AC8" w:rsidRDefault="00463298" w:rsidP="003E62DB">
            <w:pPr>
              <w:spacing w:line="240" w:lineRule="auto"/>
              <w:jc w:val="center"/>
              <w:rPr>
                <w:sz w:val="22"/>
              </w:rPr>
            </w:pPr>
            <w:r w:rsidRPr="00CE3BDA">
              <w:t>Annual</w:t>
            </w:r>
          </w:p>
        </w:tc>
      </w:tr>
      <w:tr w:rsidR="007E387D" w:rsidTr="00CE3BDA">
        <w:trPr>
          <w:trHeight w:val="340"/>
          <w:jc w:val="center"/>
        </w:trPr>
        <w:tc>
          <w:tcPr>
            <w:tcW w:w="1440" w:type="dxa"/>
            <w:vAlign w:val="center"/>
          </w:tcPr>
          <w:p w:rsidR="007E387D" w:rsidRPr="00822180" w:rsidRDefault="007E387D" w:rsidP="003E62DB">
            <w:pPr>
              <w:spacing w:line="240" w:lineRule="auto"/>
              <w:jc w:val="center"/>
              <w:rPr>
                <w:sz w:val="22"/>
              </w:rPr>
            </w:pPr>
            <w:r w:rsidRPr="00822180">
              <w:rPr>
                <w:sz w:val="22"/>
              </w:rPr>
              <w:t>GNSS-NSH</w:t>
            </w:r>
          </w:p>
        </w:tc>
        <w:tc>
          <w:tcPr>
            <w:tcW w:w="2540" w:type="dxa"/>
            <w:vAlign w:val="center"/>
          </w:tcPr>
          <w:p w:rsidR="007E387D" w:rsidRPr="00822180" w:rsidRDefault="007E387D" w:rsidP="003E62DB">
            <w:pPr>
              <w:spacing w:line="240" w:lineRule="auto"/>
              <w:jc w:val="center"/>
              <w:rPr>
                <w:sz w:val="22"/>
              </w:rPr>
            </w:pPr>
            <w:r w:rsidRPr="00822180">
              <w:rPr>
                <w:sz w:val="22"/>
              </w:rPr>
              <w:t xml:space="preserve">1.6 </w:t>
            </w:r>
            <w:r w:rsidRPr="00822180">
              <w:rPr>
                <w:rFonts w:cs="Times New Roman"/>
                <w:sz w:val="22"/>
              </w:rPr>
              <w:t>± 0.1 / 26 ± 3</w:t>
            </w:r>
          </w:p>
        </w:tc>
        <w:tc>
          <w:tcPr>
            <w:tcW w:w="2541" w:type="dxa"/>
            <w:vAlign w:val="center"/>
          </w:tcPr>
          <w:p w:rsidR="007E387D" w:rsidRPr="00822180" w:rsidRDefault="007E387D" w:rsidP="003E62DB">
            <w:pPr>
              <w:spacing w:line="240" w:lineRule="auto"/>
              <w:jc w:val="center"/>
              <w:rPr>
                <w:sz w:val="22"/>
              </w:rPr>
            </w:pPr>
            <w:r w:rsidRPr="00822180">
              <w:rPr>
                <w:sz w:val="22"/>
              </w:rPr>
              <w:t xml:space="preserve">3.7 </w:t>
            </w:r>
            <w:r w:rsidRPr="00822180">
              <w:rPr>
                <w:rFonts w:cs="Times New Roman"/>
                <w:sz w:val="22"/>
              </w:rPr>
              <w:t>± 0.1 / 303 ± 1</w:t>
            </w:r>
          </w:p>
        </w:tc>
        <w:tc>
          <w:tcPr>
            <w:tcW w:w="2541" w:type="dxa"/>
            <w:vAlign w:val="center"/>
          </w:tcPr>
          <w:p w:rsidR="007E387D" w:rsidRPr="00822180" w:rsidRDefault="007E387D" w:rsidP="003E62DB">
            <w:pPr>
              <w:spacing w:line="240" w:lineRule="auto"/>
              <w:jc w:val="center"/>
              <w:rPr>
                <w:sz w:val="22"/>
              </w:rPr>
            </w:pPr>
            <w:r w:rsidRPr="00822180">
              <w:rPr>
                <w:sz w:val="22"/>
              </w:rPr>
              <w:t xml:space="preserve">2.0 </w:t>
            </w:r>
            <w:r w:rsidRPr="00822180">
              <w:rPr>
                <w:rFonts w:cs="Times New Roman"/>
                <w:sz w:val="22"/>
              </w:rPr>
              <w:t>± 0.3 / 47 ± 7</w:t>
            </w:r>
          </w:p>
        </w:tc>
      </w:tr>
      <w:tr w:rsidR="007E387D" w:rsidTr="00CE3BDA">
        <w:trPr>
          <w:trHeight w:val="340"/>
          <w:jc w:val="center"/>
        </w:trPr>
        <w:tc>
          <w:tcPr>
            <w:tcW w:w="1440" w:type="dxa"/>
            <w:vAlign w:val="center"/>
          </w:tcPr>
          <w:p w:rsidR="007E387D" w:rsidRPr="00822180" w:rsidRDefault="00077FCA" w:rsidP="003E62DB">
            <w:pPr>
              <w:spacing w:line="240" w:lineRule="auto"/>
              <w:jc w:val="center"/>
              <w:rPr>
                <w:sz w:val="22"/>
              </w:rPr>
            </w:pPr>
            <w:r w:rsidRPr="00822180">
              <w:rPr>
                <w:sz w:val="22"/>
              </w:rPr>
              <w:t>CM</w:t>
            </w:r>
            <w:r w:rsidR="007E387D" w:rsidRPr="00822180">
              <w:rPr>
                <w:sz w:val="22"/>
              </w:rPr>
              <w:t>-1</w:t>
            </w:r>
          </w:p>
        </w:tc>
        <w:tc>
          <w:tcPr>
            <w:tcW w:w="2540" w:type="dxa"/>
            <w:vAlign w:val="center"/>
          </w:tcPr>
          <w:p w:rsidR="007E387D" w:rsidRPr="00822180" w:rsidRDefault="007E387D" w:rsidP="003E62DB">
            <w:pPr>
              <w:spacing w:line="240" w:lineRule="auto"/>
              <w:jc w:val="center"/>
              <w:rPr>
                <w:sz w:val="22"/>
              </w:rPr>
            </w:pPr>
            <w:r w:rsidRPr="00822180">
              <w:rPr>
                <w:sz w:val="22"/>
              </w:rPr>
              <w:t>1.</w:t>
            </w:r>
            <w:r w:rsidR="00223C9F" w:rsidRPr="00822180">
              <w:rPr>
                <w:sz w:val="22"/>
              </w:rPr>
              <w:t>0</w:t>
            </w:r>
            <w:r w:rsidRPr="00822180">
              <w:rPr>
                <w:sz w:val="22"/>
              </w:rPr>
              <w:t xml:space="preserve"> </w:t>
            </w:r>
            <w:r w:rsidRPr="00822180">
              <w:rPr>
                <w:rFonts w:cs="Times New Roman"/>
                <w:sz w:val="22"/>
              </w:rPr>
              <w:t>± 0.</w:t>
            </w:r>
            <w:r w:rsidR="00223C9F" w:rsidRPr="00822180">
              <w:rPr>
                <w:rFonts w:cs="Times New Roman"/>
                <w:sz w:val="22"/>
              </w:rPr>
              <w:t>0</w:t>
            </w:r>
            <w:r w:rsidRPr="00822180">
              <w:rPr>
                <w:rFonts w:cs="Times New Roman"/>
                <w:sz w:val="22"/>
              </w:rPr>
              <w:t xml:space="preserve"> / 29 ± 2</w:t>
            </w:r>
          </w:p>
        </w:tc>
        <w:tc>
          <w:tcPr>
            <w:tcW w:w="2541" w:type="dxa"/>
            <w:vAlign w:val="center"/>
          </w:tcPr>
          <w:p w:rsidR="007E387D" w:rsidRPr="00822180" w:rsidRDefault="00DB4C96" w:rsidP="003E62DB">
            <w:pPr>
              <w:spacing w:line="240" w:lineRule="auto"/>
              <w:jc w:val="center"/>
              <w:rPr>
                <w:sz w:val="22"/>
              </w:rPr>
            </w:pPr>
            <w:r w:rsidRPr="00822180">
              <w:rPr>
                <w:sz w:val="22"/>
              </w:rPr>
              <w:t>2</w:t>
            </w:r>
            <w:r w:rsidR="007E387D" w:rsidRPr="00822180">
              <w:rPr>
                <w:sz w:val="22"/>
              </w:rPr>
              <w:t>.</w:t>
            </w:r>
            <w:r w:rsidRPr="00822180">
              <w:rPr>
                <w:sz w:val="22"/>
              </w:rPr>
              <w:t>1</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314 ± 1</w:t>
            </w:r>
          </w:p>
        </w:tc>
        <w:tc>
          <w:tcPr>
            <w:tcW w:w="2541" w:type="dxa"/>
            <w:vAlign w:val="center"/>
          </w:tcPr>
          <w:p w:rsidR="007E387D" w:rsidRPr="00822180" w:rsidRDefault="00DB4C96" w:rsidP="003E62DB">
            <w:pPr>
              <w:spacing w:line="240" w:lineRule="auto"/>
              <w:jc w:val="center"/>
              <w:rPr>
                <w:sz w:val="22"/>
              </w:rPr>
            </w:pPr>
            <w:r w:rsidRPr="00822180">
              <w:rPr>
                <w:sz w:val="22"/>
              </w:rPr>
              <w:t>4</w:t>
            </w:r>
            <w:r w:rsidR="007E387D" w:rsidRPr="00822180">
              <w:rPr>
                <w:sz w:val="22"/>
              </w:rPr>
              <w:t>.</w:t>
            </w:r>
            <w:r w:rsidRPr="00822180">
              <w:rPr>
                <w:sz w:val="22"/>
              </w:rPr>
              <w:t>4</w:t>
            </w:r>
            <w:r w:rsidR="007E387D" w:rsidRPr="00822180">
              <w:rPr>
                <w:sz w:val="22"/>
              </w:rPr>
              <w:t xml:space="preserve"> </w:t>
            </w:r>
            <w:r w:rsidR="007E387D" w:rsidRPr="00822180">
              <w:rPr>
                <w:rFonts w:cs="Times New Roman"/>
                <w:sz w:val="22"/>
              </w:rPr>
              <w:t>± 0.</w:t>
            </w:r>
            <w:r w:rsidRPr="00822180">
              <w:rPr>
                <w:rFonts w:cs="Times New Roman"/>
                <w:sz w:val="22"/>
              </w:rPr>
              <w:t>1</w:t>
            </w:r>
            <w:r w:rsidR="007E387D" w:rsidRPr="00822180">
              <w:rPr>
                <w:rFonts w:cs="Times New Roman"/>
                <w:sz w:val="22"/>
              </w:rPr>
              <w:t xml:space="preserve"> / 28 ± 1</w:t>
            </w:r>
          </w:p>
        </w:tc>
      </w:tr>
      <w:tr w:rsidR="007E387D" w:rsidTr="00CE3BDA">
        <w:trPr>
          <w:trHeight w:val="340"/>
          <w:jc w:val="center"/>
        </w:trPr>
        <w:tc>
          <w:tcPr>
            <w:tcW w:w="1440" w:type="dxa"/>
            <w:vAlign w:val="center"/>
          </w:tcPr>
          <w:p w:rsidR="007E387D" w:rsidRPr="00822180" w:rsidRDefault="00077FCA" w:rsidP="003E62DB">
            <w:pPr>
              <w:spacing w:line="240" w:lineRule="auto"/>
              <w:jc w:val="center"/>
              <w:rPr>
                <w:sz w:val="22"/>
              </w:rPr>
            </w:pPr>
            <w:r w:rsidRPr="00822180">
              <w:rPr>
                <w:sz w:val="22"/>
              </w:rPr>
              <w:t>CM</w:t>
            </w:r>
            <w:r w:rsidR="007E387D" w:rsidRPr="00822180">
              <w:rPr>
                <w:sz w:val="22"/>
              </w:rPr>
              <w:t>-2</w:t>
            </w:r>
          </w:p>
        </w:tc>
        <w:tc>
          <w:tcPr>
            <w:tcW w:w="2540" w:type="dxa"/>
            <w:vAlign w:val="center"/>
          </w:tcPr>
          <w:p w:rsidR="007E387D" w:rsidRPr="00822180" w:rsidRDefault="00DB4C96" w:rsidP="003E62DB">
            <w:pPr>
              <w:spacing w:line="240" w:lineRule="auto"/>
              <w:jc w:val="center"/>
              <w:rPr>
                <w:sz w:val="22"/>
              </w:rPr>
            </w:pPr>
            <w:r w:rsidRPr="00822180">
              <w:rPr>
                <w:sz w:val="22"/>
              </w:rPr>
              <w:t>0.8</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46 ± 2</w:t>
            </w:r>
          </w:p>
        </w:tc>
        <w:tc>
          <w:tcPr>
            <w:tcW w:w="2541" w:type="dxa"/>
            <w:vAlign w:val="center"/>
          </w:tcPr>
          <w:p w:rsidR="007E387D" w:rsidRPr="00822180" w:rsidRDefault="00DB4C96" w:rsidP="003E62DB">
            <w:pPr>
              <w:spacing w:line="240" w:lineRule="auto"/>
              <w:jc w:val="center"/>
              <w:rPr>
                <w:sz w:val="22"/>
              </w:rPr>
            </w:pPr>
            <w:r w:rsidRPr="00822180">
              <w:rPr>
                <w:sz w:val="22"/>
              </w:rPr>
              <w:t>1</w:t>
            </w:r>
            <w:r w:rsidR="007E387D" w:rsidRPr="00822180">
              <w:rPr>
                <w:sz w:val="22"/>
              </w:rPr>
              <w:t>.</w:t>
            </w:r>
            <w:r w:rsidRPr="00822180">
              <w:rPr>
                <w:sz w:val="22"/>
              </w:rPr>
              <w:t>8</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313 ± 1</w:t>
            </w:r>
          </w:p>
        </w:tc>
        <w:tc>
          <w:tcPr>
            <w:tcW w:w="2541" w:type="dxa"/>
            <w:vAlign w:val="center"/>
          </w:tcPr>
          <w:p w:rsidR="007E387D" w:rsidRPr="00822180" w:rsidRDefault="00DB4C96" w:rsidP="003E62DB">
            <w:pPr>
              <w:spacing w:line="240" w:lineRule="auto"/>
              <w:jc w:val="center"/>
              <w:rPr>
                <w:sz w:val="22"/>
              </w:rPr>
            </w:pPr>
            <w:r w:rsidRPr="00822180">
              <w:rPr>
                <w:sz w:val="22"/>
              </w:rPr>
              <w:t>3</w:t>
            </w:r>
            <w:r w:rsidR="007E387D" w:rsidRPr="00822180">
              <w:rPr>
                <w:sz w:val="22"/>
              </w:rPr>
              <w:t>.</w:t>
            </w:r>
            <w:r w:rsidRPr="00822180">
              <w:rPr>
                <w:sz w:val="22"/>
              </w:rPr>
              <w:t>4</w:t>
            </w:r>
            <w:r w:rsidR="007E387D" w:rsidRPr="00822180">
              <w:rPr>
                <w:sz w:val="22"/>
              </w:rPr>
              <w:t xml:space="preserve"> </w:t>
            </w:r>
            <w:r w:rsidR="007E387D" w:rsidRPr="00822180">
              <w:rPr>
                <w:rFonts w:cs="Times New Roman"/>
                <w:sz w:val="22"/>
              </w:rPr>
              <w:t>± 0.</w:t>
            </w:r>
            <w:r w:rsidRPr="00822180">
              <w:rPr>
                <w:rFonts w:cs="Times New Roman"/>
                <w:sz w:val="22"/>
              </w:rPr>
              <w:t>1</w:t>
            </w:r>
            <w:r w:rsidR="007E387D" w:rsidRPr="00822180">
              <w:rPr>
                <w:rFonts w:cs="Times New Roman"/>
                <w:sz w:val="22"/>
              </w:rPr>
              <w:t xml:space="preserve"> / 28 ± 1</w:t>
            </w:r>
          </w:p>
        </w:tc>
      </w:tr>
      <w:tr w:rsidR="007E387D" w:rsidTr="00CE3BDA">
        <w:trPr>
          <w:trHeight w:val="340"/>
          <w:jc w:val="center"/>
        </w:trPr>
        <w:tc>
          <w:tcPr>
            <w:tcW w:w="1440" w:type="dxa"/>
            <w:vAlign w:val="center"/>
          </w:tcPr>
          <w:p w:rsidR="007E387D" w:rsidRPr="00822180" w:rsidRDefault="00077FCA" w:rsidP="003E62DB">
            <w:pPr>
              <w:spacing w:line="240" w:lineRule="auto"/>
              <w:jc w:val="center"/>
              <w:rPr>
                <w:sz w:val="22"/>
              </w:rPr>
            </w:pPr>
            <w:r w:rsidRPr="00822180">
              <w:rPr>
                <w:sz w:val="22"/>
              </w:rPr>
              <w:t>CM</w:t>
            </w:r>
            <w:r w:rsidR="007E387D" w:rsidRPr="00822180">
              <w:rPr>
                <w:sz w:val="22"/>
              </w:rPr>
              <w:t>-3</w:t>
            </w:r>
          </w:p>
        </w:tc>
        <w:tc>
          <w:tcPr>
            <w:tcW w:w="2540" w:type="dxa"/>
            <w:vAlign w:val="center"/>
          </w:tcPr>
          <w:p w:rsidR="007E387D" w:rsidRPr="00822180" w:rsidRDefault="007E387D" w:rsidP="003E62DB">
            <w:pPr>
              <w:spacing w:line="240" w:lineRule="auto"/>
              <w:jc w:val="center"/>
              <w:rPr>
                <w:sz w:val="22"/>
              </w:rPr>
            </w:pPr>
            <w:r w:rsidRPr="00822180">
              <w:rPr>
                <w:sz w:val="22"/>
              </w:rPr>
              <w:t>1.</w:t>
            </w:r>
            <w:r w:rsidR="00DB4C96" w:rsidRPr="00822180">
              <w:rPr>
                <w:sz w:val="22"/>
              </w:rPr>
              <w:t>1</w:t>
            </w:r>
            <w:r w:rsidRPr="00822180">
              <w:rPr>
                <w:sz w:val="22"/>
              </w:rPr>
              <w:t xml:space="preserve"> </w:t>
            </w:r>
            <w:r w:rsidRPr="00822180">
              <w:rPr>
                <w:rFonts w:cs="Times New Roman"/>
                <w:sz w:val="22"/>
              </w:rPr>
              <w:t>± 0.</w:t>
            </w:r>
            <w:r w:rsidR="00223C9F" w:rsidRPr="00822180">
              <w:rPr>
                <w:rFonts w:cs="Times New Roman"/>
                <w:sz w:val="22"/>
              </w:rPr>
              <w:t>0</w:t>
            </w:r>
            <w:r w:rsidRPr="00822180">
              <w:rPr>
                <w:rFonts w:cs="Times New Roman"/>
                <w:sz w:val="22"/>
              </w:rPr>
              <w:t xml:space="preserve"> / 68 ± 2</w:t>
            </w:r>
          </w:p>
        </w:tc>
        <w:tc>
          <w:tcPr>
            <w:tcW w:w="2541" w:type="dxa"/>
            <w:vAlign w:val="center"/>
          </w:tcPr>
          <w:p w:rsidR="007E387D" w:rsidRPr="00822180" w:rsidRDefault="00DB4C96" w:rsidP="003E62DB">
            <w:pPr>
              <w:spacing w:line="240" w:lineRule="auto"/>
              <w:jc w:val="center"/>
              <w:rPr>
                <w:sz w:val="22"/>
              </w:rPr>
            </w:pPr>
            <w:r w:rsidRPr="00822180">
              <w:rPr>
                <w:sz w:val="22"/>
              </w:rPr>
              <w:t>1</w:t>
            </w:r>
            <w:r w:rsidR="007E387D" w:rsidRPr="00822180">
              <w:rPr>
                <w:sz w:val="22"/>
              </w:rPr>
              <w:t>.</w:t>
            </w:r>
            <w:r w:rsidRPr="00822180">
              <w:rPr>
                <w:sz w:val="22"/>
              </w:rPr>
              <w:t>6</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312 ± 1</w:t>
            </w:r>
          </w:p>
        </w:tc>
        <w:tc>
          <w:tcPr>
            <w:tcW w:w="2541" w:type="dxa"/>
            <w:vAlign w:val="center"/>
          </w:tcPr>
          <w:p w:rsidR="007E387D" w:rsidRPr="00822180" w:rsidRDefault="00DB4C96" w:rsidP="003E62DB">
            <w:pPr>
              <w:spacing w:line="240" w:lineRule="auto"/>
              <w:jc w:val="center"/>
              <w:rPr>
                <w:sz w:val="22"/>
              </w:rPr>
            </w:pPr>
            <w:r w:rsidRPr="00822180">
              <w:rPr>
                <w:sz w:val="22"/>
              </w:rPr>
              <w:t>3</w:t>
            </w:r>
            <w:r w:rsidR="007E387D" w:rsidRPr="00822180">
              <w:rPr>
                <w:sz w:val="22"/>
              </w:rPr>
              <w:t>.</w:t>
            </w:r>
            <w:r w:rsidRPr="00822180">
              <w:rPr>
                <w:sz w:val="22"/>
              </w:rPr>
              <w:t>9</w:t>
            </w:r>
            <w:r w:rsidR="007E387D" w:rsidRPr="00822180">
              <w:rPr>
                <w:sz w:val="22"/>
              </w:rPr>
              <w:t xml:space="preserve"> </w:t>
            </w:r>
            <w:r w:rsidR="007E387D" w:rsidRPr="00822180">
              <w:rPr>
                <w:rFonts w:cs="Times New Roman"/>
                <w:sz w:val="22"/>
              </w:rPr>
              <w:t>± 0.</w:t>
            </w:r>
            <w:r w:rsidRPr="00822180">
              <w:rPr>
                <w:rFonts w:cs="Times New Roman"/>
                <w:sz w:val="22"/>
              </w:rPr>
              <w:t>1</w:t>
            </w:r>
            <w:r w:rsidR="007E387D" w:rsidRPr="00822180">
              <w:rPr>
                <w:rFonts w:cs="Times New Roman"/>
                <w:sz w:val="22"/>
              </w:rPr>
              <w:t xml:space="preserve"> / 33 ± 1</w:t>
            </w:r>
          </w:p>
        </w:tc>
      </w:tr>
      <w:tr w:rsidR="007E387D" w:rsidTr="00CE3BDA">
        <w:trPr>
          <w:trHeight w:val="340"/>
          <w:jc w:val="center"/>
        </w:trPr>
        <w:tc>
          <w:tcPr>
            <w:tcW w:w="1440" w:type="dxa"/>
            <w:vAlign w:val="center"/>
          </w:tcPr>
          <w:p w:rsidR="007E387D" w:rsidRPr="00822180" w:rsidRDefault="00077FCA" w:rsidP="003E62DB">
            <w:pPr>
              <w:spacing w:line="240" w:lineRule="auto"/>
              <w:jc w:val="center"/>
              <w:rPr>
                <w:sz w:val="22"/>
              </w:rPr>
            </w:pPr>
            <w:r w:rsidRPr="00822180">
              <w:rPr>
                <w:sz w:val="22"/>
              </w:rPr>
              <w:t>CM</w:t>
            </w:r>
            <w:r w:rsidR="007E387D" w:rsidRPr="00822180">
              <w:rPr>
                <w:sz w:val="22"/>
              </w:rPr>
              <w:t>-4</w:t>
            </w:r>
          </w:p>
        </w:tc>
        <w:tc>
          <w:tcPr>
            <w:tcW w:w="2540" w:type="dxa"/>
            <w:vAlign w:val="center"/>
          </w:tcPr>
          <w:p w:rsidR="007E387D" w:rsidRPr="00822180" w:rsidRDefault="00DB4C96" w:rsidP="003E62DB">
            <w:pPr>
              <w:spacing w:line="240" w:lineRule="auto"/>
              <w:jc w:val="center"/>
              <w:rPr>
                <w:sz w:val="22"/>
              </w:rPr>
            </w:pPr>
            <w:r w:rsidRPr="00822180">
              <w:rPr>
                <w:sz w:val="22"/>
              </w:rPr>
              <w:t>0.7</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52 ± 2</w:t>
            </w:r>
          </w:p>
        </w:tc>
        <w:tc>
          <w:tcPr>
            <w:tcW w:w="2541" w:type="dxa"/>
            <w:vAlign w:val="center"/>
          </w:tcPr>
          <w:p w:rsidR="007E387D" w:rsidRPr="00822180" w:rsidRDefault="00DB4C96" w:rsidP="003E62DB">
            <w:pPr>
              <w:spacing w:line="240" w:lineRule="auto"/>
              <w:jc w:val="center"/>
              <w:rPr>
                <w:sz w:val="22"/>
              </w:rPr>
            </w:pPr>
            <w:r w:rsidRPr="00822180">
              <w:rPr>
                <w:sz w:val="22"/>
              </w:rPr>
              <w:t>1</w:t>
            </w:r>
            <w:r w:rsidR="007E387D" w:rsidRPr="00822180">
              <w:rPr>
                <w:sz w:val="22"/>
              </w:rPr>
              <w:t>.</w:t>
            </w:r>
            <w:r w:rsidRPr="00822180">
              <w:rPr>
                <w:sz w:val="22"/>
              </w:rPr>
              <w:t>7</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320 ± 1</w:t>
            </w:r>
          </w:p>
        </w:tc>
        <w:tc>
          <w:tcPr>
            <w:tcW w:w="2541" w:type="dxa"/>
            <w:vAlign w:val="center"/>
          </w:tcPr>
          <w:p w:rsidR="007E387D" w:rsidRPr="00822180" w:rsidRDefault="00DB4C96" w:rsidP="003E62DB">
            <w:pPr>
              <w:spacing w:line="240" w:lineRule="auto"/>
              <w:jc w:val="center"/>
              <w:rPr>
                <w:sz w:val="22"/>
              </w:rPr>
            </w:pPr>
            <w:r w:rsidRPr="00822180">
              <w:rPr>
                <w:sz w:val="22"/>
              </w:rPr>
              <w:t>3</w:t>
            </w:r>
            <w:r w:rsidR="007E387D" w:rsidRPr="00822180">
              <w:rPr>
                <w:sz w:val="22"/>
              </w:rPr>
              <w:t>.</w:t>
            </w:r>
            <w:r w:rsidRPr="00822180">
              <w:rPr>
                <w:sz w:val="22"/>
              </w:rPr>
              <w:t>2</w:t>
            </w:r>
            <w:r w:rsidR="007E387D" w:rsidRPr="00822180">
              <w:rPr>
                <w:sz w:val="22"/>
              </w:rPr>
              <w:t xml:space="preserve"> </w:t>
            </w:r>
            <w:r w:rsidR="007E387D" w:rsidRPr="00822180">
              <w:rPr>
                <w:rFonts w:cs="Times New Roman"/>
                <w:sz w:val="22"/>
              </w:rPr>
              <w:t>± 0.</w:t>
            </w:r>
            <w:r w:rsidRPr="00822180">
              <w:rPr>
                <w:rFonts w:cs="Times New Roman"/>
                <w:sz w:val="22"/>
              </w:rPr>
              <w:t>1</w:t>
            </w:r>
            <w:r w:rsidR="007E387D" w:rsidRPr="00822180">
              <w:rPr>
                <w:rFonts w:cs="Times New Roman"/>
                <w:sz w:val="22"/>
              </w:rPr>
              <w:t xml:space="preserve"> / 27 ± 1</w:t>
            </w:r>
          </w:p>
        </w:tc>
      </w:tr>
      <w:tr w:rsidR="007E387D" w:rsidTr="00CE3BDA">
        <w:trPr>
          <w:trHeight w:val="340"/>
          <w:jc w:val="center"/>
        </w:trPr>
        <w:tc>
          <w:tcPr>
            <w:tcW w:w="1440" w:type="dxa"/>
            <w:vAlign w:val="center"/>
          </w:tcPr>
          <w:p w:rsidR="007E387D" w:rsidRPr="00822180" w:rsidRDefault="00077FCA" w:rsidP="003E62DB">
            <w:pPr>
              <w:spacing w:line="240" w:lineRule="auto"/>
              <w:jc w:val="center"/>
              <w:rPr>
                <w:sz w:val="22"/>
              </w:rPr>
            </w:pPr>
            <w:r w:rsidRPr="00822180">
              <w:rPr>
                <w:sz w:val="22"/>
              </w:rPr>
              <w:t>CM</w:t>
            </w:r>
            <w:r w:rsidR="007E387D" w:rsidRPr="00822180">
              <w:rPr>
                <w:sz w:val="22"/>
              </w:rPr>
              <w:t>-5</w:t>
            </w:r>
          </w:p>
        </w:tc>
        <w:tc>
          <w:tcPr>
            <w:tcW w:w="2540" w:type="dxa"/>
            <w:vAlign w:val="center"/>
          </w:tcPr>
          <w:p w:rsidR="007E387D" w:rsidRPr="00822180" w:rsidRDefault="00DB4C96" w:rsidP="003E62DB">
            <w:pPr>
              <w:spacing w:line="240" w:lineRule="auto"/>
              <w:jc w:val="center"/>
              <w:rPr>
                <w:sz w:val="22"/>
              </w:rPr>
            </w:pPr>
            <w:r w:rsidRPr="00822180">
              <w:rPr>
                <w:sz w:val="22"/>
              </w:rPr>
              <w:t>0.6</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41 ± 3</w:t>
            </w:r>
          </w:p>
        </w:tc>
        <w:tc>
          <w:tcPr>
            <w:tcW w:w="2541" w:type="dxa"/>
            <w:vAlign w:val="center"/>
          </w:tcPr>
          <w:p w:rsidR="007E387D" w:rsidRPr="00822180" w:rsidRDefault="00DB4C96" w:rsidP="003E62DB">
            <w:pPr>
              <w:spacing w:line="240" w:lineRule="auto"/>
              <w:jc w:val="center"/>
              <w:rPr>
                <w:sz w:val="22"/>
              </w:rPr>
            </w:pPr>
            <w:r w:rsidRPr="00822180">
              <w:rPr>
                <w:sz w:val="22"/>
              </w:rPr>
              <w:t>1</w:t>
            </w:r>
            <w:r w:rsidR="007E387D" w:rsidRPr="00822180">
              <w:rPr>
                <w:sz w:val="22"/>
              </w:rPr>
              <w:t>.</w:t>
            </w:r>
            <w:r w:rsidRPr="00822180">
              <w:rPr>
                <w:sz w:val="22"/>
              </w:rPr>
              <w:t>8</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316 ± 1</w:t>
            </w:r>
          </w:p>
        </w:tc>
        <w:tc>
          <w:tcPr>
            <w:tcW w:w="2541" w:type="dxa"/>
            <w:vAlign w:val="center"/>
          </w:tcPr>
          <w:p w:rsidR="007E387D" w:rsidRPr="00822180" w:rsidRDefault="00DB4C96" w:rsidP="003E62DB">
            <w:pPr>
              <w:spacing w:line="240" w:lineRule="auto"/>
              <w:jc w:val="center"/>
              <w:rPr>
                <w:sz w:val="22"/>
              </w:rPr>
            </w:pPr>
            <w:r w:rsidRPr="00822180">
              <w:rPr>
                <w:sz w:val="22"/>
              </w:rPr>
              <w:t>3</w:t>
            </w:r>
            <w:r w:rsidR="007E387D" w:rsidRPr="00822180">
              <w:rPr>
                <w:sz w:val="22"/>
              </w:rPr>
              <w:t>.</w:t>
            </w:r>
            <w:r w:rsidRPr="00822180">
              <w:rPr>
                <w:sz w:val="22"/>
              </w:rPr>
              <w:t>2</w:t>
            </w:r>
            <w:r w:rsidR="007E387D" w:rsidRPr="00822180">
              <w:rPr>
                <w:sz w:val="22"/>
              </w:rPr>
              <w:t xml:space="preserve"> </w:t>
            </w:r>
            <w:r w:rsidR="007E387D" w:rsidRPr="00822180">
              <w:rPr>
                <w:rFonts w:cs="Times New Roman"/>
                <w:sz w:val="22"/>
              </w:rPr>
              <w:t>± 0.</w:t>
            </w:r>
            <w:r w:rsidRPr="00822180">
              <w:rPr>
                <w:rFonts w:cs="Times New Roman"/>
                <w:sz w:val="22"/>
              </w:rPr>
              <w:t>1</w:t>
            </w:r>
            <w:r w:rsidR="007E387D" w:rsidRPr="00822180">
              <w:rPr>
                <w:rFonts w:cs="Times New Roman"/>
                <w:sz w:val="22"/>
              </w:rPr>
              <w:t xml:space="preserve"> / 25 ± 1</w:t>
            </w:r>
          </w:p>
        </w:tc>
      </w:tr>
      <w:tr w:rsidR="007E387D" w:rsidTr="00CE3BDA">
        <w:trPr>
          <w:trHeight w:val="340"/>
          <w:jc w:val="center"/>
        </w:trPr>
        <w:tc>
          <w:tcPr>
            <w:tcW w:w="1440" w:type="dxa"/>
            <w:vAlign w:val="center"/>
          </w:tcPr>
          <w:p w:rsidR="007E387D" w:rsidRPr="00822180" w:rsidRDefault="00077FCA" w:rsidP="003E62DB">
            <w:pPr>
              <w:spacing w:line="240" w:lineRule="auto"/>
              <w:jc w:val="center"/>
              <w:rPr>
                <w:sz w:val="22"/>
              </w:rPr>
            </w:pPr>
            <w:r w:rsidRPr="00822180">
              <w:rPr>
                <w:sz w:val="22"/>
              </w:rPr>
              <w:t>CM</w:t>
            </w:r>
            <w:r w:rsidR="007E387D" w:rsidRPr="00822180">
              <w:rPr>
                <w:sz w:val="22"/>
              </w:rPr>
              <w:t>-6</w:t>
            </w:r>
          </w:p>
        </w:tc>
        <w:tc>
          <w:tcPr>
            <w:tcW w:w="2540" w:type="dxa"/>
            <w:vAlign w:val="center"/>
          </w:tcPr>
          <w:p w:rsidR="007E387D" w:rsidRPr="00822180" w:rsidRDefault="007E387D" w:rsidP="003E62DB">
            <w:pPr>
              <w:spacing w:line="240" w:lineRule="auto"/>
              <w:jc w:val="center"/>
              <w:rPr>
                <w:sz w:val="22"/>
              </w:rPr>
            </w:pPr>
            <w:r w:rsidRPr="00822180">
              <w:rPr>
                <w:sz w:val="22"/>
              </w:rPr>
              <w:t>0.</w:t>
            </w:r>
            <w:r w:rsidR="00DB4C96" w:rsidRPr="00822180">
              <w:rPr>
                <w:sz w:val="22"/>
              </w:rPr>
              <w:t>5</w:t>
            </w:r>
            <w:r w:rsidRPr="00822180">
              <w:rPr>
                <w:sz w:val="22"/>
              </w:rPr>
              <w:t xml:space="preserve"> </w:t>
            </w:r>
            <w:r w:rsidRPr="00822180">
              <w:rPr>
                <w:rFonts w:cs="Times New Roman"/>
                <w:sz w:val="22"/>
              </w:rPr>
              <w:t>± 0.</w:t>
            </w:r>
            <w:r w:rsidR="00223C9F" w:rsidRPr="00822180">
              <w:rPr>
                <w:rFonts w:cs="Times New Roman"/>
                <w:sz w:val="22"/>
              </w:rPr>
              <w:t>0</w:t>
            </w:r>
            <w:r w:rsidRPr="00822180">
              <w:rPr>
                <w:rFonts w:cs="Times New Roman"/>
                <w:sz w:val="22"/>
              </w:rPr>
              <w:t xml:space="preserve"> / 57 ± 4</w:t>
            </w:r>
          </w:p>
        </w:tc>
        <w:tc>
          <w:tcPr>
            <w:tcW w:w="2541" w:type="dxa"/>
            <w:vAlign w:val="center"/>
          </w:tcPr>
          <w:p w:rsidR="007E387D" w:rsidRPr="00822180" w:rsidRDefault="00DB4C96" w:rsidP="003E62DB">
            <w:pPr>
              <w:spacing w:line="240" w:lineRule="auto"/>
              <w:jc w:val="center"/>
              <w:rPr>
                <w:sz w:val="22"/>
              </w:rPr>
            </w:pPr>
            <w:r w:rsidRPr="00822180">
              <w:rPr>
                <w:sz w:val="22"/>
              </w:rPr>
              <w:t>1</w:t>
            </w:r>
            <w:r w:rsidR="007E387D" w:rsidRPr="00822180">
              <w:rPr>
                <w:sz w:val="22"/>
              </w:rPr>
              <w:t>.</w:t>
            </w:r>
            <w:r w:rsidRPr="00822180">
              <w:rPr>
                <w:sz w:val="22"/>
              </w:rPr>
              <w:t>6</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314 ± 1</w:t>
            </w:r>
          </w:p>
        </w:tc>
        <w:tc>
          <w:tcPr>
            <w:tcW w:w="2541" w:type="dxa"/>
            <w:vAlign w:val="center"/>
          </w:tcPr>
          <w:p w:rsidR="007E387D" w:rsidRPr="00822180" w:rsidRDefault="00DB4C96" w:rsidP="003E62DB">
            <w:pPr>
              <w:spacing w:line="240" w:lineRule="auto"/>
              <w:jc w:val="center"/>
              <w:rPr>
                <w:sz w:val="22"/>
              </w:rPr>
            </w:pPr>
            <w:r w:rsidRPr="00822180">
              <w:rPr>
                <w:sz w:val="22"/>
              </w:rPr>
              <w:t>2</w:t>
            </w:r>
            <w:r w:rsidR="007E387D" w:rsidRPr="00822180">
              <w:rPr>
                <w:sz w:val="22"/>
              </w:rPr>
              <w:t>.</w:t>
            </w:r>
            <w:r w:rsidRPr="00822180">
              <w:rPr>
                <w:sz w:val="22"/>
              </w:rPr>
              <w:t>9</w:t>
            </w:r>
            <w:r w:rsidR="007E387D" w:rsidRPr="00822180">
              <w:rPr>
                <w:sz w:val="22"/>
              </w:rPr>
              <w:t xml:space="preserve"> </w:t>
            </w:r>
            <w:r w:rsidR="007E387D" w:rsidRPr="00822180">
              <w:rPr>
                <w:rFonts w:cs="Times New Roman"/>
                <w:sz w:val="22"/>
              </w:rPr>
              <w:t>± 0.</w:t>
            </w:r>
            <w:r w:rsidRPr="00822180">
              <w:rPr>
                <w:rFonts w:cs="Times New Roman"/>
                <w:sz w:val="22"/>
              </w:rPr>
              <w:t>1</w:t>
            </w:r>
            <w:r w:rsidR="007E387D" w:rsidRPr="00822180">
              <w:rPr>
                <w:rFonts w:cs="Times New Roman"/>
                <w:sz w:val="22"/>
              </w:rPr>
              <w:t xml:space="preserve"> / 24 ± 1</w:t>
            </w:r>
          </w:p>
        </w:tc>
      </w:tr>
      <w:tr w:rsidR="007E387D" w:rsidTr="00CE3BDA">
        <w:trPr>
          <w:trHeight w:val="340"/>
          <w:jc w:val="center"/>
        </w:trPr>
        <w:tc>
          <w:tcPr>
            <w:tcW w:w="1440" w:type="dxa"/>
            <w:vAlign w:val="center"/>
          </w:tcPr>
          <w:p w:rsidR="007E387D" w:rsidRPr="00822180" w:rsidRDefault="00077FCA" w:rsidP="003E62DB">
            <w:pPr>
              <w:spacing w:line="240" w:lineRule="auto"/>
              <w:jc w:val="center"/>
              <w:rPr>
                <w:sz w:val="22"/>
              </w:rPr>
            </w:pPr>
            <w:r w:rsidRPr="00822180">
              <w:rPr>
                <w:sz w:val="22"/>
              </w:rPr>
              <w:t>CM</w:t>
            </w:r>
            <w:r w:rsidR="007E387D" w:rsidRPr="00822180">
              <w:rPr>
                <w:sz w:val="22"/>
              </w:rPr>
              <w:t>-7</w:t>
            </w:r>
          </w:p>
        </w:tc>
        <w:tc>
          <w:tcPr>
            <w:tcW w:w="2540" w:type="dxa"/>
            <w:vAlign w:val="center"/>
          </w:tcPr>
          <w:p w:rsidR="007E387D" w:rsidRPr="00822180" w:rsidRDefault="007E387D" w:rsidP="003E62DB">
            <w:pPr>
              <w:spacing w:line="240" w:lineRule="auto"/>
              <w:jc w:val="center"/>
              <w:rPr>
                <w:sz w:val="22"/>
              </w:rPr>
            </w:pPr>
            <w:r w:rsidRPr="00822180">
              <w:rPr>
                <w:sz w:val="22"/>
              </w:rPr>
              <w:t>0.</w:t>
            </w:r>
            <w:r w:rsidR="00DB4C96" w:rsidRPr="00822180">
              <w:rPr>
                <w:sz w:val="22"/>
              </w:rPr>
              <w:t>3</w:t>
            </w:r>
            <w:r w:rsidRPr="00822180">
              <w:rPr>
                <w:sz w:val="22"/>
              </w:rPr>
              <w:t xml:space="preserve"> </w:t>
            </w:r>
            <w:r w:rsidRPr="00822180">
              <w:rPr>
                <w:rFonts w:cs="Times New Roman"/>
                <w:sz w:val="22"/>
              </w:rPr>
              <w:t>± 0.</w:t>
            </w:r>
            <w:r w:rsidR="00223C9F" w:rsidRPr="00822180">
              <w:rPr>
                <w:rFonts w:cs="Times New Roman"/>
                <w:sz w:val="22"/>
              </w:rPr>
              <w:t>0</w:t>
            </w:r>
            <w:r w:rsidRPr="00822180">
              <w:rPr>
                <w:rFonts w:cs="Times New Roman"/>
                <w:sz w:val="22"/>
              </w:rPr>
              <w:t xml:space="preserve"> / 10 ± 7</w:t>
            </w:r>
          </w:p>
        </w:tc>
        <w:tc>
          <w:tcPr>
            <w:tcW w:w="2541" w:type="dxa"/>
            <w:vAlign w:val="center"/>
          </w:tcPr>
          <w:p w:rsidR="007E387D" w:rsidRPr="00822180" w:rsidRDefault="00DB4C96" w:rsidP="003E62DB">
            <w:pPr>
              <w:spacing w:line="240" w:lineRule="auto"/>
              <w:jc w:val="center"/>
              <w:rPr>
                <w:sz w:val="22"/>
              </w:rPr>
            </w:pPr>
            <w:r w:rsidRPr="00822180">
              <w:rPr>
                <w:sz w:val="22"/>
              </w:rPr>
              <w:t>1</w:t>
            </w:r>
            <w:r w:rsidR="007E387D" w:rsidRPr="00822180">
              <w:rPr>
                <w:sz w:val="22"/>
              </w:rPr>
              <w:t>.</w:t>
            </w:r>
            <w:r w:rsidRPr="00822180">
              <w:rPr>
                <w:sz w:val="22"/>
              </w:rPr>
              <w:t>9</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315 ± 1</w:t>
            </w:r>
          </w:p>
        </w:tc>
        <w:tc>
          <w:tcPr>
            <w:tcW w:w="2541" w:type="dxa"/>
            <w:vAlign w:val="center"/>
          </w:tcPr>
          <w:p w:rsidR="007E387D" w:rsidRPr="00822180" w:rsidRDefault="00DB4C96" w:rsidP="003E62DB">
            <w:pPr>
              <w:spacing w:line="240" w:lineRule="auto"/>
              <w:jc w:val="center"/>
              <w:rPr>
                <w:sz w:val="22"/>
              </w:rPr>
            </w:pPr>
            <w:r w:rsidRPr="00822180">
              <w:rPr>
                <w:sz w:val="22"/>
              </w:rPr>
              <w:t>2</w:t>
            </w:r>
            <w:r w:rsidR="007E387D" w:rsidRPr="00822180">
              <w:rPr>
                <w:sz w:val="22"/>
              </w:rPr>
              <w:t>.</w:t>
            </w:r>
            <w:r w:rsidRPr="00822180">
              <w:rPr>
                <w:sz w:val="22"/>
              </w:rPr>
              <w:t>7</w:t>
            </w:r>
            <w:r w:rsidR="007E387D" w:rsidRPr="00822180">
              <w:rPr>
                <w:sz w:val="22"/>
              </w:rPr>
              <w:t xml:space="preserve"> </w:t>
            </w:r>
            <w:r w:rsidR="007E387D" w:rsidRPr="00822180">
              <w:rPr>
                <w:rFonts w:cs="Times New Roman"/>
                <w:sz w:val="22"/>
              </w:rPr>
              <w:t>± 0.</w:t>
            </w:r>
            <w:r w:rsidRPr="00822180">
              <w:rPr>
                <w:rFonts w:cs="Times New Roman"/>
                <w:sz w:val="22"/>
              </w:rPr>
              <w:t>1</w:t>
            </w:r>
            <w:r w:rsidR="007E387D" w:rsidRPr="00822180">
              <w:rPr>
                <w:rFonts w:cs="Times New Roman"/>
                <w:sz w:val="22"/>
              </w:rPr>
              <w:t xml:space="preserve"> / 27 ± 1</w:t>
            </w:r>
          </w:p>
        </w:tc>
      </w:tr>
      <w:tr w:rsidR="007E387D" w:rsidTr="00CE3BDA">
        <w:trPr>
          <w:trHeight w:val="340"/>
          <w:jc w:val="center"/>
        </w:trPr>
        <w:tc>
          <w:tcPr>
            <w:tcW w:w="1440" w:type="dxa"/>
            <w:vAlign w:val="center"/>
          </w:tcPr>
          <w:p w:rsidR="007E387D" w:rsidRPr="00822180" w:rsidRDefault="00077FCA" w:rsidP="003E62DB">
            <w:pPr>
              <w:spacing w:line="240" w:lineRule="auto"/>
              <w:jc w:val="center"/>
              <w:rPr>
                <w:sz w:val="22"/>
              </w:rPr>
            </w:pPr>
            <w:r w:rsidRPr="00822180">
              <w:rPr>
                <w:sz w:val="22"/>
              </w:rPr>
              <w:t>CM</w:t>
            </w:r>
            <w:r w:rsidR="007E387D" w:rsidRPr="00822180">
              <w:rPr>
                <w:sz w:val="22"/>
              </w:rPr>
              <w:t>-8</w:t>
            </w:r>
          </w:p>
        </w:tc>
        <w:tc>
          <w:tcPr>
            <w:tcW w:w="2540" w:type="dxa"/>
            <w:vAlign w:val="center"/>
          </w:tcPr>
          <w:p w:rsidR="007E387D" w:rsidRPr="00822180" w:rsidRDefault="007E387D" w:rsidP="003E62DB">
            <w:pPr>
              <w:spacing w:line="240" w:lineRule="auto"/>
              <w:jc w:val="center"/>
              <w:rPr>
                <w:sz w:val="22"/>
              </w:rPr>
            </w:pPr>
            <w:r w:rsidRPr="00822180">
              <w:rPr>
                <w:sz w:val="22"/>
              </w:rPr>
              <w:t>0.</w:t>
            </w:r>
            <w:r w:rsidR="00DB4C96" w:rsidRPr="00822180">
              <w:rPr>
                <w:sz w:val="22"/>
              </w:rPr>
              <w:t>5</w:t>
            </w:r>
            <w:r w:rsidRPr="00822180">
              <w:rPr>
                <w:sz w:val="22"/>
              </w:rPr>
              <w:t xml:space="preserve"> </w:t>
            </w:r>
            <w:r w:rsidRPr="00822180">
              <w:rPr>
                <w:rFonts w:cs="Times New Roman"/>
                <w:sz w:val="22"/>
              </w:rPr>
              <w:t>± 0.</w:t>
            </w:r>
            <w:r w:rsidR="00223C9F" w:rsidRPr="00822180">
              <w:rPr>
                <w:rFonts w:cs="Times New Roman"/>
                <w:sz w:val="22"/>
              </w:rPr>
              <w:t>0</w:t>
            </w:r>
            <w:r w:rsidRPr="00822180">
              <w:rPr>
                <w:rFonts w:cs="Times New Roman"/>
                <w:sz w:val="22"/>
              </w:rPr>
              <w:t xml:space="preserve"> / 24 ± 4</w:t>
            </w:r>
          </w:p>
        </w:tc>
        <w:tc>
          <w:tcPr>
            <w:tcW w:w="2541" w:type="dxa"/>
            <w:vAlign w:val="center"/>
          </w:tcPr>
          <w:p w:rsidR="007E387D" w:rsidRPr="00822180" w:rsidRDefault="00DB4C96" w:rsidP="003E62DB">
            <w:pPr>
              <w:spacing w:line="240" w:lineRule="auto"/>
              <w:jc w:val="center"/>
              <w:rPr>
                <w:sz w:val="22"/>
              </w:rPr>
            </w:pPr>
            <w:r w:rsidRPr="00822180">
              <w:rPr>
                <w:sz w:val="22"/>
              </w:rPr>
              <w:t>2</w:t>
            </w:r>
            <w:r w:rsidR="007E387D" w:rsidRPr="00822180">
              <w:rPr>
                <w:sz w:val="22"/>
              </w:rPr>
              <w:t>.</w:t>
            </w:r>
            <w:r w:rsidRPr="00822180">
              <w:rPr>
                <w:sz w:val="22"/>
              </w:rPr>
              <w:t>0</w:t>
            </w:r>
            <w:r w:rsidR="007E387D" w:rsidRPr="00822180">
              <w:rPr>
                <w:sz w:val="22"/>
              </w:rPr>
              <w:t xml:space="preserve"> </w:t>
            </w:r>
            <w:r w:rsidR="007E387D" w:rsidRPr="00822180">
              <w:rPr>
                <w:rFonts w:cs="Times New Roman"/>
                <w:sz w:val="22"/>
              </w:rPr>
              <w:t>± 0.</w:t>
            </w:r>
            <w:r w:rsidR="00223C9F" w:rsidRPr="00822180">
              <w:rPr>
                <w:rFonts w:cs="Times New Roman"/>
                <w:sz w:val="22"/>
              </w:rPr>
              <w:t>0</w:t>
            </w:r>
            <w:r w:rsidR="007E387D" w:rsidRPr="00822180">
              <w:rPr>
                <w:rFonts w:cs="Times New Roman"/>
                <w:sz w:val="22"/>
              </w:rPr>
              <w:t xml:space="preserve"> / 322 ± 3</w:t>
            </w:r>
          </w:p>
        </w:tc>
        <w:tc>
          <w:tcPr>
            <w:tcW w:w="2541" w:type="dxa"/>
            <w:vAlign w:val="center"/>
          </w:tcPr>
          <w:p w:rsidR="007E387D" w:rsidRPr="00822180" w:rsidRDefault="00DB4C96" w:rsidP="003E62DB">
            <w:pPr>
              <w:spacing w:line="240" w:lineRule="auto"/>
              <w:jc w:val="center"/>
              <w:rPr>
                <w:sz w:val="22"/>
              </w:rPr>
            </w:pPr>
            <w:r w:rsidRPr="00822180">
              <w:rPr>
                <w:sz w:val="22"/>
              </w:rPr>
              <w:t>2</w:t>
            </w:r>
            <w:r w:rsidR="007E387D" w:rsidRPr="00822180">
              <w:rPr>
                <w:sz w:val="22"/>
              </w:rPr>
              <w:t>.</w:t>
            </w:r>
            <w:r w:rsidRPr="00822180">
              <w:rPr>
                <w:sz w:val="22"/>
              </w:rPr>
              <w:t>6</w:t>
            </w:r>
            <w:r w:rsidR="007E387D" w:rsidRPr="00822180">
              <w:rPr>
                <w:sz w:val="22"/>
              </w:rPr>
              <w:t xml:space="preserve"> </w:t>
            </w:r>
            <w:r w:rsidR="007E387D" w:rsidRPr="00822180">
              <w:rPr>
                <w:rFonts w:cs="Times New Roman"/>
                <w:sz w:val="22"/>
              </w:rPr>
              <w:t>± 0.</w:t>
            </w:r>
            <w:r w:rsidRPr="00822180">
              <w:rPr>
                <w:rFonts w:cs="Times New Roman"/>
                <w:sz w:val="22"/>
              </w:rPr>
              <w:t>1</w:t>
            </w:r>
            <w:r w:rsidR="007E387D" w:rsidRPr="00822180">
              <w:rPr>
                <w:rFonts w:cs="Times New Roman"/>
                <w:sz w:val="22"/>
              </w:rPr>
              <w:t xml:space="preserve"> / 26 ± 2</w:t>
            </w:r>
          </w:p>
        </w:tc>
      </w:tr>
      <w:tr w:rsidR="007E387D" w:rsidTr="00CE3BDA">
        <w:trPr>
          <w:trHeight w:val="340"/>
          <w:jc w:val="center"/>
        </w:trPr>
        <w:tc>
          <w:tcPr>
            <w:tcW w:w="1440" w:type="dxa"/>
            <w:vAlign w:val="center"/>
          </w:tcPr>
          <w:p w:rsidR="007E387D" w:rsidRPr="00822180" w:rsidRDefault="007E387D" w:rsidP="003E62DB">
            <w:pPr>
              <w:spacing w:line="240" w:lineRule="auto"/>
              <w:jc w:val="center"/>
              <w:rPr>
                <w:sz w:val="22"/>
              </w:rPr>
            </w:pPr>
            <w:r w:rsidRPr="00822180">
              <w:rPr>
                <w:sz w:val="22"/>
              </w:rPr>
              <w:t>SLR-CSR</w:t>
            </w:r>
          </w:p>
        </w:tc>
        <w:tc>
          <w:tcPr>
            <w:tcW w:w="2540" w:type="dxa"/>
            <w:vAlign w:val="center"/>
          </w:tcPr>
          <w:p w:rsidR="007E387D" w:rsidRPr="00822180" w:rsidRDefault="007E387D" w:rsidP="003E62DB">
            <w:pPr>
              <w:spacing w:line="240" w:lineRule="auto"/>
              <w:jc w:val="center"/>
              <w:rPr>
                <w:sz w:val="22"/>
              </w:rPr>
            </w:pPr>
            <w:r w:rsidRPr="00822180">
              <w:rPr>
                <w:sz w:val="22"/>
              </w:rPr>
              <w:t xml:space="preserve">1.3 </w:t>
            </w:r>
            <w:r w:rsidRPr="00822180">
              <w:rPr>
                <w:rFonts w:cs="Times New Roman"/>
                <w:sz w:val="22"/>
              </w:rPr>
              <w:t>± 0.1 / 68 ± 3</w:t>
            </w:r>
          </w:p>
        </w:tc>
        <w:tc>
          <w:tcPr>
            <w:tcW w:w="2541" w:type="dxa"/>
            <w:vAlign w:val="center"/>
          </w:tcPr>
          <w:p w:rsidR="007E387D" w:rsidRPr="00822180" w:rsidRDefault="007E387D" w:rsidP="003E62DB">
            <w:pPr>
              <w:spacing w:line="240" w:lineRule="auto"/>
              <w:jc w:val="center"/>
              <w:rPr>
                <w:sz w:val="22"/>
              </w:rPr>
            </w:pPr>
            <w:r w:rsidRPr="00822180">
              <w:rPr>
                <w:sz w:val="22"/>
              </w:rPr>
              <w:t xml:space="preserve">3.2 </w:t>
            </w:r>
            <w:r w:rsidRPr="00822180">
              <w:rPr>
                <w:rFonts w:cs="Times New Roman"/>
                <w:sz w:val="22"/>
              </w:rPr>
              <w:t>± 0.1 / 306 ± 1</w:t>
            </w:r>
          </w:p>
        </w:tc>
        <w:tc>
          <w:tcPr>
            <w:tcW w:w="2541" w:type="dxa"/>
            <w:vAlign w:val="center"/>
          </w:tcPr>
          <w:p w:rsidR="007E387D" w:rsidRPr="00822180" w:rsidRDefault="007E387D" w:rsidP="003E62DB">
            <w:pPr>
              <w:spacing w:line="240" w:lineRule="auto"/>
              <w:jc w:val="center"/>
              <w:rPr>
                <w:sz w:val="22"/>
              </w:rPr>
            </w:pPr>
            <w:r w:rsidRPr="00822180">
              <w:rPr>
                <w:sz w:val="22"/>
              </w:rPr>
              <w:t xml:space="preserve">1.5 </w:t>
            </w:r>
            <w:r w:rsidRPr="00822180">
              <w:rPr>
                <w:rFonts w:cs="Times New Roman"/>
                <w:sz w:val="22"/>
              </w:rPr>
              <w:t>± 0.1 / 41 ± 4</w:t>
            </w:r>
          </w:p>
        </w:tc>
      </w:tr>
      <w:tr w:rsidR="00463298" w:rsidTr="00CE3BDA">
        <w:trPr>
          <w:trHeight w:val="454"/>
          <w:jc w:val="center"/>
        </w:trPr>
        <w:tc>
          <w:tcPr>
            <w:tcW w:w="1440" w:type="dxa"/>
            <w:vAlign w:val="center"/>
          </w:tcPr>
          <w:p w:rsidR="00463298" w:rsidRPr="00B77AC8" w:rsidRDefault="00463298" w:rsidP="003E62DB">
            <w:pPr>
              <w:spacing w:line="240" w:lineRule="auto"/>
              <w:jc w:val="center"/>
              <w:rPr>
                <w:sz w:val="22"/>
              </w:rPr>
            </w:pPr>
          </w:p>
        </w:tc>
        <w:tc>
          <w:tcPr>
            <w:tcW w:w="7622" w:type="dxa"/>
            <w:gridSpan w:val="3"/>
            <w:vAlign w:val="center"/>
          </w:tcPr>
          <w:p w:rsidR="00463298" w:rsidRPr="00B77AC8" w:rsidRDefault="00463298" w:rsidP="003E62DB">
            <w:pPr>
              <w:spacing w:line="240" w:lineRule="auto"/>
              <w:jc w:val="center"/>
              <w:rPr>
                <w:sz w:val="22"/>
              </w:rPr>
            </w:pPr>
            <w:r w:rsidRPr="00CE3BDA">
              <w:t>Semi-annual</w:t>
            </w:r>
          </w:p>
        </w:tc>
      </w:tr>
      <w:tr w:rsidR="00E85FBD" w:rsidTr="00CE3BDA">
        <w:trPr>
          <w:trHeight w:val="340"/>
          <w:jc w:val="center"/>
        </w:trPr>
        <w:tc>
          <w:tcPr>
            <w:tcW w:w="1440" w:type="dxa"/>
            <w:vAlign w:val="center"/>
          </w:tcPr>
          <w:p w:rsidR="00E85FBD" w:rsidRPr="00822180" w:rsidRDefault="00E85FBD" w:rsidP="00E85FBD">
            <w:pPr>
              <w:spacing w:line="240" w:lineRule="auto"/>
              <w:jc w:val="center"/>
              <w:rPr>
                <w:sz w:val="22"/>
              </w:rPr>
            </w:pPr>
            <w:r w:rsidRPr="00822180">
              <w:rPr>
                <w:sz w:val="22"/>
              </w:rPr>
              <w:t>GNSS-NSH</w:t>
            </w:r>
          </w:p>
        </w:tc>
        <w:tc>
          <w:tcPr>
            <w:tcW w:w="2540" w:type="dxa"/>
            <w:vAlign w:val="center"/>
          </w:tcPr>
          <w:p w:rsidR="00E85FBD" w:rsidRPr="00822180" w:rsidRDefault="00E85FBD" w:rsidP="00E85FBD">
            <w:pPr>
              <w:spacing w:line="240" w:lineRule="auto"/>
              <w:jc w:val="center"/>
              <w:rPr>
                <w:sz w:val="22"/>
              </w:rPr>
            </w:pPr>
            <w:r w:rsidRPr="00822180">
              <w:rPr>
                <w:sz w:val="22"/>
              </w:rPr>
              <w:t xml:space="preserve">0.6 </w:t>
            </w:r>
            <w:r w:rsidRPr="00822180">
              <w:rPr>
                <w:rFonts w:cs="Times New Roman"/>
                <w:sz w:val="22"/>
              </w:rPr>
              <w:t>± 0.1 / 248 ± 7</w:t>
            </w:r>
          </w:p>
        </w:tc>
        <w:tc>
          <w:tcPr>
            <w:tcW w:w="2541" w:type="dxa"/>
            <w:vAlign w:val="center"/>
          </w:tcPr>
          <w:p w:rsidR="00E85FBD" w:rsidRPr="00822180" w:rsidRDefault="00E85FBD" w:rsidP="00E85FBD">
            <w:pPr>
              <w:spacing w:line="240" w:lineRule="auto"/>
              <w:jc w:val="center"/>
              <w:rPr>
                <w:sz w:val="22"/>
              </w:rPr>
            </w:pPr>
            <w:r w:rsidRPr="00822180">
              <w:rPr>
                <w:sz w:val="22"/>
              </w:rPr>
              <w:t xml:space="preserve">0.6 </w:t>
            </w:r>
            <w:r w:rsidRPr="00822180">
              <w:rPr>
                <w:rFonts w:cs="Times New Roman"/>
                <w:sz w:val="22"/>
              </w:rPr>
              <w:t>± 0.1 / 137 ± 5</w:t>
            </w:r>
          </w:p>
        </w:tc>
        <w:tc>
          <w:tcPr>
            <w:tcW w:w="2541" w:type="dxa"/>
            <w:vAlign w:val="center"/>
          </w:tcPr>
          <w:p w:rsidR="00E85FBD" w:rsidRPr="00822180" w:rsidRDefault="00E85FBD" w:rsidP="00E85FBD">
            <w:pPr>
              <w:spacing w:line="240" w:lineRule="auto"/>
              <w:jc w:val="center"/>
              <w:rPr>
                <w:color w:val="FF0000"/>
                <w:sz w:val="22"/>
              </w:rPr>
            </w:pPr>
            <w:r w:rsidRPr="00822180">
              <w:rPr>
                <w:sz w:val="22"/>
              </w:rPr>
              <w:t xml:space="preserve">0.1 </w:t>
            </w:r>
            <w:r w:rsidRPr="00822180">
              <w:rPr>
                <w:rFonts w:cs="Times New Roman"/>
                <w:sz w:val="22"/>
              </w:rPr>
              <w:t>± 0.3 / 137 ± 9</w:t>
            </w:r>
          </w:p>
        </w:tc>
      </w:tr>
      <w:tr w:rsidR="00077FCA" w:rsidTr="00CE3BDA">
        <w:trPr>
          <w:trHeight w:val="340"/>
          <w:jc w:val="center"/>
        </w:trPr>
        <w:tc>
          <w:tcPr>
            <w:tcW w:w="1440" w:type="dxa"/>
            <w:vAlign w:val="center"/>
          </w:tcPr>
          <w:p w:rsidR="00077FCA" w:rsidRPr="00822180" w:rsidRDefault="00077FCA" w:rsidP="00077FCA">
            <w:pPr>
              <w:spacing w:line="240" w:lineRule="auto"/>
              <w:jc w:val="center"/>
              <w:rPr>
                <w:sz w:val="22"/>
              </w:rPr>
            </w:pPr>
            <w:r w:rsidRPr="00822180">
              <w:rPr>
                <w:sz w:val="22"/>
              </w:rPr>
              <w:t>CM-1</w:t>
            </w:r>
          </w:p>
        </w:tc>
        <w:tc>
          <w:tcPr>
            <w:tcW w:w="2540" w:type="dxa"/>
            <w:vAlign w:val="center"/>
          </w:tcPr>
          <w:p w:rsidR="00077FCA" w:rsidRPr="00822180" w:rsidRDefault="00077FCA" w:rsidP="00077FCA">
            <w:pPr>
              <w:spacing w:line="240" w:lineRule="auto"/>
              <w:jc w:val="center"/>
              <w:rPr>
                <w:sz w:val="22"/>
              </w:rPr>
            </w:pPr>
            <w:r w:rsidRPr="00822180">
              <w:rPr>
                <w:sz w:val="22"/>
              </w:rPr>
              <w:t xml:space="preserve">0.2 </w:t>
            </w:r>
            <w:r w:rsidRPr="00822180">
              <w:rPr>
                <w:rFonts w:cs="Times New Roman"/>
                <w:sz w:val="22"/>
              </w:rPr>
              <w:t>± 0.0 / 243 ± 11</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0.3 </w:t>
            </w:r>
            <w:r w:rsidRPr="00822180">
              <w:rPr>
                <w:rFonts w:cs="Times New Roman"/>
                <w:sz w:val="22"/>
              </w:rPr>
              <w:t>± 0.0 / 146 ± 6</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0.7 </w:t>
            </w:r>
            <w:r w:rsidRPr="00822180">
              <w:rPr>
                <w:rFonts w:cs="Times New Roman"/>
                <w:sz w:val="22"/>
              </w:rPr>
              <w:t>± 0.1 / 218 ± 4</w:t>
            </w:r>
          </w:p>
        </w:tc>
      </w:tr>
      <w:tr w:rsidR="00077FCA" w:rsidTr="00CE3BDA">
        <w:trPr>
          <w:trHeight w:val="340"/>
          <w:jc w:val="center"/>
        </w:trPr>
        <w:tc>
          <w:tcPr>
            <w:tcW w:w="1440" w:type="dxa"/>
            <w:vAlign w:val="center"/>
          </w:tcPr>
          <w:p w:rsidR="00077FCA" w:rsidRPr="00822180" w:rsidRDefault="00077FCA" w:rsidP="00077FCA">
            <w:pPr>
              <w:spacing w:line="240" w:lineRule="auto"/>
              <w:jc w:val="center"/>
              <w:rPr>
                <w:sz w:val="22"/>
              </w:rPr>
            </w:pPr>
            <w:r w:rsidRPr="00822180">
              <w:rPr>
                <w:sz w:val="22"/>
              </w:rPr>
              <w:t>CM-2</w:t>
            </w:r>
          </w:p>
        </w:tc>
        <w:tc>
          <w:tcPr>
            <w:tcW w:w="2540" w:type="dxa"/>
            <w:vAlign w:val="center"/>
          </w:tcPr>
          <w:p w:rsidR="00077FCA" w:rsidRPr="00822180" w:rsidRDefault="00077FCA" w:rsidP="00077FCA">
            <w:pPr>
              <w:spacing w:line="240" w:lineRule="auto"/>
              <w:jc w:val="center"/>
              <w:rPr>
                <w:sz w:val="22"/>
              </w:rPr>
            </w:pPr>
            <w:r w:rsidRPr="00822180">
              <w:rPr>
                <w:sz w:val="22"/>
              </w:rPr>
              <w:t xml:space="preserve">0.2 </w:t>
            </w:r>
            <w:r w:rsidRPr="00822180">
              <w:rPr>
                <w:rFonts w:cs="Times New Roman"/>
                <w:sz w:val="22"/>
              </w:rPr>
              <w:t>± 0.0 / 250 ± 11</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0.3 </w:t>
            </w:r>
            <w:r w:rsidRPr="00822180">
              <w:rPr>
                <w:rFonts w:cs="Times New Roman"/>
                <w:sz w:val="22"/>
              </w:rPr>
              <w:t>± 0.0 / 135 ± 6</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0.5 </w:t>
            </w:r>
            <w:r w:rsidRPr="00822180">
              <w:rPr>
                <w:rFonts w:cs="Times New Roman"/>
                <w:sz w:val="22"/>
              </w:rPr>
              <w:t>± 0.1 / 199 ± 6</w:t>
            </w:r>
          </w:p>
        </w:tc>
      </w:tr>
      <w:tr w:rsidR="00077FCA" w:rsidTr="00CE3BDA">
        <w:trPr>
          <w:trHeight w:val="340"/>
          <w:jc w:val="center"/>
        </w:trPr>
        <w:tc>
          <w:tcPr>
            <w:tcW w:w="1440" w:type="dxa"/>
            <w:vAlign w:val="center"/>
          </w:tcPr>
          <w:p w:rsidR="00077FCA" w:rsidRPr="00822180" w:rsidRDefault="00077FCA" w:rsidP="00077FCA">
            <w:pPr>
              <w:spacing w:line="240" w:lineRule="auto"/>
              <w:jc w:val="center"/>
              <w:rPr>
                <w:sz w:val="22"/>
              </w:rPr>
            </w:pPr>
            <w:r w:rsidRPr="00822180">
              <w:rPr>
                <w:sz w:val="22"/>
              </w:rPr>
              <w:t>CM-3</w:t>
            </w:r>
          </w:p>
        </w:tc>
        <w:tc>
          <w:tcPr>
            <w:tcW w:w="2540" w:type="dxa"/>
            <w:vAlign w:val="center"/>
          </w:tcPr>
          <w:p w:rsidR="00077FCA" w:rsidRPr="00822180" w:rsidRDefault="00077FCA" w:rsidP="00077FCA">
            <w:pPr>
              <w:spacing w:line="240" w:lineRule="auto"/>
              <w:jc w:val="center"/>
              <w:rPr>
                <w:sz w:val="22"/>
              </w:rPr>
            </w:pPr>
            <w:r w:rsidRPr="00822180">
              <w:rPr>
                <w:sz w:val="22"/>
              </w:rPr>
              <w:t xml:space="preserve">0.3 </w:t>
            </w:r>
            <w:r w:rsidRPr="00822180">
              <w:rPr>
                <w:rFonts w:cs="Times New Roman"/>
                <w:sz w:val="22"/>
              </w:rPr>
              <w:t>± 0.0 / 245 ± 6</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0.3 </w:t>
            </w:r>
            <w:r w:rsidRPr="00822180">
              <w:rPr>
                <w:rFonts w:cs="Times New Roman"/>
                <w:sz w:val="22"/>
              </w:rPr>
              <w:t>± 0.0 / 149 ± 5</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0.4 </w:t>
            </w:r>
            <w:r w:rsidRPr="00822180">
              <w:rPr>
                <w:rFonts w:cs="Times New Roman"/>
                <w:sz w:val="22"/>
              </w:rPr>
              <w:t>± 0.1 / 205 ± 8</w:t>
            </w:r>
          </w:p>
        </w:tc>
      </w:tr>
      <w:tr w:rsidR="00077FCA" w:rsidTr="00CE3BDA">
        <w:trPr>
          <w:trHeight w:val="340"/>
          <w:jc w:val="center"/>
        </w:trPr>
        <w:tc>
          <w:tcPr>
            <w:tcW w:w="1440" w:type="dxa"/>
            <w:vAlign w:val="center"/>
          </w:tcPr>
          <w:p w:rsidR="00077FCA" w:rsidRPr="00822180" w:rsidRDefault="00077FCA" w:rsidP="00077FCA">
            <w:pPr>
              <w:spacing w:line="240" w:lineRule="auto"/>
              <w:jc w:val="center"/>
              <w:rPr>
                <w:sz w:val="22"/>
              </w:rPr>
            </w:pPr>
            <w:r w:rsidRPr="00822180">
              <w:rPr>
                <w:sz w:val="22"/>
              </w:rPr>
              <w:t>CM-4</w:t>
            </w:r>
          </w:p>
        </w:tc>
        <w:tc>
          <w:tcPr>
            <w:tcW w:w="2540" w:type="dxa"/>
            <w:vAlign w:val="center"/>
          </w:tcPr>
          <w:p w:rsidR="00077FCA" w:rsidRPr="00822180" w:rsidRDefault="00077FCA" w:rsidP="00077FCA">
            <w:pPr>
              <w:spacing w:line="240" w:lineRule="auto"/>
              <w:jc w:val="center"/>
              <w:rPr>
                <w:sz w:val="22"/>
              </w:rPr>
            </w:pPr>
            <w:r w:rsidRPr="00822180">
              <w:rPr>
                <w:sz w:val="22"/>
              </w:rPr>
              <w:t xml:space="preserve">0.2 </w:t>
            </w:r>
            <w:r w:rsidRPr="00822180">
              <w:rPr>
                <w:rFonts w:cs="Times New Roman"/>
                <w:sz w:val="22"/>
              </w:rPr>
              <w:t>± 0.0 / 249 ± 6</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0.2 </w:t>
            </w:r>
            <w:r w:rsidRPr="00822180">
              <w:rPr>
                <w:rFonts w:cs="Times New Roman"/>
                <w:sz w:val="22"/>
              </w:rPr>
              <w:t>± 0.0 / 140 ± 8</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0.5 </w:t>
            </w:r>
            <w:r w:rsidRPr="00822180">
              <w:rPr>
                <w:rFonts w:cs="Times New Roman"/>
                <w:sz w:val="22"/>
              </w:rPr>
              <w:t>± 0.1 / 213 ± 7</w:t>
            </w:r>
          </w:p>
        </w:tc>
      </w:tr>
      <w:tr w:rsidR="00077FCA" w:rsidTr="00CE3BDA">
        <w:trPr>
          <w:trHeight w:val="340"/>
          <w:jc w:val="center"/>
        </w:trPr>
        <w:tc>
          <w:tcPr>
            <w:tcW w:w="1440" w:type="dxa"/>
            <w:vAlign w:val="center"/>
          </w:tcPr>
          <w:p w:rsidR="00077FCA" w:rsidRPr="00822180" w:rsidRDefault="00077FCA" w:rsidP="00077FCA">
            <w:pPr>
              <w:spacing w:line="240" w:lineRule="auto"/>
              <w:jc w:val="center"/>
              <w:rPr>
                <w:sz w:val="22"/>
              </w:rPr>
            </w:pPr>
            <w:r w:rsidRPr="00822180">
              <w:rPr>
                <w:sz w:val="22"/>
              </w:rPr>
              <w:t>CM-5</w:t>
            </w:r>
          </w:p>
        </w:tc>
        <w:tc>
          <w:tcPr>
            <w:tcW w:w="2540" w:type="dxa"/>
            <w:vAlign w:val="center"/>
          </w:tcPr>
          <w:p w:rsidR="00077FCA" w:rsidRPr="00822180" w:rsidRDefault="00077FCA" w:rsidP="00077FCA">
            <w:pPr>
              <w:spacing w:line="240" w:lineRule="auto"/>
              <w:jc w:val="center"/>
              <w:rPr>
                <w:sz w:val="22"/>
              </w:rPr>
            </w:pPr>
            <w:r w:rsidRPr="00822180">
              <w:rPr>
                <w:sz w:val="22"/>
              </w:rPr>
              <w:t xml:space="preserve">0.4 </w:t>
            </w:r>
            <w:r w:rsidRPr="00822180">
              <w:rPr>
                <w:rFonts w:cs="Times New Roman"/>
                <w:sz w:val="22"/>
              </w:rPr>
              <w:t>± 0.0 / 232 ± 5</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0.2 </w:t>
            </w:r>
            <w:r w:rsidRPr="00822180">
              <w:rPr>
                <w:rFonts w:cs="Times New Roman"/>
                <w:sz w:val="22"/>
              </w:rPr>
              <w:t>± 0.0 / 135 ± 7</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0.4 </w:t>
            </w:r>
            <w:r w:rsidRPr="00822180">
              <w:rPr>
                <w:rFonts w:cs="Times New Roman"/>
                <w:sz w:val="22"/>
              </w:rPr>
              <w:t>± 0.1 / 201 ± 9</w:t>
            </w:r>
          </w:p>
        </w:tc>
      </w:tr>
      <w:tr w:rsidR="00077FCA" w:rsidTr="00CE3BDA">
        <w:trPr>
          <w:trHeight w:val="340"/>
          <w:jc w:val="center"/>
        </w:trPr>
        <w:tc>
          <w:tcPr>
            <w:tcW w:w="1440" w:type="dxa"/>
            <w:vAlign w:val="center"/>
          </w:tcPr>
          <w:p w:rsidR="00077FCA" w:rsidRPr="00822180" w:rsidRDefault="00077FCA" w:rsidP="00077FCA">
            <w:pPr>
              <w:spacing w:line="240" w:lineRule="auto"/>
              <w:jc w:val="center"/>
              <w:rPr>
                <w:sz w:val="22"/>
              </w:rPr>
            </w:pPr>
            <w:r w:rsidRPr="00822180">
              <w:rPr>
                <w:sz w:val="22"/>
              </w:rPr>
              <w:t>CM-6</w:t>
            </w:r>
          </w:p>
        </w:tc>
        <w:tc>
          <w:tcPr>
            <w:tcW w:w="2540" w:type="dxa"/>
            <w:vAlign w:val="center"/>
          </w:tcPr>
          <w:p w:rsidR="00077FCA" w:rsidRPr="00822180" w:rsidRDefault="00077FCA" w:rsidP="00077FCA">
            <w:pPr>
              <w:spacing w:line="240" w:lineRule="auto"/>
              <w:jc w:val="center"/>
              <w:rPr>
                <w:sz w:val="22"/>
              </w:rPr>
            </w:pPr>
            <w:r w:rsidRPr="00822180">
              <w:rPr>
                <w:sz w:val="22"/>
              </w:rPr>
              <w:t xml:space="preserve">0.4 </w:t>
            </w:r>
            <w:r w:rsidRPr="00822180">
              <w:rPr>
                <w:rFonts w:cs="Times New Roman"/>
                <w:sz w:val="22"/>
              </w:rPr>
              <w:t>± 0.0 / 242 ± 5</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0.2 </w:t>
            </w:r>
            <w:r w:rsidRPr="00822180">
              <w:rPr>
                <w:rFonts w:cs="Times New Roman"/>
                <w:sz w:val="22"/>
              </w:rPr>
              <w:t>± 0.0 / 114 ± 8</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0.4 </w:t>
            </w:r>
            <w:r w:rsidRPr="00822180">
              <w:rPr>
                <w:rFonts w:cs="Times New Roman"/>
                <w:sz w:val="22"/>
              </w:rPr>
              <w:t>± 0.1 / 215 ± 9</w:t>
            </w:r>
          </w:p>
        </w:tc>
      </w:tr>
      <w:tr w:rsidR="00077FCA" w:rsidTr="00CE3BDA">
        <w:trPr>
          <w:trHeight w:val="340"/>
          <w:jc w:val="center"/>
        </w:trPr>
        <w:tc>
          <w:tcPr>
            <w:tcW w:w="1440" w:type="dxa"/>
            <w:vAlign w:val="center"/>
          </w:tcPr>
          <w:p w:rsidR="00077FCA" w:rsidRPr="00822180" w:rsidRDefault="00077FCA" w:rsidP="00077FCA">
            <w:pPr>
              <w:spacing w:line="240" w:lineRule="auto"/>
              <w:jc w:val="center"/>
              <w:rPr>
                <w:sz w:val="22"/>
              </w:rPr>
            </w:pPr>
            <w:r w:rsidRPr="00822180">
              <w:rPr>
                <w:sz w:val="22"/>
              </w:rPr>
              <w:t>CM-7</w:t>
            </w:r>
          </w:p>
        </w:tc>
        <w:tc>
          <w:tcPr>
            <w:tcW w:w="2540" w:type="dxa"/>
            <w:vAlign w:val="center"/>
          </w:tcPr>
          <w:p w:rsidR="00077FCA" w:rsidRPr="00822180" w:rsidRDefault="00077FCA" w:rsidP="00077FCA">
            <w:pPr>
              <w:spacing w:line="240" w:lineRule="auto"/>
              <w:jc w:val="center"/>
              <w:rPr>
                <w:sz w:val="22"/>
              </w:rPr>
            </w:pPr>
            <w:r w:rsidRPr="00822180">
              <w:rPr>
                <w:sz w:val="22"/>
              </w:rPr>
              <w:t xml:space="preserve">0.4 </w:t>
            </w:r>
            <w:r w:rsidRPr="00822180">
              <w:rPr>
                <w:rFonts w:cs="Times New Roman"/>
                <w:sz w:val="22"/>
              </w:rPr>
              <w:t>± 0.0 / 255 ± 6</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0.3 </w:t>
            </w:r>
            <w:r w:rsidRPr="00822180">
              <w:rPr>
                <w:rFonts w:cs="Times New Roman"/>
                <w:sz w:val="22"/>
              </w:rPr>
              <w:t>± 0.0 / 135 ± 7</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0.4 </w:t>
            </w:r>
            <w:r w:rsidRPr="00822180">
              <w:rPr>
                <w:rFonts w:cs="Times New Roman"/>
                <w:sz w:val="22"/>
              </w:rPr>
              <w:t>± 0.1 / 194 ± 10</w:t>
            </w:r>
          </w:p>
        </w:tc>
      </w:tr>
      <w:tr w:rsidR="00077FCA" w:rsidTr="00CE3BDA">
        <w:trPr>
          <w:trHeight w:val="340"/>
          <w:jc w:val="center"/>
        </w:trPr>
        <w:tc>
          <w:tcPr>
            <w:tcW w:w="1440" w:type="dxa"/>
            <w:vAlign w:val="center"/>
          </w:tcPr>
          <w:p w:rsidR="00077FCA" w:rsidRPr="00822180" w:rsidRDefault="00077FCA" w:rsidP="00077FCA">
            <w:pPr>
              <w:spacing w:line="240" w:lineRule="auto"/>
              <w:jc w:val="center"/>
              <w:rPr>
                <w:sz w:val="22"/>
              </w:rPr>
            </w:pPr>
            <w:r w:rsidRPr="00822180">
              <w:rPr>
                <w:sz w:val="22"/>
              </w:rPr>
              <w:t>CM-8</w:t>
            </w:r>
          </w:p>
        </w:tc>
        <w:tc>
          <w:tcPr>
            <w:tcW w:w="2540" w:type="dxa"/>
            <w:vAlign w:val="center"/>
          </w:tcPr>
          <w:p w:rsidR="00077FCA" w:rsidRPr="00822180" w:rsidRDefault="00077FCA" w:rsidP="00077FCA">
            <w:pPr>
              <w:spacing w:line="240" w:lineRule="auto"/>
              <w:jc w:val="center"/>
              <w:rPr>
                <w:sz w:val="22"/>
              </w:rPr>
            </w:pPr>
            <w:r w:rsidRPr="00822180">
              <w:rPr>
                <w:sz w:val="22"/>
              </w:rPr>
              <w:t xml:space="preserve">0.3 </w:t>
            </w:r>
            <w:r w:rsidRPr="00822180">
              <w:rPr>
                <w:rFonts w:cs="Times New Roman"/>
                <w:sz w:val="22"/>
              </w:rPr>
              <w:t>± 0.0 / 244 ± 6</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0.3 </w:t>
            </w:r>
            <w:r w:rsidRPr="00822180">
              <w:rPr>
                <w:rFonts w:cs="Times New Roman"/>
                <w:sz w:val="22"/>
              </w:rPr>
              <w:t>± 0.0 / 128 ± 7</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0.3 </w:t>
            </w:r>
            <w:r w:rsidRPr="00822180">
              <w:rPr>
                <w:rFonts w:cs="Times New Roman"/>
                <w:sz w:val="22"/>
              </w:rPr>
              <w:t>± 0.1 / 209 ± 14</w:t>
            </w:r>
          </w:p>
        </w:tc>
      </w:tr>
      <w:tr w:rsidR="00077FCA" w:rsidTr="00CE3BDA">
        <w:trPr>
          <w:trHeight w:val="340"/>
          <w:jc w:val="center"/>
        </w:trPr>
        <w:tc>
          <w:tcPr>
            <w:tcW w:w="1440" w:type="dxa"/>
            <w:vAlign w:val="center"/>
          </w:tcPr>
          <w:p w:rsidR="00077FCA" w:rsidRPr="00822180" w:rsidRDefault="00077FCA" w:rsidP="00077FCA">
            <w:pPr>
              <w:spacing w:line="240" w:lineRule="auto"/>
              <w:jc w:val="center"/>
              <w:rPr>
                <w:sz w:val="22"/>
              </w:rPr>
            </w:pPr>
            <w:r w:rsidRPr="00822180">
              <w:rPr>
                <w:sz w:val="22"/>
              </w:rPr>
              <w:t>SLR-CSR</w:t>
            </w:r>
          </w:p>
        </w:tc>
        <w:tc>
          <w:tcPr>
            <w:tcW w:w="2540" w:type="dxa"/>
            <w:vAlign w:val="center"/>
          </w:tcPr>
          <w:p w:rsidR="00077FCA" w:rsidRPr="00822180" w:rsidRDefault="00077FCA" w:rsidP="00077FCA">
            <w:pPr>
              <w:spacing w:line="240" w:lineRule="auto"/>
              <w:jc w:val="center"/>
              <w:rPr>
                <w:sz w:val="22"/>
              </w:rPr>
            </w:pPr>
            <w:r w:rsidRPr="00822180">
              <w:rPr>
                <w:sz w:val="22"/>
              </w:rPr>
              <w:t xml:space="preserve">0.6 </w:t>
            </w:r>
            <w:r w:rsidRPr="00822180">
              <w:rPr>
                <w:rFonts w:cs="Times New Roman"/>
                <w:sz w:val="22"/>
              </w:rPr>
              <w:t>± 0.1 / 245 ± 6</w:t>
            </w:r>
          </w:p>
        </w:tc>
        <w:tc>
          <w:tcPr>
            <w:tcW w:w="2541" w:type="dxa"/>
            <w:vAlign w:val="center"/>
          </w:tcPr>
          <w:p w:rsidR="00077FCA" w:rsidRPr="00822180" w:rsidRDefault="00077FCA" w:rsidP="00077FCA">
            <w:pPr>
              <w:spacing w:line="240" w:lineRule="auto"/>
              <w:jc w:val="center"/>
              <w:rPr>
                <w:sz w:val="22"/>
              </w:rPr>
            </w:pPr>
            <w:r w:rsidRPr="00822180">
              <w:rPr>
                <w:sz w:val="22"/>
              </w:rPr>
              <w:t xml:space="preserve">0.1 </w:t>
            </w:r>
            <w:r w:rsidRPr="00822180">
              <w:rPr>
                <w:rFonts w:cs="Times New Roman"/>
                <w:sz w:val="22"/>
              </w:rPr>
              <w:t>± 0.1 / 148 ± 21</w:t>
            </w:r>
          </w:p>
        </w:tc>
        <w:tc>
          <w:tcPr>
            <w:tcW w:w="2541" w:type="dxa"/>
            <w:vAlign w:val="center"/>
          </w:tcPr>
          <w:p w:rsidR="00077FCA" w:rsidRPr="00822180" w:rsidRDefault="00077FCA" w:rsidP="00077FCA">
            <w:pPr>
              <w:spacing w:line="240" w:lineRule="auto"/>
              <w:jc w:val="center"/>
              <w:rPr>
                <w:sz w:val="22"/>
              </w:rPr>
            </w:pPr>
            <w:r w:rsidRPr="00822180">
              <w:rPr>
                <w:sz w:val="22"/>
              </w:rPr>
              <w:t xml:space="preserve">1.3 </w:t>
            </w:r>
            <w:r w:rsidRPr="00822180">
              <w:rPr>
                <w:rFonts w:cs="Times New Roman"/>
                <w:sz w:val="22"/>
              </w:rPr>
              <w:t>± 0.1 / 177 ± 4</w:t>
            </w:r>
          </w:p>
        </w:tc>
      </w:tr>
    </w:tbl>
    <w:p w:rsidR="00224835" w:rsidRDefault="00224835"/>
    <w:p w:rsidR="00BD2FC9" w:rsidRDefault="00BD2FC9"/>
    <w:p w:rsidR="00BD2FC9" w:rsidRDefault="00BD2FC9"/>
    <w:p w:rsidR="00BD2FC9" w:rsidRDefault="00BD2FC9"/>
    <w:p w:rsidR="00BD2FC9" w:rsidRDefault="00BD2FC9"/>
    <w:p w:rsidR="00BD2FC9" w:rsidRDefault="00BD2FC9"/>
    <w:p w:rsidR="00BD2FC9" w:rsidRDefault="00BD2FC9"/>
    <w:p w:rsidR="00FF056F" w:rsidRDefault="00FF056F" w:rsidP="003E62DB"/>
    <w:p w:rsidR="00B60AEE" w:rsidRDefault="00B60AEE" w:rsidP="00B60AEE">
      <w:pPr>
        <w:pStyle w:val="Heading1"/>
      </w:pPr>
      <w:bookmarkStart w:id="5" w:name="_Ref208930299"/>
      <w:r>
        <w:lastRenderedPageBreak/>
        <w:t>Text S</w:t>
      </w:r>
      <w:r w:rsidR="00BD3FA0">
        <w:t>2</w:t>
      </w:r>
      <w:r w:rsidR="00EB7548">
        <w:t>: Seasonal variations</w:t>
      </w:r>
      <w:bookmarkEnd w:id="5"/>
    </w:p>
    <w:p w:rsidR="00EB7548" w:rsidRDefault="00EB7548" w:rsidP="00EB7548">
      <w:pPr>
        <w:keepNext/>
        <w:spacing w:before="240"/>
      </w:pPr>
      <w:r>
        <w:t>The seasonal signals of the X component of geocenter motion appear to be more irregular than those of the other components for solutions obtained from the CM approach. The difference exceeds 40% between the lowest value obtained for the CM-7 solution (44.3%) and the highest for the CM-3 solution (87.2%). This considerable disparity among the solutions elucidates the high variability of the annual signal amplitude observed in Figure 7 in the article, suggesting that the amplitude may be underestimated for higher degrees of truncation. The superposition of the annual and semi-annual sinusoidal curves can explain approximately 70% of the seasonal component in the</w:t>
      </w:r>
      <w:r w:rsidR="00BD3FA0">
        <w:t xml:space="preserve"> </w:t>
      </w:r>
      <w:r w:rsidR="000B1D34">
        <w:t>NSH</w:t>
      </w:r>
      <w:r w:rsidR="00BD3FA0">
        <w:t xml:space="preserve"> </w:t>
      </w:r>
      <w:r>
        <w:t>solution.</w:t>
      </w:r>
    </w:p>
    <w:p w:rsidR="00EB7548" w:rsidRDefault="00EB7548" w:rsidP="00EB7548">
      <w:pPr>
        <w:keepNext/>
        <w:spacing w:before="240"/>
      </w:pPr>
      <w:r>
        <w:t>In the case of the Y component, it is clear that the seasonal signals in the various series can be predominantly explained (more than 90% in each case) by the superposition of the regular annual and semi-annual oscillations. This further confirms the stability of the seasonal behavior over the considered period (2002-2020). The variability between the extreme solutions is minimal, amounting to approximately 2%.</w:t>
      </w:r>
    </w:p>
    <w:p w:rsidR="00EB7548" w:rsidRDefault="00EB7548" w:rsidP="00EB7548">
      <w:pPr>
        <w:keepNext/>
        <w:spacing w:before="240"/>
      </w:pPr>
      <w:r>
        <w:t>The seasonal signal in the Z component shows the most significant discrepancy between solutions derived from different approaches and techniques. The percentage of the total variance of the seasonal component explained by the sum of the annual and semi-annual signals tends to decrease as the degree of truncation increases in solutions obtained from the CM approach. Nevertheless, these values consistently exceed those observed in other solutions, ranging from 86% to 97%. In the case of the NSH-GNSS solution for the Z component, only 22.8% of the total variance is absorbed by the annual and semi-annual oscillations, which explains the decidedly lower amplitude of the annual signal (see Figure 7 in the article).</w:t>
      </w:r>
    </w:p>
    <w:p w:rsidR="00EB7548" w:rsidRPr="00CE3BDA" w:rsidRDefault="00EB7548" w:rsidP="00CE3BDA">
      <w:r w:rsidRPr="00CE3BDA">
        <w:t>In general, similar results were obtained to the values derived from the independent SLR-CSR solution for the X and Y components. For the GNSS-CM approach, the CM-3 and CM-4 solutions in every case have more than 80% of the variance of the seasonal attributed to the sum of annual and semi-annual signals with constant amplitudes and phases. The percentage contributions for X, Y, and Z are 87.2/80.1, 95.2/95.4, and 95.1/93.9%, respectively, for CM-3 and CM-4. In contrast, the corresponding values for SLR are 68.7, 94.5, and 64.1%, while for GNSS-NSH, only the Y component yielded more than 80 percent (95.2%).</w:t>
      </w:r>
    </w:p>
    <w:p w:rsidR="00B60AEE" w:rsidRDefault="00B60AEE" w:rsidP="00B60AEE">
      <w:pPr>
        <w:keepNext/>
        <w:spacing w:before="240"/>
      </w:pPr>
      <w:r>
        <w:rPr>
          <w:noProof/>
        </w:rPr>
        <w:lastRenderedPageBreak/>
        <w:drawing>
          <wp:inline distT="0" distB="0" distL="0" distR="0" wp14:anchorId="05D8D2B2" wp14:editId="6A17A844">
            <wp:extent cx="6188400" cy="2679688"/>
            <wp:effectExtent l="0" t="0" r="3175" b="698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rcentage_of_variance_explain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8400" cy="2679688"/>
                    </a:xfrm>
                    <a:prstGeom prst="rect">
                      <a:avLst/>
                    </a:prstGeom>
                  </pic:spPr>
                </pic:pic>
              </a:graphicData>
            </a:graphic>
          </wp:inline>
        </w:drawing>
      </w:r>
    </w:p>
    <w:p w:rsidR="00B60AEE" w:rsidRDefault="00B60AEE" w:rsidP="00B60AEE">
      <w:pPr>
        <w:pStyle w:val="Caption"/>
        <w:rPr>
          <w:color w:val="auto"/>
        </w:rPr>
      </w:pPr>
      <w:bookmarkStart w:id="6" w:name="_Ref185932528"/>
      <w:r w:rsidRPr="00FC04C0">
        <w:rPr>
          <w:b/>
          <w:color w:val="auto"/>
        </w:rPr>
        <w:t xml:space="preserve">Figure </w:t>
      </w:r>
      <w:r>
        <w:rPr>
          <w:b/>
          <w:color w:val="auto"/>
        </w:rPr>
        <w:t>S</w:t>
      </w:r>
      <w:r w:rsidRPr="00FC04C0">
        <w:rPr>
          <w:b/>
          <w:color w:val="auto"/>
        </w:rPr>
        <w:fldChar w:fldCharType="begin"/>
      </w:r>
      <w:r w:rsidRPr="00FC04C0">
        <w:rPr>
          <w:b/>
          <w:color w:val="auto"/>
        </w:rPr>
        <w:instrText xml:space="preserve"> SEQ Figure \* ARABIC </w:instrText>
      </w:r>
      <w:r w:rsidRPr="00FC04C0">
        <w:rPr>
          <w:b/>
          <w:color w:val="auto"/>
        </w:rPr>
        <w:fldChar w:fldCharType="separate"/>
      </w:r>
      <w:r w:rsidR="00BD3FA0">
        <w:rPr>
          <w:b/>
          <w:noProof/>
          <w:color w:val="auto"/>
        </w:rPr>
        <w:t>2</w:t>
      </w:r>
      <w:r w:rsidRPr="00FC04C0">
        <w:rPr>
          <w:b/>
          <w:color w:val="auto"/>
        </w:rPr>
        <w:fldChar w:fldCharType="end"/>
      </w:r>
      <w:bookmarkEnd w:id="6"/>
      <w:r w:rsidRPr="00FC04C0">
        <w:rPr>
          <w:b/>
          <w:color w:val="auto"/>
        </w:rPr>
        <w:t>.</w:t>
      </w:r>
      <w:r w:rsidRPr="00FC04C0">
        <w:rPr>
          <w:color w:val="auto"/>
        </w:rPr>
        <w:t xml:space="preserve"> The percentage of the total variance in the seasonal component explained by the sum of annual and semi-annual signals for all components of the geocenter motion and all solutions.</w:t>
      </w:r>
    </w:p>
    <w:p w:rsidR="00B60AEE" w:rsidRDefault="00B60AEE" w:rsidP="00B60AEE"/>
    <w:p w:rsidR="00B60AEE" w:rsidRDefault="00B60AEE" w:rsidP="00B60AEE"/>
    <w:p w:rsidR="00B60AEE" w:rsidRDefault="00B60AEE" w:rsidP="00B60AEE"/>
    <w:p w:rsidR="00B60AEE" w:rsidRDefault="00B60AEE" w:rsidP="00B60AEE"/>
    <w:p w:rsidR="00B60AEE" w:rsidRDefault="00B60AEE" w:rsidP="00B60AEE"/>
    <w:p w:rsidR="00B60AEE" w:rsidRDefault="00B60AEE" w:rsidP="00B60AEE"/>
    <w:p w:rsidR="00B60AEE" w:rsidRDefault="00B60AEE" w:rsidP="00B60AEE"/>
    <w:p w:rsidR="00B60AEE" w:rsidRDefault="00B60AEE" w:rsidP="00B60AEE"/>
    <w:p w:rsidR="00B60AEE" w:rsidRDefault="00B60AEE" w:rsidP="00B60AEE"/>
    <w:p w:rsidR="00B60AEE" w:rsidRDefault="00B60AEE" w:rsidP="00B60AEE"/>
    <w:p w:rsidR="00B60AEE" w:rsidRDefault="00B60AEE" w:rsidP="00B60AEE"/>
    <w:p w:rsidR="00B60AEE" w:rsidRDefault="00B60AEE" w:rsidP="00B60AEE"/>
    <w:p w:rsidR="00FF056F" w:rsidRDefault="00FF056F" w:rsidP="00B60AEE"/>
    <w:p w:rsidR="00FF056F" w:rsidRDefault="00FF056F" w:rsidP="00FF056F">
      <w:pPr>
        <w:pStyle w:val="Heading1"/>
      </w:pPr>
      <w:r>
        <w:lastRenderedPageBreak/>
        <w:t>References</w:t>
      </w:r>
    </w:p>
    <w:sdt>
      <w:sdtPr>
        <w:rPr>
          <w:color w:val="000000"/>
        </w:rPr>
        <w:tag w:val="MENDELEY_BIBLIOGRAPHY"/>
        <w:id w:val="-1997717506"/>
        <w:placeholder>
          <w:docPart w:val="DefaultPlaceholder_-1854013440"/>
        </w:placeholder>
      </w:sdtPr>
      <w:sdtEndPr/>
      <w:sdtContent>
        <w:p w:rsidR="00FF056F" w:rsidRDefault="00FF056F">
          <w:pPr>
            <w:autoSpaceDE w:val="0"/>
            <w:autoSpaceDN w:val="0"/>
            <w:ind w:hanging="480"/>
            <w:divId w:val="747649562"/>
            <w:rPr>
              <w:rFonts w:eastAsia="Times New Roman"/>
              <w:szCs w:val="24"/>
            </w:rPr>
          </w:pPr>
          <w:r>
            <w:rPr>
              <w:rFonts w:eastAsia="Times New Roman"/>
            </w:rPr>
            <w:t xml:space="preserve">Altamimi, Z., Rebischung, P., Métivier, L., &amp; Collilieux, X. (2016). ITRF2014: A new release of the International Terrestrial Reference Frame modeling nonlinear station motions. </w:t>
          </w:r>
          <w:r>
            <w:rPr>
              <w:rFonts w:eastAsia="Times New Roman"/>
              <w:i/>
              <w:iCs/>
            </w:rPr>
            <w:t>Journal of Geophysical Research: Solid Earth</w:t>
          </w:r>
          <w:r>
            <w:rPr>
              <w:rFonts w:eastAsia="Times New Roman"/>
            </w:rPr>
            <w:t xml:space="preserve">, </w:t>
          </w:r>
          <w:r>
            <w:rPr>
              <w:rFonts w:eastAsia="Times New Roman"/>
              <w:i/>
              <w:iCs/>
            </w:rPr>
            <w:t>121</w:t>
          </w:r>
          <w:r>
            <w:rPr>
              <w:rFonts w:eastAsia="Times New Roman"/>
            </w:rPr>
            <w:t>(8), 6109–6131. https://doi.org/https://doi.org/10.1002/2016JB013098</w:t>
          </w:r>
        </w:p>
        <w:p w:rsidR="00FF056F" w:rsidRDefault="00FF056F">
          <w:pPr>
            <w:autoSpaceDE w:val="0"/>
            <w:autoSpaceDN w:val="0"/>
            <w:ind w:hanging="480"/>
            <w:divId w:val="361632703"/>
            <w:rPr>
              <w:rFonts w:eastAsia="Times New Roman"/>
            </w:rPr>
          </w:pPr>
          <w:r>
            <w:rPr>
              <w:rFonts w:eastAsia="Times New Roman"/>
            </w:rPr>
            <w:t xml:space="preserve">Blewitt, G., Lavallée, D., Clarke, P., &amp; Nurutdinov, K. (2001). A new global mode of Earth deformation: seasonal cycle detected. </w:t>
          </w:r>
          <w:r>
            <w:rPr>
              <w:rFonts w:eastAsia="Times New Roman"/>
              <w:i/>
              <w:iCs/>
            </w:rPr>
            <w:t>Science (New York, N.Y.)</w:t>
          </w:r>
          <w:r>
            <w:rPr>
              <w:rFonts w:eastAsia="Times New Roman"/>
            </w:rPr>
            <w:t xml:space="preserve">, </w:t>
          </w:r>
          <w:r>
            <w:rPr>
              <w:rFonts w:eastAsia="Times New Roman"/>
              <w:i/>
              <w:iCs/>
            </w:rPr>
            <w:t>294</w:t>
          </w:r>
          <w:r>
            <w:rPr>
              <w:rFonts w:eastAsia="Times New Roman"/>
            </w:rPr>
            <w:t>(5550), 2342–2345. https://doi.org/10.1126/science.1065328</w:t>
          </w:r>
        </w:p>
        <w:p w:rsidR="00FF056F" w:rsidRDefault="00FF056F">
          <w:pPr>
            <w:autoSpaceDE w:val="0"/>
            <w:autoSpaceDN w:val="0"/>
            <w:ind w:hanging="480"/>
            <w:divId w:val="357438428"/>
            <w:rPr>
              <w:rFonts w:eastAsia="Times New Roman"/>
            </w:rPr>
          </w:pPr>
          <w:r>
            <w:rPr>
              <w:rFonts w:eastAsia="Times New Roman"/>
            </w:rPr>
            <w:t xml:space="preserve">Riddell, A. R., King, M. A., Watson, C. S., Sun, Y., Riva, R. E. M., &amp; Rietbroek, R. (2017). Uncertainty in geocenter estimates in the context of ITRF2014. </w:t>
          </w:r>
          <w:r>
            <w:rPr>
              <w:rFonts w:eastAsia="Times New Roman"/>
              <w:i/>
              <w:iCs/>
            </w:rPr>
            <w:t>Journal of Geophysical Research: Solid Earth</w:t>
          </w:r>
          <w:r>
            <w:rPr>
              <w:rFonts w:eastAsia="Times New Roman"/>
            </w:rPr>
            <w:t xml:space="preserve">, </w:t>
          </w:r>
          <w:r>
            <w:rPr>
              <w:rFonts w:eastAsia="Times New Roman"/>
              <w:i/>
              <w:iCs/>
            </w:rPr>
            <w:t>122</w:t>
          </w:r>
          <w:r>
            <w:rPr>
              <w:rFonts w:eastAsia="Times New Roman"/>
            </w:rPr>
            <w:t>(5), 4020–4032. https://doi.org/https://doi.org/10.1002/2016JB013698</w:t>
          </w:r>
        </w:p>
        <w:p w:rsidR="00FF056F" w:rsidRDefault="00FF056F" w:rsidP="00B60AEE">
          <w:r>
            <w:rPr>
              <w:rFonts w:eastAsia="Times New Roman"/>
            </w:rPr>
            <w:t> </w:t>
          </w:r>
        </w:p>
      </w:sdtContent>
    </w:sdt>
    <w:sectPr w:rsidR="00FF056F" w:rsidSect="00EB754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A59F2"/>
    <w:multiLevelType w:val="hybridMultilevel"/>
    <w:tmpl w:val="CB18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7D"/>
    <w:rsid w:val="00013C31"/>
    <w:rsid w:val="00077FCA"/>
    <w:rsid w:val="000B1D34"/>
    <w:rsid w:val="000E4019"/>
    <w:rsid w:val="001752DF"/>
    <w:rsid w:val="00183C3A"/>
    <w:rsid w:val="00216E11"/>
    <w:rsid w:val="00223C9F"/>
    <w:rsid w:val="00224835"/>
    <w:rsid w:val="003643A1"/>
    <w:rsid w:val="003C18E4"/>
    <w:rsid w:val="003E62DB"/>
    <w:rsid w:val="0041269B"/>
    <w:rsid w:val="00463298"/>
    <w:rsid w:val="005C2351"/>
    <w:rsid w:val="007105FF"/>
    <w:rsid w:val="007439DB"/>
    <w:rsid w:val="007634C3"/>
    <w:rsid w:val="00771587"/>
    <w:rsid w:val="007738FE"/>
    <w:rsid w:val="007E041E"/>
    <w:rsid w:val="007E387D"/>
    <w:rsid w:val="00822180"/>
    <w:rsid w:val="00B60AEE"/>
    <w:rsid w:val="00BD2FC9"/>
    <w:rsid w:val="00BD3FA0"/>
    <w:rsid w:val="00C841E0"/>
    <w:rsid w:val="00C86F93"/>
    <w:rsid w:val="00CE3BDA"/>
    <w:rsid w:val="00DB4C96"/>
    <w:rsid w:val="00E210CE"/>
    <w:rsid w:val="00E35885"/>
    <w:rsid w:val="00E85FBD"/>
    <w:rsid w:val="00EB7548"/>
    <w:rsid w:val="00F90FC2"/>
    <w:rsid w:val="00FF05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E5326"/>
  <w15:chartTrackingRefBased/>
  <w15:docId w15:val="{6DC25530-D124-4523-9109-1B06B51C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387D"/>
    <w:pPr>
      <w:spacing w:line="360" w:lineRule="auto"/>
      <w:jc w:val="both"/>
    </w:pPr>
    <w:rPr>
      <w:rFonts w:ascii="Times New Roman" w:hAnsi="Times New Roman"/>
      <w:sz w:val="24"/>
      <w:lang w:val="en-GB"/>
    </w:rPr>
  </w:style>
  <w:style w:type="paragraph" w:styleId="Heading1">
    <w:name w:val="heading 1"/>
    <w:basedOn w:val="Normal"/>
    <w:next w:val="Normal"/>
    <w:link w:val="Heading1Char"/>
    <w:uiPriority w:val="9"/>
    <w:qFormat/>
    <w:rsid w:val="003E62DB"/>
    <w:pPr>
      <w:keepNext/>
      <w:keepLines/>
      <w:spacing w:before="240" w:after="240" w:line="240" w:lineRule="auto"/>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387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E387D"/>
    <w:pPr>
      <w:spacing w:after="200" w:line="240" w:lineRule="auto"/>
    </w:pPr>
    <w:rPr>
      <w:i/>
      <w:iCs/>
      <w:color w:val="44546A" w:themeColor="text2"/>
      <w:szCs w:val="18"/>
    </w:rPr>
  </w:style>
  <w:style w:type="paragraph" w:styleId="Subtitle">
    <w:name w:val="Subtitle"/>
    <w:aliases w:val="Authors"/>
    <w:basedOn w:val="Normal"/>
    <w:next w:val="Normal"/>
    <w:link w:val="SubtitleChar"/>
    <w:uiPriority w:val="11"/>
    <w:qFormat/>
    <w:rsid w:val="007738FE"/>
    <w:pPr>
      <w:numPr>
        <w:ilvl w:val="1"/>
      </w:numPr>
    </w:pPr>
    <w:rPr>
      <w:rFonts w:eastAsiaTheme="minorEastAsia"/>
      <w:color w:val="5A5A5A" w:themeColor="text1" w:themeTint="A5"/>
      <w:spacing w:val="15"/>
    </w:rPr>
  </w:style>
  <w:style w:type="character" w:customStyle="1" w:styleId="SubtitleChar">
    <w:name w:val="Subtitle Char"/>
    <w:aliases w:val="Authors Char"/>
    <w:basedOn w:val="DefaultParagraphFont"/>
    <w:link w:val="Subtitle"/>
    <w:uiPriority w:val="11"/>
    <w:rsid w:val="007738FE"/>
    <w:rPr>
      <w:rFonts w:ascii="Times New Roman" w:eastAsiaTheme="minorEastAsia" w:hAnsi="Times New Roman"/>
      <w:color w:val="5A5A5A" w:themeColor="text1" w:themeTint="A5"/>
      <w:spacing w:val="15"/>
      <w:sz w:val="24"/>
      <w:lang w:val="en-GB"/>
    </w:rPr>
  </w:style>
  <w:style w:type="character" w:styleId="Hyperlink">
    <w:name w:val="Hyperlink"/>
    <w:basedOn w:val="DefaultParagraphFont"/>
    <w:uiPriority w:val="99"/>
    <w:unhideWhenUsed/>
    <w:rsid w:val="007738FE"/>
    <w:rPr>
      <w:color w:val="0563C1" w:themeColor="hyperlink"/>
      <w:u w:val="single"/>
    </w:rPr>
  </w:style>
  <w:style w:type="character" w:customStyle="1" w:styleId="Heading1Char">
    <w:name w:val="Heading 1 Char"/>
    <w:basedOn w:val="DefaultParagraphFont"/>
    <w:link w:val="Heading1"/>
    <w:uiPriority w:val="9"/>
    <w:rsid w:val="003E62DB"/>
    <w:rPr>
      <w:rFonts w:ascii="Times New Roman" w:eastAsiaTheme="majorEastAsia" w:hAnsi="Times New Roman" w:cstheme="majorBidi"/>
      <w:b/>
      <w:sz w:val="24"/>
      <w:szCs w:val="32"/>
      <w:lang w:val="en-GB"/>
    </w:rPr>
  </w:style>
  <w:style w:type="paragraph" w:styleId="ListParagraph">
    <w:name w:val="List Paragraph"/>
    <w:basedOn w:val="Normal"/>
    <w:uiPriority w:val="34"/>
    <w:qFormat/>
    <w:rsid w:val="00BD2FC9"/>
    <w:pPr>
      <w:ind w:left="720"/>
      <w:contextualSpacing/>
    </w:pPr>
  </w:style>
  <w:style w:type="character" w:styleId="PlaceholderText">
    <w:name w:val="Placeholder Text"/>
    <w:basedOn w:val="DefaultParagraphFont"/>
    <w:uiPriority w:val="99"/>
    <w:semiHidden/>
    <w:rsid w:val="00FF05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3003">
      <w:bodyDiv w:val="1"/>
      <w:marLeft w:val="0"/>
      <w:marRight w:val="0"/>
      <w:marTop w:val="0"/>
      <w:marBottom w:val="0"/>
      <w:divBdr>
        <w:top w:val="none" w:sz="0" w:space="0" w:color="auto"/>
        <w:left w:val="none" w:sz="0" w:space="0" w:color="auto"/>
        <w:bottom w:val="none" w:sz="0" w:space="0" w:color="auto"/>
        <w:right w:val="none" w:sz="0" w:space="0" w:color="auto"/>
      </w:divBdr>
      <w:divsChild>
        <w:div w:id="604850294">
          <w:marLeft w:val="480"/>
          <w:marRight w:val="0"/>
          <w:marTop w:val="0"/>
          <w:marBottom w:val="0"/>
          <w:divBdr>
            <w:top w:val="none" w:sz="0" w:space="0" w:color="auto"/>
            <w:left w:val="none" w:sz="0" w:space="0" w:color="auto"/>
            <w:bottom w:val="none" w:sz="0" w:space="0" w:color="auto"/>
            <w:right w:val="none" w:sz="0" w:space="0" w:color="auto"/>
          </w:divBdr>
        </w:div>
        <w:div w:id="1997411703">
          <w:marLeft w:val="480"/>
          <w:marRight w:val="0"/>
          <w:marTop w:val="0"/>
          <w:marBottom w:val="0"/>
          <w:divBdr>
            <w:top w:val="none" w:sz="0" w:space="0" w:color="auto"/>
            <w:left w:val="none" w:sz="0" w:space="0" w:color="auto"/>
            <w:bottom w:val="none" w:sz="0" w:space="0" w:color="auto"/>
            <w:right w:val="none" w:sz="0" w:space="0" w:color="auto"/>
          </w:divBdr>
        </w:div>
        <w:div w:id="1925527179">
          <w:marLeft w:val="480"/>
          <w:marRight w:val="0"/>
          <w:marTop w:val="0"/>
          <w:marBottom w:val="0"/>
          <w:divBdr>
            <w:top w:val="none" w:sz="0" w:space="0" w:color="auto"/>
            <w:left w:val="none" w:sz="0" w:space="0" w:color="auto"/>
            <w:bottom w:val="none" w:sz="0" w:space="0" w:color="auto"/>
            <w:right w:val="none" w:sz="0" w:space="0" w:color="auto"/>
          </w:divBdr>
        </w:div>
      </w:divsChild>
    </w:div>
    <w:div w:id="1183738493">
      <w:bodyDiv w:val="1"/>
      <w:marLeft w:val="0"/>
      <w:marRight w:val="0"/>
      <w:marTop w:val="0"/>
      <w:marBottom w:val="0"/>
      <w:divBdr>
        <w:top w:val="none" w:sz="0" w:space="0" w:color="auto"/>
        <w:left w:val="none" w:sz="0" w:space="0" w:color="auto"/>
        <w:bottom w:val="none" w:sz="0" w:space="0" w:color="auto"/>
        <w:right w:val="none" w:sz="0" w:space="0" w:color="auto"/>
      </w:divBdr>
      <w:divsChild>
        <w:div w:id="2057119019">
          <w:marLeft w:val="480"/>
          <w:marRight w:val="0"/>
          <w:marTop w:val="0"/>
          <w:marBottom w:val="0"/>
          <w:divBdr>
            <w:top w:val="none" w:sz="0" w:space="0" w:color="auto"/>
            <w:left w:val="none" w:sz="0" w:space="0" w:color="auto"/>
            <w:bottom w:val="none" w:sz="0" w:space="0" w:color="auto"/>
            <w:right w:val="none" w:sz="0" w:space="0" w:color="auto"/>
          </w:divBdr>
        </w:div>
        <w:div w:id="1931697515">
          <w:marLeft w:val="480"/>
          <w:marRight w:val="0"/>
          <w:marTop w:val="0"/>
          <w:marBottom w:val="0"/>
          <w:divBdr>
            <w:top w:val="none" w:sz="0" w:space="0" w:color="auto"/>
            <w:left w:val="none" w:sz="0" w:space="0" w:color="auto"/>
            <w:bottom w:val="none" w:sz="0" w:space="0" w:color="auto"/>
            <w:right w:val="none" w:sz="0" w:space="0" w:color="auto"/>
          </w:divBdr>
        </w:div>
        <w:div w:id="2080517755">
          <w:marLeft w:val="480"/>
          <w:marRight w:val="0"/>
          <w:marTop w:val="0"/>
          <w:marBottom w:val="0"/>
          <w:divBdr>
            <w:top w:val="none" w:sz="0" w:space="0" w:color="auto"/>
            <w:left w:val="none" w:sz="0" w:space="0" w:color="auto"/>
            <w:bottom w:val="none" w:sz="0" w:space="0" w:color="auto"/>
            <w:right w:val="none" w:sz="0" w:space="0" w:color="auto"/>
          </w:divBdr>
        </w:div>
      </w:divsChild>
    </w:div>
    <w:div w:id="1247882195">
      <w:bodyDiv w:val="1"/>
      <w:marLeft w:val="0"/>
      <w:marRight w:val="0"/>
      <w:marTop w:val="0"/>
      <w:marBottom w:val="0"/>
      <w:divBdr>
        <w:top w:val="none" w:sz="0" w:space="0" w:color="auto"/>
        <w:left w:val="none" w:sz="0" w:space="0" w:color="auto"/>
        <w:bottom w:val="none" w:sz="0" w:space="0" w:color="auto"/>
        <w:right w:val="none" w:sz="0" w:space="0" w:color="auto"/>
      </w:divBdr>
      <w:divsChild>
        <w:div w:id="1494446713">
          <w:marLeft w:val="480"/>
          <w:marRight w:val="0"/>
          <w:marTop w:val="0"/>
          <w:marBottom w:val="0"/>
          <w:divBdr>
            <w:top w:val="none" w:sz="0" w:space="0" w:color="auto"/>
            <w:left w:val="none" w:sz="0" w:space="0" w:color="auto"/>
            <w:bottom w:val="none" w:sz="0" w:space="0" w:color="auto"/>
            <w:right w:val="none" w:sz="0" w:space="0" w:color="auto"/>
          </w:divBdr>
        </w:div>
        <w:div w:id="1121463628">
          <w:marLeft w:val="480"/>
          <w:marRight w:val="0"/>
          <w:marTop w:val="0"/>
          <w:marBottom w:val="0"/>
          <w:divBdr>
            <w:top w:val="none" w:sz="0" w:space="0" w:color="auto"/>
            <w:left w:val="none" w:sz="0" w:space="0" w:color="auto"/>
            <w:bottom w:val="none" w:sz="0" w:space="0" w:color="auto"/>
            <w:right w:val="none" w:sz="0" w:space="0" w:color="auto"/>
          </w:divBdr>
        </w:div>
        <w:div w:id="1435783309">
          <w:marLeft w:val="480"/>
          <w:marRight w:val="0"/>
          <w:marTop w:val="0"/>
          <w:marBottom w:val="0"/>
          <w:divBdr>
            <w:top w:val="none" w:sz="0" w:space="0" w:color="auto"/>
            <w:left w:val="none" w:sz="0" w:space="0" w:color="auto"/>
            <w:bottom w:val="none" w:sz="0" w:space="0" w:color="auto"/>
            <w:right w:val="none" w:sz="0" w:space="0" w:color="auto"/>
          </w:divBdr>
        </w:div>
      </w:divsChild>
    </w:div>
    <w:div w:id="1301233204">
      <w:bodyDiv w:val="1"/>
      <w:marLeft w:val="0"/>
      <w:marRight w:val="0"/>
      <w:marTop w:val="0"/>
      <w:marBottom w:val="0"/>
      <w:divBdr>
        <w:top w:val="none" w:sz="0" w:space="0" w:color="auto"/>
        <w:left w:val="none" w:sz="0" w:space="0" w:color="auto"/>
        <w:bottom w:val="none" w:sz="0" w:space="0" w:color="auto"/>
        <w:right w:val="none" w:sz="0" w:space="0" w:color="auto"/>
      </w:divBdr>
      <w:divsChild>
        <w:div w:id="697125991">
          <w:marLeft w:val="480"/>
          <w:marRight w:val="0"/>
          <w:marTop w:val="0"/>
          <w:marBottom w:val="0"/>
          <w:divBdr>
            <w:top w:val="none" w:sz="0" w:space="0" w:color="auto"/>
            <w:left w:val="none" w:sz="0" w:space="0" w:color="auto"/>
            <w:bottom w:val="none" w:sz="0" w:space="0" w:color="auto"/>
            <w:right w:val="none" w:sz="0" w:space="0" w:color="auto"/>
          </w:divBdr>
        </w:div>
        <w:div w:id="400106344">
          <w:marLeft w:val="480"/>
          <w:marRight w:val="0"/>
          <w:marTop w:val="0"/>
          <w:marBottom w:val="0"/>
          <w:divBdr>
            <w:top w:val="none" w:sz="0" w:space="0" w:color="auto"/>
            <w:left w:val="none" w:sz="0" w:space="0" w:color="auto"/>
            <w:bottom w:val="none" w:sz="0" w:space="0" w:color="auto"/>
            <w:right w:val="none" w:sz="0" w:space="0" w:color="auto"/>
          </w:divBdr>
        </w:div>
      </w:divsChild>
    </w:div>
    <w:div w:id="1639528680">
      <w:bodyDiv w:val="1"/>
      <w:marLeft w:val="0"/>
      <w:marRight w:val="0"/>
      <w:marTop w:val="0"/>
      <w:marBottom w:val="0"/>
      <w:divBdr>
        <w:top w:val="none" w:sz="0" w:space="0" w:color="auto"/>
        <w:left w:val="none" w:sz="0" w:space="0" w:color="auto"/>
        <w:bottom w:val="none" w:sz="0" w:space="0" w:color="auto"/>
        <w:right w:val="none" w:sz="0" w:space="0" w:color="auto"/>
      </w:divBdr>
      <w:divsChild>
        <w:div w:id="981158940">
          <w:marLeft w:val="480"/>
          <w:marRight w:val="0"/>
          <w:marTop w:val="0"/>
          <w:marBottom w:val="0"/>
          <w:divBdr>
            <w:top w:val="none" w:sz="0" w:space="0" w:color="auto"/>
            <w:left w:val="none" w:sz="0" w:space="0" w:color="auto"/>
            <w:bottom w:val="none" w:sz="0" w:space="0" w:color="auto"/>
            <w:right w:val="none" w:sz="0" w:space="0" w:color="auto"/>
          </w:divBdr>
        </w:div>
        <w:div w:id="2083284661">
          <w:marLeft w:val="480"/>
          <w:marRight w:val="0"/>
          <w:marTop w:val="0"/>
          <w:marBottom w:val="0"/>
          <w:divBdr>
            <w:top w:val="none" w:sz="0" w:space="0" w:color="auto"/>
            <w:left w:val="none" w:sz="0" w:space="0" w:color="auto"/>
            <w:bottom w:val="none" w:sz="0" w:space="0" w:color="auto"/>
            <w:right w:val="none" w:sz="0" w:space="0" w:color="auto"/>
          </w:divBdr>
        </w:div>
      </w:divsChild>
    </w:div>
    <w:div w:id="1903712971">
      <w:bodyDiv w:val="1"/>
      <w:marLeft w:val="0"/>
      <w:marRight w:val="0"/>
      <w:marTop w:val="0"/>
      <w:marBottom w:val="0"/>
      <w:divBdr>
        <w:top w:val="none" w:sz="0" w:space="0" w:color="auto"/>
        <w:left w:val="none" w:sz="0" w:space="0" w:color="auto"/>
        <w:bottom w:val="none" w:sz="0" w:space="0" w:color="auto"/>
        <w:right w:val="none" w:sz="0" w:space="0" w:color="auto"/>
      </w:divBdr>
      <w:divsChild>
        <w:div w:id="747649562">
          <w:marLeft w:val="480"/>
          <w:marRight w:val="0"/>
          <w:marTop w:val="0"/>
          <w:marBottom w:val="0"/>
          <w:divBdr>
            <w:top w:val="none" w:sz="0" w:space="0" w:color="auto"/>
            <w:left w:val="none" w:sz="0" w:space="0" w:color="auto"/>
            <w:bottom w:val="none" w:sz="0" w:space="0" w:color="auto"/>
            <w:right w:val="none" w:sz="0" w:space="0" w:color="auto"/>
          </w:divBdr>
        </w:div>
        <w:div w:id="361632703">
          <w:marLeft w:val="480"/>
          <w:marRight w:val="0"/>
          <w:marTop w:val="0"/>
          <w:marBottom w:val="0"/>
          <w:divBdr>
            <w:top w:val="none" w:sz="0" w:space="0" w:color="auto"/>
            <w:left w:val="none" w:sz="0" w:space="0" w:color="auto"/>
            <w:bottom w:val="none" w:sz="0" w:space="0" w:color="auto"/>
            <w:right w:val="none" w:sz="0" w:space="0" w:color="auto"/>
          </w:divBdr>
        </w:div>
        <w:div w:id="357438428">
          <w:marLeft w:val="480"/>
          <w:marRight w:val="0"/>
          <w:marTop w:val="0"/>
          <w:marBottom w:val="0"/>
          <w:divBdr>
            <w:top w:val="none" w:sz="0" w:space="0" w:color="auto"/>
            <w:left w:val="none" w:sz="0" w:space="0" w:color="auto"/>
            <w:bottom w:val="none" w:sz="0" w:space="0" w:color="auto"/>
            <w:right w:val="none" w:sz="0" w:space="0" w:color="auto"/>
          </w:divBdr>
        </w:div>
      </w:divsChild>
    </w:div>
    <w:div w:id="2095323340">
      <w:bodyDiv w:val="1"/>
      <w:marLeft w:val="0"/>
      <w:marRight w:val="0"/>
      <w:marTop w:val="0"/>
      <w:marBottom w:val="0"/>
      <w:divBdr>
        <w:top w:val="none" w:sz="0" w:space="0" w:color="auto"/>
        <w:left w:val="none" w:sz="0" w:space="0" w:color="auto"/>
        <w:bottom w:val="none" w:sz="0" w:space="0" w:color="auto"/>
        <w:right w:val="none" w:sz="0" w:space="0" w:color="auto"/>
      </w:divBdr>
      <w:divsChild>
        <w:div w:id="1299844622">
          <w:marLeft w:val="480"/>
          <w:marRight w:val="0"/>
          <w:marTop w:val="0"/>
          <w:marBottom w:val="0"/>
          <w:divBdr>
            <w:top w:val="none" w:sz="0" w:space="0" w:color="auto"/>
            <w:left w:val="none" w:sz="0" w:space="0" w:color="auto"/>
            <w:bottom w:val="none" w:sz="0" w:space="0" w:color="auto"/>
            <w:right w:val="none" w:sz="0" w:space="0" w:color="auto"/>
          </w:divBdr>
        </w:div>
        <w:div w:id="89485446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rian.nowak@upwr.edu.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Ogólne"/>
          <w:gallery w:val="placeholder"/>
        </w:category>
        <w:types>
          <w:type w:val="bbPlcHdr"/>
        </w:types>
        <w:behaviors>
          <w:behavior w:val="content"/>
        </w:behaviors>
        <w:guid w:val="{868F5B2E-3FE0-40F5-A469-1D369A32BB3D}"/>
      </w:docPartPr>
      <w:docPartBody>
        <w:p w:rsidR="00C20179" w:rsidRDefault="00D519E5">
          <w:r w:rsidRPr="005630E2">
            <w:rPr>
              <w:rStyle w:val="PlaceholderText"/>
            </w:rPr>
            <w:t>Kliknij lub naciśnij tutaj, aby wprowadzić tekst.</w:t>
          </w:r>
        </w:p>
      </w:docPartBody>
    </w:docPart>
    <w:docPart>
      <w:docPartPr>
        <w:name w:val="0AFCA3887F3E4542AB53553F44996D82"/>
        <w:category>
          <w:name w:val="Ogólne"/>
          <w:gallery w:val="placeholder"/>
        </w:category>
        <w:types>
          <w:type w:val="bbPlcHdr"/>
        </w:types>
        <w:behaviors>
          <w:behavior w:val="content"/>
        </w:behaviors>
        <w:guid w:val="{FDA6320F-4921-47B8-9119-E405D047E3D2}"/>
      </w:docPartPr>
      <w:docPartBody>
        <w:p w:rsidR="00852E76" w:rsidRDefault="00D20B46" w:rsidP="00D20B46">
          <w:pPr>
            <w:pStyle w:val="0AFCA3887F3E4542AB53553F44996D82"/>
          </w:pPr>
          <w:r w:rsidRPr="002E0A25">
            <w:rPr>
              <w:rStyle w:val="PlaceholderText"/>
            </w:rPr>
            <w:t>Kliknij lub naciśnij tutaj, aby wprowadzić tekst.</w:t>
          </w:r>
        </w:p>
      </w:docPartBody>
    </w:docPart>
    <w:docPart>
      <w:docPartPr>
        <w:name w:val="8E54C0053A7742A3822853B9CB6F4179"/>
        <w:category>
          <w:name w:val="Ogólne"/>
          <w:gallery w:val="placeholder"/>
        </w:category>
        <w:types>
          <w:type w:val="bbPlcHdr"/>
        </w:types>
        <w:behaviors>
          <w:behavior w:val="content"/>
        </w:behaviors>
        <w:guid w:val="{C531C455-D8CD-45B6-A89C-4F506D36C897}"/>
      </w:docPartPr>
      <w:docPartBody>
        <w:p w:rsidR="00852E76" w:rsidRDefault="00D20B46" w:rsidP="00D20B46">
          <w:pPr>
            <w:pStyle w:val="8E54C0053A7742A3822853B9CB6F4179"/>
          </w:pPr>
          <w:r w:rsidRPr="002E0A25">
            <w:rPr>
              <w:rStyle w:val="PlaceholderText"/>
            </w:rPr>
            <w:t>Kliknij lub naciśnij tutaj, aby wprowadzić tekst.</w:t>
          </w:r>
        </w:p>
      </w:docPartBody>
    </w:docPart>
    <w:docPart>
      <w:docPartPr>
        <w:name w:val="26B0107B8FE745C791D06605A95C36B0"/>
        <w:category>
          <w:name w:val="Ogólne"/>
          <w:gallery w:val="placeholder"/>
        </w:category>
        <w:types>
          <w:type w:val="bbPlcHdr"/>
        </w:types>
        <w:behaviors>
          <w:behavior w:val="content"/>
        </w:behaviors>
        <w:guid w:val="{18E8D99C-8CB4-401C-859F-4A38C89C81E8}"/>
      </w:docPartPr>
      <w:docPartBody>
        <w:p w:rsidR="00852E76" w:rsidRDefault="00D20B46" w:rsidP="00D20B46">
          <w:pPr>
            <w:pStyle w:val="26B0107B8FE745C791D06605A95C36B0"/>
          </w:pPr>
          <w:r w:rsidRPr="002E0A25">
            <w:rPr>
              <w:rStyle w:val="PlaceholderText"/>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F0"/>
    <w:rsid w:val="000D3722"/>
    <w:rsid w:val="002C02B6"/>
    <w:rsid w:val="00345520"/>
    <w:rsid w:val="00687EF0"/>
    <w:rsid w:val="00702237"/>
    <w:rsid w:val="00852E76"/>
    <w:rsid w:val="00C20179"/>
    <w:rsid w:val="00CF786D"/>
    <w:rsid w:val="00D20B46"/>
    <w:rsid w:val="00D519E5"/>
    <w:rsid w:val="00E3197B"/>
    <w:rsid w:val="00E47A67"/>
    <w:rsid w:val="00EA5121"/>
    <w:rsid w:val="00EC1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B46"/>
    <w:rPr>
      <w:color w:val="808080"/>
    </w:rPr>
  </w:style>
  <w:style w:type="paragraph" w:customStyle="1" w:styleId="01C2B5BFB2464A338DE0CFA6B4C33B9B">
    <w:name w:val="01C2B5BFB2464A338DE0CFA6B4C33B9B"/>
    <w:rsid w:val="00687EF0"/>
  </w:style>
  <w:style w:type="paragraph" w:customStyle="1" w:styleId="4CDB116C93F6431EAC456B6DA70B2B1A">
    <w:name w:val="4CDB116C93F6431EAC456B6DA70B2B1A"/>
    <w:rsid w:val="00687EF0"/>
  </w:style>
  <w:style w:type="paragraph" w:customStyle="1" w:styleId="0AC90DCA1D2A4EB790856248136D7EF7">
    <w:name w:val="0AC90DCA1D2A4EB790856248136D7EF7"/>
    <w:rsid w:val="00687EF0"/>
  </w:style>
  <w:style w:type="paragraph" w:customStyle="1" w:styleId="0C54472F5F6545EC97094100B061F17A">
    <w:name w:val="0C54472F5F6545EC97094100B061F17A"/>
    <w:rsid w:val="00EC14D1"/>
  </w:style>
  <w:style w:type="paragraph" w:customStyle="1" w:styleId="29CF14B794FF438584E7E469D6A1A2EC">
    <w:name w:val="29CF14B794FF438584E7E469D6A1A2EC"/>
    <w:rsid w:val="00EC14D1"/>
  </w:style>
  <w:style w:type="paragraph" w:customStyle="1" w:styleId="FBBF56FDDE934443A87673EE8BD0BC68">
    <w:name w:val="FBBF56FDDE934443A87673EE8BD0BC68"/>
    <w:rsid w:val="00EC14D1"/>
  </w:style>
  <w:style w:type="paragraph" w:customStyle="1" w:styleId="D0FC9A9232FA44028FC2CD6B0ACC287E">
    <w:name w:val="D0FC9A9232FA44028FC2CD6B0ACC287E"/>
    <w:rsid w:val="00D519E5"/>
  </w:style>
  <w:style w:type="paragraph" w:customStyle="1" w:styleId="B900C465B1984FE9979471616E6ECC60">
    <w:name w:val="B900C465B1984FE9979471616E6ECC60"/>
    <w:rsid w:val="00D519E5"/>
  </w:style>
  <w:style w:type="paragraph" w:customStyle="1" w:styleId="0AFCA3887F3E4542AB53553F44996D82">
    <w:name w:val="0AFCA3887F3E4542AB53553F44996D82"/>
    <w:rsid w:val="00D20B46"/>
  </w:style>
  <w:style w:type="paragraph" w:customStyle="1" w:styleId="8E54C0053A7742A3822853B9CB6F4179">
    <w:name w:val="8E54C0053A7742A3822853B9CB6F4179"/>
    <w:rsid w:val="00D20B46"/>
  </w:style>
  <w:style w:type="paragraph" w:customStyle="1" w:styleId="26B0107B8FE745C791D06605A95C36B0">
    <w:name w:val="26B0107B8FE745C791D06605A95C36B0"/>
    <w:rsid w:val="00D20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BBD7B8-82EF-43A6-8DAB-52D09579A53B}">
  <we:reference id="wa104382081" version="1.55.1.0" store="pl-PL" storeType="OMEX"/>
  <we:alternateReferences>
    <we:reference id="wa104382081" version="1.55.1.0" store="wa104382081" storeType="OMEX"/>
  </we:alternateReferences>
  <we:properties>
    <we:property name="MENDELEY_CITATIONS" value="[{&quot;citationID&quot;:&quot;MENDELEY_CITATION_308764d1-f905-4efb-b303-c883e537a838&quot;,&quot;properties&quot;:{&quot;noteIndex&quot;:0},&quot;isEdited&quot;:false,&quot;manualOverride&quot;:{&quot;isManuallyOverridden&quot;:false,&quot;citeprocText&quot;:&quot;(Riddell et al., 2017)&quot;,&quot;manualOverrideText&quot;:&quot;&quot;},&quot;citationTag&quot;:&quot;MENDELEY_CITATION_v3_eyJjaXRhdGlvbklEIjoiTUVOREVMRVlfQ0lUQVRJT05fMzA4NzY0ZDEtZjkwNS00ZWZiLWIzMDMtYzg4M2U1MzdhODM4IiwicHJvcGVydGllcyI6eyJub3RlSW5kZXgiOjB9LCJpc0VkaXRlZCI6ZmFsc2UsIm1hbnVhbE92ZXJyaWRlIjp7ImlzTWFudWFsbHlPdmVycmlkZGVuIjpmYWxzZSwiY2l0ZXByb2NUZXh0IjoiKFJpZGRlbGwgZXQgYWwuLCAyMDE3KSIsIm1hbnVhbE92ZXJyaWRlVGV4dCI6IiJ9LCJjaXRhdGlvbkl0ZW1zIjpbeyJpZCI6Ijg5ZWUyYjBhLTdhMTYtMzQzOC1hZDZjLTc0ZDA4OTE0ZTNkYyIsIml0ZW1EYXRhIjp7InR5cGUiOiJhcnRpY2xlLWpvdXJuYWwiLCJpZCI6Ijg5ZWUyYjBhLTdhMTYtMzQzOC1hZDZjLTc0ZDA4OTE0ZTNkYyIsInRpdGxlIjoiVW5jZXJ0YWludHkgaW4gZ2VvY2VudGVyIGVzdGltYXRlcyBpbiB0aGUgY29udGV4dCBvZiBJVFJGMjAxNCIsImF1dGhvciI6W3siZmFtaWx5IjoiUmlkZGVsbCIsImdpdmVuIjoiQW5uYSBSIiwicGFyc2UtbmFtZXMiOmZhbHNlLCJkcm9wcGluZy1wYXJ0aWNsZSI6IiIsIm5vbi1kcm9wcGluZy1wYXJ0aWNsZSI6IiJ9LHsiZmFtaWx5IjoiS2luZyIsImdpdmVuIjoiTWF0dCBBIiwicGFyc2UtbmFtZXMiOmZhbHNlLCJkcm9wcGluZy1wYXJ0aWNsZSI6IiIsIm5vbi1kcm9wcGluZy1wYXJ0aWNsZSI6IiJ9LHsiZmFtaWx5IjoiV2F0c29uIiwiZ2l2ZW4iOiJDaHJpc3RvcGhlciBTIiwicGFyc2UtbmFtZXMiOmZhbHNlLCJkcm9wcGluZy1wYXJ0aWNsZSI6IiIsIm5vbi1kcm9wcGluZy1wYXJ0aWNsZSI6IiJ9LHsiZmFtaWx5IjoiU3VuIiwiZ2l2ZW4iOiJZdSIsInBhcnNlLW5hbWVzIjpmYWxzZSwiZHJvcHBpbmctcGFydGljbGUiOiIiLCJub24tZHJvcHBpbmctcGFydGljbGUiOiIifSx7ImZhbWlseSI6IlJpdmEiLCJnaXZlbiI6IlJpY2NhcmRvIEUgTSIsInBhcnNlLW5hbWVzIjpmYWxzZSwiZHJvcHBpbmctcGFydGljbGUiOiIiLCJub24tZHJvcHBpbmctcGFydGljbGUiOiIifSx7ImZhbWlseSI6IlJpZXRicm9layIsImdpdmVuIjoiUm9lbG9mIiwicGFyc2UtbmFtZXMiOmZhbHNlLCJkcm9wcGluZy1wYXJ0aWNsZSI6IiIsIm5vbi1kcm9wcGluZy1wYXJ0aWNsZSI6IiJ9XSwiY29udGFpbmVyLXRpdGxlIjoiSm91cm5hbCBvZiBHZW9waHlzaWNhbCBSZXNlYXJjaDogU29saWQgRWFydGgiLCJET0kiOiJodHRwczovL2RvaS5vcmcvMTAuMTAwMi8yMDE2SkIwMTM2OTgiLCJJU1NOIjoiMjE2OS05MzEzIiwiVVJMIjoiaHR0cHM6Ly9kb2kub3JnLzEwLjEwMDIvMjAxNkpCMDEzNjk4IiwiaXNzdWVkIjp7ImRhdGUtcGFydHMiOltbMjAxNyw1LDFdXX0sInBhZ2UiOiI0MDIwLTQwMzIiLCJhYnN0cmFjdCI6IkFic3RyYWN0IFVuY2VydGFpbnR5IGluIHRoZSBnZW9jZW50ZXIgcG9zaXRpb24gYW5kIGl0cyBzdWJzZXF1ZW50IG1vdGlvbiBhZmZlY3RzIHBvc2l0aW9uaW5nIGVzdGltYXRlcyBvbiB0aGUgc3VyZmFjZSBvZiB0aGUgRWFydGggYW5kIGRvd25zdHJlYW0gcHJvZHVjdHMgc3VjaCBhcyBzaXRlIHZlbG9jaXRpZXMsIHBhcnRpY3VsYXJseSB0aGUgdmVydGljYWwgY29tcG9uZW50LiBUaGUgY3VycmVudCB2ZXJzaW9uIG9mIHRoZSBJbnRlcm5hdGlvbmFsIFRlcnJlc3RyaWFsIFJlZmVyZW5jZSBGcmFtZSwgSVRSRjIwMTQsIGRlcml2ZXMgaXRzIG9yaWdpbiBhcyB0aGUgbG9uZy10ZXJtIGF2ZXJhZ2VkIGNlbnRlciBvZiBtYXNzIGFzIHNlbnNlZCBieSBzYXRlbGxpdGUgbGFzZXIgcmFuZ2luZyAoU0xSKSwgYW5kIGJ5IGRlZmluaXRpb24sIGl0IGFkb3B0cyBvbmx5IGxpbmVhciBtb3Rpb24gb2YgdGhlIG9yaWdpbiB3aXRoIHVuY2VydGFpbnR5IGRldGVybWluZWQgdXNpbmcgYSB3aGl0ZSBub2lzZSBwcm9jZXNzLiBXZSBjb21wYXJlIHdlZWtseSBTTFIgdHJhbnNsYXRpb25zIHJlbGF0aXZlIHRvIHRoZSBJVFJGMjAxNCBvcmlnaW4sIHdpdGggbmV0d29yayB0cmFuc2xhdGlvbnMgZXN0aW1hdGVkIGZyb20gc3RhdGlvbiBkaXNwbGFjZW1lbnRzIGZyb20gc3VyZmFjZSBtYXNzIHRyYW5zcG9ydCBtb2RlbHMuIFdlIGZpbmQgdGhhdCB0aGUgcHJvcG9ydGlvbiBvZiB2YXJpYW5jZSBleHBsYWluZWQgaW4gU0xSIHRyYW5zbGF0aW9ucyBieSB0aGUgbW9kZWwtZGVyaXZlZCB0cmFuc2xhdGlvbnMgaXMgb24gYXZlcmFnZSBsZXNzIHRoYW4gMTAlLiBUaW1lLWNvcnJlbGF0ZWQgbm9pc2UgYW5kIG5vbmxpbmVhciByYXRlcywgcGFydGljdWxhcmx5IGV2aWRlbnQgaW4gdGhlIFkgYW5kIFogY29tcG9uZW50cyBvZiB0aGUgU0xSIHRyYW5zbGF0aW9ucyB3aXRoIHJlc3BlY3QgdG8gdGhlIElUUkYyMDE0IG9yaWdpbiwgYXJlIG5vdCBmdWxseSByZXBsaWNhdGVkIGJ5IHRoZSBtb2RlbC1kZXJpdmVkIHRyYW5zbGF0aW9ucy4gVGhpcyBzdWdnZXN0cyB0aGF0IHRyYW5zbGF0aW9uLXJlbGF0ZWQgdW5jZXJ0YWludGllcyBhcmUgdW5kZXJlc3RpbWF0ZWQgd2hlbiBhIHdoaXRlIG5vaXNlIG1vZGVsIGlzIGFkb3B0ZWQgYW5kIHRoYXQgc3Vic3RhbnRpYWwgc3lzdGVtYXRpYyBlcnJvcnMgcmVtYWluIGluIHRoZSBkYXRhIGRlZmluaW5nIHRoZSBJVFJGIG9yaWdpbi4gV2hlbiB1c2luZyBhIHdoaXRlIG5vaXNlIG1vZGVsLCB3ZSBmaW5kIHVuY2VydGFpbnRpZXMgaW4gdGhlIHJhdGUgb2YgU0xSIFgsIFksIGFuZCBaIHRyYW5zbGF0aW9ucyBvZiDCsTAuMDMsIMKxMC4wMywgYW5kIMKxMC4wNiwgcmVzcGVjdGl2ZWx5LCBpbmNyZWFzaW5nIHRvIMKxMC4xMywgwrEwLjE3LCBhbmQgwrEwLjMzIChtbS95ciwgMSBzaWdtYSkgd2hlbiBhIHBvd2VyIGxhdyBhbmQgd2hpdGUgbm9pc2UgbW9kZWwgaXMgYWRvcHRlZC4iLCJwdWJsaXNoZXIiOiJKb2huIFdpbGV5ICYgU29ucywgTHRkIiwiaXNzdWUiOiI1Iiwidm9sdW1lIjoiMTIyIiwiY29udGFpbmVyLXRpdGxlLXNob3J0IjoiSiBHZW9waHlzIFJlcyBTb2xpZCBFYXJ0aCJ9LCJpc1RlbXBvcmFyeSI6ZmFsc2V9XX0=&quot;,&quot;citationItems&quot;:[{&quot;id&quot;:&quot;89ee2b0a-7a16-3438-ad6c-74d08914e3dc&quot;,&quot;itemData&quot;:{&quot;type&quot;:&quot;article-journal&quot;,&quot;id&quot;:&quot;89ee2b0a-7a16-3438-ad6c-74d08914e3dc&quot;,&quot;title&quot;:&quot;Uncertainty in geocenter estimates in the context of ITRF2014&quot;,&quot;author&quot;:[{&quot;family&quot;:&quot;Riddell&quot;,&quot;given&quot;:&quot;Anna R&quot;,&quot;parse-names&quot;:false,&quot;dropping-particle&quot;:&quot;&quot;,&quot;non-dropping-particle&quot;:&quot;&quot;},{&quot;family&quot;:&quot;King&quot;,&quot;given&quot;:&quot;Matt A&quot;,&quot;parse-names&quot;:false,&quot;dropping-particle&quot;:&quot;&quot;,&quot;non-dropping-particle&quot;:&quot;&quot;},{&quot;family&quot;:&quot;Watson&quot;,&quot;given&quot;:&quot;Christopher S&quot;,&quot;parse-names&quot;:false,&quot;dropping-particle&quot;:&quot;&quot;,&quot;non-dropping-particle&quot;:&quot;&quot;},{&quot;family&quot;:&quot;Sun&quot;,&quot;given&quot;:&quot;Yu&quot;,&quot;parse-names&quot;:false,&quot;dropping-particle&quot;:&quot;&quot;,&quot;non-dropping-particle&quot;:&quot;&quot;},{&quot;family&quot;:&quot;Riva&quot;,&quot;given&quot;:&quot;Riccardo E M&quot;,&quot;parse-names&quot;:false,&quot;dropping-particle&quot;:&quot;&quot;,&quot;non-dropping-particle&quot;:&quot;&quot;},{&quot;family&quot;:&quot;Rietbroek&quot;,&quot;given&quot;:&quot;Roelof&quot;,&quot;parse-names&quot;:false,&quot;dropping-particle&quot;:&quot;&quot;,&quot;non-dropping-particle&quot;:&quot;&quot;}],&quot;container-title&quot;:&quot;Journal of Geophysical Research: Solid Earth&quot;,&quot;DOI&quot;:&quot;https://doi.org/10.1002/2016JB013698&quot;,&quot;ISSN&quot;:&quot;2169-9313&quot;,&quot;URL&quot;:&quot;https://doi.org/10.1002/2016JB013698&quot;,&quot;issued&quot;:{&quot;date-parts&quot;:[[2017,5,1]]},&quot;page&quot;:&quot;4020-4032&quot;,&quot;abstract&quot;:&quot;Abstract Uncertainty in the geocenter position and its subsequent motion affects positioning estimates on the surface of the Earth and downstream products such as site velocities, particularly the vertical component. The current version of the International Terrestrial Reference Frame, ITRF2014, derives its origin as the long-term averaged center of mass as sensed by satellite laser ranging (SLR), and by definition, it adopts only linear motion of the origin with uncertainty determined using a white noise process. We compare weekly SLR translations relative to the ITRF2014 origin, with network translations estimated from station displacements from surface mass transport models. We find that the proportion of variance explained in SLR translations by the model-derived translations is on average less than 10%. Time-correlated noise and nonlinear rates, particularly evident in the Y and Z components of the SLR translations with respect to the ITRF2014 origin, are not fully replicated by the model-derived translations. This suggests that translation-related uncertainties are underestimated when a white noise model is adopted and that substantial systematic errors remain in the data defining the ITRF origin. When using a white noise model, we find uncertainties in the rate of SLR X, Y, and Z translations of ±0.03, ±0.03, and ±0.06, respectively, increasing to ±0.13, ±0.17, and ±0.33 (mm/yr, 1 sigma) when a power law and white noise model is adopted.&quot;,&quot;publisher&quot;:&quot;John Wiley &amp; Sons, Ltd&quot;,&quot;issue&quot;:&quot;5&quot;,&quot;volume&quot;:&quot;122&quot;,&quot;container-title-short&quot;:&quot;J Geophys Res Solid Earth&quot;},&quot;isTemporary&quot;:false}]},{&quot;citationID&quot;:&quot;MENDELEY_CITATION_1da9df4e-40c0-4013-aeaf-9e70a967c91b&quot;,&quot;properties&quot;:{&quot;noteIndex&quot;:0},&quot;isEdited&quot;:false,&quot;manualOverride&quot;:{&quot;isManuallyOverridden&quot;:false,&quot;citeprocText&quot;:&quot;(Altamimi et al., 2016)&quot;,&quot;manualOverrideText&quot;:&quot;&quot;},&quot;citationTag&quot;:&quot;MENDELEY_CITATION_v3_eyJjaXRhdGlvbklEIjoiTUVOREVMRVlfQ0lUQVRJT05fMWRhOWRmNGUtNDBjMC00MDEzLWFlYWYtOWU3MGE5NjdjOTFiIiwicHJvcGVydGllcyI6eyJub3RlSW5kZXgiOjB9LCJpc0VkaXRlZCI6ZmFsc2UsIm1hbnVhbE92ZXJyaWRlIjp7ImlzTWFudWFsbHlPdmVycmlkZGVuIjpmYWxzZSwiY2l0ZXByb2NUZXh0IjoiKEFsdGFtaW1pIGV0IGFsLiwgMjAxNikiLCJtYW51YWxPdmVycmlkZVRleHQiOiIifSwiY2l0YXRpb25JdGVtcyI6W3siaWQiOiIzNjA4NzA5OS0wNDkwLTM0YjctYjQ0OC01ZDZkMGZlNTY1MDYiLCJpdGVtRGF0YSI6eyJ0eXBlIjoiYXJ0aWNsZS1qb3VybmFsIiwiaWQiOiIzNjA4NzA5OS0wNDkwLTM0YjctYjQ0OC01ZDZkMGZlNTY1MDYiLCJ0aXRsZSI6IklUUkYyMDE0OiBBIG5ldyByZWxlYXNlIG9mIHRoZSBJbnRlcm5hdGlvbmFsIFRlcnJlc3RyaWFsIFJlZmVyZW5jZSBGcmFtZSBtb2RlbGluZyBub25saW5lYXIgc3RhdGlvbiBtb3Rpb25zIiwiYXV0aG9yIjpbeyJmYW1pbHkiOiJBbHRhbWltaSIsImdpdmVuIjoiWnVoZWlyIiwicGFyc2UtbmFtZXMiOmZhbHNlLCJkcm9wcGluZy1wYXJ0aWNsZSI6IiIsIm5vbi1kcm9wcGluZy1wYXJ0aWNsZSI6IiJ9LHsiZmFtaWx5IjoiUmViaXNjaHVuZyIsImdpdmVuIjoiUGF1bCIsInBhcnNlLW5hbWVzIjpmYWxzZSwiZHJvcHBpbmctcGFydGljbGUiOiIiLCJub24tZHJvcHBpbmctcGFydGljbGUiOiIifSx7ImZhbWlseSI6Ik3DqXRpdmllciIsImdpdmVuIjoiTGF1cmVudCIsInBhcnNlLW5hbWVzIjpmYWxzZSwiZHJvcHBpbmctcGFydGljbGUiOiIiLCJub24tZHJvcHBpbmctcGFydGljbGUiOiIifSx7ImZhbWlseSI6IkNvbGxpbGlldXgiLCJnaXZlbiI6IlhhdmllciIsInBhcnNlLW5hbWVzIjpmYWxzZSwiZHJvcHBpbmctcGFydGljbGUiOiIiLCJub24tZHJvcHBpbmctcGFydGljbGUiOiIifV0sImNvbnRhaW5lci10aXRsZSI6IkpvdXJuYWwgb2YgR2VvcGh5c2ljYWwgUmVzZWFyY2g6IFNvbGlkIEVhcnRoIiwiY29udGFpbmVyLXRpdGxlLXNob3J0IjoiSiBHZW9waHlzIFJlcyBTb2xpZCBFYXJ0aCIsIkRPSSI6Imh0dHBzOi8vZG9pLm9yZy8xMC4xMDAyLzIwMTZKQjAxMzA5OCIsIklTU04iOiIyMTY5LTkzMTMiLCJVUkwiOiJodHRwczovL2RvaS5vcmcvMTAuMTAwMi8yMDE2SkIwMTMwOTgiLCJpc3N1ZWQiOnsiZGF0ZS1wYXJ0cyI6W1syMDE2LDgsMV1dfSwicGFnZSI6IjYxMDktNjEzMSIsImFic3RyYWN0IjoiQWJzdHJhY3QgRm9yIHRoZSBmaXJzdCB0aW1lIGluIHRoZSBJbnRlcm5hdGlvbmFsIFRlcnJlc3RyaWFsIFJlZmVyZW5jZSBGcmFtZSAoSVRSRikgaGlzdG9yeSwgdGhlIElUUkYyMDE0IGlzIGdlbmVyYXRlZCB3aXRoIGFuIGVuaGFuY2VkIG1vZGVsaW5nIG9mIG5vbmxpbmVhciBzdGF0aW9uIG1vdGlvbnMsIGluY2x1ZGluZyBzZWFzb25hbCAoYW5udWFsIGFuZCBzZW1pYW5udWFsKSBzaWduYWxzIG9mIHN0YXRpb24gcG9zaXRpb25zIGFuZCBwb3N0c2Vpc21pYyBkZWZvcm1hdGlvbiBmb3Igc2l0ZXMgdGhhdCB3ZXJlIHN1YmplY3QgdG8gbWFqb3IgZWFydGhxdWFrZXMuIFVzaW5nIHRoZSBmdWxsIG9ic2VydmF0aW9uIGhpc3Rvcnkgb2YgdGhlIGZvdXIgc3BhY2UgZ2VvZGV0aWMgdGVjaG5pcXVlcyAodmVyeSBsb25nIGJhc2VsaW5lIGludGVyZmVyb21ldHJ5IChWTEJJKSwgc2F0ZWxsaXRlIGxhc2VyIHJhbmdpbmcgKFNMUiksIEdsb2JhbCBOYXZpZ2F0aW9uIFNhdGVsbGl0ZSBTeXN0ZW1zIChHTlNTKSwgYW5kIERvcHBsZXIgb3JiaXRvZ3JhcGh5IGFuZCByYWRpb3Bvc2l0aW9uaW5nIGludGVncmF0ZWQgYnkgc2F0ZWxsaXRlIChET1JJUykpLCB0aGUgY29ycmVzcG9uZGluZyBpbnRlcm5hdGlvbmFsIHNlcnZpY2VzIHByb3ZpZGVkIHJlcHJvY2Vzc2VkIHRpbWUgc2VyaWVzICh3ZWVrbHkgZnJvbSBTTFIgYW5kIERPUklTLCBkYWlseSBmcm9tIEdOU1MsIGFuZCAyNCBoIHNlc3Npb24td2lzZSBmcm9tIFZMQkkpIG9mIHN0YXRpb24gcG9zaXRpb25zIGFuZCBkYWlseSBFYXJ0aCBPcmllbnRhdGlvbiBQYXJhbWV0ZXJzLiBJVFJGMjAxNCBpcyBkZW1vbnN0cmF0ZWQgdG8gYmUgc3VwZXJpb3IgdG8gcGFzdCBJVFJGIHJlbGVhc2VzLCBhcyBpdCBwcmVjaXNlbHkgbW9kZWxzIHRoZSBhY3R1YWwgc3RhdGlvbiB0cmFqZWN0b3JpZXMgbGVhZGluZyB0byBhIG1vcmUgcm9idXN0IHNlY3VsYXIgZnJhbWUgYW5kIHNpdGUgdmVsb2NpdGllcy4gVGhlIElUUkYyMDE0IGxvbmctdGVybSBvcmlnaW4gY29pbmNpZGVzIHdpdGggdGhlIEVhcnRoIHN5c3RlbSBjZW50ZXIgb2YgbWFzcyBhcyBzZW5zZWQgYnkgU0xSIG9ic2VydmF0aW9ucyBjb2xsZWN0ZWQgb24gdGhlIHR3byBMQUdFT1Mgc2F0ZWxsaXRlcyBvdmVyIHRoZSB0aW1lIHNwYW4gYmV0d2VlbiAxOTkzLjAgYW5kIDIwMTUuMC4gVGhlIGVzdGltYXRlZCBhY2N1cmFjeSBvZiB0aGUgSVRSRjIwMTQgb3JpZ2luLCBhcyByZWZsZWN0ZWQgYnkgdGhlIGxldmVsIG9mIGFncmVlbWVudCB3aXRoIHRoZSBJVFJGMjAwOCAoYm90aCBvcmlnaW5zIGFyZSBkZWZpbmVkIGJ5IFNMUiksIGlzIGF0IHRoZSBsZXZlbCBvZiBsZXNzIHRoYW4gMyBtbSBhdCBlcG9jaCAyMDEwLjAgYW5kIGxlc3MgdGhhbiAwLjIgbW0veXIgaW4gdGltZSBldm9sdXRpb24uIFRoZSBJVFJGMjAxNCBzY2FsZSBpcyBkZWZpbmVkIGJ5IHRoZSBhcml0aG1ldGljIGF2ZXJhZ2Ugb2YgdGhlIGltcGxpY2l0IHNjYWxlcyBvZiBTTFIgYW5kIFZMQkkgc29sdXRpb25zIGFzIG9idGFpbmVkIGJ5IHRoZSBzdGFja2luZyBvZiB0aGVpciByZXNwZWN0aXZlIHRpbWUgc2VyaWVzLiBUaGUgcmVzdWx0aW5nIHNjYWxlIGFuZCBzY2FsZSByYXRlIGRpZmZlcmVuY2VzIGJldHdlZW4gdGhlIHR3byBzb2x1dGlvbnMgYXJlIDEuMzcgKMKxMC4xMCkgcHBiIGF0IGVwb2NoIDIwMTAuMCBhbmQgMC4wMiAowrEwLjAyKSBwcGIveXIuIFdoaWxlIHRoZSBwb3N0c2Vpc21pYyBkZWZvcm1hdGlvbiBtb2RlbHMgd2VyZSBlc3RpbWF0ZWQgdXNpbmcgR05TUy9HUFMgZGF0YSwgdGhlIHJlc3VsdGluZyBwYXJhbWV0cmljIG1vZGVscyBhdCBlYXJ0aHF1YWtlIGNvbG9jYXRpb24gc2l0ZXMgd2VyZSBhcHBsaWVkIHRvIHRoZSBzdGF0aW9uIHBvc2l0aW9uIHRpbWUgc2VyaWVzIG9mIHRoZSB0aHJlZSBvdGhlciB0ZWNobmlxdWVzLCBzaG93aW5nIGEgdmVyeSBoaWdoIGxldmVsIG9mIGNvbnNpc3RlbmN5IHdoaWNoIGVuZm9yY2VzIG1vcmUgdGhlIGxpbmsgYmV0d2VlbiB0ZWNobmlxdWVzIHdpdGhpbiB0aGUgSVRSRjIwMTQgZnJhbWUuIFRoZSB1c2VycyBzaG91bGQgYmUgYXdhcmUgdGhhdCB0aGUgcG9zdHNlaXNtaWMgZGVmb3JtYXRpb24gbW9kZWxzIGFyZSBwYXJ0IG9mIHRoZSBJVFJGMjAxNCBwcm9kdWN0cywgdW5saWtlIHRoZSBhbm51YWwgYW5kIHNlbWlhbm51YWwgc2lnbmFscywgd2hpY2ggd2VyZSBlc3RpbWF0ZWQgaW50ZXJuYWxseSB3aXRoIHRoZSBvbmx5IHB1cnBvc2Ugb2YgZW5oYW5jaW5nIHRoZSB2ZWxvY2l0eSBmaWVsZCBlc3RpbWF0aW9uIG9mIHRoZSBzZWN1bGFyIGZyYW1lLiIsInB1Ymxpc2hlciI6IkpvaG4gV2lsZXkgJiBTb25zLCBMdGQiLCJpc3N1ZSI6IjgiLCJ2b2x1bWUiOiIxMjEifSwiaXNUZW1wb3JhcnkiOmZhbHNlfV19&quot;,&quot;citationItems&quot;:[{&quot;id&quot;:&quot;36087099-0490-34b7-b448-5d6d0fe56506&quot;,&quot;itemData&quot;:{&quot;type&quot;:&quot;article-journal&quot;,&quot;id&quot;:&quot;36087099-0490-34b7-b448-5d6d0fe56506&quot;,&quot;title&quot;:&quot;ITRF2014: A new release of the International Terrestrial Reference Frame modeling nonlinear station motions&quot;,&quot;author&quot;:[{&quot;family&quot;:&quot;Altamimi&quot;,&quot;given&quot;:&quot;Zuheir&quot;,&quot;parse-names&quot;:false,&quot;dropping-particle&quot;:&quot;&quot;,&quot;non-dropping-particle&quot;:&quot;&quot;},{&quot;family&quot;:&quot;Rebischung&quot;,&quot;given&quot;:&quot;Paul&quot;,&quot;parse-names&quot;:false,&quot;dropping-particle&quot;:&quot;&quot;,&quot;non-dropping-particle&quot;:&quot;&quot;},{&quot;family&quot;:&quot;Métivier&quot;,&quot;given&quot;:&quot;Laurent&quot;,&quot;parse-names&quot;:false,&quot;dropping-particle&quot;:&quot;&quot;,&quot;non-dropping-particle&quot;:&quot;&quot;},{&quot;family&quot;:&quot;Collilieux&quot;,&quot;given&quot;:&quot;Xavier&quot;,&quot;parse-names&quot;:false,&quot;dropping-particle&quot;:&quot;&quot;,&quot;non-dropping-particle&quot;:&quot;&quot;}],&quot;container-title&quot;:&quot;Journal of Geophysical Research: Solid Earth&quot;,&quot;container-title-short&quot;:&quot;J Geophys Res Solid Earth&quot;,&quot;DOI&quot;:&quot;https://doi.org/10.1002/2016JB013098&quot;,&quot;ISSN&quot;:&quot;2169-9313&quot;,&quot;URL&quot;:&quot;https://doi.org/10.1002/2016JB013098&quot;,&quot;issued&quot;:{&quot;date-parts&quot;:[[2016,8,1]]},&quot;page&quot;:&quot;6109-6131&quot;,&quot;abstract&quot;:&quot;Abstract For the first time in the International Terrestrial Reference Frame (ITRF) history, the ITRF2014 is generated with an enhanced modeling of nonlinear station motions, including seasonal (annual and semiannual) signals of station positions and postseismic deformation for sites that were subject to major earthquakes. Using the full observation history of the four space geodetic techniques (very long baseline interferometry (VLBI), satellite laser ranging (SLR), Global Navigation Satellite Systems (GNSS), and Doppler orbitography and radiopositioning integrated by satellite (DORIS)), the corresponding international services provided reprocessed time series (weekly from SLR and DORIS, daily from GNSS, and 24 h session-wise from VLBI) of station positions and daily Earth Orientation Parameters. ITRF2014 is demonstrated to be superior to past ITRF releases, as it precisely models the actual station trajectories leading to a more robust secular frame and site velocities. The ITRF2014 long-term origin coincides with the Earth system center of mass as sensed by SLR observations collected on the two LAGEOS satellites over the time span between 1993.0 and 2015.0. The estimated accuracy of the ITRF2014 origin, as reflected by the level of agreement with the ITRF2008 (both origins are defined by SLR), is at the level of less than 3 mm at epoch 2010.0 and less than 0.2 mm/yr in time evolution. The ITRF2014 scale is defined by the arithmetic average of the implicit scales of SLR and VLBI solutions as obtained by the stacking of their respective time series. The resulting scale and scale rate differences between the two solutions are 1.37 (±0.10) ppb at epoch 2010.0 and 0.02 (±0.02) ppb/yr. While the postseismic deformation models were estimated using GNSS/GPS data, the resulting parametric models at earthquake colocation sites were applied to the station position time series of the three other techniques, showing a very high level of consistency which enforces more the link between techniques within the ITRF2014 frame. The users should be aware that the postseismic deformation models are part of the ITRF2014 products, unlike the annual and semiannual signals, which were estimated internally with the only purpose of enhancing the velocity field estimation of the secular frame.&quot;,&quot;publisher&quot;:&quot;John Wiley &amp; Sons, Ltd&quot;,&quot;issue&quot;:&quot;8&quot;,&quot;volume&quot;:&quot;121&quot;},&quot;isTemporary&quot;:false}]},{&quot;citationID&quot;:&quot;MENDELEY_CITATION_7e0acbee-4ce2-44b2-8402-80237ed05fc4&quot;,&quot;properties&quot;:{&quot;noteIndex&quot;:0,&quot;mode&quot;:&quot;composite&quot;},&quot;isEdited&quot;:false,&quot;manualOverride&quot;:{&quot;isManuallyOverridden&quot;:false,&quot;citeprocText&quot;:&quot;Riddell et al. (2017)&quot;,&quot;manualOverrideText&quot;:&quot;&quot;},&quot;citationTag&quot;:&quot;MENDELEY_CITATION_v3_eyJjaXRhdGlvbklEIjoiTUVOREVMRVlfQ0lUQVRJT05fN2UwYWNiZWUtNGNlMi00NGIyLTg0MDItODAyMzdlZDA1ZmM0IiwicHJvcGVydGllcyI6eyJub3RlSW5kZXgiOjAsIm1vZGUiOiJjb21wb3NpdGUifSwiaXNFZGl0ZWQiOmZhbHNlLCJtYW51YWxPdmVycmlkZSI6eyJpc01hbnVhbGx5T3ZlcnJpZGRlbiI6ZmFsc2UsImNpdGVwcm9jVGV4dCI6IlJpZGRlbGwgZXQgYWwuICgyMDE3KSIsIm1hbnVhbE92ZXJyaWRlVGV4dCI6IiJ9LCJjaXRhdGlvbkl0ZW1zIjpbeyJpZCI6Ijg5ZWUyYjBhLTdhMTYtMzQzOC1hZDZjLTc0ZDA4OTE0ZTNkYyIsIml0ZW1EYXRhIjp7InR5cGUiOiJhcnRpY2xlLWpvdXJuYWwiLCJpZCI6Ijg5ZWUyYjBhLTdhMTYtMzQzOC1hZDZjLTc0ZDA4OTE0ZTNkYyIsInRpdGxlIjoiVW5jZXJ0YWludHkgaW4gZ2VvY2VudGVyIGVzdGltYXRlcyBpbiB0aGUgY29udGV4dCBvZiBJVFJGMjAxNCIsImF1dGhvciI6W3siZmFtaWx5IjoiUmlkZGVsbCIsImdpdmVuIjoiQW5uYSBSIiwicGFyc2UtbmFtZXMiOmZhbHNlLCJkcm9wcGluZy1wYXJ0aWNsZSI6IiIsIm5vbi1kcm9wcGluZy1wYXJ0aWNsZSI6IiJ9LHsiZmFtaWx5IjoiS2luZyIsImdpdmVuIjoiTWF0dCBBIiwicGFyc2UtbmFtZXMiOmZhbHNlLCJkcm9wcGluZy1wYXJ0aWNsZSI6IiIsIm5vbi1kcm9wcGluZy1wYXJ0aWNsZSI6IiJ9LHsiZmFtaWx5IjoiV2F0c29uIiwiZ2l2ZW4iOiJDaHJpc3RvcGhlciBTIiwicGFyc2UtbmFtZXMiOmZhbHNlLCJkcm9wcGluZy1wYXJ0aWNsZSI6IiIsIm5vbi1kcm9wcGluZy1wYXJ0aWNsZSI6IiJ9LHsiZmFtaWx5IjoiU3VuIiwiZ2l2ZW4iOiJZdSIsInBhcnNlLW5hbWVzIjpmYWxzZSwiZHJvcHBpbmctcGFydGljbGUiOiIiLCJub24tZHJvcHBpbmctcGFydGljbGUiOiIifSx7ImZhbWlseSI6IlJpdmEiLCJnaXZlbiI6IlJpY2NhcmRvIEUgTSIsInBhcnNlLW5hbWVzIjpmYWxzZSwiZHJvcHBpbmctcGFydGljbGUiOiIiLCJub24tZHJvcHBpbmctcGFydGljbGUiOiIifSx7ImZhbWlseSI6IlJpZXRicm9layIsImdpdmVuIjoiUm9lbG9mIiwicGFyc2UtbmFtZXMiOmZhbHNlLCJkcm9wcGluZy1wYXJ0aWNsZSI6IiIsIm5vbi1kcm9wcGluZy1wYXJ0aWNsZSI6IiJ9XSwiY29udGFpbmVyLXRpdGxlIjoiSm91cm5hbCBvZiBHZW9waHlzaWNhbCBSZXNlYXJjaDogU29saWQgRWFydGgiLCJjb250YWluZXItdGl0bGUtc2hvcnQiOiJKIEdlb3BoeXMgUmVzIFNvbGlkIEVhcnRoIiwiRE9JIjoiaHR0cHM6Ly9kb2kub3JnLzEwLjEwMDIvMjAxNkpCMDEzNjk4IiwiSVNTTiI6IjIxNjktOTMxMyIsIlVSTCI6Imh0dHBzOi8vZG9pLm9yZy8xMC4xMDAyLzIwMTZKQjAxMzY5OCIsImlzc3VlZCI6eyJkYXRlLXBhcnRzIjpbWzIwMTcsNSwxXV19LCJwYWdlIjoiNDAyMC00MDMyIiwiYWJzdHJhY3QiOiJBYnN0cmFjdCBVbmNlcnRhaW50eSBpbiB0aGUgZ2VvY2VudGVyIHBvc2l0aW9uIGFuZCBpdHMgc3Vic2VxdWVudCBtb3Rpb24gYWZmZWN0cyBwb3NpdGlvbmluZyBlc3RpbWF0ZXMgb24gdGhlIHN1cmZhY2Ugb2YgdGhlIEVhcnRoIGFuZCBkb3duc3RyZWFtIHByb2R1Y3RzIHN1Y2ggYXMgc2l0ZSB2ZWxvY2l0aWVzLCBwYXJ0aWN1bGFybHkgdGhlIHZlcnRpY2FsIGNvbXBvbmVudC4gVGhlIGN1cnJlbnQgdmVyc2lvbiBvZiB0aGUgSW50ZXJuYXRpb25hbCBUZXJyZXN0cmlhbCBSZWZlcmVuY2UgRnJhbWUsIElUUkYyMDE0LCBkZXJpdmVzIGl0cyBvcmlnaW4gYXMgdGhlIGxvbmctdGVybSBhdmVyYWdlZCBjZW50ZXIgb2YgbWFzcyBhcyBzZW5zZWQgYnkgc2F0ZWxsaXRlIGxhc2VyIHJhbmdpbmcgKFNMUiksIGFuZCBieSBkZWZpbml0aW9uLCBpdCBhZG9wdHMgb25seSBsaW5lYXIgbW90aW9uIG9mIHRoZSBvcmlnaW4gd2l0aCB1bmNlcnRhaW50eSBkZXRlcm1pbmVkIHVzaW5nIGEgd2hpdGUgbm9pc2UgcHJvY2Vzcy4gV2UgY29tcGFyZSB3ZWVrbHkgU0xSIHRyYW5zbGF0aW9ucyByZWxhdGl2ZSB0byB0aGUgSVRSRjIwMTQgb3JpZ2luLCB3aXRoIG5ldHdvcmsgdHJhbnNsYXRpb25zIGVzdGltYXRlZCBmcm9tIHN0YXRpb24gZGlzcGxhY2VtZW50cyBmcm9tIHN1cmZhY2UgbWFzcyB0cmFuc3BvcnQgbW9kZWxzLiBXZSBmaW5kIHRoYXQgdGhlIHByb3BvcnRpb24gb2YgdmFyaWFuY2UgZXhwbGFpbmVkIGluIFNMUiB0cmFuc2xhdGlvbnMgYnkgdGhlIG1vZGVsLWRlcml2ZWQgdHJhbnNsYXRpb25zIGlzIG9uIGF2ZXJhZ2UgbGVzcyB0aGFuIDEwJS4gVGltZS1jb3JyZWxhdGVkIG5vaXNlIGFuZCBub25saW5lYXIgcmF0ZXMsIHBhcnRpY3VsYXJseSBldmlkZW50IGluIHRoZSBZIGFuZCBaIGNvbXBvbmVudHMgb2YgdGhlIFNMUiB0cmFuc2xhdGlvbnMgd2l0aCByZXNwZWN0IHRvIHRoZSBJVFJGMjAxNCBvcmlnaW4sIGFyZSBub3QgZnVsbHkgcmVwbGljYXRlZCBieSB0aGUgbW9kZWwtZGVyaXZlZCB0cmFuc2xhdGlvbnMuIFRoaXMgc3VnZ2VzdHMgdGhhdCB0cmFuc2xhdGlvbi1yZWxhdGVkIHVuY2VydGFpbnRpZXMgYXJlIHVuZGVyZXN0aW1hdGVkIHdoZW4gYSB3aGl0ZSBub2lzZSBtb2RlbCBpcyBhZG9wdGVkIGFuZCB0aGF0IHN1YnN0YW50aWFsIHN5c3RlbWF0aWMgZXJyb3JzIHJlbWFpbiBpbiB0aGUgZGF0YSBkZWZpbmluZyB0aGUgSVRSRiBvcmlnaW4uIFdoZW4gdXNpbmcgYSB3aGl0ZSBub2lzZSBtb2RlbCwgd2UgZmluZCB1bmNlcnRhaW50aWVzIGluIHRoZSByYXRlIG9mIFNMUiBYLCBZLCBhbmQgWiB0cmFuc2xhdGlvbnMgb2YgwrEwLjAzLCDCsTAuMDMsIGFuZCDCsTAuMDYsIHJlc3BlY3RpdmVseSwgaW5jcmVhc2luZyB0byDCsTAuMTMsIMKxMC4xNywgYW5kIMKxMC4zMyAobW0veXIsIDEgc2lnbWEpIHdoZW4gYSBwb3dlciBsYXcgYW5kIHdoaXRlIG5vaXNlIG1vZGVsIGlzIGFkb3B0ZWQuIiwicHVibGlzaGVyIjoiSm9obiBXaWxleSAmIFNvbnMsIEx0ZCIsImlzc3VlIjoiNSIsInZvbHVtZSI6IjEyMiJ9LCJpc1RlbXBvcmFyeSI6ZmFsc2UsImRpc3BsYXlBcyI6ImNvbXBvc2l0ZSIsInN1cHByZXNzLWF1dGhvciI6ZmFsc2UsImNvbXBvc2l0ZSI6dHJ1ZSwiYXV0aG9yLW9ubHkiOmZhbHNlfV19&quot;,&quot;citationItems&quot;:[{&quot;id&quot;:&quot;89ee2b0a-7a16-3438-ad6c-74d08914e3dc&quot;,&quot;itemData&quot;:{&quot;type&quot;:&quot;article-journal&quot;,&quot;id&quot;:&quot;89ee2b0a-7a16-3438-ad6c-74d08914e3dc&quot;,&quot;title&quot;:&quot;Uncertainty in geocenter estimates in the context of ITRF2014&quot;,&quot;author&quot;:[{&quot;family&quot;:&quot;Riddell&quot;,&quot;given&quot;:&quot;Anna R&quot;,&quot;parse-names&quot;:false,&quot;dropping-particle&quot;:&quot;&quot;,&quot;non-dropping-particle&quot;:&quot;&quot;},{&quot;family&quot;:&quot;King&quot;,&quot;given&quot;:&quot;Matt A&quot;,&quot;parse-names&quot;:false,&quot;dropping-particle&quot;:&quot;&quot;,&quot;non-dropping-particle&quot;:&quot;&quot;},{&quot;family&quot;:&quot;Watson&quot;,&quot;given&quot;:&quot;Christopher S&quot;,&quot;parse-names&quot;:false,&quot;dropping-particle&quot;:&quot;&quot;,&quot;non-dropping-particle&quot;:&quot;&quot;},{&quot;family&quot;:&quot;Sun&quot;,&quot;given&quot;:&quot;Yu&quot;,&quot;parse-names&quot;:false,&quot;dropping-particle&quot;:&quot;&quot;,&quot;non-dropping-particle&quot;:&quot;&quot;},{&quot;family&quot;:&quot;Riva&quot;,&quot;given&quot;:&quot;Riccardo E M&quot;,&quot;parse-names&quot;:false,&quot;dropping-particle&quot;:&quot;&quot;,&quot;non-dropping-particle&quot;:&quot;&quot;},{&quot;family&quot;:&quot;Rietbroek&quot;,&quot;given&quot;:&quot;Roelof&quot;,&quot;parse-names&quot;:false,&quot;dropping-particle&quot;:&quot;&quot;,&quot;non-dropping-particle&quot;:&quot;&quot;}],&quot;container-title&quot;:&quot;Journal of Geophysical Research: Solid Earth&quot;,&quot;container-title-short&quot;:&quot;J Geophys Res Solid Earth&quot;,&quot;DOI&quot;:&quot;https://doi.org/10.1002/2016JB013698&quot;,&quot;ISSN&quot;:&quot;2169-9313&quot;,&quot;URL&quot;:&quot;https://doi.org/10.1002/2016JB013698&quot;,&quot;issued&quot;:{&quot;date-parts&quot;:[[2017,5,1]]},&quot;page&quot;:&quot;4020-4032&quot;,&quot;abstract&quot;:&quot;Abstract Uncertainty in the geocenter position and its subsequent motion affects positioning estimates on the surface of the Earth and downstream products such as site velocities, particularly the vertical component. The current version of the International Terrestrial Reference Frame, ITRF2014, derives its origin as the long-term averaged center of mass as sensed by satellite laser ranging (SLR), and by definition, it adopts only linear motion of the origin with uncertainty determined using a white noise process. We compare weekly SLR translations relative to the ITRF2014 origin, with network translations estimated from station displacements from surface mass transport models. We find that the proportion of variance explained in SLR translations by the model-derived translations is on average less than 10%. Time-correlated noise and nonlinear rates, particularly evident in the Y and Z components of the SLR translations with respect to the ITRF2014 origin, are not fully replicated by the model-derived translations. This suggests that translation-related uncertainties are underestimated when a white noise model is adopted and that substantial systematic errors remain in the data defining the ITRF origin. When using a white noise model, we find uncertainties in the rate of SLR X, Y, and Z translations of ±0.03, ±0.03, and ±0.06, respectively, increasing to ±0.13, ±0.17, and ±0.33 (mm/yr, 1 sigma) when a power law and white noise model is adopted.&quot;,&quot;publisher&quot;:&quot;John Wiley &amp; Sons, Ltd&quot;,&quot;issue&quot;:&quot;5&quot;,&quot;volume&quot;:&quot;122&quot;},&quot;isTemporary&quot;:false,&quot;displayAs&quot;:&quot;composite&quot;,&quot;suppress-author&quot;:false,&quot;composite&quot;:true,&quot;author-only&quot;:false}]},{&quot;citationID&quot;:&quot;MENDELEY_CITATION_19bd0f2c-ffd0-4d92-a7e8-71146edaa1a1&quot;,&quot;properties&quot;:{&quot;noteIndex&quot;:0},&quot;isEdited&quot;:false,&quot;manualOverride&quot;:{&quot;isManuallyOverridden&quot;:false,&quot;citeprocText&quot;:&quot;(Blewitt et al., 2001)&quot;,&quot;manualOverrideText&quot;:&quot;&quot;},&quot;citationItems&quot;:[{&quot;id&quot;:&quot;4ea43433-b7d3-3af6-a1c8-bb2db85a6a8f&quot;,&quot;itemData&quot;:{&quot;type&quot;:&quot;article-journal&quot;,&quot;id&quot;:&quot;4ea43433-b7d3-3af6-a1c8-bb2db85a6a8f&quot;,&quot;title&quot;:&quot;A new global mode of Earth deformation: seasonal cycle detected&quot;,&quot;author&quot;:[{&quot;family&quot;:&quot;Blewitt&quot;,&quot;given&quot;:&quot;G&quot;,&quot;parse-names&quot;:false,&quot;dropping-particle&quot;:&quot;&quot;,&quot;non-dropping-particle&quot;:&quot;&quot;},{&quot;family&quot;:&quot;Lavallée&quot;,&quot;given&quot;:&quot;D&quot;,&quot;parse-names&quot;:false,&quot;dropping-particle&quot;:&quot;&quot;,&quot;non-dropping-particle&quot;:&quot;&quot;},{&quot;family&quot;:&quot;Clarke&quot;,&quot;given&quot;:&quot;P&quot;,&quot;parse-names&quot;:false,&quot;dropping-particle&quot;:&quot;&quot;,&quot;non-dropping-particle&quot;:&quot;&quot;},{&quot;family&quot;:&quot;Nurutdinov&quot;,&quot;given&quot;:&quot;K&quot;,&quot;parse-names&quot;:false,&quot;dropping-particle&quot;:&quot;&quot;,&quot;non-dropping-particle&quot;:&quot;&quot;}],&quot;container-title&quot;:&quot;Science (New York, N.Y.)&quot;,&quot;container-title-short&quot;:&quot;Science&quot;,&quot;DOI&quot;:&quot;10.1126/science.1065328&quot;,&quot;ISSN&quot;:&quot;0036-8075&quot;,&quot;URL&quot;:&quot;http://europepmc.org/abstract/MED/11743198&quot;,&quot;issued&quot;:{&quot;date-parts&quot;:[[2001]]},&quot;publisher-place&quot;:&quot;Nevada Bureau of Mines and Geology, and Seismological Laboratory, University of Nevada, Reno, NV 89557, USA. gblewitt@unr.edu&quot;,&quot;page&quot;:&quot;2342-2345&quot;,&quot;language&quot;:&quot;eng&quot;,&quot;abstract&quot;:&quot;We have detected a global mode of Earth deformation that is predicted by theory. Precise positioning of Global Positioning System sites distributed worldwide reveals that during February to March, the Northern Hemisphere compresses (and the Southern Hemisphere expands), such that sites near the North Pole move downward by 3.0 millimeters, and sites near the equator are pulled northward by 1.5 millimeters. The opposite pattern of deformation occurs during August to September. We identify this pattern as the degree-one spherical harmonic response of an elastic Earth to increased winter loading of soil moisture, snow cover, and atmosphere. Data inversion shows the load moment's trajectory as a great circle traversing the continents, peaking at 6.9 x 10(22) kilogram meters near the North Pole in winter, indicating interhemispheric mass exchange of 1.0 x 10(16) +/- 0.2 x 10(16) kilograms.&quot;,&quot;issue&quot;:&quot;5550&quot;,&quot;volume&quot;:&quot;294&quot;},&quot;isTemporary&quot;:false}],&quot;citationTag&quot;:&quot;MENDELEY_CITATION_v3_eyJjaXRhdGlvbklEIjoiTUVOREVMRVlfQ0lUQVRJT05fMTliZDBmMmMtZmZkMC00ZDkyLWE3ZTgtNzExNDZlZGFhMWExIiwicHJvcGVydGllcyI6eyJub3RlSW5kZXgiOjB9LCJpc0VkaXRlZCI6ZmFsc2UsIm1hbnVhbE92ZXJyaWRlIjp7ImlzTWFudWFsbHlPdmVycmlkZGVuIjpmYWxzZSwiY2l0ZXByb2NUZXh0IjoiKEJsZXdpdHQgZXQgYWwuLCAyMDAxKSIsIm1hbnVhbE92ZXJyaWRlVGV4dCI6IiJ9LCJjaXRhdGlvbkl0ZW1zIjpbeyJpZCI6IjRlYTQzNDMzLWI3ZDMtM2FmNi1hMWM4LWJiMmRiODVhNmE4ZiIsIml0ZW1EYXRhIjp7InR5cGUiOiJhcnRpY2xlLWpvdXJuYWwiLCJpZCI6IjRlYTQzNDMzLWI3ZDMtM2FmNi1hMWM4LWJiMmRiODVhNmE4ZiIsInRpdGxlIjoiQSBuZXcgZ2xvYmFsIG1vZGUgb2YgRWFydGggZGVmb3JtYXRpb246IHNlYXNvbmFsIGN5Y2xlIGRldGVjdGVkIiwiYXV0aG9yIjpbeyJmYW1pbHkiOiJCbGV3aXR0IiwiZ2l2ZW4iOiJHIiwicGFyc2UtbmFtZXMiOmZhbHNlLCJkcm9wcGluZy1wYXJ0aWNsZSI6IiIsIm5vbi1kcm9wcGluZy1wYXJ0aWNsZSI6IiJ9LHsiZmFtaWx5IjoiTGF2YWxsw6llIiwiZ2l2ZW4iOiJEIiwicGFyc2UtbmFtZXMiOmZhbHNlLCJkcm9wcGluZy1wYXJ0aWNsZSI6IiIsIm5vbi1kcm9wcGluZy1wYXJ0aWNsZSI6IiJ9LHsiZmFtaWx5IjoiQ2xhcmtlIiwiZ2l2ZW4iOiJQIiwicGFyc2UtbmFtZXMiOmZhbHNlLCJkcm9wcGluZy1wYXJ0aWNsZSI6IiIsIm5vbi1kcm9wcGluZy1wYXJ0aWNsZSI6IiJ9LHsiZmFtaWx5IjoiTnVydXRkaW5vdiIsImdpdmVuIjoiSyIsInBhcnNlLW5hbWVzIjpmYWxzZSwiZHJvcHBpbmctcGFydGljbGUiOiIiLCJub24tZHJvcHBpbmctcGFydGljbGUiOiIifV0sImNvbnRhaW5lci10aXRsZSI6IlNjaWVuY2UgKE5ldyBZb3JrLCBOLlkuKSIsImNvbnRhaW5lci10aXRsZS1zaG9ydCI6IlNjaWVuY2UiLCJET0kiOiIxMC4xMTI2L3NjaWVuY2UuMTA2NTMyOCIsIklTU04iOiIwMDM2LTgwNzUiLCJVUkwiOiJodHRwOi8vZXVyb3BlcG1jLm9yZy9hYnN0cmFjdC9NRUQvMTE3NDMxOTgiLCJpc3N1ZWQiOnsiZGF0ZS1wYXJ0cyI6W1syMDAxXV19LCJwdWJsaXNoZXItcGxhY2UiOiJOZXZhZGEgQnVyZWF1IG9mIE1pbmVzIGFuZCBHZW9sb2d5LCBhbmQgU2Vpc21vbG9naWNhbCBMYWJvcmF0b3J5LCBVbml2ZXJzaXR5IG9mIE5ldmFkYSwgUmVubywgTlYgODk1NTcsIFVTQS4gZ2JsZXdpdHRAdW5yLmVkdSIsInBhZ2UiOiIyMzQyLTIzNDUiLCJsYW5ndWFnZSI6ImVuZyIsImFic3RyYWN0IjoiV2UgaGF2ZSBkZXRlY3RlZCBhIGdsb2JhbCBtb2RlIG9mIEVhcnRoIGRlZm9ybWF0aW9uIHRoYXQgaXMgcHJlZGljdGVkIGJ5IHRoZW9yeS4gUHJlY2lzZSBwb3NpdGlvbmluZyBvZiBHbG9iYWwgUG9zaXRpb25pbmcgU3lzdGVtIHNpdGVzIGRpc3RyaWJ1dGVkIHdvcmxkd2lkZSByZXZlYWxzIHRoYXQgZHVyaW5nIEZlYnJ1YXJ5IHRvIE1hcmNoLCB0aGUgTm9ydGhlcm4gSGVtaXNwaGVyZSBjb21wcmVzc2VzIChhbmQgdGhlIFNvdXRoZXJuIEhlbWlzcGhlcmUgZXhwYW5kcyksIHN1Y2ggdGhhdCBzaXRlcyBuZWFyIHRoZSBOb3J0aCBQb2xlIG1vdmUgZG93bndhcmQgYnkgMy4wIG1pbGxpbWV0ZXJzLCBhbmQgc2l0ZXMgbmVhciB0aGUgZXF1YXRvciBhcmUgcHVsbGVkIG5vcnRod2FyZCBieSAxLjUgbWlsbGltZXRlcnMuIFRoZSBvcHBvc2l0ZSBwYXR0ZXJuIG9mIGRlZm9ybWF0aW9uIG9jY3VycyBkdXJpbmcgQXVndXN0IHRvIFNlcHRlbWJlci4gV2UgaWRlbnRpZnkgdGhpcyBwYXR0ZXJuIGFzIHRoZSBkZWdyZWUtb25lIHNwaGVyaWNhbCBoYXJtb25pYyByZXNwb25zZSBvZiBhbiBlbGFzdGljIEVhcnRoIHRvIGluY3JlYXNlZCB3aW50ZXIgbG9hZGluZyBvZiBzb2lsIG1vaXN0dXJlLCBzbm93IGNvdmVyLCBhbmQgYXRtb3NwaGVyZS4gRGF0YSBpbnZlcnNpb24gc2hvd3MgdGhlIGxvYWQgbW9tZW50J3MgdHJhamVjdG9yeSBhcyBhIGdyZWF0IGNpcmNsZSB0cmF2ZXJzaW5nIHRoZSBjb250aW5lbnRzLCBwZWFraW5nIGF0IDYuOSB4IDEwKDIyKSBraWxvZ3JhbSBtZXRlcnMgbmVhciB0aGUgTm9ydGggUG9sZSBpbiB3aW50ZXIsIGluZGljYXRpbmcgaW50ZXJoZW1pc3BoZXJpYyBtYXNzIGV4Y2hhbmdlIG9mIDEuMCB4IDEwKDE2KSArLy0gMC4yIHggMTAoMTYpIGtpbG9ncmFtcy4iLCJpc3N1ZSI6IjU1NTAiLCJ2b2x1bWUiOiIyOTQ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false"/>
    <we:property name="MENDELEY_BIBLIOGRAPHY_LAST_MODIFIED" value="1758029555050"/>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ADE61-0F60-4CEF-B146-F4DBA91BE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9</Pages>
  <Words>1850</Words>
  <Characters>8681</Characters>
  <Application>Microsoft Office Word</Application>
  <DocSecurity>0</DocSecurity>
  <Lines>258</Lines>
  <Paragraphs>119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Nowak</dc:creator>
  <cp:keywords/>
  <dc:description/>
  <cp:lastModifiedBy>Adrian Nowak</cp:lastModifiedBy>
  <cp:revision>15</cp:revision>
  <dcterms:created xsi:type="dcterms:W3CDTF">2025-03-19T15:05:00Z</dcterms:created>
  <dcterms:modified xsi:type="dcterms:W3CDTF">2025-09-24T18:47:00Z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76e3d4c9-4742-416a-a354-33328477431b</vt:lpwstr>
  </property>
</Properties>
</file>