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215DB" w14:textId="6461D55D" w:rsidR="00D306DA" w:rsidRDefault="00D306DA" w:rsidP="00D306DA">
      <w:pPr>
        <w:keepNext/>
      </w:pPr>
      <w:r w:rsidRPr="00D306DA">
        <w:drawing>
          <wp:inline distT="0" distB="0" distL="0" distR="0" wp14:anchorId="41883F2F" wp14:editId="311EC0B9">
            <wp:extent cx="6132544" cy="3094138"/>
            <wp:effectExtent l="19050" t="19050" r="20955" b="11430"/>
            <wp:docPr id="1021717672" name="Picture 1" descr="A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717672" name="Picture 1" descr="A text on a white background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64597" cy="31103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306DA">
        <w:t xml:space="preserve"> </w:t>
      </w:r>
    </w:p>
    <w:p w14:paraId="16B98359" w14:textId="61D86430" w:rsidR="002605B7" w:rsidRPr="00D306DA" w:rsidRDefault="00D306DA" w:rsidP="00D306DA">
      <w:pPr>
        <w:pStyle w:val="Caption"/>
        <w:jc w:val="center"/>
        <w:rPr>
          <w:rFonts w:asciiTheme="majorBidi" w:hAnsiTheme="majorBidi" w:cstheme="majorBidi"/>
          <w:i w:val="0"/>
          <w:iCs w:val="0"/>
          <w:sz w:val="20"/>
          <w:szCs w:val="20"/>
        </w:rPr>
      </w:pPr>
      <w:r w:rsidRPr="00B35865">
        <w:rPr>
          <w:rFonts w:asciiTheme="majorBidi" w:hAnsiTheme="majorBidi" w:cstheme="majorBidi"/>
          <w:b/>
          <w:bCs/>
          <w:i w:val="0"/>
          <w:iCs w:val="0"/>
          <w:sz w:val="20"/>
          <w:szCs w:val="20"/>
        </w:rPr>
        <w:t>Fig</w:t>
      </w:r>
      <w:r w:rsidR="001026C4" w:rsidRPr="00B35865">
        <w:rPr>
          <w:rFonts w:asciiTheme="majorBidi" w:hAnsiTheme="majorBidi" w:cstheme="majorBidi"/>
          <w:b/>
          <w:bCs/>
          <w:i w:val="0"/>
          <w:iCs w:val="0"/>
          <w:sz w:val="20"/>
          <w:szCs w:val="20"/>
        </w:rPr>
        <w:t>.</w:t>
      </w:r>
      <w:r w:rsidRPr="00D306DA">
        <w:rPr>
          <w:rFonts w:asciiTheme="majorBidi" w:hAnsiTheme="majorBidi" w:cstheme="majorBidi"/>
          <w:i w:val="0"/>
          <w:iCs w:val="0"/>
          <w:sz w:val="20"/>
          <w:szCs w:val="20"/>
        </w:rPr>
        <w:t xml:space="preserve"> </w:t>
      </w:r>
      <w:r w:rsidR="001427CA" w:rsidRPr="00B35865">
        <w:rPr>
          <w:rFonts w:asciiTheme="majorBidi" w:hAnsiTheme="majorBidi" w:cstheme="majorBidi"/>
          <w:b/>
          <w:bCs/>
          <w:i w:val="0"/>
          <w:iCs w:val="0"/>
          <w:sz w:val="20"/>
          <w:szCs w:val="20"/>
        </w:rPr>
        <w:t>S</w:t>
      </w:r>
      <w:r w:rsidRPr="00B35865">
        <w:rPr>
          <w:rFonts w:asciiTheme="majorBidi" w:hAnsiTheme="majorBidi" w:cstheme="majorBidi"/>
          <w:b/>
          <w:bCs/>
          <w:i w:val="0"/>
          <w:iCs w:val="0"/>
          <w:sz w:val="20"/>
          <w:szCs w:val="20"/>
        </w:rPr>
        <w:fldChar w:fldCharType="begin"/>
      </w:r>
      <w:r w:rsidRPr="00B35865">
        <w:rPr>
          <w:rFonts w:asciiTheme="majorBidi" w:hAnsiTheme="majorBidi" w:cstheme="majorBidi"/>
          <w:b/>
          <w:bCs/>
          <w:i w:val="0"/>
          <w:iCs w:val="0"/>
          <w:sz w:val="20"/>
          <w:szCs w:val="20"/>
        </w:rPr>
        <w:instrText xml:space="preserve"> SEQ Figure \* ARABIC </w:instrText>
      </w:r>
      <w:r w:rsidRPr="00B35865">
        <w:rPr>
          <w:rFonts w:asciiTheme="majorBidi" w:hAnsiTheme="majorBidi" w:cstheme="majorBidi"/>
          <w:b/>
          <w:bCs/>
          <w:i w:val="0"/>
          <w:iCs w:val="0"/>
          <w:sz w:val="20"/>
          <w:szCs w:val="20"/>
        </w:rPr>
        <w:fldChar w:fldCharType="separate"/>
      </w:r>
      <w:r w:rsidRPr="00B35865">
        <w:rPr>
          <w:rFonts w:asciiTheme="majorBidi" w:hAnsiTheme="majorBidi" w:cstheme="majorBidi"/>
          <w:b/>
          <w:bCs/>
          <w:i w:val="0"/>
          <w:iCs w:val="0"/>
          <w:noProof/>
          <w:sz w:val="20"/>
          <w:szCs w:val="20"/>
        </w:rPr>
        <w:t>1</w:t>
      </w:r>
      <w:r w:rsidRPr="00B35865">
        <w:rPr>
          <w:rFonts w:asciiTheme="majorBidi" w:hAnsiTheme="majorBidi" w:cstheme="majorBidi"/>
          <w:b/>
          <w:bCs/>
          <w:i w:val="0"/>
          <w:iCs w:val="0"/>
          <w:sz w:val="20"/>
          <w:szCs w:val="20"/>
        </w:rPr>
        <w:fldChar w:fldCharType="end"/>
      </w:r>
      <w:r w:rsidRPr="00D306DA">
        <w:rPr>
          <w:rFonts w:asciiTheme="majorBidi" w:hAnsiTheme="majorBidi" w:cstheme="majorBidi"/>
          <w:i w:val="0"/>
          <w:iCs w:val="0"/>
          <w:sz w:val="20"/>
          <w:szCs w:val="20"/>
          <w:lang w:val="en-GB"/>
        </w:rPr>
        <w:t xml:space="preserve"> The screenshot of </w:t>
      </w:r>
      <w:r>
        <w:rPr>
          <w:rFonts w:asciiTheme="majorBidi" w:hAnsiTheme="majorBidi" w:cstheme="majorBidi"/>
          <w:i w:val="0"/>
          <w:iCs w:val="0"/>
          <w:sz w:val="20"/>
          <w:szCs w:val="20"/>
          <w:lang w:val="en-GB"/>
        </w:rPr>
        <w:t xml:space="preserve">GnssLogger </w:t>
      </w:r>
      <w:r w:rsidRPr="00D306DA">
        <w:rPr>
          <w:rFonts w:asciiTheme="majorBidi" w:hAnsiTheme="majorBidi" w:cstheme="majorBidi"/>
          <w:i w:val="0"/>
          <w:iCs w:val="0"/>
          <w:sz w:val="20"/>
          <w:szCs w:val="20"/>
          <w:lang w:val="en-GB"/>
        </w:rPr>
        <w:t xml:space="preserve">raw data header </w:t>
      </w:r>
    </w:p>
    <w:p w14:paraId="034BFAC7" w14:textId="77777777" w:rsidR="00D306DA" w:rsidRDefault="00D306DA"/>
    <w:p w14:paraId="7ED02403" w14:textId="77777777" w:rsidR="00D306DA" w:rsidRDefault="00D306DA"/>
    <w:p w14:paraId="04BCC934" w14:textId="77777777" w:rsidR="00D306DA" w:rsidRDefault="00D306DA"/>
    <w:p w14:paraId="0B69A420" w14:textId="77777777" w:rsidR="00D306DA" w:rsidRDefault="00D306DA"/>
    <w:p w14:paraId="5B8D641F" w14:textId="77777777" w:rsidR="00D306DA" w:rsidRDefault="00D306DA"/>
    <w:p w14:paraId="6C67C3BB" w14:textId="77777777" w:rsidR="00D306DA" w:rsidRDefault="00D306DA"/>
    <w:p w14:paraId="45B9948C" w14:textId="77777777" w:rsidR="00D306DA" w:rsidRDefault="00D306DA"/>
    <w:p w14:paraId="296436E2" w14:textId="77777777" w:rsidR="00D306DA" w:rsidRDefault="00D306DA"/>
    <w:p w14:paraId="2B060818" w14:textId="77777777" w:rsidR="00D306DA" w:rsidRDefault="00D306DA"/>
    <w:p w14:paraId="1130D9B7" w14:textId="77777777" w:rsidR="00D306DA" w:rsidRDefault="00D306DA"/>
    <w:p w14:paraId="646FF590" w14:textId="77777777" w:rsidR="00D306DA" w:rsidRDefault="00D306DA"/>
    <w:p w14:paraId="64827C61" w14:textId="77777777" w:rsidR="00D306DA" w:rsidRDefault="00D306DA"/>
    <w:p w14:paraId="48D98242" w14:textId="77777777" w:rsidR="00D306DA" w:rsidRDefault="00D306DA"/>
    <w:p w14:paraId="65979989" w14:textId="77777777" w:rsidR="00D306DA" w:rsidRDefault="00D306DA"/>
    <w:p w14:paraId="34FCA240" w14:textId="19F44F04" w:rsidR="00D306DA" w:rsidRPr="00D306DA" w:rsidRDefault="00D306DA" w:rsidP="00EA3FAE">
      <w:pPr>
        <w:pStyle w:val="Caption"/>
        <w:keepNext/>
        <w:jc w:val="center"/>
        <w:rPr>
          <w:rFonts w:asciiTheme="majorBidi" w:hAnsiTheme="majorBidi" w:cstheme="majorBidi"/>
          <w:i w:val="0"/>
          <w:iCs w:val="0"/>
          <w:sz w:val="20"/>
          <w:szCs w:val="20"/>
        </w:rPr>
      </w:pPr>
      <w:r w:rsidRPr="00D306DA">
        <w:rPr>
          <w:rFonts w:asciiTheme="majorBidi" w:hAnsiTheme="majorBidi" w:cstheme="majorBidi"/>
          <w:i w:val="0"/>
          <w:iCs w:val="0"/>
          <w:sz w:val="20"/>
          <w:szCs w:val="20"/>
        </w:rPr>
        <w:lastRenderedPageBreak/>
        <w:t xml:space="preserve">Table </w:t>
      </w:r>
      <w:r w:rsidR="001427CA">
        <w:rPr>
          <w:rFonts w:asciiTheme="majorBidi" w:hAnsiTheme="majorBidi" w:cstheme="majorBidi"/>
          <w:i w:val="0"/>
          <w:iCs w:val="0"/>
          <w:sz w:val="20"/>
          <w:szCs w:val="20"/>
        </w:rPr>
        <w:t>S</w:t>
      </w:r>
      <w:r w:rsidRPr="00D306DA">
        <w:rPr>
          <w:rFonts w:asciiTheme="majorBidi" w:hAnsiTheme="majorBidi" w:cstheme="majorBidi"/>
          <w:i w:val="0"/>
          <w:iCs w:val="0"/>
          <w:sz w:val="20"/>
          <w:szCs w:val="20"/>
        </w:rPr>
        <w:fldChar w:fldCharType="begin"/>
      </w:r>
      <w:r w:rsidRPr="00D306DA">
        <w:rPr>
          <w:rFonts w:asciiTheme="majorBidi" w:hAnsiTheme="majorBidi" w:cstheme="majorBidi"/>
          <w:i w:val="0"/>
          <w:iCs w:val="0"/>
          <w:sz w:val="20"/>
          <w:szCs w:val="20"/>
        </w:rPr>
        <w:instrText xml:space="preserve"> SEQ Table \* ARABIC </w:instrText>
      </w:r>
      <w:r w:rsidRPr="00D306DA">
        <w:rPr>
          <w:rFonts w:asciiTheme="majorBidi" w:hAnsiTheme="majorBidi" w:cstheme="majorBidi"/>
          <w:i w:val="0"/>
          <w:iCs w:val="0"/>
          <w:sz w:val="20"/>
          <w:szCs w:val="20"/>
        </w:rPr>
        <w:fldChar w:fldCharType="separate"/>
      </w:r>
      <w:r w:rsidRPr="00D306DA">
        <w:rPr>
          <w:rFonts w:asciiTheme="majorBidi" w:hAnsiTheme="majorBidi" w:cstheme="majorBidi"/>
          <w:i w:val="0"/>
          <w:iCs w:val="0"/>
          <w:noProof/>
          <w:sz w:val="20"/>
          <w:szCs w:val="20"/>
        </w:rPr>
        <w:t>1</w:t>
      </w:r>
      <w:r w:rsidRPr="00D306DA">
        <w:rPr>
          <w:rFonts w:asciiTheme="majorBidi" w:hAnsiTheme="majorBidi" w:cstheme="majorBidi"/>
          <w:i w:val="0"/>
          <w:iCs w:val="0"/>
          <w:sz w:val="20"/>
          <w:szCs w:val="20"/>
        </w:rPr>
        <w:fldChar w:fldCharType="end"/>
      </w:r>
      <w:r w:rsidRPr="00D306DA">
        <w:rPr>
          <w:rFonts w:asciiTheme="majorBidi" w:hAnsiTheme="majorBidi" w:cstheme="majorBidi"/>
          <w:i w:val="0"/>
          <w:iCs w:val="0"/>
          <w:sz w:val="20"/>
          <w:szCs w:val="20"/>
          <w:lang w:val="en-GB"/>
        </w:rPr>
        <w:t xml:space="preserve"> </w:t>
      </w:r>
      <w:r w:rsidR="00EA3FAE">
        <w:rPr>
          <w:rFonts w:asciiTheme="majorBidi" w:hAnsiTheme="majorBidi" w:cstheme="majorBidi"/>
          <w:i w:val="0"/>
          <w:iCs w:val="0"/>
          <w:sz w:val="20"/>
          <w:szCs w:val="20"/>
          <w:lang w:val="en-GB"/>
        </w:rPr>
        <w:t xml:space="preserve">An example of </w:t>
      </w:r>
      <w:r w:rsidR="00EA3FAE">
        <w:rPr>
          <w:rFonts w:asciiTheme="majorBidi" w:hAnsiTheme="majorBidi" w:cstheme="majorBidi"/>
          <w:i w:val="0"/>
          <w:iCs w:val="0"/>
          <w:sz w:val="20"/>
          <w:szCs w:val="20"/>
        </w:rPr>
        <w:t>#</w:t>
      </w:r>
      <w:r w:rsidRPr="00D306DA">
        <w:rPr>
          <w:rFonts w:asciiTheme="majorBidi" w:hAnsiTheme="majorBidi" w:cstheme="majorBidi"/>
          <w:i w:val="0"/>
          <w:iCs w:val="0"/>
          <w:sz w:val="20"/>
          <w:szCs w:val="20"/>
          <w:lang w:val="en-GB"/>
        </w:rPr>
        <w:t>Raw line GNSS information</w:t>
      </w:r>
      <w:r w:rsidR="00EA3FAE">
        <w:rPr>
          <w:rFonts w:asciiTheme="majorBidi" w:hAnsiTheme="majorBidi" w:cstheme="majorBidi"/>
          <w:i w:val="0"/>
          <w:iCs w:val="0"/>
          <w:sz w:val="20"/>
          <w:szCs w:val="20"/>
          <w:lang w:val="en-GB"/>
        </w:rPr>
        <w:t xml:space="preserve"> from GnssLogger raw data sample</w:t>
      </w:r>
    </w:p>
    <w:tbl>
      <w:tblPr>
        <w:tblStyle w:val="PlainTable3"/>
        <w:tblW w:w="6663" w:type="dxa"/>
        <w:jc w:val="center"/>
        <w:tblLook w:val="04A0" w:firstRow="1" w:lastRow="0" w:firstColumn="1" w:lastColumn="0" w:noHBand="0" w:noVBand="1"/>
      </w:tblPr>
      <w:tblGrid>
        <w:gridCol w:w="4395"/>
        <w:gridCol w:w="2268"/>
      </w:tblGrid>
      <w:tr w:rsidR="00D306DA" w:rsidRPr="007C6162" w14:paraId="57377D17" w14:textId="77777777" w:rsidTr="008738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95" w:type="dxa"/>
            <w:noWrap/>
            <w:hideMark/>
          </w:tcPr>
          <w:p w14:paraId="614B778A" w14:textId="77777777" w:rsidR="00D306DA" w:rsidRPr="007C6162" w:rsidRDefault="00D306DA" w:rsidP="00873898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Raw</w:t>
            </w:r>
          </w:p>
        </w:tc>
        <w:tc>
          <w:tcPr>
            <w:tcW w:w="2268" w:type="dxa"/>
            <w:noWrap/>
            <w:hideMark/>
          </w:tcPr>
          <w:p w14:paraId="2735D4F5" w14:textId="77777777" w:rsidR="00D306DA" w:rsidRPr="007C6162" w:rsidRDefault="00D306DA" w:rsidP="0087389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Data</w:t>
            </w:r>
          </w:p>
        </w:tc>
      </w:tr>
      <w:tr w:rsidR="00D306DA" w:rsidRPr="007C6162" w14:paraId="2F14938B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06C6BD24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'utcTimeMillis'</w:t>
            </w:r>
          </w:p>
        </w:tc>
        <w:tc>
          <w:tcPr>
            <w:tcW w:w="2268" w:type="dxa"/>
            <w:noWrap/>
            <w:hideMark/>
          </w:tcPr>
          <w:p w14:paraId="1152C321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1743756889999.00</w:t>
            </w:r>
          </w:p>
        </w:tc>
      </w:tr>
      <w:tr w:rsidR="00D306DA" w:rsidRPr="007C6162" w14:paraId="64B62060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436D0B12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'TimeNanos'</w:t>
            </w:r>
          </w:p>
        </w:tc>
        <w:tc>
          <w:tcPr>
            <w:tcW w:w="2268" w:type="dxa"/>
            <w:noWrap/>
            <w:hideMark/>
          </w:tcPr>
          <w:p w14:paraId="494E87A2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18579332336.00</w:t>
            </w:r>
          </w:p>
        </w:tc>
      </w:tr>
      <w:tr w:rsidR="00D306DA" w:rsidRPr="007C6162" w14:paraId="7CBE0F70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3A04EA80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'LeapSecond'</w:t>
            </w:r>
          </w:p>
        </w:tc>
        <w:tc>
          <w:tcPr>
            <w:tcW w:w="2268" w:type="dxa"/>
            <w:noWrap/>
            <w:hideMark/>
          </w:tcPr>
          <w:p w14:paraId="69A5125B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18.00</w:t>
            </w:r>
          </w:p>
        </w:tc>
      </w:tr>
      <w:tr w:rsidR="00D306DA" w:rsidRPr="007C6162" w14:paraId="2AD4C536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2263287C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'TimeUncertaintyNanos'</w:t>
            </w:r>
          </w:p>
        </w:tc>
        <w:tc>
          <w:tcPr>
            <w:tcW w:w="2268" w:type="dxa"/>
            <w:noWrap/>
            <w:hideMark/>
          </w:tcPr>
          <w:p w14:paraId="5114ECFF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</w:t>
            </w:r>
          </w:p>
        </w:tc>
      </w:tr>
      <w:tr w:rsidR="00D306DA" w:rsidRPr="007C6162" w14:paraId="6CB82650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3F9E628A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'FullBiasNanos'</w:t>
            </w:r>
          </w:p>
        </w:tc>
        <w:tc>
          <w:tcPr>
            <w:tcW w:w="2268" w:type="dxa"/>
            <w:noWrap/>
            <w:hideMark/>
          </w:tcPr>
          <w:p w14:paraId="3A370B45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-1427792089420670000.00</w:t>
            </w:r>
          </w:p>
        </w:tc>
      </w:tr>
      <w:tr w:rsidR="00D306DA" w:rsidRPr="007C6162" w14:paraId="114910FF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6FA2B981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'BiasNanos'</w:t>
            </w:r>
          </w:p>
        </w:tc>
        <w:tc>
          <w:tcPr>
            <w:tcW w:w="2268" w:type="dxa"/>
            <w:noWrap/>
            <w:hideMark/>
          </w:tcPr>
          <w:p w14:paraId="50B3802D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</w:t>
            </w:r>
          </w:p>
        </w:tc>
      </w:tr>
      <w:tr w:rsidR="00D306DA" w:rsidRPr="007C6162" w14:paraId="3A722113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3B1DC786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'BiasUncertaintyNanos'</w:t>
            </w:r>
          </w:p>
        </w:tc>
        <w:tc>
          <w:tcPr>
            <w:tcW w:w="2268" w:type="dxa"/>
            <w:noWrap/>
            <w:hideMark/>
          </w:tcPr>
          <w:p w14:paraId="007C4510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10.31</w:t>
            </w:r>
          </w:p>
        </w:tc>
      </w:tr>
      <w:tr w:rsidR="00D306DA" w:rsidRPr="007C6162" w14:paraId="6A7D2251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476B9A76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'DriftNanosPerSecond'</w:t>
            </w:r>
          </w:p>
        </w:tc>
        <w:tc>
          <w:tcPr>
            <w:tcW w:w="2268" w:type="dxa"/>
            <w:noWrap/>
            <w:hideMark/>
          </w:tcPr>
          <w:p w14:paraId="06118DE4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2566.21</w:t>
            </w:r>
          </w:p>
        </w:tc>
      </w:tr>
      <w:tr w:rsidR="00D306DA" w:rsidRPr="007C6162" w14:paraId="66EFADEE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5D9A69FF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'DriftUncertaintyNanosPerSecond'</w:t>
            </w:r>
          </w:p>
        </w:tc>
        <w:tc>
          <w:tcPr>
            <w:tcW w:w="2268" w:type="dxa"/>
            <w:noWrap/>
            <w:hideMark/>
          </w:tcPr>
          <w:p w14:paraId="07E13D0C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</w:t>
            </w:r>
          </w:p>
        </w:tc>
      </w:tr>
      <w:tr w:rsidR="00D306DA" w:rsidRPr="007C6162" w14:paraId="256A0592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13F0629F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'HardwareClockDiscontinuityCount'</w:t>
            </w:r>
          </w:p>
        </w:tc>
        <w:tc>
          <w:tcPr>
            <w:tcW w:w="2268" w:type="dxa"/>
            <w:noWrap/>
            <w:hideMark/>
          </w:tcPr>
          <w:p w14:paraId="08043B77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</w:t>
            </w:r>
          </w:p>
        </w:tc>
      </w:tr>
      <w:tr w:rsidR="00D306DA" w:rsidRPr="007C6162" w14:paraId="63196FCC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6F64747F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'Svid'</w:t>
            </w:r>
          </w:p>
        </w:tc>
        <w:tc>
          <w:tcPr>
            <w:tcW w:w="2268" w:type="dxa"/>
            <w:noWrap/>
            <w:hideMark/>
          </w:tcPr>
          <w:p w14:paraId="7BD630C2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25.00</w:t>
            </w:r>
          </w:p>
        </w:tc>
      </w:tr>
      <w:tr w:rsidR="00D306DA" w:rsidRPr="007C6162" w14:paraId="40562FCB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61E2BF8C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'TimeOffsetNanos'</w:t>
            </w:r>
          </w:p>
        </w:tc>
        <w:tc>
          <w:tcPr>
            <w:tcW w:w="2268" w:type="dxa"/>
            <w:noWrap/>
            <w:hideMark/>
          </w:tcPr>
          <w:p w14:paraId="52DB40EA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</w:t>
            </w:r>
          </w:p>
        </w:tc>
      </w:tr>
      <w:tr w:rsidR="00D306DA" w:rsidRPr="007C6162" w14:paraId="3FDD4739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45744FF8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'State'</w:t>
            </w:r>
          </w:p>
        </w:tc>
        <w:tc>
          <w:tcPr>
            <w:tcW w:w="2268" w:type="dxa"/>
            <w:noWrap/>
            <w:hideMark/>
          </w:tcPr>
          <w:p w14:paraId="1A2CB30A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16431.00</w:t>
            </w:r>
          </w:p>
        </w:tc>
      </w:tr>
      <w:tr w:rsidR="00D306DA" w:rsidRPr="007C6162" w14:paraId="612411A1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27021F37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'ReceivedSvTimeNanos'</w:t>
            </w:r>
          </w:p>
        </w:tc>
        <w:tc>
          <w:tcPr>
            <w:tcW w:w="2268" w:type="dxa"/>
            <w:noWrap/>
            <w:hideMark/>
          </w:tcPr>
          <w:p w14:paraId="17743BBA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464107931345219.00</w:t>
            </w:r>
          </w:p>
        </w:tc>
      </w:tr>
      <w:tr w:rsidR="00D306DA" w:rsidRPr="007C6162" w14:paraId="4B5FD002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3FC53D22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'ReceivedSvTimeUncertaintyNanos'</w:t>
            </w:r>
          </w:p>
        </w:tc>
        <w:tc>
          <w:tcPr>
            <w:tcW w:w="2268" w:type="dxa"/>
            <w:noWrap/>
            <w:hideMark/>
          </w:tcPr>
          <w:p w14:paraId="0CC70D8F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10.00</w:t>
            </w:r>
          </w:p>
        </w:tc>
      </w:tr>
      <w:tr w:rsidR="00D306DA" w:rsidRPr="007C6162" w14:paraId="0B191B8C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35BBCB3F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'Cn0DbHz'</w:t>
            </w:r>
          </w:p>
        </w:tc>
        <w:tc>
          <w:tcPr>
            <w:tcW w:w="2268" w:type="dxa"/>
            <w:noWrap/>
            <w:hideMark/>
          </w:tcPr>
          <w:p w14:paraId="007106A8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47.30</w:t>
            </w:r>
          </w:p>
        </w:tc>
      </w:tr>
      <w:tr w:rsidR="00D306DA" w:rsidRPr="007C6162" w14:paraId="6DBDD39B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5D428C65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'PseudorangeRateMetersPerSecond'</w:t>
            </w:r>
          </w:p>
        </w:tc>
        <w:tc>
          <w:tcPr>
            <w:tcW w:w="2268" w:type="dxa"/>
            <w:noWrap/>
            <w:hideMark/>
          </w:tcPr>
          <w:p w14:paraId="5D10EF6B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1152.70</w:t>
            </w:r>
          </w:p>
        </w:tc>
      </w:tr>
      <w:tr w:rsidR="00D306DA" w:rsidRPr="007C6162" w14:paraId="21CDD8EE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266BC531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'PseudorangeRateUncertaintyMetersPerSecond'</w:t>
            </w:r>
          </w:p>
        </w:tc>
        <w:tc>
          <w:tcPr>
            <w:tcW w:w="2268" w:type="dxa"/>
            <w:noWrap/>
            <w:hideMark/>
          </w:tcPr>
          <w:p w14:paraId="0F78A13A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0.06</w:t>
            </w:r>
          </w:p>
        </w:tc>
      </w:tr>
      <w:tr w:rsidR="00D306DA" w:rsidRPr="007C6162" w14:paraId="5283FC2A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7107F867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'AccumulatedDeltaRangeState'</w:t>
            </w:r>
          </w:p>
        </w:tc>
        <w:tc>
          <w:tcPr>
            <w:tcW w:w="2268" w:type="dxa"/>
            <w:noWrap/>
            <w:hideMark/>
          </w:tcPr>
          <w:p w14:paraId="59D16E5E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25.00</w:t>
            </w:r>
          </w:p>
        </w:tc>
      </w:tr>
      <w:tr w:rsidR="00D306DA" w:rsidRPr="007C6162" w14:paraId="3A321D90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2C6DC64E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'AccumulatedDeltaRangeMeters'</w:t>
            </w:r>
          </w:p>
        </w:tc>
        <w:tc>
          <w:tcPr>
            <w:tcW w:w="2268" w:type="dxa"/>
            <w:noWrap/>
            <w:hideMark/>
          </w:tcPr>
          <w:p w14:paraId="0A5D5929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4186.75</w:t>
            </w:r>
          </w:p>
        </w:tc>
      </w:tr>
      <w:tr w:rsidR="00D306DA" w:rsidRPr="007C6162" w14:paraId="4E013BAC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2FA4E279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'AccumulatedDeltaRangeUncertaintyMeters'</w:t>
            </w:r>
          </w:p>
        </w:tc>
        <w:tc>
          <w:tcPr>
            <w:tcW w:w="2268" w:type="dxa"/>
            <w:noWrap/>
            <w:hideMark/>
          </w:tcPr>
          <w:p w14:paraId="63910888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0.04</w:t>
            </w:r>
          </w:p>
        </w:tc>
      </w:tr>
      <w:tr w:rsidR="00D306DA" w:rsidRPr="007C6162" w14:paraId="73D745EE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205B0F67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'CarrierFrequencyHz'</w:t>
            </w:r>
          </w:p>
        </w:tc>
        <w:tc>
          <w:tcPr>
            <w:tcW w:w="2268" w:type="dxa"/>
            <w:noWrap/>
            <w:hideMark/>
          </w:tcPr>
          <w:p w14:paraId="606A94B1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1575420030.00</w:t>
            </w:r>
          </w:p>
        </w:tc>
      </w:tr>
      <w:tr w:rsidR="00D306DA" w:rsidRPr="007C6162" w14:paraId="76BD3B9E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24A2B06D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'CarrierCycles'</w:t>
            </w:r>
          </w:p>
        </w:tc>
        <w:tc>
          <w:tcPr>
            <w:tcW w:w="2268" w:type="dxa"/>
            <w:noWrap/>
            <w:hideMark/>
          </w:tcPr>
          <w:p w14:paraId="10570DE8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D306DA" w:rsidRPr="007C6162" w14:paraId="1C190CAA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54A52165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'CarrierPhase'</w:t>
            </w:r>
          </w:p>
        </w:tc>
        <w:tc>
          <w:tcPr>
            <w:tcW w:w="2268" w:type="dxa"/>
            <w:noWrap/>
            <w:hideMark/>
          </w:tcPr>
          <w:p w14:paraId="5DFF096A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D306DA" w:rsidRPr="007C6162" w14:paraId="261618F5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0807917B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'CarrierPhaseUncertainty'</w:t>
            </w:r>
          </w:p>
        </w:tc>
        <w:tc>
          <w:tcPr>
            <w:tcW w:w="2268" w:type="dxa"/>
            <w:noWrap/>
            <w:hideMark/>
          </w:tcPr>
          <w:p w14:paraId="2564C63F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D306DA" w:rsidRPr="007C6162" w14:paraId="73D6D142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38C84014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'MultipathIndicator'</w:t>
            </w:r>
          </w:p>
        </w:tc>
        <w:tc>
          <w:tcPr>
            <w:tcW w:w="2268" w:type="dxa"/>
            <w:noWrap/>
            <w:hideMark/>
          </w:tcPr>
          <w:p w14:paraId="754F0745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</w:t>
            </w:r>
          </w:p>
        </w:tc>
      </w:tr>
      <w:tr w:rsidR="00D306DA" w:rsidRPr="007C6162" w14:paraId="485C50CA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1326C019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'SnrInDb'</w:t>
            </w:r>
          </w:p>
        </w:tc>
        <w:tc>
          <w:tcPr>
            <w:tcW w:w="2268" w:type="dxa"/>
            <w:noWrap/>
            <w:hideMark/>
          </w:tcPr>
          <w:p w14:paraId="50A440F1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D306DA" w:rsidRPr="007C6162" w14:paraId="00BAA54C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18943D29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'ConstellationType'</w:t>
            </w:r>
          </w:p>
        </w:tc>
        <w:tc>
          <w:tcPr>
            <w:tcW w:w="2268" w:type="dxa"/>
            <w:noWrap/>
            <w:hideMark/>
          </w:tcPr>
          <w:p w14:paraId="09FB1754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1.00</w:t>
            </w:r>
          </w:p>
        </w:tc>
      </w:tr>
      <w:tr w:rsidR="00D306DA" w:rsidRPr="007C6162" w14:paraId="1D4430E0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1363F56E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'AgcDb'</w:t>
            </w:r>
          </w:p>
        </w:tc>
        <w:tc>
          <w:tcPr>
            <w:tcW w:w="2268" w:type="dxa"/>
            <w:noWrap/>
            <w:hideMark/>
          </w:tcPr>
          <w:p w14:paraId="7CCB45DD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6.50</w:t>
            </w:r>
          </w:p>
        </w:tc>
      </w:tr>
      <w:tr w:rsidR="00D306DA" w:rsidRPr="007C6162" w14:paraId="61C9D1BC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5C13CDBA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'BasebandCn0DbHz'</w:t>
            </w:r>
          </w:p>
        </w:tc>
        <w:tc>
          <w:tcPr>
            <w:tcW w:w="2268" w:type="dxa"/>
            <w:noWrap/>
            <w:hideMark/>
          </w:tcPr>
          <w:p w14:paraId="7EC835ED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42.30</w:t>
            </w:r>
          </w:p>
        </w:tc>
      </w:tr>
      <w:tr w:rsidR="00D306DA" w:rsidRPr="007C6162" w14:paraId="2D7BA9A8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16801741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'FullInterSignalBiasNanos'</w:t>
            </w:r>
          </w:p>
        </w:tc>
        <w:tc>
          <w:tcPr>
            <w:tcW w:w="2268" w:type="dxa"/>
            <w:noWrap/>
            <w:hideMark/>
          </w:tcPr>
          <w:p w14:paraId="4B08D90D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</w:t>
            </w:r>
          </w:p>
        </w:tc>
      </w:tr>
      <w:tr w:rsidR="00D306DA" w:rsidRPr="007C6162" w14:paraId="1DB1B964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7C285504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'FullInterSignalBiasUncertaintyNanos'</w:t>
            </w:r>
          </w:p>
        </w:tc>
        <w:tc>
          <w:tcPr>
            <w:tcW w:w="2268" w:type="dxa"/>
            <w:noWrap/>
            <w:hideMark/>
          </w:tcPr>
          <w:p w14:paraId="32526321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</w:t>
            </w:r>
          </w:p>
        </w:tc>
      </w:tr>
      <w:tr w:rsidR="00D306DA" w:rsidRPr="007C6162" w14:paraId="30083032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4621E0FC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'SatelliteInterSignalBiasNanos'</w:t>
            </w:r>
          </w:p>
        </w:tc>
        <w:tc>
          <w:tcPr>
            <w:tcW w:w="2268" w:type="dxa"/>
            <w:noWrap/>
            <w:hideMark/>
          </w:tcPr>
          <w:p w14:paraId="1CC0EB1B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</w:t>
            </w:r>
          </w:p>
        </w:tc>
      </w:tr>
      <w:tr w:rsidR="00D306DA" w:rsidRPr="007C6162" w14:paraId="1468BB7D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452DA948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'SatelliteInterSignalBiasUncertaintyNanos'</w:t>
            </w:r>
          </w:p>
        </w:tc>
        <w:tc>
          <w:tcPr>
            <w:tcW w:w="2268" w:type="dxa"/>
            <w:noWrap/>
            <w:hideMark/>
          </w:tcPr>
          <w:p w14:paraId="03C41510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</w:t>
            </w:r>
          </w:p>
        </w:tc>
      </w:tr>
      <w:tr w:rsidR="00D306DA" w:rsidRPr="007C6162" w14:paraId="4585B24A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10ED787D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'CodeType'</w:t>
            </w:r>
          </w:p>
        </w:tc>
        <w:tc>
          <w:tcPr>
            <w:tcW w:w="2268" w:type="dxa"/>
            <w:noWrap/>
            <w:hideMark/>
          </w:tcPr>
          <w:p w14:paraId="0134113B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</w:tr>
      <w:tr w:rsidR="00D306DA" w:rsidRPr="007C6162" w14:paraId="34DF2828" w14:textId="77777777" w:rsidTr="0087389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3515A105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'ChipsetElapsedRealtimeNanos'</w:t>
            </w:r>
          </w:p>
        </w:tc>
        <w:tc>
          <w:tcPr>
            <w:tcW w:w="2268" w:type="dxa"/>
            <w:noWrap/>
            <w:hideMark/>
          </w:tcPr>
          <w:p w14:paraId="19CEFD7B" w14:textId="77777777" w:rsidR="00D306DA" w:rsidRPr="007C6162" w:rsidRDefault="00D306DA" w:rsidP="0087389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3322306912177.00</w:t>
            </w:r>
          </w:p>
        </w:tc>
      </w:tr>
      <w:tr w:rsidR="00D306DA" w:rsidRPr="007C6162" w14:paraId="3A68B9DF" w14:textId="77777777" w:rsidTr="0087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hideMark/>
          </w:tcPr>
          <w:p w14:paraId="70146384" w14:textId="77777777" w:rsidR="00D306DA" w:rsidRPr="007C6162" w:rsidRDefault="00D306DA" w:rsidP="0087389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7C6162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'IsFullTracking'</w:t>
            </w:r>
          </w:p>
        </w:tc>
        <w:tc>
          <w:tcPr>
            <w:tcW w:w="2268" w:type="dxa"/>
            <w:noWrap/>
            <w:hideMark/>
          </w:tcPr>
          <w:p w14:paraId="593AA8C0" w14:textId="77777777" w:rsidR="00D306DA" w:rsidRPr="007C6162" w:rsidRDefault="00D306DA" w:rsidP="0087389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5B90E91A" w14:textId="77777777" w:rsidR="00D306DA" w:rsidRDefault="00D306DA"/>
    <w:sectPr w:rsidR="00D30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BBC"/>
    <w:rsid w:val="001026C4"/>
    <w:rsid w:val="001427CA"/>
    <w:rsid w:val="002605B7"/>
    <w:rsid w:val="003E0E9B"/>
    <w:rsid w:val="004C62F2"/>
    <w:rsid w:val="00691719"/>
    <w:rsid w:val="00A17D0C"/>
    <w:rsid w:val="00AA6A4B"/>
    <w:rsid w:val="00B35865"/>
    <w:rsid w:val="00C778C8"/>
    <w:rsid w:val="00D306DA"/>
    <w:rsid w:val="00EA3FAE"/>
    <w:rsid w:val="00EF10FF"/>
    <w:rsid w:val="00EF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8B9B4"/>
  <w14:defaultImageDpi w14:val="32767"/>
  <w15:chartTrackingRefBased/>
  <w15:docId w15:val="{DBBD6C7C-1C9F-4265-8E58-2A81AA99E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B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B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B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B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B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B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B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B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B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B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B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B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B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B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B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B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B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B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B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B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B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BBC"/>
    <w:rPr>
      <w:b/>
      <w:bCs/>
      <w:smallCaps/>
      <w:color w:val="0F4761" w:themeColor="accent1" w:themeShade="BF"/>
      <w:spacing w:val="5"/>
    </w:rPr>
  </w:style>
  <w:style w:type="table" w:styleId="PlainTable3">
    <w:name w:val="Plain Table 3"/>
    <w:basedOn w:val="TableNormal"/>
    <w:uiPriority w:val="43"/>
    <w:rsid w:val="00D306DA"/>
    <w:pPr>
      <w:spacing w:after="0" w:line="240" w:lineRule="auto"/>
    </w:pPr>
    <w:tblPr>
      <w:tblStyleRowBandSize w:val="1"/>
      <w:tblStyleColBandSize w:val="1"/>
    </w:tblPr>
    <w:tcPr>
      <w:shd w:val="clear" w:color="auto" w:fill="FFFFFF" w:themeFill="background1"/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D306DA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706D0-5CE3-46E9-AC84-8F79163F8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Laith Khigani</dc:creator>
  <cp:keywords/>
  <dc:description/>
  <cp:lastModifiedBy>Laith Khigani</cp:lastModifiedBy>
  <cp:revision>13</cp:revision>
  <dcterms:created xsi:type="dcterms:W3CDTF">2025-10-08T12:49:00Z</dcterms:created>
  <dcterms:modified xsi:type="dcterms:W3CDTF">2025-10-08T13:14:00Z</dcterms:modified>
</cp:coreProperties>
</file>