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492" w:rsidRPr="00EB12DF" w:rsidRDefault="00DB2492" w:rsidP="00DB2492">
      <w:pPr>
        <w:rPr>
          <w:sz w:val="20"/>
          <w:szCs w:val="20"/>
        </w:rPr>
      </w:pPr>
      <w:r>
        <w:rPr>
          <w:sz w:val="20"/>
          <w:szCs w:val="20"/>
        </w:rPr>
        <w:t>Online Resource</w:t>
      </w:r>
      <w:r w:rsidRPr="00EB12DF">
        <w:rPr>
          <w:sz w:val="20"/>
          <w:szCs w:val="20"/>
        </w:rPr>
        <w:t xml:space="preserve"> 1. </w:t>
      </w:r>
      <w:r w:rsidRPr="00EB12DF">
        <w:rPr>
          <w:i/>
          <w:sz w:val="20"/>
          <w:szCs w:val="20"/>
        </w:rPr>
        <w:t>Green fluorescent protein</w:t>
      </w:r>
      <w:r w:rsidRPr="00EB12DF">
        <w:rPr>
          <w:sz w:val="20"/>
          <w:szCs w:val="20"/>
        </w:rPr>
        <w:t xml:space="preserve"> (</w:t>
      </w:r>
      <w:proofErr w:type="spellStart"/>
      <w:r w:rsidRPr="00EB12DF">
        <w:rPr>
          <w:i/>
          <w:sz w:val="20"/>
          <w:szCs w:val="20"/>
        </w:rPr>
        <w:t>gfp</w:t>
      </w:r>
      <w:proofErr w:type="spellEnd"/>
      <w:r w:rsidRPr="00EB12DF">
        <w:rPr>
          <w:sz w:val="20"/>
          <w:szCs w:val="20"/>
        </w:rPr>
        <w:t xml:space="preserve">) and </w:t>
      </w:r>
      <w:proofErr w:type="spellStart"/>
      <w:r w:rsidRPr="00EB12DF">
        <w:rPr>
          <w:i/>
          <w:sz w:val="20"/>
          <w:szCs w:val="20"/>
        </w:rPr>
        <w:t>Brassicogethes</w:t>
      </w:r>
      <w:proofErr w:type="spellEnd"/>
      <w:r w:rsidRPr="00EB12DF">
        <w:rPr>
          <w:i/>
          <w:sz w:val="20"/>
          <w:szCs w:val="20"/>
        </w:rPr>
        <w:t xml:space="preserve"> </w:t>
      </w:r>
      <w:proofErr w:type="spellStart"/>
      <w:r w:rsidRPr="00EB12DF">
        <w:rPr>
          <w:i/>
          <w:sz w:val="20"/>
          <w:szCs w:val="20"/>
        </w:rPr>
        <w:t>aeneus</w:t>
      </w:r>
      <w:proofErr w:type="spellEnd"/>
      <w:r w:rsidRPr="00EB12DF">
        <w:rPr>
          <w:i/>
          <w:sz w:val="20"/>
          <w:szCs w:val="20"/>
        </w:rPr>
        <w:t xml:space="preserve"> </w:t>
      </w:r>
      <w:proofErr w:type="spellStart"/>
      <w:r w:rsidRPr="00EB12DF">
        <w:rPr>
          <w:i/>
          <w:sz w:val="20"/>
          <w:szCs w:val="20"/>
        </w:rPr>
        <w:t>coatomer</w:t>
      </w:r>
      <w:proofErr w:type="spellEnd"/>
      <w:r w:rsidRPr="00EB12DF">
        <w:rPr>
          <w:i/>
          <w:sz w:val="20"/>
          <w:szCs w:val="20"/>
        </w:rPr>
        <w:t xml:space="preserve"> subunit alpha</w:t>
      </w:r>
      <w:r w:rsidRPr="00EB12DF">
        <w:rPr>
          <w:sz w:val="20"/>
          <w:szCs w:val="20"/>
        </w:rPr>
        <w:t xml:space="preserve"> (</w:t>
      </w:r>
      <w:r w:rsidRPr="00EB12DF">
        <w:rPr>
          <w:i/>
          <w:sz w:val="20"/>
          <w:szCs w:val="20"/>
        </w:rPr>
        <w:t>αCOP</w:t>
      </w:r>
      <w:r w:rsidRPr="00EB12DF">
        <w:rPr>
          <w:sz w:val="20"/>
          <w:szCs w:val="20"/>
        </w:rPr>
        <w:t>) regions for dsRNA synthesis.</w:t>
      </w:r>
    </w:p>
    <w:tbl>
      <w:tblPr>
        <w:tblStyle w:val="TableGrid"/>
        <w:tblW w:w="8910" w:type="dxa"/>
        <w:tblLayout w:type="fixed"/>
        <w:tblLook w:val="04A0" w:firstRow="1" w:lastRow="0" w:firstColumn="1" w:lastColumn="0" w:noHBand="0" w:noVBand="1"/>
      </w:tblPr>
      <w:tblGrid>
        <w:gridCol w:w="810"/>
        <w:gridCol w:w="1350"/>
        <w:gridCol w:w="1980"/>
        <w:gridCol w:w="4770"/>
      </w:tblGrid>
      <w:tr w:rsidR="00DB2492" w:rsidRPr="00EB12DF" w:rsidTr="007B32E9"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</w:tcPr>
          <w:p w:rsidR="00DB2492" w:rsidRPr="00EB12DF" w:rsidRDefault="00DB2492" w:rsidP="007B32E9">
            <w:pPr>
              <w:tabs>
                <w:tab w:val="center" w:pos="1024"/>
                <w:tab w:val="right" w:pos="2049"/>
              </w:tabs>
              <w:rPr>
                <w:sz w:val="20"/>
                <w:szCs w:val="20"/>
              </w:rPr>
            </w:pPr>
            <w:r w:rsidRPr="00EB12DF">
              <w:rPr>
                <w:sz w:val="20"/>
                <w:szCs w:val="20"/>
              </w:rPr>
              <w:t>Gene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</w:tcPr>
          <w:p w:rsidR="00DB2492" w:rsidRPr="00EB12DF" w:rsidRDefault="00DB2492" w:rsidP="007B32E9">
            <w:pPr>
              <w:tabs>
                <w:tab w:val="right" w:pos="3144"/>
              </w:tabs>
              <w:rPr>
                <w:sz w:val="20"/>
                <w:szCs w:val="20"/>
              </w:rPr>
            </w:pPr>
            <w:r w:rsidRPr="00EB12DF">
              <w:rPr>
                <w:sz w:val="20"/>
                <w:szCs w:val="20"/>
              </w:rPr>
              <w:t>Name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</w:tcPr>
          <w:p w:rsidR="00DB2492" w:rsidRPr="00EB12DF" w:rsidRDefault="00DB2492" w:rsidP="007B32E9">
            <w:pPr>
              <w:rPr>
                <w:sz w:val="20"/>
                <w:szCs w:val="20"/>
              </w:rPr>
            </w:pPr>
            <w:r w:rsidRPr="00EB12DF">
              <w:rPr>
                <w:sz w:val="20"/>
                <w:szCs w:val="20"/>
              </w:rPr>
              <w:t>Length of region (</w:t>
            </w:r>
            <w:proofErr w:type="spellStart"/>
            <w:r w:rsidRPr="00EB12DF">
              <w:rPr>
                <w:sz w:val="20"/>
                <w:szCs w:val="20"/>
              </w:rPr>
              <w:t>bp</w:t>
            </w:r>
            <w:proofErr w:type="spellEnd"/>
            <w:r w:rsidRPr="00EB12DF">
              <w:rPr>
                <w:sz w:val="20"/>
                <w:szCs w:val="20"/>
              </w:rPr>
              <w:t xml:space="preserve">) for </w:t>
            </w:r>
            <w:proofErr w:type="spellStart"/>
            <w:r w:rsidRPr="00EB12DF">
              <w:rPr>
                <w:sz w:val="20"/>
                <w:szCs w:val="20"/>
              </w:rPr>
              <w:t>dsRNA</w:t>
            </w:r>
            <w:proofErr w:type="spellEnd"/>
            <w:r w:rsidRPr="00EB12DF">
              <w:rPr>
                <w:sz w:val="20"/>
                <w:szCs w:val="20"/>
              </w:rPr>
              <w:t xml:space="preserve"> synthesis</w:t>
            </w:r>
          </w:p>
        </w:tc>
        <w:tc>
          <w:tcPr>
            <w:tcW w:w="4770" w:type="dxa"/>
            <w:tcBorders>
              <w:left w:val="nil"/>
              <w:bottom w:val="single" w:sz="4" w:space="0" w:color="auto"/>
              <w:right w:val="nil"/>
            </w:tcBorders>
          </w:tcPr>
          <w:p w:rsidR="00DB2492" w:rsidRPr="00EB12DF" w:rsidRDefault="00DB2492" w:rsidP="007B32E9">
            <w:pPr>
              <w:rPr>
                <w:sz w:val="20"/>
                <w:szCs w:val="20"/>
              </w:rPr>
            </w:pPr>
            <w:r w:rsidRPr="00EB12DF">
              <w:rPr>
                <w:sz w:val="20"/>
                <w:szCs w:val="20"/>
              </w:rPr>
              <w:t>Sequence of region</w:t>
            </w:r>
          </w:p>
        </w:tc>
      </w:tr>
      <w:tr w:rsidR="00DB2492" w:rsidRPr="00EB12DF" w:rsidTr="007B32E9">
        <w:tc>
          <w:tcPr>
            <w:tcW w:w="810" w:type="dxa"/>
            <w:tcBorders>
              <w:left w:val="nil"/>
              <w:bottom w:val="nil"/>
              <w:right w:val="nil"/>
            </w:tcBorders>
          </w:tcPr>
          <w:p w:rsidR="00DB2492" w:rsidRPr="00EB12DF" w:rsidRDefault="00DB2492" w:rsidP="007B32E9">
            <w:pPr>
              <w:tabs>
                <w:tab w:val="left" w:pos="1171"/>
              </w:tabs>
              <w:rPr>
                <w:i/>
                <w:sz w:val="20"/>
                <w:szCs w:val="20"/>
              </w:rPr>
            </w:pPr>
            <w:r w:rsidRPr="00EB12DF">
              <w:rPr>
                <w:i/>
                <w:sz w:val="20"/>
                <w:szCs w:val="20"/>
              </w:rPr>
              <w:t>αCOP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</w:tcPr>
          <w:p w:rsidR="00DB2492" w:rsidRPr="00EB12DF" w:rsidRDefault="00DB2492" w:rsidP="007B32E9">
            <w:pPr>
              <w:rPr>
                <w:i/>
                <w:sz w:val="20"/>
                <w:szCs w:val="20"/>
              </w:rPr>
            </w:pPr>
            <w:proofErr w:type="spellStart"/>
            <w:r w:rsidRPr="00EB12DF">
              <w:rPr>
                <w:i/>
                <w:sz w:val="20"/>
                <w:szCs w:val="20"/>
              </w:rPr>
              <w:t>coatomer</w:t>
            </w:r>
            <w:proofErr w:type="spellEnd"/>
            <w:r w:rsidRPr="00EB12DF">
              <w:rPr>
                <w:i/>
                <w:sz w:val="20"/>
                <w:szCs w:val="20"/>
              </w:rPr>
              <w:t xml:space="preserve"> subunit alpha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</w:tcPr>
          <w:p w:rsidR="00DB2492" w:rsidRPr="00EB12DF" w:rsidRDefault="00DB2492" w:rsidP="007B32E9">
            <w:pPr>
              <w:rPr>
                <w:sz w:val="20"/>
                <w:szCs w:val="20"/>
              </w:rPr>
            </w:pPr>
            <w:r w:rsidRPr="00EB12DF">
              <w:rPr>
                <w:sz w:val="20"/>
                <w:szCs w:val="20"/>
              </w:rPr>
              <w:t>222</w:t>
            </w:r>
          </w:p>
        </w:tc>
        <w:tc>
          <w:tcPr>
            <w:tcW w:w="4770" w:type="dxa"/>
            <w:tcBorders>
              <w:left w:val="nil"/>
              <w:bottom w:val="nil"/>
              <w:right w:val="nil"/>
            </w:tcBorders>
          </w:tcPr>
          <w:p w:rsidR="00DB2492" w:rsidRPr="00EB12DF" w:rsidRDefault="00DB2492" w:rsidP="007B32E9">
            <w:pPr>
              <w:rPr>
                <w:color w:val="000000"/>
                <w:sz w:val="20"/>
                <w:szCs w:val="20"/>
              </w:rPr>
            </w:pPr>
            <w:r w:rsidRPr="00EB12DF">
              <w:rPr>
                <w:color w:val="000000"/>
                <w:sz w:val="20"/>
                <w:szCs w:val="20"/>
              </w:rPr>
              <w:t>AAGATGCACCACATAATGGACATTTTTCTTCAGGTTTTCCTCTGTAAATGGGGGTGTATGAATAACCACAAATCGAAAATGGATTATGTTCATCGTAATTTAATTGAAGTTCATCTGTTAAATTAGAGTCACAGGCCTGTAAAATTTTTCTTGCCTGCTGAGCCACCTCAGGACGTGGGCCCAATTCCAATAGCCTCTTGGCCAGCGAAGACG</w:t>
            </w:r>
          </w:p>
          <w:p w:rsidR="00DB2492" w:rsidRPr="00EB12DF" w:rsidRDefault="00DB2492" w:rsidP="007B32E9">
            <w:pPr>
              <w:ind w:firstLine="720"/>
              <w:rPr>
                <w:sz w:val="20"/>
                <w:szCs w:val="20"/>
              </w:rPr>
            </w:pPr>
          </w:p>
        </w:tc>
      </w:tr>
      <w:tr w:rsidR="00DB2492" w:rsidRPr="00EB12DF" w:rsidTr="007B32E9">
        <w:trPr>
          <w:trHeight w:val="3191"/>
        </w:trPr>
        <w:tc>
          <w:tcPr>
            <w:tcW w:w="810" w:type="dxa"/>
            <w:tcBorders>
              <w:top w:val="nil"/>
              <w:left w:val="nil"/>
              <w:right w:val="nil"/>
            </w:tcBorders>
          </w:tcPr>
          <w:p w:rsidR="00DB2492" w:rsidRPr="00EB12DF" w:rsidRDefault="00DB2492" w:rsidP="007B32E9">
            <w:pPr>
              <w:rPr>
                <w:i/>
                <w:sz w:val="20"/>
                <w:szCs w:val="20"/>
              </w:rPr>
            </w:pPr>
            <w:proofErr w:type="spellStart"/>
            <w:r w:rsidRPr="00EB12DF">
              <w:rPr>
                <w:i/>
                <w:sz w:val="20"/>
                <w:szCs w:val="20"/>
              </w:rPr>
              <w:t>gfp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</w:tcPr>
          <w:p w:rsidR="00DB2492" w:rsidRPr="00EB12DF" w:rsidRDefault="00DB2492" w:rsidP="007B32E9">
            <w:pPr>
              <w:rPr>
                <w:i/>
                <w:sz w:val="20"/>
                <w:szCs w:val="20"/>
              </w:rPr>
            </w:pPr>
            <w:r w:rsidRPr="00EB12DF">
              <w:rPr>
                <w:i/>
                <w:sz w:val="20"/>
                <w:szCs w:val="20"/>
              </w:rPr>
              <w:t>green fluorescent protein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</w:tcPr>
          <w:p w:rsidR="00DB2492" w:rsidRPr="00EB12DF" w:rsidRDefault="00DB2492" w:rsidP="007B32E9">
            <w:pPr>
              <w:rPr>
                <w:sz w:val="20"/>
                <w:szCs w:val="20"/>
              </w:rPr>
            </w:pPr>
            <w:r w:rsidRPr="00EB12DF">
              <w:rPr>
                <w:sz w:val="20"/>
                <w:szCs w:val="20"/>
              </w:rPr>
              <w:t>455</w:t>
            </w:r>
          </w:p>
        </w:tc>
        <w:tc>
          <w:tcPr>
            <w:tcW w:w="4770" w:type="dxa"/>
            <w:tcBorders>
              <w:top w:val="nil"/>
              <w:left w:val="nil"/>
              <w:right w:val="nil"/>
            </w:tcBorders>
          </w:tcPr>
          <w:p w:rsidR="00DB2492" w:rsidRPr="00EB12DF" w:rsidRDefault="00DB2492" w:rsidP="007B32E9">
            <w:pPr>
              <w:rPr>
                <w:color w:val="000000"/>
                <w:sz w:val="20"/>
                <w:szCs w:val="20"/>
              </w:rPr>
            </w:pPr>
            <w:r w:rsidRPr="00EB12DF">
              <w:rPr>
                <w:color w:val="000000"/>
                <w:sz w:val="20"/>
                <w:szCs w:val="20"/>
              </w:rPr>
              <w:t>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ATCAAGGTGAACTTCAAGATCCGCCACAACATCGAGGACGGCAGCGTGCAGCTCGCCGACCACTACCAGCAGAACACCCCCATCGGCGACGGCCCCGTGCTGCTGCCCGACAACCACTACCTGAGCACCCAGTCCGCCCTGAGCAAAGACCCCAACGAGAAGCGCGATCA</w:t>
            </w:r>
          </w:p>
        </w:tc>
      </w:tr>
    </w:tbl>
    <w:p w:rsidR="00F80D01" w:rsidRDefault="00F80D01">
      <w:pPr>
        <w:rPr>
          <w:sz w:val="20"/>
          <w:szCs w:val="20"/>
        </w:rPr>
      </w:pPr>
    </w:p>
    <w:p w:rsidR="00362496" w:rsidRPr="00B83465" w:rsidRDefault="00362496" w:rsidP="00362496">
      <w:pPr>
        <w:rPr>
          <w:sz w:val="20"/>
          <w:szCs w:val="20"/>
        </w:rPr>
      </w:pPr>
      <w:r>
        <w:rPr>
          <w:sz w:val="20"/>
          <w:szCs w:val="20"/>
        </w:rPr>
        <w:t>Online Resource 2</w:t>
      </w:r>
      <w:r w:rsidRPr="00EB12DF">
        <w:rPr>
          <w:sz w:val="20"/>
          <w:szCs w:val="20"/>
        </w:rPr>
        <w:t xml:space="preserve">. Gel electrophoresis showing length and purity of </w:t>
      </w:r>
      <w:proofErr w:type="spellStart"/>
      <w:r w:rsidRPr="00EB12DF">
        <w:rPr>
          <w:sz w:val="20"/>
          <w:szCs w:val="20"/>
        </w:rPr>
        <w:t>dsRNAs</w:t>
      </w:r>
      <w:proofErr w:type="spellEnd"/>
      <w:r w:rsidRPr="00EB12DF">
        <w:rPr>
          <w:sz w:val="20"/>
          <w:szCs w:val="20"/>
        </w:rPr>
        <w:t xml:space="preserve"> used in the present study. Column 1, ladder starting from the bottom at 100 </w:t>
      </w:r>
      <w:proofErr w:type="spellStart"/>
      <w:r w:rsidRPr="00EB12DF">
        <w:rPr>
          <w:sz w:val="20"/>
          <w:szCs w:val="20"/>
        </w:rPr>
        <w:t>bp</w:t>
      </w:r>
      <w:proofErr w:type="spellEnd"/>
      <w:r w:rsidRPr="00EB12DF">
        <w:rPr>
          <w:sz w:val="20"/>
          <w:szCs w:val="20"/>
        </w:rPr>
        <w:t xml:space="preserve">; column 2, </w:t>
      </w:r>
      <w:proofErr w:type="spellStart"/>
      <w:r w:rsidRPr="00EB12DF">
        <w:rPr>
          <w:sz w:val="20"/>
          <w:szCs w:val="20"/>
        </w:rPr>
        <w:t>dsRNA</w:t>
      </w:r>
      <w:proofErr w:type="spellEnd"/>
      <w:r w:rsidRPr="00EB12DF">
        <w:rPr>
          <w:sz w:val="20"/>
          <w:szCs w:val="20"/>
        </w:rPr>
        <w:t xml:space="preserve"> targeting </w:t>
      </w:r>
      <w:proofErr w:type="spellStart"/>
      <w:r w:rsidRPr="00EB12DF">
        <w:rPr>
          <w:i/>
          <w:sz w:val="20"/>
          <w:szCs w:val="20"/>
        </w:rPr>
        <w:t>gfp</w:t>
      </w:r>
      <w:proofErr w:type="spellEnd"/>
      <w:r w:rsidRPr="00EB12DF">
        <w:rPr>
          <w:sz w:val="20"/>
          <w:szCs w:val="20"/>
        </w:rPr>
        <w:t xml:space="preserve">; column 3, </w:t>
      </w:r>
      <w:proofErr w:type="spellStart"/>
      <w:r w:rsidRPr="00EB12DF">
        <w:rPr>
          <w:sz w:val="20"/>
          <w:szCs w:val="20"/>
        </w:rPr>
        <w:t>dsRNA</w:t>
      </w:r>
      <w:proofErr w:type="spellEnd"/>
      <w:r w:rsidRPr="00EB12DF">
        <w:rPr>
          <w:sz w:val="20"/>
          <w:szCs w:val="20"/>
        </w:rPr>
        <w:t xml:space="preserve"> targeting </w:t>
      </w:r>
      <w:r w:rsidRPr="00EB12DF">
        <w:rPr>
          <w:i/>
          <w:sz w:val="20"/>
          <w:szCs w:val="20"/>
        </w:rPr>
        <w:t>αCOP</w:t>
      </w:r>
      <w:r>
        <w:rPr>
          <w:sz w:val="20"/>
          <w:szCs w:val="20"/>
        </w:rPr>
        <w:t>.</w:t>
      </w:r>
    </w:p>
    <w:p w:rsidR="00362496" w:rsidRDefault="00362496">
      <w:pPr>
        <w:rPr>
          <w:sz w:val="20"/>
          <w:szCs w:val="20"/>
        </w:rPr>
      </w:pPr>
    </w:p>
    <w:p w:rsidR="00362496" w:rsidRPr="00EB12DF" w:rsidRDefault="00362496" w:rsidP="00362496">
      <w:pPr>
        <w:rPr>
          <w:sz w:val="20"/>
          <w:szCs w:val="20"/>
        </w:rPr>
      </w:pPr>
      <w:r>
        <w:rPr>
          <w:sz w:val="20"/>
          <w:szCs w:val="20"/>
        </w:rPr>
        <w:t>Online Resource 3</w:t>
      </w:r>
      <w:r w:rsidRPr="00EB12DF">
        <w:rPr>
          <w:sz w:val="20"/>
          <w:szCs w:val="20"/>
        </w:rPr>
        <w:t>. Primer amplification efficiencies of the target gene (</w:t>
      </w:r>
      <w:r w:rsidRPr="00EB12DF">
        <w:rPr>
          <w:i/>
          <w:sz w:val="20"/>
          <w:szCs w:val="20"/>
        </w:rPr>
        <w:t>αCOP</w:t>
      </w:r>
      <w:r w:rsidRPr="00EB12DF">
        <w:rPr>
          <w:sz w:val="20"/>
          <w:szCs w:val="20"/>
        </w:rPr>
        <w:t>) and reference genes (</w:t>
      </w:r>
      <w:r w:rsidRPr="00EB12DF">
        <w:rPr>
          <w:i/>
          <w:sz w:val="20"/>
          <w:szCs w:val="20"/>
        </w:rPr>
        <w:t>rps3</w:t>
      </w:r>
      <w:r w:rsidRPr="00EB12DF">
        <w:rPr>
          <w:sz w:val="20"/>
          <w:szCs w:val="20"/>
        </w:rPr>
        <w:t xml:space="preserve"> and </w:t>
      </w:r>
      <w:r w:rsidRPr="00EB12DF">
        <w:rPr>
          <w:i/>
          <w:sz w:val="20"/>
          <w:szCs w:val="20"/>
        </w:rPr>
        <w:t>act</w:t>
      </w:r>
      <w:r w:rsidRPr="00EB12DF">
        <w:rPr>
          <w:sz w:val="20"/>
          <w:szCs w:val="20"/>
        </w:rPr>
        <w:t>) used in the present study.</w:t>
      </w:r>
    </w:p>
    <w:tbl>
      <w:tblPr>
        <w:tblW w:w="8898" w:type="dxa"/>
        <w:tblLook w:val="04A0" w:firstRow="1" w:lastRow="0" w:firstColumn="1" w:lastColumn="0" w:noHBand="0" w:noVBand="1"/>
      </w:tblPr>
      <w:tblGrid>
        <w:gridCol w:w="810"/>
        <w:gridCol w:w="2160"/>
        <w:gridCol w:w="990"/>
        <w:gridCol w:w="3600"/>
        <w:gridCol w:w="1338"/>
      </w:tblGrid>
      <w:tr w:rsidR="00362496" w:rsidRPr="00EB12DF" w:rsidTr="00650028">
        <w:trPr>
          <w:trHeight w:val="315"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Gene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Name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Direction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Primer sequence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Amplification efficiency</w:t>
            </w:r>
          </w:p>
        </w:tc>
      </w:tr>
      <w:tr w:rsidR="00362496" w:rsidRPr="00EB12DF" w:rsidTr="00650028">
        <w:trPr>
          <w:trHeight w:val="315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  <w:t>αCOP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i/>
                <w:color w:val="000000"/>
                <w:sz w:val="20"/>
                <w:szCs w:val="20"/>
                <w:lang w:val="en-US"/>
              </w:rPr>
            </w:pPr>
            <w:proofErr w:type="spellStart"/>
            <w:r w:rsidRPr="00EB12DF">
              <w:rPr>
                <w:rFonts w:eastAsia="Times New Roman"/>
                <w:i/>
                <w:color w:val="000000"/>
                <w:sz w:val="20"/>
                <w:szCs w:val="20"/>
                <w:lang w:val="en-US"/>
              </w:rPr>
              <w:t>coatomer</w:t>
            </w:r>
            <w:proofErr w:type="spellEnd"/>
            <w:r w:rsidRPr="00EB12DF">
              <w:rPr>
                <w:rFonts w:eastAsia="Times New Roman"/>
                <w:i/>
                <w:color w:val="000000"/>
                <w:sz w:val="20"/>
                <w:szCs w:val="20"/>
                <w:lang w:val="en-US"/>
              </w:rPr>
              <w:t xml:space="preserve"> subunit alpha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Fw</w:t>
            </w:r>
            <w:proofErr w:type="spellEnd"/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CCAACTTGGTCATTTAACAATCTGG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1.82</w:t>
            </w:r>
          </w:p>
        </w:tc>
      </w:tr>
      <w:tr w:rsidR="00362496" w:rsidRPr="00EB12DF" w:rsidTr="00650028">
        <w:trPr>
          <w:trHeight w:val="315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Rv</w:t>
            </w:r>
            <w:proofErr w:type="spellEnd"/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CCCTTCCTTCATCATGGACA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62496" w:rsidRPr="00EB12DF" w:rsidTr="00650028">
        <w:trPr>
          <w:trHeight w:val="315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  <w:t>rps3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i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i/>
                <w:color w:val="000000"/>
                <w:sz w:val="20"/>
                <w:szCs w:val="20"/>
                <w:lang w:val="en-US"/>
              </w:rPr>
              <w:t>ribosomal protein S3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Fw</w:t>
            </w:r>
            <w:proofErr w:type="spellEnd"/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CCAACGCGTACCGAAATTAT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2.2</w:t>
            </w:r>
          </w:p>
        </w:tc>
      </w:tr>
      <w:tr w:rsidR="00362496" w:rsidRPr="00EB12DF" w:rsidTr="00650028">
        <w:trPr>
          <w:trHeight w:val="315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Rv</w:t>
            </w:r>
            <w:proofErr w:type="spellEnd"/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GAGTTTTCGGGGAAGTTGAA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62496" w:rsidRPr="00EB12DF" w:rsidTr="00650028">
        <w:trPr>
          <w:trHeight w:val="315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/>
              </w:rPr>
              <w:t>act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i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i/>
                <w:color w:val="000000"/>
                <w:sz w:val="20"/>
                <w:szCs w:val="20"/>
                <w:lang w:val="en-US"/>
              </w:rPr>
              <w:t>actin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Fw</w:t>
            </w:r>
            <w:proofErr w:type="spellEnd"/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TCACGGACAATTTCCCTTTC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1.88</w:t>
            </w:r>
          </w:p>
        </w:tc>
      </w:tr>
      <w:tr w:rsidR="00362496" w:rsidRPr="00EB12DF" w:rsidTr="00650028">
        <w:trPr>
          <w:trHeight w:val="315"/>
        </w:trPr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Rv</w:t>
            </w:r>
            <w:proofErr w:type="spellEnd"/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TATCCTCCGTTTGGACTTGG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</w:tbl>
    <w:p w:rsidR="00362496" w:rsidRDefault="00362496" w:rsidP="00362496"/>
    <w:p w:rsidR="00362496" w:rsidRPr="00EB12DF" w:rsidRDefault="00362496" w:rsidP="00362496">
      <w:pPr>
        <w:rPr>
          <w:sz w:val="20"/>
          <w:szCs w:val="20"/>
        </w:rPr>
      </w:pPr>
      <w:r>
        <w:rPr>
          <w:sz w:val="20"/>
          <w:szCs w:val="20"/>
        </w:rPr>
        <w:t>Online Resource 4</w:t>
      </w:r>
      <w:r w:rsidRPr="00EB12DF">
        <w:rPr>
          <w:sz w:val="20"/>
          <w:szCs w:val="20"/>
        </w:rPr>
        <w:t xml:space="preserve">. Results of Fisher’s exact test (microinjection experiment), and </w:t>
      </w:r>
      <w:proofErr w:type="spellStart"/>
      <w:r w:rsidRPr="00EB12DF">
        <w:rPr>
          <w:sz w:val="20"/>
          <w:szCs w:val="20"/>
        </w:rPr>
        <w:t>Kruskal</w:t>
      </w:r>
      <w:proofErr w:type="spellEnd"/>
      <w:r w:rsidRPr="00EB12DF">
        <w:rPr>
          <w:sz w:val="20"/>
          <w:szCs w:val="20"/>
        </w:rPr>
        <w:t xml:space="preserve">-Wallis test with </w:t>
      </w:r>
      <w:r w:rsidRPr="00EB12DF">
        <w:rPr>
          <w:i/>
          <w:sz w:val="20"/>
          <w:szCs w:val="20"/>
        </w:rPr>
        <w:t>post-hoc</w:t>
      </w:r>
      <w:r w:rsidRPr="00EB12DF">
        <w:rPr>
          <w:sz w:val="20"/>
          <w:szCs w:val="20"/>
        </w:rPr>
        <w:t xml:space="preserve"> Wilcoxon rank-sum test for pairwise comparisons (feeding experiment) for the lethal effect of </w:t>
      </w:r>
      <w:proofErr w:type="spellStart"/>
      <w:r w:rsidRPr="00EB12DF">
        <w:rPr>
          <w:sz w:val="20"/>
          <w:szCs w:val="20"/>
        </w:rPr>
        <w:t>dsRNA</w:t>
      </w:r>
      <w:proofErr w:type="spellEnd"/>
      <w:r w:rsidRPr="00EB12DF">
        <w:rPr>
          <w:sz w:val="20"/>
          <w:szCs w:val="20"/>
        </w:rPr>
        <w:t xml:space="preserve"> targeting </w:t>
      </w:r>
      <w:r w:rsidRPr="00EB12DF">
        <w:rPr>
          <w:i/>
          <w:sz w:val="20"/>
          <w:szCs w:val="20"/>
        </w:rPr>
        <w:t>αCOP</w:t>
      </w:r>
      <w:r w:rsidRPr="00EB12DF">
        <w:rPr>
          <w:sz w:val="20"/>
          <w:szCs w:val="20"/>
        </w:rPr>
        <w:t xml:space="preserve">, compared to that of their respective </w:t>
      </w:r>
      <w:proofErr w:type="spellStart"/>
      <w:r w:rsidRPr="00EB12DF">
        <w:rPr>
          <w:sz w:val="20"/>
          <w:szCs w:val="20"/>
        </w:rPr>
        <w:t>dsGFP</w:t>
      </w:r>
      <w:proofErr w:type="spellEnd"/>
      <w:r w:rsidRPr="00EB12DF">
        <w:rPr>
          <w:sz w:val="20"/>
          <w:szCs w:val="20"/>
        </w:rPr>
        <w:t xml:space="preserve"> controls, in </w:t>
      </w:r>
      <w:proofErr w:type="spellStart"/>
      <w:r w:rsidRPr="00EB12DF">
        <w:rPr>
          <w:i/>
          <w:sz w:val="20"/>
          <w:szCs w:val="20"/>
        </w:rPr>
        <w:t>Brassicogethes</w:t>
      </w:r>
      <w:proofErr w:type="spellEnd"/>
      <w:r w:rsidRPr="00EB12DF">
        <w:rPr>
          <w:i/>
          <w:sz w:val="20"/>
          <w:szCs w:val="20"/>
        </w:rPr>
        <w:t xml:space="preserve"> </w:t>
      </w:r>
      <w:proofErr w:type="spellStart"/>
      <w:r w:rsidRPr="00EB12DF">
        <w:rPr>
          <w:i/>
          <w:sz w:val="20"/>
          <w:szCs w:val="20"/>
        </w:rPr>
        <w:t>aeneus</w:t>
      </w:r>
      <w:proofErr w:type="spellEnd"/>
      <w:r w:rsidRPr="00EB12DF">
        <w:rPr>
          <w:sz w:val="20"/>
          <w:szCs w:val="20"/>
        </w:rPr>
        <w:t>. Microinjection experiment: N = 40 (four replicates of ten beetles) per treatment. Feeding experiment: N = 126 (21 cages of six beetles on days 0 – 2), 108 (18 cages of six beetles on days 3 – 5) and 90 (15 cages of six beetles on days 6 – 19) per treatment.</w:t>
      </w:r>
    </w:p>
    <w:tbl>
      <w:tblPr>
        <w:tblW w:w="6750" w:type="dxa"/>
        <w:tblLook w:val="04A0" w:firstRow="1" w:lastRow="0" w:firstColumn="1" w:lastColumn="0" w:noHBand="0" w:noVBand="1"/>
      </w:tblPr>
      <w:tblGrid>
        <w:gridCol w:w="1080"/>
        <w:gridCol w:w="2070"/>
        <w:gridCol w:w="1800"/>
        <w:gridCol w:w="1800"/>
      </w:tblGrid>
      <w:tr w:rsidR="00362496" w:rsidRPr="00EB12DF" w:rsidTr="00650028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Microinjection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Feeding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Days post-treatment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ds</w:t>
            </w:r>
            <w:r w:rsidRPr="00EB12DF">
              <w:rPr>
                <w:sz w:val="20"/>
                <w:szCs w:val="20"/>
              </w:rPr>
              <w:t>α</w:t>
            </w: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COP (0.14 µg/mg)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ds</w:t>
            </w:r>
            <w:r w:rsidRPr="00EB12DF">
              <w:rPr>
                <w:sz w:val="20"/>
                <w:szCs w:val="20"/>
              </w:rPr>
              <w:t>α</w:t>
            </w: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COP (1 µg/µL)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ds</w:t>
            </w:r>
            <w:r w:rsidRPr="00EB12DF">
              <w:rPr>
                <w:sz w:val="20"/>
                <w:szCs w:val="20"/>
              </w:rPr>
              <w:t>α</w:t>
            </w: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COP (3 µg/µL)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0.57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0.9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0.03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0.6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0.005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0.32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0.65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0.0007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sz w:val="20"/>
                <w:szCs w:val="20"/>
                <w:lang w:val="en-US"/>
              </w:rPr>
              <w:t>0.003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RPr="00EB12DF" w:rsidTr="00650028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EB12DF" w:rsidRDefault="00362496" w:rsidP="00650028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EB12DF"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</w:tbl>
    <w:p w:rsidR="00362496" w:rsidRDefault="00362496" w:rsidP="00362496"/>
    <w:p w:rsidR="00362496" w:rsidRDefault="00362496" w:rsidP="00362496">
      <w:pPr>
        <w:rPr>
          <w:sz w:val="20"/>
          <w:szCs w:val="20"/>
        </w:rPr>
      </w:pPr>
      <w:r>
        <w:rPr>
          <w:sz w:val="20"/>
          <w:szCs w:val="20"/>
        </w:rPr>
        <w:t xml:space="preserve">Online Resource 5. Results of Fisher’s exact test (microinjection experiment), and </w:t>
      </w:r>
      <w:proofErr w:type="spellStart"/>
      <w:r>
        <w:rPr>
          <w:sz w:val="20"/>
          <w:szCs w:val="20"/>
        </w:rPr>
        <w:t>Kruskal</w:t>
      </w:r>
      <w:proofErr w:type="spellEnd"/>
      <w:r>
        <w:rPr>
          <w:sz w:val="20"/>
          <w:szCs w:val="20"/>
        </w:rPr>
        <w:t xml:space="preserve">-Wallis test with </w:t>
      </w:r>
      <w:r>
        <w:rPr>
          <w:i/>
          <w:sz w:val="20"/>
          <w:szCs w:val="20"/>
        </w:rPr>
        <w:t>post-hoc</w:t>
      </w:r>
      <w:r>
        <w:rPr>
          <w:sz w:val="20"/>
          <w:szCs w:val="20"/>
        </w:rPr>
        <w:t xml:space="preserve"> Wilcoxon rank-sum test for pairwise comparisons (feeding experiment) for the mobility-loss effect of </w:t>
      </w:r>
      <w:proofErr w:type="spellStart"/>
      <w:r>
        <w:rPr>
          <w:sz w:val="20"/>
          <w:szCs w:val="20"/>
        </w:rPr>
        <w:t>dsRNA</w:t>
      </w:r>
      <w:proofErr w:type="spellEnd"/>
      <w:r>
        <w:rPr>
          <w:sz w:val="20"/>
          <w:szCs w:val="20"/>
        </w:rPr>
        <w:t xml:space="preserve"> targeting </w:t>
      </w:r>
      <w:r>
        <w:rPr>
          <w:i/>
          <w:sz w:val="20"/>
          <w:szCs w:val="20"/>
        </w:rPr>
        <w:t>αCOP</w:t>
      </w:r>
      <w:r>
        <w:rPr>
          <w:sz w:val="20"/>
          <w:szCs w:val="20"/>
        </w:rPr>
        <w:t xml:space="preserve">, compared to that of their respective </w:t>
      </w:r>
      <w:proofErr w:type="spellStart"/>
      <w:r>
        <w:rPr>
          <w:sz w:val="20"/>
          <w:szCs w:val="20"/>
        </w:rPr>
        <w:t>dsGFP</w:t>
      </w:r>
      <w:proofErr w:type="spellEnd"/>
      <w:r>
        <w:rPr>
          <w:sz w:val="20"/>
          <w:szCs w:val="20"/>
        </w:rPr>
        <w:t xml:space="preserve"> controls, in </w:t>
      </w:r>
      <w:proofErr w:type="spellStart"/>
      <w:r>
        <w:rPr>
          <w:i/>
          <w:sz w:val="20"/>
          <w:szCs w:val="20"/>
        </w:rPr>
        <w:t>Brassicogethes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aeneus</w:t>
      </w:r>
      <w:proofErr w:type="spellEnd"/>
      <w:r>
        <w:rPr>
          <w:sz w:val="20"/>
          <w:szCs w:val="20"/>
        </w:rPr>
        <w:t>. Microinjection experiment: N = 40 (four replicates of ten beetles) per treatment. Feeding experiment: N = 126 (21 cages of six beetles on days 0 – 2), 108 (18 cages of six beetles on days 3 – 5) and 90 (15 cages of six beetles on days 6 – 19) per treatment.</w:t>
      </w:r>
    </w:p>
    <w:tbl>
      <w:tblPr>
        <w:tblW w:w="6750" w:type="dxa"/>
        <w:tblLook w:val="04A0" w:firstRow="1" w:lastRow="0" w:firstColumn="1" w:lastColumn="0" w:noHBand="0" w:noVBand="1"/>
      </w:tblPr>
      <w:tblGrid>
        <w:gridCol w:w="1080"/>
        <w:gridCol w:w="2070"/>
        <w:gridCol w:w="1800"/>
        <w:gridCol w:w="1800"/>
      </w:tblGrid>
      <w:tr w:rsidR="00362496" w:rsidTr="00362496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Microinjection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362496" w:rsidRDefault="00362496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Feeding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Days post-treatment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ds</w:t>
            </w:r>
            <w:r>
              <w:rPr>
                <w:sz w:val="20"/>
                <w:szCs w:val="20"/>
              </w:rPr>
              <w:t>α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COP (0.14 µg/mg)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ds</w:t>
            </w:r>
            <w:r>
              <w:rPr>
                <w:sz w:val="20"/>
                <w:szCs w:val="20"/>
              </w:rPr>
              <w:t>α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COP (1 µg/µL)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ds</w:t>
            </w:r>
            <w:r>
              <w:rPr>
                <w:sz w:val="20"/>
                <w:szCs w:val="20"/>
              </w:rPr>
              <w:t>α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COP (3 µg/µL)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07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0.57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0.9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07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0.52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07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0.32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207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0.39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0.0001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07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0.11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207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0.003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207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207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207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207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207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207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207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207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207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207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207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207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  <w:tr w:rsidR="00362496" w:rsidTr="00362496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496" w:rsidRDefault="00362496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&lt;0.0001</w:t>
            </w:r>
          </w:p>
        </w:tc>
      </w:tr>
    </w:tbl>
    <w:p w:rsidR="00362496" w:rsidRDefault="00362496" w:rsidP="00362496"/>
    <w:p w:rsidR="00362496" w:rsidRDefault="00362496" w:rsidP="00362496">
      <w:pPr>
        <w:rPr>
          <w:sz w:val="20"/>
          <w:szCs w:val="20"/>
        </w:rPr>
      </w:pPr>
      <w:r>
        <w:rPr>
          <w:sz w:val="20"/>
          <w:szCs w:val="20"/>
        </w:rPr>
        <w:t>Online Resource 6</w:t>
      </w:r>
      <w:r w:rsidRPr="00EB12DF">
        <w:rPr>
          <w:sz w:val="20"/>
          <w:szCs w:val="20"/>
        </w:rPr>
        <w:t xml:space="preserve">. Mobility curves, comparing dsαCOP treatments with their respective </w:t>
      </w:r>
      <w:proofErr w:type="spellStart"/>
      <w:r w:rsidRPr="00EB12DF">
        <w:rPr>
          <w:sz w:val="20"/>
          <w:szCs w:val="20"/>
        </w:rPr>
        <w:t>dsGFP</w:t>
      </w:r>
      <w:proofErr w:type="spellEnd"/>
      <w:r w:rsidRPr="00EB12DF">
        <w:rPr>
          <w:sz w:val="20"/>
          <w:szCs w:val="20"/>
        </w:rPr>
        <w:t xml:space="preserve"> cont</w:t>
      </w:r>
      <w:r>
        <w:rPr>
          <w:sz w:val="20"/>
          <w:szCs w:val="20"/>
        </w:rPr>
        <w:t>rols, for both microinjection (a</w:t>
      </w:r>
      <w:r w:rsidRPr="00EB12DF">
        <w:rPr>
          <w:sz w:val="20"/>
          <w:szCs w:val="20"/>
        </w:rPr>
        <w:t xml:space="preserve">) and feeding </w:t>
      </w:r>
      <w:r>
        <w:rPr>
          <w:sz w:val="20"/>
          <w:szCs w:val="20"/>
        </w:rPr>
        <w:t>(b</w:t>
      </w:r>
      <w:r w:rsidRPr="00EB12DF">
        <w:rPr>
          <w:sz w:val="20"/>
          <w:szCs w:val="20"/>
        </w:rPr>
        <w:t>) experiments. Microinjection experiment: N = 40 (four replicates of ten beetles) per treatment. Feeding experiment: N = 126 (21 cages of six beetles</w:t>
      </w:r>
      <w:r>
        <w:rPr>
          <w:sz w:val="20"/>
          <w:szCs w:val="20"/>
        </w:rPr>
        <w:t>; days 0–</w:t>
      </w:r>
      <w:r w:rsidRPr="00EB12DF">
        <w:rPr>
          <w:sz w:val="20"/>
          <w:szCs w:val="20"/>
        </w:rPr>
        <w:t>2), 108 (18 cages of six beetles</w:t>
      </w:r>
      <w:r>
        <w:rPr>
          <w:sz w:val="20"/>
          <w:szCs w:val="20"/>
        </w:rPr>
        <w:t>; days 3–</w:t>
      </w:r>
      <w:r w:rsidRPr="00EB12DF">
        <w:rPr>
          <w:sz w:val="20"/>
          <w:szCs w:val="20"/>
        </w:rPr>
        <w:t>5) and 90 (15 ca</w:t>
      </w:r>
      <w:r>
        <w:rPr>
          <w:sz w:val="20"/>
          <w:szCs w:val="20"/>
        </w:rPr>
        <w:t>ges of six beetles; days 6–</w:t>
      </w:r>
      <w:r w:rsidRPr="00EB12DF">
        <w:rPr>
          <w:sz w:val="20"/>
          <w:szCs w:val="20"/>
        </w:rPr>
        <w:t xml:space="preserve">19) per treatment. Microinjection data was analysed using Fisher’s exact test (error bars: ±SE). Feeding data were analysed using the </w:t>
      </w:r>
      <w:proofErr w:type="spellStart"/>
      <w:r w:rsidRPr="00EB12DF">
        <w:rPr>
          <w:sz w:val="20"/>
          <w:szCs w:val="20"/>
        </w:rPr>
        <w:t>Kruskal</w:t>
      </w:r>
      <w:proofErr w:type="spellEnd"/>
      <w:r w:rsidRPr="00EB12DF">
        <w:rPr>
          <w:sz w:val="20"/>
          <w:szCs w:val="20"/>
        </w:rPr>
        <w:t xml:space="preserve">-Wallis test with </w:t>
      </w:r>
      <w:r w:rsidRPr="00EB12DF">
        <w:rPr>
          <w:i/>
          <w:sz w:val="20"/>
          <w:szCs w:val="20"/>
        </w:rPr>
        <w:t xml:space="preserve">post-hoc </w:t>
      </w:r>
      <w:r w:rsidRPr="00EB12DF">
        <w:rPr>
          <w:sz w:val="20"/>
          <w:szCs w:val="20"/>
        </w:rPr>
        <w:t xml:space="preserve">Wilcoxon rank-sum test for pairwise comparisons (error bars: ±SEM). Asterisks indicate significant differences between dsαCOP- and respective </w:t>
      </w:r>
      <w:proofErr w:type="spellStart"/>
      <w:r w:rsidRPr="00EB12DF">
        <w:rPr>
          <w:sz w:val="20"/>
          <w:szCs w:val="20"/>
        </w:rPr>
        <w:t>dsGFP</w:t>
      </w:r>
      <w:proofErr w:type="spellEnd"/>
      <w:r w:rsidRPr="00EB12DF">
        <w:rPr>
          <w:sz w:val="20"/>
          <w:szCs w:val="20"/>
        </w:rPr>
        <w:t xml:space="preserve"> treatments. * = p&lt;0.</w:t>
      </w:r>
      <w:r>
        <w:rPr>
          <w:sz w:val="20"/>
          <w:szCs w:val="20"/>
        </w:rPr>
        <w:t>05, ** = p&lt;0.01, *** = p&lt;0.001.</w:t>
      </w:r>
    </w:p>
    <w:p w:rsidR="00362496" w:rsidRDefault="00362496" w:rsidP="00362496"/>
    <w:p w:rsidR="00362496" w:rsidRPr="00DB2492" w:rsidRDefault="00362496">
      <w:pPr>
        <w:rPr>
          <w:sz w:val="20"/>
          <w:szCs w:val="20"/>
        </w:rPr>
      </w:pPr>
      <w:bookmarkStart w:id="0" w:name="_GoBack"/>
      <w:bookmarkEnd w:id="0"/>
    </w:p>
    <w:sectPr w:rsidR="00362496" w:rsidRPr="00DB24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492"/>
    <w:rsid w:val="00362496"/>
    <w:rsid w:val="00DB2492"/>
    <w:rsid w:val="00F8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C3DE68-1C48-4FAB-995D-0EE4F7B3F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2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24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7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EMU</Company>
  <LinksUpToDate>false</LinksUpToDate>
  <CharactersWithSpaces>4608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</dc:creator>
  <cp:keywords/>
  <dc:description/>
  <cp:lastModifiedBy>Selvamanikkam R.</cp:lastModifiedBy>
  <cp:revision>2</cp:revision>
  <dcterms:created xsi:type="dcterms:W3CDTF">2020-02-11T14:51:00Z</dcterms:created>
  <dcterms:modified xsi:type="dcterms:W3CDTF">2020-09-27T04:16:00Z</dcterms:modified>
</cp:coreProperties>
</file>