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3F" w:rsidRDefault="00AE0E88" w:rsidP="00AE0E88">
      <w:pPr>
        <w:pStyle w:val="Heading1"/>
      </w:pPr>
      <w:bookmarkStart w:id="0" w:name="_GoBack"/>
      <w:r>
        <w:t>Supporting information</w:t>
      </w:r>
    </w:p>
    <w:p w:rsidR="00AE0E88" w:rsidRDefault="00AE0E88" w:rsidP="00AE0E88">
      <w:pPr>
        <w:keepNext/>
      </w:pPr>
      <w:r>
        <w:rPr>
          <w:noProof/>
          <w:lang w:val="en-IN" w:eastAsia="en-IN"/>
        </w:rPr>
        <w:drawing>
          <wp:inline distT="0" distB="0" distL="0" distR="0">
            <wp:extent cx="5760720" cy="57607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11-03_A1_JF_effectplots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88" w:rsidRDefault="00AE0E88" w:rsidP="00AE0E88">
      <w:pPr>
        <w:rPr>
          <w:lang w:val="en-US"/>
        </w:rPr>
      </w:pPr>
      <w:r w:rsidRPr="00AE0E88">
        <w:rPr>
          <w:lang w:val="en-US"/>
        </w:rPr>
        <w:t>Figure</w:t>
      </w:r>
      <w:r>
        <w:rPr>
          <w:lang w:val="en-US"/>
        </w:rPr>
        <w:t xml:space="preserve"> SI</w:t>
      </w:r>
      <w:r w:rsidRPr="00AE0E88">
        <w:rPr>
          <w:lang w:val="en-US"/>
        </w:rPr>
        <w:t xml:space="preserve"> </w:t>
      </w:r>
      <w:r>
        <w:fldChar w:fldCharType="begin"/>
      </w:r>
      <w:r w:rsidRPr="00AE0E88">
        <w:rPr>
          <w:lang w:val="en-US"/>
        </w:rPr>
        <w:instrText xml:space="preserve"> SEQ Figure \* ARABIC </w:instrText>
      </w:r>
      <w:r>
        <w:fldChar w:fldCharType="separate"/>
      </w:r>
      <w:r w:rsidRPr="00AE0E88">
        <w:rPr>
          <w:noProof/>
          <w:lang w:val="en-US"/>
        </w:rPr>
        <w:t>1</w:t>
      </w:r>
      <w:r>
        <w:fldChar w:fldCharType="end"/>
      </w:r>
      <w:r w:rsidRPr="00AE0E88">
        <w:rPr>
          <w:lang w:val="en-US"/>
        </w:rPr>
        <w:t xml:space="preserve"> - </w:t>
      </w:r>
      <w:r>
        <w:rPr>
          <w:lang w:val="en-US"/>
        </w:rPr>
        <w:t>Effect plots of the significant predictors of components of the stand structural attributes</w:t>
      </w:r>
      <w:r w:rsidRPr="006A5C1A">
        <w:rPr>
          <w:lang w:val="en-US"/>
        </w:rPr>
        <w:t xml:space="preserve"> based on the results of the generalized additive models (GAMs). The </w:t>
      </w:r>
      <w:r>
        <w:rPr>
          <w:lang w:val="en-US"/>
        </w:rPr>
        <w:t>basal area (</w:t>
      </w:r>
      <w:proofErr w:type="spellStart"/>
      <w:r>
        <w:rPr>
          <w:lang w:val="en-US"/>
        </w:rPr>
        <w:t>ba</w:t>
      </w:r>
      <w:proofErr w:type="spellEnd"/>
      <w:r>
        <w:rPr>
          <w:lang w:val="en-US"/>
        </w:rPr>
        <w:t>)</w:t>
      </w:r>
      <w:r w:rsidRPr="006A5C1A">
        <w:rPr>
          <w:lang w:val="en-US"/>
        </w:rPr>
        <w:t xml:space="preserve"> was significantly predicted by </w:t>
      </w:r>
      <w:r>
        <w:rPr>
          <w:lang w:val="en-US"/>
        </w:rPr>
        <w:t>all components of and the forest management intensity index itself</w:t>
      </w:r>
      <w:r w:rsidRPr="006A5C1A">
        <w:rPr>
          <w:lang w:val="en-US"/>
        </w:rPr>
        <w:t xml:space="preserve">. The </w:t>
      </w:r>
      <w:r>
        <w:rPr>
          <w:lang w:val="en-US"/>
        </w:rPr>
        <w:t>Gini coefficient of the DBH (</w:t>
      </w:r>
      <w:proofErr w:type="spellStart"/>
      <w:r>
        <w:rPr>
          <w:lang w:val="en-US"/>
        </w:rPr>
        <w:t>gini_dbh</w:t>
      </w:r>
      <w:proofErr w:type="spellEnd"/>
      <w:r>
        <w:rPr>
          <w:lang w:val="en-US"/>
        </w:rPr>
        <w:t>)</w:t>
      </w:r>
      <w:r w:rsidRPr="006A5C1A">
        <w:rPr>
          <w:lang w:val="en-US"/>
        </w:rPr>
        <w:t xml:space="preserve"> was predicted by </w:t>
      </w:r>
      <w:r>
        <w:rPr>
          <w:lang w:val="en-US"/>
        </w:rPr>
        <w:t xml:space="preserve">the </w:t>
      </w:r>
      <w:proofErr w:type="spellStart"/>
      <w:r>
        <w:rPr>
          <w:lang w:val="en-US"/>
        </w:rPr>
        <w:t>Inonat</w:t>
      </w:r>
      <w:proofErr w:type="spellEnd"/>
      <w:r>
        <w:rPr>
          <w:lang w:val="en-US"/>
        </w:rPr>
        <w:t xml:space="preserve"> and</w:t>
      </w:r>
      <w:r w:rsidRPr="006A5C1A">
        <w:rPr>
          <w:lang w:val="en-US"/>
        </w:rPr>
        <w:t xml:space="preserve"> the </w:t>
      </w:r>
      <w:proofErr w:type="spellStart"/>
      <w:r w:rsidRPr="006A5C1A">
        <w:rPr>
          <w:lang w:val="en-US"/>
        </w:rPr>
        <w:t>ForM</w:t>
      </w:r>
      <w:r>
        <w:rPr>
          <w:lang w:val="en-US"/>
        </w:rPr>
        <w:t>I</w:t>
      </w:r>
      <w:proofErr w:type="spellEnd"/>
      <w:r w:rsidRPr="006A5C1A">
        <w:rPr>
          <w:lang w:val="en-US"/>
        </w:rPr>
        <w:t xml:space="preserve">, while the </w:t>
      </w:r>
      <w:r>
        <w:rPr>
          <w:lang w:val="en-US"/>
        </w:rPr>
        <w:t>number of tree species</w:t>
      </w:r>
      <w:r w:rsidRPr="006A5C1A">
        <w:rPr>
          <w:lang w:val="en-US"/>
        </w:rPr>
        <w:t xml:space="preserve"> was predicted by </w:t>
      </w:r>
      <w:r>
        <w:rPr>
          <w:lang w:val="en-US"/>
        </w:rPr>
        <w:t xml:space="preserve">the </w:t>
      </w:r>
      <w:proofErr w:type="spellStart"/>
      <w:r>
        <w:rPr>
          <w:lang w:val="en-US"/>
        </w:rPr>
        <w:t>Inonat</w:t>
      </w:r>
      <w:proofErr w:type="spellEnd"/>
      <w:r w:rsidRPr="006A5C1A">
        <w:rPr>
          <w:lang w:val="en-US"/>
        </w:rPr>
        <w:t xml:space="preserve">. </w:t>
      </w:r>
      <w:r>
        <w:rPr>
          <w:lang w:val="en-US"/>
        </w:rPr>
        <w:t>The quadratic mean DBH (</w:t>
      </w:r>
      <w:proofErr w:type="spellStart"/>
      <w:r>
        <w:rPr>
          <w:lang w:val="en-US"/>
        </w:rPr>
        <w:t>aq_dbh</w:t>
      </w:r>
      <w:proofErr w:type="spellEnd"/>
      <w:r>
        <w:rPr>
          <w:lang w:val="en-US"/>
        </w:rPr>
        <w:t xml:space="preserve">) was predicted by the </w:t>
      </w:r>
      <w:proofErr w:type="spellStart"/>
      <w:r>
        <w:rPr>
          <w:lang w:val="en-US"/>
        </w:rPr>
        <w:t>Iharv</w:t>
      </w:r>
      <w:proofErr w:type="spellEnd"/>
      <w:r>
        <w:rPr>
          <w:lang w:val="en-US"/>
        </w:rPr>
        <w:t xml:space="preserve"> and the </w:t>
      </w:r>
      <w:proofErr w:type="spellStart"/>
      <w:r>
        <w:rPr>
          <w:lang w:val="en-US"/>
        </w:rPr>
        <w:lastRenderedPageBreak/>
        <w:t>Inonat</w:t>
      </w:r>
      <w:proofErr w:type="spellEnd"/>
      <w:r>
        <w:rPr>
          <w:lang w:val="en-US"/>
        </w:rPr>
        <w:t xml:space="preserve">. </w:t>
      </w:r>
      <w:r w:rsidRPr="006A5C1A">
        <w:rPr>
          <w:lang w:val="en-US"/>
        </w:rPr>
        <w:t>The greater the index values of the ForMI components, the greater the management intensity. The light-grey band</w:t>
      </w:r>
      <w:r>
        <w:rPr>
          <w:lang w:val="en-US"/>
        </w:rPr>
        <w:t xml:space="preserve"> indicates the 95% confidence interval. The rug plot at the bottom displays the observed values of the predictor.</w:t>
      </w:r>
    </w:p>
    <w:p w:rsidR="00AE0E88" w:rsidRPr="00AE0E88" w:rsidRDefault="00AE0E88" w:rsidP="00AE0E88">
      <w:pPr>
        <w:pStyle w:val="Caption"/>
        <w:jc w:val="both"/>
        <w:rPr>
          <w:lang w:val="en-US"/>
        </w:rPr>
      </w:pPr>
    </w:p>
    <w:bookmarkEnd w:id="0"/>
    <w:p w:rsidR="00AE0E88" w:rsidRPr="00AE0E88" w:rsidRDefault="00AE0E88">
      <w:pPr>
        <w:rPr>
          <w:lang w:val="en-US"/>
        </w:rPr>
      </w:pPr>
    </w:p>
    <w:sectPr w:rsidR="00AE0E88" w:rsidRPr="00AE0E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88"/>
    <w:rsid w:val="00100EB0"/>
    <w:rsid w:val="002878B5"/>
    <w:rsid w:val="00AE0E88"/>
    <w:rsid w:val="00B5620E"/>
    <w:rsid w:val="00D23E12"/>
    <w:rsid w:val="00D367F1"/>
    <w:rsid w:val="00E14508"/>
    <w:rsid w:val="00F1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438FE-92CA-4E71-9B7C-26342AB0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B"/>
    <w:qFormat/>
    <w:rsid w:val="00AE0E88"/>
    <w:pPr>
      <w:spacing w:before="240" w:after="240" w:line="48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E88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E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E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E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E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E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E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E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BodyText"/>
    <w:qFormat/>
    <w:rsid w:val="00AE0E88"/>
    <w:pPr>
      <w:spacing w:before="36" w:after="36" w:line="240" w:lineRule="auto"/>
      <w:jc w:val="left"/>
    </w:pPr>
    <w:rPr>
      <w:rFonts w:asciiTheme="minorHAnsi" w:eastAsiaTheme="minorHAnsi" w:hAnsiTheme="minorHAnsi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E0E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0E88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E0E88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E88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E88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E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E8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E88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E8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E8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E8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next w:val="Normal"/>
    <w:uiPriority w:val="35"/>
    <w:unhideWhenUsed/>
    <w:qFormat/>
    <w:rsid w:val="00AE0E88"/>
    <w:pPr>
      <w:spacing w:after="200" w:line="240" w:lineRule="auto"/>
    </w:pPr>
    <w:rPr>
      <w:rFonts w:ascii="Arial" w:hAnsi="Arial"/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E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E8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E88"/>
    <w:pPr>
      <w:numPr>
        <w:ilvl w:val="1"/>
      </w:numPr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E88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E0E88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E0E88"/>
    <w:rPr>
      <w:i/>
      <w:iCs/>
      <w:color w:val="auto"/>
    </w:rPr>
  </w:style>
  <w:style w:type="paragraph" w:styleId="NoSpacing">
    <w:name w:val="No Spacing"/>
    <w:uiPriority w:val="1"/>
    <w:qFormat/>
    <w:rsid w:val="00AE0E88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AE0E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0E88"/>
    <w:pPr>
      <w:spacing w:before="200"/>
      <w:ind w:left="864" w:right="864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AE0E8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E8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E88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E0E8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0E8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E0E8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E0E88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E0E8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E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F01D7-4605-4B64-B601-31FAFBF3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672</Characters>
  <Application>Microsoft Office Word</Application>
  <DocSecurity>0</DocSecurity>
  <Lines>5</Lines>
  <Paragraphs>1</Paragraphs>
  <ScaleCrop>false</ScaleCrop>
  <Company>-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Asbeck, Thomas</dc:creator>
  <cp:keywords/>
  <dc:description/>
  <cp:lastModifiedBy>Caroline Rubince G.</cp:lastModifiedBy>
  <cp:revision>2</cp:revision>
  <dcterms:created xsi:type="dcterms:W3CDTF">2020-12-01T08:59:00Z</dcterms:created>
  <dcterms:modified xsi:type="dcterms:W3CDTF">2021-02-02T17:00:00Z</dcterms:modified>
</cp:coreProperties>
</file>