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680F" w14:textId="49F63AE6" w:rsidR="00DA2EFC" w:rsidRDefault="00DA2EFC" w:rsidP="00DA2EFC">
      <w:pPr>
        <w:jc w:val="center"/>
        <w:rPr>
          <w:b/>
          <w:sz w:val="28"/>
          <w:lang w:val="en-GB"/>
        </w:rPr>
      </w:pPr>
      <w:r>
        <w:rPr>
          <w:b/>
          <w:sz w:val="28"/>
          <w:lang w:val="en-GB"/>
        </w:rPr>
        <w:t>SUPPLEMETARY MATERIAL</w:t>
      </w:r>
    </w:p>
    <w:p w14:paraId="2C8B9232" w14:textId="53CAED05" w:rsidR="00CB23EE" w:rsidRDefault="00CB23EE" w:rsidP="00CB23EE">
      <w:pPr>
        <w:jc w:val="center"/>
        <w:rPr>
          <w:b/>
          <w:sz w:val="28"/>
          <w:lang w:val="en-GB"/>
        </w:rPr>
      </w:pPr>
      <w:bookmarkStart w:id="0" w:name="_Hlk103108947"/>
      <w:r>
        <w:rPr>
          <w:b/>
          <w:sz w:val="28"/>
          <w:lang w:val="en-GB"/>
        </w:rPr>
        <w:t xml:space="preserve">Early-succession secondary forests </w:t>
      </w:r>
      <w:bookmarkEnd w:id="0"/>
      <w:r>
        <w:rPr>
          <w:b/>
          <w:sz w:val="28"/>
          <w:lang w:val="en-GB"/>
        </w:rPr>
        <w:t xml:space="preserve">following </w:t>
      </w:r>
      <w:r w:rsidR="00A5622F">
        <w:rPr>
          <w:b/>
          <w:sz w:val="28"/>
          <w:lang w:val="en-GB"/>
        </w:rPr>
        <w:t>agro</w:t>
      </w:r>
      <w:r>
        <w:rPr>
          <w:b/>
          <w:sz w:val="28"/>
          <w:lang w:val="en-GB"/>
        </w:rPr>
        <w:t>pastoral abandonment are key winter habitats for the conservation of a priority bird in the European Alps</w:t>
      </w:r>
    </w:p>
    <w:p w14:paraId="65C798DB" w14:textId="77777777" w:rsidR="00DA2EFC" w:rsidRPr="007F5210" w:rsidRDefault="00DA2EFC" w:rsidP="00DA2EFC">
      <w:pPr>
        <w:jc w:val="center"/>
        <w:rPr>
          <w:sz w:val="28"/>
          <w:szCs w:val="56"/>
          <w:lang w:val="en-US"/>
        </w:rPr>
      </w:pPr>
      <w:r>
        <w:rPr>
          <w:sz w:val="28"/>
          <w:szCs w:val="56"/>
          <w:lang w:val="en-US"/>
        </w:rPr>
        <w:t xml:space="preserve">Submitted to </w:t>
      </w:r>
      <w:r w:rsidRPr="0099357B">
        <w:rPr>
          <w:i/>
          <w:iCs/>
          <w:sz w:val="28"/>
          <w:szCs w:val="56"/>
          <w:lang w:val="en-US"/>
        </w:rPr>
        <w:t>European Journal of Forest Researc</w:t>
      </w:r>
      <w:r>
        <w:rPr>
          <w:i/>
          <w:iCs/>
          <w:sz w:val="28"/>
          <w:szCs w:val="56"/>
          <w:lang w:val="en-US"/>
        </w:rPr>
        <w:t>h</w:t>
      </w:r>
    </w:p>
    <w:p w14:paraId="37D03C94" w14:textId="77777777" w:rsidR="00DA2EFC" w:rsidRPr="007F5210" w:rsidRDefault="00DA2EFC" w:rsidP="00DA2EFC">
      <w:pPr>
        <w:rPr>
          <w:sz w:val="28"/>
          <w:szCs w:val="56"/>
          <w:lang w:val="en-US"/>
        </w:rPr>
      </w:pPr>
    </w:p>
    <w:p w14:paraId="4AB0CB83" w14:textId="77777777" w:rsidR="00DA2EFC" w:rsidRDefault="00DA2EFC" w:rsidP="00DA2EFC">
      <w:pPr>
        <w:rPr>
          <w:sz w:val="28"/>
          <w:szCs w:val="56"/>
        </w:rPr>
      </w:pPr>
      <w:r>
        <w:rPr>
          <w:sz w:val="28"/>
          <w:szCs w:val="56"/>
        </w:rPr>
        <w:t>Scridel, D.</w:t>
      </w:r>
      <w:r>
        <w:rPr>
          <w:sz w:val="28"/>
          <w:szCs w:val="56"/>
          <w:vertAlign w:val="superscript"/>
        </w:rPr>
        <w:t>1,2,3*</w:t>
      </w:r>
      <w:r>
        <w:rPr>
          <w:sz w:val="28"/>
          <w:szCs w:val="56"/>
        </w:rPr>
        <w:t xml:space="preserve">, </w:t>
      </w:r>
      <w:proofErr w:type="spellStart"/>
      <w:r>
        <w:rPr>
          <w:sz w:val="28"/>
          <w:szCs w:val="56"/>
        </w:rPr>
        <w:t>Tenan</w:t>
      </w:r>
      <w:proofErr w:type="spellEnd"/>
      <w:r>
        <w:rPr>
          <w:sz w:val="28"/>
          <w:szCs w:val="56"/>
        </w:rPr>
        <w:t>, S.</w:t>
      </w:r>
      <w:r>
        <w:rPr>
          <w:sz w:val="28"/>
          <w:szCs w:val="56"/>
          <w:vertAlign w:val="superscript"/>
        </w:rPr>
        <w:t xml:space="preserve"> 1,4</w:t>
      </w:r>
      <w:r>
        <w:rPr>
          <w:sz w:val="28"/>
          <w:szCs w:val="56"/>
        </w:rPr>
        <w:t>,</w:t>
      </w:r>
      <w:r>
        <w:rPr>
          <w:sz w:val="28"/>
          <w:szCs w:val="56"/>
          <w:vertAlign w:val="superscript"/>
        </w:rPr>
        <w:t xml:space="preserve"> </w:t>
      </w:r>
      <w:r>
        <w:rPr>
          <w:sz w:val="28"/>
          <w:szCs w:val="56"/>
        </w:rPr>
        <w:t>Brambilla, M.</w:t>
      </w:r>
      <w:r>
        <w:rPr>
          <w:sz w:val="28"/>
          <w:szCs w:val="56"/>
          <w:vertAlign w:val="superscript"/>
        </w:rPr>
        <w:t>1,5</w:t>
      </w:r>
      <w:r>
        <w:rPr>
          <w:sz w:val="28"/>
          <w:szCs w:val="56"/>
        </w:rPr>
        <w:t xml:space="preserve">, </w:t>
      </w:r>
      <w:proofErr w:type="spellStart"/>
      <w:r>
        <w:rPr>
          <w:sz w:val="28"/>
          <w:szCs w:val="56"/>
        </w:rPr>
        <w:t>Celva</w:t>
      </w:r>
      <w:proofErr w:type="spellEnd"/>
      <w:r>
        <w:rPr>
          <w:sz w:val="28"/>
          <w:szCs w:val="56"/>
        </w:rPr>
        <w:t xml:space="preserve">, R. </w:t>
      </w:r>
      <w:r>
        <w:rPr>
          <w:sz w:val="28"/>
          <w:szCs w:val="56"/>
          <w:vertAlign w:val="superscript"/>
        </w:rPr>
        <w:t>2,8</w:t>
      </w:r>
      <w:r>
        <w:rPr>
          <w:sz w:val="28"/>
          <w:szCs w:val="56"/>
        </w:rPr>
        <w:t xml:space="preserve">, Forti, A. </w:t>
      </w:r>
      <w:r>
        <w:rPr>
          <w:sz w:val="28"/>
          <w:szCs w:val="56"/>
          <w:vertAlign w:val="superscript"/>
        </w:rPr>
        <w:t>1,2</w:t>
      </w:r>
      <w:r>
        <w:rPr>
          <w:sz w:val="28"/>
          <w:szCs w:val="56"/>
        </w:rPr>
        <w:t>, Fracasso, I.</w:t>
      </w:r>
      <w:r>
        <w:rPr>
          <w:sz w:val="28"/>
          <w:szCs w:val="56"/>
          <w:vertAlign w:val="superscript"/>
        </w:rPr>
        <w:t>9,11</w:t>
      </w:r>
      <w:r>
        <w:rPr>
          <w:sz w:val="28"/>
          <w:szCs w:val="56"/>
        </w:rPr>
        <w:t>, Volcan, G.</w:t>
      </w:r>
      <w:r>
        <w:rPr>
          <w:sz w:val="28"/>
          <w:szCs w:val="56"/>
          <w:vertAlign w:val="superscript"/>
        </w:rPr>
        <w:t>2</w:t>
      </w:r>
      <w:r>
        <w:rPr>
          <w:sz w:val="28"/>
          <w:szCs w:val="56"/>
        </w:rPr>
        <w:t>, Dorigatti, E.</w:t>
      </w:r>
      <w:r>
        <w:rPr>
          <w:sz w:val="28"/>
          <w:szCs w:val="56"/>
          <w:vertAlign w:val="superscript"/>
        </w:rPr>
        <w:t>2</w:t>
      </w:r>
      <w:r>
        <w:rPr>
          <w:sz w:val="28"/>
          <w:szCs w:val="56"/>
        </w:rPr>
        <w:t xml:space="preserve">, </w:t>
      </w:r>
      <w:proofErr w:type="spellStart"/>
      <w:r>
        <w:rPr>
          <w:sz w:val="28"/>
          <w:szCs w:val="56"/>
        </w:rPr>
        <w:t>Anderle</w:t>
      </w:r>
      <w:proofErr w:type="spellEnd"/>
      <w:r>
        <w:rPr>
          <w:sz w:val="28"/>
          <w:szCs w:val="56"/>
        </w:rPr>
        <w:t>, M.</w:t>
      </w:r>
      <w:r>
        <w:rPr>
          <w:sz w:val="28"/>
          <w:szCs w:val="56"/>
          <w:vertAlign w:val="superscript"/>
        </w:rPr>
        <w:t xml:space="preserve"> 1,6,7</w:t>
      </w:r>
      <w:r>
        <w:rPr>
          <w:sz w:val="28"/>
          <w:szCs w:val="56"/>
        </w:rPr>
        <w:t>, Marchesini, A.</w:t>
      </w:r>
      <w:r>
        <w:rPr>
          <w:sz w:val="28"/>
          <w:szCs w:val="56"/>
          <w:vertAlign w:val="superscript"/>
        </w:rPr>
        <w:t>9,10</w:t>
      </w:r>
      <w:r>
        <w:rPr>
          <w:sz w:val="28"/>
          <w:szCs w:val="56"/>
        </w:rPr>
        <w:t>,</w:t>
      </w:r>
      <w:r>
        <w:rPr>
          <w:sz w:val="28"/>
          <w:szCs w:val="56"/>
          <w:vertAlign w:val="superscript"/>
        </w:rPr>
        <w:t xml:space="preserve"> </w:t>
      </w:r>
      <w:proofErr w:type="spellStart"/>
      <w:r>
        <w:rPr>
          <w:sz w:val="28"/>
          <w:szCs w:val="56"/>
        </w:rPr>
        <w:t>Crestanello</w:t>
      </w:r>
      <w:proofErr w:type="spellEnd"/>
      <w:r>
        <w:rPr>
          <w:sz w:val="28"/>
          <w:szCs w:val="56"/>
        </w:rPr>
        <w:t>, B.</w:t>
      </w:r>
      <w:r>
        <w:rPr>
          <w:sz w:val="28"/>
          <w:szCs w:val="56"/>
          <w:vertAlign w:val="superscript"/>
        </w:rPr>
        <w:t>8</w:t>
      </w:r>
      <w:r>
        <w:rPr>
          <w:sz w:val="28"/>
          <w:szCs w:val="56"/>
        </w:rPr>
        <w:t>, Vernesi, C.</w:t>
      </w:r>
      <w:r>
        <w:rPr>
          <w:sz w:val="28"/>
          <w:szCs w:val="56"/>
          <w:vertAlign w:val="superscript"/>
        </w:rPr>
        <w:t>9</w:t>
      </w:r>
      <w:r>
        <w:rPr>
          <w:sz w:val="28"/>
          <w:szCs w:val="56"/>
        </w:rPr>
        <w:t>, Pedrini, P.</w:t>
      </w:r>
      <w:r>
        <w:rPr>
          <w:sz w:val="28"/>
          <w:szCs w:val="56"/>
          <w:vertAlign w:val="superscript"/>
        </w:rPr>
        <w:t>1</w:t>
      </w:r>
      <w:r>
        <w:rPr>
          <w:sz w:val="28"/>
          <w:szCs w:val="56"/>
        </w:rPr>
        <w:t>, Partel, P.</w:t>
      </w:r>
      <w:r>
        <w:rPr>
          <w:sz w:val="28"/>
          <w:szCs w:val="56"/>
          <w:vertAlign w:val="superscript"/>
        </w:rPr>
        <w:t>2</w:t>
      </w:r>
    </w:p>
    <w:p w14:paraId="7B7C40F2" w14:textId="77777777" w:rsidR="00DA2EFC" w:rsidRDefault="00DA2EFC" w:rsidP="00DA2EFC">
      <w:pPr>
        <w:rPr>
          <w:sz w:val="14"/>
        </w:rPr>
      </w:pPr>
    </w:p>
    <w:p w14:paraId="68D47461" w14:textId="77777777" w:rsidR="00DA2EFC" w:rsidRDefault="00DA2EFC" w:rsidP="00DA2EFC">
      <w:pPr>
        <w:jc w:val="both"/>
        <w:rPr>
          <w:sz w:val="20"/>
          <w:szCs w:val="32"/>
        </w:rPr>
      </w:pPr>
      <w:r>
        <w:rPr>
          <w:sz w:val="20"/>
          <w:szCs w:val="32"/>
          <w:vertAlign w:val="superscript"/>
        </w:rPr>
        <w:t xml:space="preserve">1 </w:t>
      </w:r>
      <w:r>
        <w:rPr>
          <w:sz w:val="20"/>
          <w:szCs w:val="32"/>
        </w:rPr>
        <w:t xml:space="preserve">Museo delle Scienze di Trento (MUSE), Sezione Zoologia dei Vertebrati, I-38123 Trento, </w:t>
      </w:r>
      <w:proofErr w:type="spellStart"/>
      <w:r>
        <w:rPr>
          <w:sz w:val="20"/>
          <w:szCs w:val="32"/>
        </w:rPr>
        <w:t>Italy</w:t>
      </w:r>
      <w:proofErr w:type="spellEnd"/>
      <w:r>
        <w:rPr>
          <w:sz w:val="20"/>
          <w:szCs w:val="32"/>
        </w:rPr>
        <w:t xml:space="preserve">. * </w:t>
      </w:r>
      <w:proofErr w:type="spellStart"/>
      <w:r>
        <w:rPr>
          <w:sz w:val="20"/>
          <w:szCs w:val="32"/>
        </w:rPr>
        <w:t>Correseponding</w:t>
      </w:r>
      <w:proofErr w:type="spellEnd"/>
      <w:r>
        <w:rPr>
          <w:sz w:val="20"/>
          <w:szCs w:val="32"/>
        </w:rPr>
        <w:t xml:space="preserve"> </w:t>
      </w:r>
      <w:proofErr w:type="spellStart"/>
      <w:r>
        <w:rPr>
          <w:sz w:val="20"/>
          <w:szCs w:val="32"/>
        </w:rPr>
        <w:t>author</w:t>
      </w:r>
      <w:proofErr w:type="spellEnd"/>
      <w:r>
        <w:rPr>
          <w:sz w:val="20"/>
          <w:szCs w:val="32"/>
        </w:rPr>
        <w:t xml:space="preserve"> e-mail: dscridel@gmail.com</w:t>
      </w:r>
    </w:p>
    <w:p w14:paraId="39819FCE" w14:textId="77777777" w:rsidR="00DA2EFC" w:rsidRDefault="00DA2EFC" w:rsidP="00DA2EFC">
      <w:pPr>
        <w:jc w:val="both"/>
        <w:rPr>
          <w:sz w:val="20"/>
          <w:szCs w:val="32"/>
        </w:rPr>
      </w:pPr>
      <w:r>
        <w:rPr>
          <w:sz w:val="20"/>
          <w:szCs w:val="32"/>
          <w:vertAlign w:val="superscript"/>
        </w:rPr>
        <w:t xml:space="preserve">2 </w:t>
      </w:r>
      <w:r>
        <w:rPr>
          <w:sz w:val="20"/>
          <w:szCs w:val="32"/>
        </w:rPr>
        <w:t xml:space="preserve">Ente Parco Naturale </w:t>
      </w:r>
      <w:proofErr w:type="spellStart"/>
      <w:r>
        <w:rPr>
          <w:sz w:val="20"/>
          <w:szCs w:val="32"/>
        </w:rPr>
        <w:t>Paneveggio</w:t>
      </w:r>
      <w:proofErr w:type="spellEnd"/>
      <w:r>
        <w:rPr>
          <w:sz w:val="20"/>
          <w:szCs w:val="32"/>
        </w:rPr>
        <w:t xml:space="preserve">-Pale di San Martino, I-38054 Primiero di San Martino di Castrozza (Trento), </w:t>
      </w:r>
      <w:proofErr w:type="spellStart"/>
      <w:r>
        <w:rPr>
          <w:sz w:val="20"/>
          <w:szCs w:val="32"/>
        </w:rPr>
        <w:t>Italy</w:t>
      </w:r>
      <w:proofErr w:type="spellEnd"/>
      <w:r>
        <w:rPr>
          <w:sz w:val="20"/>
          <w:szCs w:val="32"/>
        </w:rPr>
        <w:t>.</w:t>
      </w:r>
    </w:p>
    <w:p w14:paraId="3CDC7143" w14:textId="23C528BF" w:rsidR="00DA2EFC" w:rsidRDefault="00DA2EFC" w:rsidP="00DA2EFC">
      <w:pPr>
        <w:jc w:val="both"/>
        <w:rPr>
          <w:sz w:val="20"/>
          <w:szCs w:val="32"/>
        </w:rPr>
      </w:pPr>
      <w:r w:rsidRPr="001765A4">
        <w:rPr>
          <w:sz w:val="20"/>
          <w:szCs w:val="32"/>
          <w:vertAlign w:val="superscript"/>
          <w:lang w:val="en-US"/>
        </w:rPr>
        <w:t xml:space="preserve">3 </w:t>
      </w:r>
      <w:r w:rsidR="001765A4" w:rsidRPr="00607C3D">
        <w:rPr>
          <w:sz w:val="20"/>
          <w:szCs w:val="32"/>
          <w:lang w:val="en-US"/>
        </w:rPr>
        <w:t xml:space="preserve">CNR-IRSA National Research Council-Water Research Institute. </w:t>
      </w:r>
      <w:r w:rsidR="001765A4" w:rsidRPr="0019248E">
        <w:rPr>
          <w:sz w:val="20"/>
          <w:szCs w:val="32"/>
        </w:rPr>
        <w:t>Via del Mulino 19, 20861 Brugherio (MB)</w:t>
      </w:r>
      <w:r w:rsidR="001765A4">
        <w:rPr>
          <w:sz w:val="20"/>
          <w:szCs w:val="32"/>
        </w:rPr>
        <w:t xml:space="preserve">, </w:t>
      </w:r>
      <w:proofErr w:type="spellStart"/>
      <w:r w:rsidR="001765A4">
        <w:rPr>
          <w:sz w:val="20"/>
          <w:szCs w:val="32"/>
        </w:rPr>
        <w:t>Italy</w:t>
      </w:r>
      <w:proofErr w:type="spellEnd"/>
      <w:r w:rsidR="001765A4">
        <w:rPr>
          <w:sz w:val="20"/>
          <w:szCs w:val="32"/>
        </w:rPr>
        <w:t>.</w:t>
      </w:r>
    </w:p>
    <w:p w14:paraId="6FF1DF7E" w14:textId="77777777" w:rsidR="00DA2EFC" w:rsidRDefault="00DA2EFC" w:rsidP="00DA2EFC">
      <w:pPr>
        <w:jc w:val="both"/>
        <w:rPr>
          <w:sz w:val="20"/>
          <w:szCs w:val="32"/>
          <w:lang w:val="en-US"/>
        </w:rPr>
      </w:pPr>
      <w:r>
        <w:rPr>
          <w:sz w:val="20"/>
          <w:szCs w:val="32"/>
          <w:vertAlign w:val="superscript"/>
          <w:lang w:val="en-US"/>
        </w:rPr>
        <w:t xml:space="preserve">4 </w:t>
      </w:r>
      <w:r>
        <w:rPr>
          <w:sz w:val="20"/>
          <w:szCs w:val="32"/>
          <w:lang w:val="en-US"/>
        </w:rPr>
        <w:t>Institute of Marine Sciences (CNR-ISMAR), National Research Council, I-</w:t>
      </w:r>
      <w:r>
        <w:rPr>
          <w:lang w:val="en-US"/>
        </w:rPr>
        <w:t xml:space="preserve"> </w:t>
      </w:r>
      <w:r>
        <w:rPr>
          <w:sz w:val="20"/>
          <w:szCs w:val="32"/>
          <w:lang w:val="en-US"/>
        </w:rPr>
        <w:t>30122 Venezia, Italy.</w:t>
      </w:r>
    </w:p>
    <w:p w14:paraId="2D17E1E8" w14:textId="77777777" w:rsidR="00DA2EFC" w:rsidRDefault="00DA2EFC" w:rsidP="00DA2EFC">
      <w:pPr>
        <w:jc w:val="both"/>
        <w:rPr>
          <w:sz w:val="20"/>
          <w:szCs w:val="32"/>
        </w:rPr>
      </w:pPr>
      <w:r>
        <w:rPr>
          <w:sz w:val="20"/>
          <w:szCs w:val="32"/>
          <w:vertAlign w:val="superscript"/>
        </w:rPr>
        <w:t>5</w:t>
      </w:r>
      <w:r>
        <w:rPr>
          <w:sz w:val="20"/>
          <w:szCs w:val="32"/>
        </w:rPr>
        <w:t xml:space="preserve"> Dipartimento di Scienze e Politiche Ambientali, Università degli Studi di Milano, I-20133 Milano, </w:t>
      </w:r>
      <w:proofErr w:type="spellStart"/>
      <w:r>
        <w:rPr>
          <w:sz w:val="20"/>
          <w:szCs w:val="32"/>
        </w:rPr>
        <w:t>Italy</w:t>
      </w:r>
      <w:proofErr w:type="spellEnd"/>
      <w:r>
        <w:rPr>
          <w:sz w:val="20"/>
          <w:szCs w:val="32"/>
        </w:rPr>
        <w:t>.</w:t>
      </w:r>
    </w:p>
    <w:p w14:paraId="084241F3" w14:textId="77777777" w:rsidR="00DA2EFC" w:rsidRDefault="00DA2EFC" w:rsidP="00DA2EFC">
      <w:pPr>
        <w:jc w:val="both"/>
        <w:rPr>
          <w:sz w:val="20"/>
          <w:szCs w:val="32"/>
          <w:lang w:val="en-US"/>
        </w:rPr>
      </w:pPr>
      <w:r>
        <w:rPr>
          <w:sz w:val="20"/>
          <w:szCs w:val="32"/>
          <w:vertAlign w:val="superscript"/>
          <w:lang w:val="en-US"/>
        </w:rPr>
        <w:t>6</w:t>
      </w:r>
      <w:r>
        <w:rPr>
          <w:sz w:val="20"/>
          <w:szCs w:val="32"/>
          <w:lang w:val="en-US"/>
        </w:rPr>
        <w:t xml:space="preserve"> Institute for Alpine Environment, </w:t>
      </w:r>
      <w:proofErr w:type="spellStart"/>
      <w:r>
        <w:rPr>
          <w:sz w:val="20"/>
          <w:szCs w:val="32"/>
          <w:lang w:val="en-US"/>
        </w:rPr>
        <w:t>Eurac</w:t>
      </w:r>
      <w:proofErr w:type="spellEnd"/>
      <w:r>
        <w:rPr>
          <w:sz w:val="20"/>
          <w:szCs w:val="32"/>
          <w:lang w:val="en-US"/>
        </w:rPr>
        <w:t xml:space="preserve"> Research, </w:t>
      </w:r>
      <w:proofErr w:type="spellStart"/>
      <w:r>
        <w:rPr>
          <w:sz w:val="20"/>
          <w:szCs w:val="32"/>
          <w:lang w:val="en-US"/>
        </w:rPr>
        <w:t>Drususallee</w:t>
      </w:r>
      <w:proofErr w:type="spellEnd"/>
      <w:r>
        <w:rPr>
          <w:sz w:val="20"/>
          <w:szCs w:val="32"/>
          <w:lang w:val="en-US"/>
        </w:rPr>
        <w:t>/</w:t>
      </w:r>
      <w:proofErr w:type="spellStart"/>
      <w:r>
        <w:rPr>
          <w:sz w:val="20"/>
          <w:szCs w:val="32"/>
          <w:lang w:val="en-US"/>
        </w:rPr>
        <w:t>Viale</w:t>
      </w:r>
      <w:proofErr w:type="spellEnd"/>
      <w:r>
        <w:rPr>
          <w:sz w:val="20"/>
          <w:szCs w:val="32"/>
          <w:lang w:val="en-US"/>
        </w:rPr>
        <w:t xml:space="preserve"> </w:t>
      </w:r>
      <w:proofErr w:type="spellStart"/>
      <w:r>
        <w:rPr>
          <w:sz w:val="20"/>
          <w:szCs w:val="32"/>
          <w:lang w:val="en-US"/>
        </w:rPr>
        <w:t>Druso</w:t>
      </w:r>
      <w:proofErr w:type="spellEnd"/>
      <w:r>
        <w:rPr>
          <w:sz w:val="20"/>
          <w:szCs w:val="32"/>
          <w:lang w:val="en-US"/>
        </w:rPr>
        <w:t xml:space="preserve"> 1, I-39100 Bolzano/</w:t>
      </w:r>
      <w:proofErr w:type="spellStart"/>
      <w:r>
        <w:rPr>
          <w:sz w:val="20"/>
          <w:szCs w:val="32"/>
          <w:lang w:val="en-US"/>
        </w:rPr>
        <w:t>Bozen</w:t>
      </w:r>
      <w:proofErr w:type="spellEnd"/>
      <w:r>
        <w:rPr>
          <w:sz w:val="20"/>
          <w:szCs w:val="32"/>
          <w:lang w:val="en-US"/>
        </w:rPr>
        <w:t>, Italy.</w:t>
      </w:r>
    </w:p>
    <w:p w14:paraId="70E8B162" w14:textId="77777777" w:rsidR="00DA2EFC" w:rsidRDefault="00DA2EFC" w:rsidP="00DA2EFC">
      <w:pPr>
        <w:jc w:val="both"/>
        <w:rPr>
          <w:sz w:val="20"/>
          <w:szCs w:val="32"/>
          <w:vertAlign w:val="superscript"/>
          <w:lang w:val="en-US"/>
        </w:rPr>
      </w:pPr>
      <w:r>
        <w:rPr>
          <w:sz w:val="20"/>
          <w:szCs w:val="32"/>
          <w:vertAlign w:val="superscript"/>
          <w:lang w:val="en-US"/>
        </w:rPr>
        <w:t xml:space="preserve">7 </w:t>
      </w:r>
      <w:r>
        <w:rPr>
          <w:sz w:val="20"/>
          <w:szCs w:val="32"/>
          <w:lang w:val="en-US"/>
        </w:rPr>
        <w:t xml:space="preserve">Department of Ecology, University of Innsbruck, </w:t>
      </w:r>
      <w:proofErr w:type="spellStart"/>
      <w:r>
        <w:rPr>
          <w:sz w:val="20"/>
          <w:szCs w:val="32"/>
          <w:lang w:val="en-US"/>
        </w:rPr>
        <w:t>Sternwartestrasse</w:t>
      </w:r>
      <w:proofErr w:type="spellEnd"/>
      <w:r>
        <w:rPr>
          <w:sz w:val="20"/>
          <w:szCs w:val="32"/>
          <w:lang w:val="en-US"/>
        </w:rPr>
        <w:t xml:space="preserve"> 15/</w:t>
      </w:r>
      <w:proofErr w:type="spellStart"/>
      <w:r>
        <w:rPr>
          <w:sz w:val="20"/>
          <w:szCs w:val="32"/>
          <w:lang w:val="en-US"/>
        </w:rPr>
        <w:t>Technikerstrasse</w:t>
      </w:r>
      <w:proofErr w:type="spellEnd"/>
      <w:r>
        <w:rPr>
          <w:sz w:val="20"/>
          <w:szCs w:val="32"/>
          <w:lang w:val="en-US"/>
        </w:rPr>
        <w:t xml:space="preserve"> 25, A-6020 Innsbruck, Austria.</w:t>
      </w:r>
    </w:p>
    <w:p w14:paraId="29E9FFF4" w14:textId="77777777" w:rsidR="00DA2EFC" w:rsidRDefault="00DA2EFC" w:rsidP="00DA2EFC">
      <w:pPr>
        <w:jc w:val="both"/>
        <w:rPr>
          <w:sz w:val="20"/>
          <w:szCs w:val="32"/>
          <w:lang w:val="en-US"/>
        </w:rPr>
      </w:pPr>
      <w:r>
        <w:rPr>
          <w:sz w:val="20"/>
          <w:szCs w:val="32"/>
          <w:vertAlign w:val="superscript"/>
          <w:lang w:val="en-US"/>
        </w:rPr>
        <w:t xml:space="preserve">8 </w:t>
      </w:r>
      <w:r>
        <w:rPr>
          <w:sz w:val="20"/>
          <w:szCs w:val="32"/>
          <w:lang w:val="en-US"/>
        </w:rPr>
        <w:t xml:space="preserve">Conservation Genetics Unit, Research and Innovation Centre- Fondazione Edmund Mach, I-38010 S. Michele </w:t>
      </w:r>
      <w:proofErr w:type="spellStart"/>
      <w:r>
        <w:rPr>
          <w:sz w:val="20"/>
          <w:szCs w:val="32"/>
          <w:lang w:val="en-US"/>
        </w:rPr>
        <w:t>all’Adige</w:t>
      </w:r>
      <w:proofErr w:type="spellEnd"/>
      <w:r>
        <w:rPr>
          <w:sz w:val="20"/>
          <w:szCs w:val="32"/>
          <w:lang w:val="en-US"/>
        </w:rPr>
        <w:t>, (Trento), Italy.</w:t>
      </w:r>
    </w:p>
    <w:p w14:paraId="110CF727" w14:textId="77777777" w:rsidR="00DA2EFC" w:rsidRDefault="00DA2EFC" w:rsidP="00DA2EFC">
      <w:pPr>
        <w:jc w:val="both"/>
        <w:rPr>
          <w:sz w:val="20"/>
          <w:szCs w:val="32"/>
          <w:lang w:val="en-US"/>
        </w:rPr>
      </w:pPr>
      <w:r>
        <w:rPr>
          <w:sz w:val="20"/>
          <w:szCs w:val="32"/>
          <w:vertAlign w:val="superscript"/>
          <w:lang w:val="en-US"/>
        </w:rPr>
        <w:t xml:space="preserve">9 </w:t>
      </w:r>
      <w:r>
        <w:rPr>
          <w:sz w:val="20"/>
          <w:szCs w:val="32"/>
          <w:lang w:val="en-US"/>
        </w:rPr>
        <w:t xml:space="preserve">Forest Ecology and Biogeochemical Fluxes Unit, Research and Innovation Centre - Fondazione Edmund Mach, I-38010 S. Michele </w:t>
      </w:r>
      <w:proofErr w:type="spellStart"/>
      <w:r>
        <w:rPr>
          <w:sz w:val="20"/>
          <w:szCs w:val="32"/>
          <w:lang w:val="en-US"/>
        </w:rPr>
        <w:t>all’Adige</w:t>
      </w:r>
      <w:proofErr w:type="spellEnd"/>
      <w:r>
        <w:rPr>
          <w:sz w:val="20"/>
          <w:szCs w:val="32"/>
          <w:lang w:val="en-US"/>
        </w:rPr>
        <w:t xml:space="preserve"> (Trento), Italy.</w:t>
      </w:r>
    </w:p>
    <w:p w14:paraId="39725FE5" w14:textId="77777777" w:rsidR="00DA2EFC" w:rsidRDefault="00DA2EFC" w:rsidP="00DA2EFC">
      <w:pPr>
        <w:jc w:val="both"/>
        <w:rPr>
          <w:sz w:val="20"/>
          <w:szCs w:val="32"/>
          <w:lang w:val="en-US"/>
        </w:rPr>
      </w:pPr>
      <w:r>
        <w:rPr>
          <w:sz w:val="20"/>
          <w:szCs w:val="32"/>
          <w:vertAlign w:val="superscript"/>
          <w:lang w:val="en-US"/>
        </w:rPr>
        <w:t xml:space="preserve">10 </w:t>
      </w:r>
      <w:r>
        <w:rPr>
          <w:sz w:val="20"/>
          <w:szCs w:val="32"/>
          <w:lang w:val="en-US"/>
        </w:rPr>
        <w:t xml:space="preserve">Institute for Sustainable Plant Protection (IPSP), The National Research Council of Italy (CNR), I-50019 Sesto </w:t>
      </w:r>
      <w:proofErr w:type="spellStart"/>
      <w:r>
        <w:rPr>
          <w:sz w:val="20"/>
          <w:szCs w:val="32"/>
          <w:lang w:val="en-US"/>
        </w:rPr>
        <w:t>Fiorentino</w:t>
      </w:r>
      <w:proofErr w:type="spellEnd"/>
      <w:r>
        <w:rPr>
          <w:sz w:val="20"/>
          <w:szCs w:val="32"/>
          <w:lang w:val="en-US"/>
        </w:rPr>
        <w:t xml:space="preserve"> (Firenze), Italy.</w:t>
      </w:r>
    </w:p>
    <w:p w14:paraId="2E139F03" w14:textId="59EDA17F" w:rsidR="00875751" w:rsidRDefault="00DA2EFC" w:rsidP="00DA2EFC">
      <w:pPr>
        <w:spacing w:after="240" w:line="240" w:lineRule="auto"/>
        <w:rPr>
          <w:sz w:val="20"/>
          <w:szCs w:val="20"/>
          <w:lang w:val="en-US"/>
        </w:rPr>
      </w:pPr>
      <w:r>
        <w:rPr>
          <w:szCs w:val="36"/>
          <w:vertAlign w:val="superscript"/>
          <w:lang w:val="en-US"/>
        </w:rPr>
        <w:t>11</w:t>
      </w:r>
      <w:r>
        <w:rPr>
          <w:sz w:val="20"/>
          <w:szCs w:val="20"/>
          <w:lang w:val="en-US"/>
        </w:rPr>
        <w:t>Faculty of Science and Technology, Free University of Bolzano-</w:t>
      </w:r>
      <w:proofErr w:type="spellStart"/>
      <w:r>
        <w:rPr>
          <w:sz w:val="20"/>
          <w:szCs w:val="20"/>
          <w:lang w:val="en-US"/>
        </w:rPr>
        <w:t>Bozen</w:t>
      </w:r>
      <w:proofErr w:type="spellEnd"/>
      <w:r>
        <w:rPr>
          <w:sz w:val="20"/>
          <w:szCs w:val="20"/>
          <w:lang w:val="en-US"/>
        </w:rPr>
        <w:t>, I-39100 Bolzano, Italy.</w:t>
      </w:r>
    </w:p>
    <w:p w14:paraId="0C596F04" w14:textId="5E0492D1" w:rsidR="00DA2EFC" w:rsidRDefault="00DA2EFC" w:rsidP="00DA2EFC">
      <w:pPr>
        <w:spacing w:after="240" w:line="240" w:lineRule="auto"/>
        <w:rPr>
          <w:sz w:val="20"/>
          <w:szCs w:val="20"/>
          <w:lang w:val="en-US"/>
        </w:rPr>
      </w:pPr>
    </w:p>
    <w:p w14:paraId="708135C3" w14:textId="27F871E0" w:rsidR="00DA2EFC" w:rsidRDefault="00DA2EFC" w:rsidP="00DA2EFC">
      <w:pPr>
        <w:spacing w:after="240" w:line="240" w:lineRule="auto"/>
        <w:rPr>
          <w:sz w:val="20"/>
          <w:szCs w:val="20"/>
          <w:lang w:val="en-US"/>
        </w:rPr>
      </w:pPr>
    </w:p>
    <w:p w14:paraId="013577EB" w14:textId="7B46282B" w:rsidR="00DA2EFC" w:rsidRDefault="00DA2EFC" w:rsidP="00DA2EFC">
      <w:pPr>
        <w:spacing w:after="240" w:line="240" w:lineRule="auto"/>
        <w:rPr>
          <w:sz w:val="20"/>
          <w:szCs w:val="20"/>
          <w:lang w:val="en-US"/>
        </w:rPr>
      </w:pPr>
    </w:p>
    <w:p w14:paraId="4D7FE37F" w14:textId="3E47577A" w:rsidR="00DA2EFC" w:rsidRDefault="00DA2EFC" w:rsidP="00DA2EFC">
      <w:pPr>
        <w:spacing w:after="240" w:line="240" w:lineRule="auto"/>
        <w:rPr>
          <w:sz w:val="20"/>
          <w:szCs w:val="20"/>
          <w:lang w:val="en-US"/>
        </w:rPr>
      </w:pPr>
    </w:p>
    <w:p w14:paraId="51F3C314" w14:textId="0F8FB55A" w:rsidR="00DA2EFC" w:rsidRDefault="00DA2EFC" w:rsidP="00DA2EFC">
      <w:pPr>
        <w:spacing w:after="240" w:line="240" w:lineRule="auto"/>
        <w:rPr>
          <w:sz w:val="20"/>
          <w:szCs w:val="20"/>
          <w:lang w:val="en-US"/>
        </w:rPr>
      </w:pPr>
    </w:p>
    <w:p w14:paraId="172D046E" w14:textId="350FB56C" w:rsidR="00DA2EFC" w:rsidRDefault="00DA2EFC" w:rsidP="00DA2EFC">
      <w:pPr>
        <w:spacing w:after="240" w:line="240" w:lineRule="auto"/>
        <w:rPr>
          <w:sz w:val="20"/>
          <w:szCs w:val="20"/>
          <w:lang w:val="en-US"/>
        </w:rPr>
      </w:pPr>
    </w:p>
    <w:p w14:paraId="36AFB252" w14:textId="0D58D593" w:rsidR="00DA2EFC" w:rsidRDefault="00DA2EFC" w:rsidP="00DA2EFC">
      <w:pPr>
        <w:spacing w:after="240" w:line="240" w:lineRule="auto"/>
        <w:rPr>
          <w:sz w:val="20"/>
          <w:szCs w:val="20"/>
          <w:lang w:val="en-US"/>
        </w:rPr>
      </w:pPr>
    </w:p>
    <w:p w14:paraId="24061D74" w14:textId="19A4B5B2" w:rsidR="00DA2EFC" w:rsidRDefault="00DA2EFC" w:rsidP="00DA2EFC">
      <w:pPr>
        <w:spacing w:after="240" w:line="240" w:lineRule="auto"/>
        <w:rPr>
          <w:sz w:val="20"/>
          <w:szCs w:val="20"/>
          <w:lang w:val="en-US"/>
        </w:rPr>
      </w:pPr>
    </w:p>
    <w:p w14:paraId="2EE838B0" w14:textId="77777777" w:rsidR="00EA2DCB" w:rsidRDefault="00EA2DCB" w:rsidP="00875751">
      <w:pPr>
        <w:spacing w:after="240" w:line="240" w:lineRule="auto"/>
        <w:jc w:val="center"/>
        <w:rPr>
          <w:b/>
          <w:bCs/>
          <w:color w:val="000000" w:themeColor="text1"/>
          <w:sz w:val="28"/>
          <w:szCs w:val="28"/>
          <w:lang w:val="en-US"/>
        </w:rPr>
      </w:pPr>
    </w:p>
    <w:p w14:paraId="0D761E8E" w14:textId="6E1175FC" w:rsidR="00875751" w:rsidRPr="00875751" w:rsidRDefault="00875751" w:rsidP="00875751">
      <w:pPr>
        <w:spacing w:after="240" w:line="240" w:lineRule="auto"/>
        <w:jc w:val="center"/>
        <w:rPr>
          <w:b/>
          <w:bCs/>
          <w:color w:val="000000" w:themeColor="text1"/>
          <w:sz w:val="28"/>
          <w:szCs w:val="28"/>
          <w:lang w:val="en-US"/>
        </w:rPr>
      </w:pPr>
      <w:r>
        <w:rPr>
          <w:b/>
          <w:bCs/>
          <w:color w:val="000000" w:themeColor="text1"/>
          <w:sz w:val="28"/>
          <w:szCs w:val="28"/>
          <w:lang w:val="en-US"/>
        </w:rPr>
        <w:lastRenderedPageBreak/>
        <w:t>Appendix</w:t>
      </w:r>
      <w:r w:rsidRPr="00875751">
        <w:rPr>
          <w:b/>
          <w:bCs/>
          <w:color w:val="000000" w:themeColor="text1"/>
          <w:sz w:val="28"/>
          <w:szCs w:val="28"/>
          <w:lang w:val="en-US"/>
        </w:rPr>
        <w:t xml:space="preserve"> S1-S</w:t>
      </w:r>
      <w:r>
        <w:rPr>
          <w:b/>
          <w:bCs/>
          <w:color w:val="000000" w:themeColor="text1"/>
          <w:sz w:val="28"/>
          <w:szCs w:val="28"/>
          <w:lang w:val="en-US"/>
        </w:rPr>
        <w:t>3</w:t>
      </w:r>
    </w:p>
    <w:p w14:paraId="5F47C74D" w14:textId="77777777" w:rsidR="00875751" w:rsidRPr="00875751" w:rsidRDefault="00875751" w:rsidP="007B6755">
      <w:pPr>
        <w:spacing w:after="240" w:line="240" w:lineRule="auto"/>
        <w:rPr>
          <w:b/>
          <w:bCs/>
          <w:color w:val="000000" w:themeColor="text1"/>
          <w:sz w:val="24"/>
          <w:szCs w:val="24"/>
          <w:lang w:val="en-US"/>
        </w:rPr>
      </w:pPr>
    </w:p>
    <w:tbl>
      <w:tblPr>
        <w:tblpPr w:leftFromText="141" w:rightFromText="141" w:vertAnchor="page" w:horzAnchor="margin" w:tblpY="268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359"/>
        <w:gridCol w:w="1417"/>
      </w:tblGrid>
      <w:tr w:rsidR="00DA2EFC" w14:paraId="2AB38222" w14:textId="77777777" w:rsidTr="00DA2EFC">
        <w:trPr>
          <w:trHeight w:hRule="exact" w:val="340"/>
        </w:trPr>
        <w:tc>
          <w:tcPr>
            <w:tcW w:w="8359" w:type="dxa"/>
          </w:tcPr>
          <w:p w14:paraId="3F925F58" w14:textId="77777777" w:rsidR="00DA2EFC" w:rsidRPr="002E5741" w:rsidRDefault="00DA2EFC" w:rsidP="00DA2EFC">
            <w:pPr>
              <w:rPr>
                <w:sz w:val="24"/>
                <w:szCs w:val="24"/>
                <w:lang w:val="en-US"/>
              </w:rPr>
            </w:pPr>
            <w:r w:rsidRPr="002E5741">
              <w:rPr>
                <w:sz w:val="24"/>
                <w:szCs w:val="24"/>
                <w:lang w:val="en-US"/>
              </w:rPr>
              <w:t>Appendix S1. Details about hazel grouse density estimation</w:t>
            </w:r>
          </w:p>
        </w:tc>
        <w:tc>
          <w:tcPr>
            <w:tcW w:w="1417" w:type="dxa"/>
          </w:tcPr>
          <w:p w14:paraId="6D6083F7" w14:textId="77777777" w:rsidR="00DA2EFC" w:rsidRPr="002E5741" w:rsidRDefault="00DA2EFC" w:rsidP="00DA2EFC">
            <w:pPr>
              <w:tabs>
                <w:tab w:val="left" w:pos="1110"/>
              </w:tabs>
              <w:ind w:right="-1260"/>
              <w:rPr>
                <w:sz w:val="24"/>
                <w:szCs w:val="24"/>
              </w:rPr>
            </w:pPr>
            <w:r w:rsidRPr="002E5741">
              <w:rPr>
                <w:sz w:val="24"/>
                <w:szCs w:val="24"/>
                <w:lang w:val="en-US"/>
              </w:rPr>
              <w:t>Page 2</w:t>
            </w:r>
          </w:p>
        </w:tc>
      </w:tr>
      <w:tr w:rsidR="00DA2EFC" w:rsidRPr="00046A9A" w14:paraId="200B4728" w14:textId="77777777" w:rsidTr="00DA2EFC">
        <w:trPr>
          <w:trHeight w:hRule="exact" w:val="680"/>
        </w:trPr>
        <w:tc>
          <w:tcPr>
            <w:tcW w:w="8359" w:type="dxa"/>
          </w:tcPr>
          <w:p w14:paraId="43941F4E" w14:textId="77777777" w:rsidR="00DA2EFC" w:rsidRPr="002E5741" w:rsidRDefault="00DA2EFC" w:rsidP="00DA2EFC">
            <w:pPr>
              <w:rPr>
                <w:sz w:val="24"/>
                <w:szCs w:val="24"/>
                <w:lang w:val="en-US"/>
              </w:rPr>
            </w:pPr>
            <w:r w:rsidRPr="002E5741">
              <w:rPr>
                <w:sz w:val="24"/>
                <w:szCs w:val="24"/>
                <w:lang w:val="en-US"/>
              </w:rPr>
              <w:t>Appendix S2. Genetic analyses for species confirmation, sexing and microsatellite genotyping: methodological details</w:t>
            </w:r>
          </w:p>
        </w:tc>
        <w:tc>
          <w:tcPr>
            <w:tcW w:w="1417" w:type="dxa"/>
          </w:tcPr>
          <w:p w14:paraId="2481BBB8" w14:textId="77777777" w:rsidR="00DA2EFC" w:rsidRPr="002E5741" w:rsidRDefault="00DA2EFC" w:rsidP="00DA2EFC">
            <w:pPr>
              <w:tabs>
                <w:tab w:val="left" w:pos="1110"/>
              </w:tabs>
              <w:ind w:right="-1260"/>
              <w:rPr>
                <w:sz w:val="24"/>
                <w:szCs w:val="24"/>
                <w:lang w:val="en-US"/>
              </w:rPr>
            </w:pPr>
            <w:r w:rsidRPr="002E5741">
              <w:rPr>
                <w:sz w:val="24"/>
                <w:szCs w:val="24"/>
                <w:lang w:val="en-US"/>
              </w:rPr>
              <w:t>Page 3</w:t>
            </w:r>
          </w:p>
        </w:tc>
      </w:tr>
      <w:tr w:rsidR="00DA2EFC" w:rsidRPr="009878AB" w14:paraId="1395E68A" w14:textId="77777777" w:rsidTr="00DA2EFC">
        <w:trPr>
          <w:trHeight w:hRule="exact" w:val="340"/>
        </w:trPr>
        <w:tc>
          <w:tcPr>
            <w:tcW w:w="8359" w:type="dxa"/>
          </w:tcPr>
          <w:p w14:paraId="6BB57DAE" w14:textId="77777777" w:rsidR="00DA2EFC" w:rsidRPr="002E5741" w:rsidRDefault="00DA2EFC" w:rsidP="00DA2EFC">
            <w:pPr>
              <w:rPr>
                <w:sz w:val="24"/>
                <w:szCs w:val="24"/>
                <w:lang w:val="en-US"/>
              </w:rPr>
            </w:pPr>
            <w:r w:rsidRPr="002E5741">
              <w:rPr>
                <w:sz w:val="24"/>
                <w:szCs w:val="24"/>
                <w:lang w:val="en-US"/>
              </w:rPr>
              <w:t>Appendix S3. DNA metabarcoding for diet analysis: methodological details</w:t>
            </w:r>
          </w:p>
        </w:tc>
        <w:tc>
          <w:tcPr>
            <w:tcW w:w="1417" w:type="dxa"/>
          </w:tcPr>
          <w:p w14:paraId="2CA3663C" w14:textId="77777777" w:rsidR="00DA2EFC" w:rsidRPr="002E5741" w:rsidRDefault="00DA2EFC" w:rsidP="00DA2EFC">
            <w:pPr>
              <w:tabs>
                <w:tab w:val="left" w:pos="1110"/>
              </w:tabs>
              <w:ind w:right="-1260"/>
              <w:rPr>
                <w:sz w:val="24"/>
                <w:szCs w:val="24"/>
                <w:lang w:val="en-US"/>
              </w:rPr>
            </w:pPr>
            <w:r w:rsidRPr="002E5741">
              <w:rPr>
                <w:sz w:val="24"/>
                <w:szCs w:val="24"/>
                <w:lang w:val="en-US"/>
              </w:rPr>
              <w:t>Page 6</w:t>
            </w:r>
          </w:p>
        </w:tc>
      </w:tr>
    </w:tbl>
    <w:p w14:paraId="5BA94913" w14:textId="77777777" w:rsidR="00875751" w:rsidRPr="00875751" w:rsidRDefault="00875751" w:rsidP="007B6755">
      <w:pPr>
        <w:spacing w:after="240" w:line="240" w:lineRule="auto"/>
        <w:rPr>
          <w:b/>
          <w:bCs/>
          <w:color w:val="000000" w:themeColor="text1"/>
          <w:sz w:val="24"/>
          <w:szCs w:val="24"/>
          <w:lang w:val="en-US"/>
        </w:rPr>
      </w:pPr>
    </w:p>
    <w:p w14:paraId="3888BF11" w14:textId="77777777" w:rsidR="00875751" w:rsidRPr="00875751" w:rsidRDefault="00875751" w:rsidP="007B6755">
      <w:pPr>
        <w:spacing w:after="240" w:line="240" w:lineRule="auto"/>
        <w:rPr>
          <w:b/>
          <w:bCs/>
          <w:color w:val="000000" w:themeColor="text1"/>
          <w:sz w:val="24"/>
          <w:szCs w:val="24"/>
          <w:lang w:val="en-US"/>
        </w:rPr>
      </w:pPr>
    </w:p>
    <w:p w14:paraId="12BFE967" w14:textId="31AEA0CE" w:rsidR="00875751" w:rsidRDefault="00875751" w:rsidP="007B6755">
      <w:pPr>
        <w:spacing w:after="240" w:line="240" w:lineRule="auto"/>
        <w:rPr>
          <w:b/>
          <w:bCs/>
          <w:color w:val="000000" w:themeColor="text1"/>
          <w:sz w:val="24"/>
          <w:szCs w:val="24"/>
          <w:lang w:val="en-US"/>
        </w:rPr>
      </w:pPr>
    </w:p>
    <w:p w14:paraId="3AAFF108" w14:textId="77777777" w:rsidR="00264846" w:rsidRDefault="00264846" w:rsidP="00875751">
      <w:pPr>
        <w:spacing w:after="120" w:line="360" w:lineRule="auto"/>
        <w:jc w:val="both"/>
        <w:rPr>
          <w:b/>
          <w:bCs/>
          <w:color w:val="000000" w:themeColor="text1"/>
          <w:sz w:val="24"/>
          <w:szCs w:val="24"/>
          <w:lang w:val="en-US"/>
        </w:rPr>
      </w:pPr>
    </w:p>
    <w:p w14:paraId="24F61A1E" w14:textId="77777777" w:rsidR="00DA2EFC" w:rsidRDefault="00DA2EFC">
      <w:pPr>
        <w:rPr>
          <w:rFonts w:ascii="Calibri" w:hAnsi="Calibri" w:cs="Calibri"/>
          <w:b/>
          <w:bCs/>
          <w:color w:val="000000"/>
          <w:sz w:val="24"/>
          <w:szCs w:val="24"/>
          <w:bdr w:val="none" w:sz="0" w:space="0" w:color="auto" w:frame="1"/>
          <w:shd w:val="clear" w:color="auto" w:fill="FFFFFF"/>
          <w:lang w:val="en-GB"/>
        </w:rPr>
      </w:pPr>
      <w:r>
        <w:rPr>
          <w:rFonts w:ascii="Calibri" w:hAnsi="Calibri" w:cs="Calibri"/>
          <w:b/>
          <w:bCs/>
          <w:color w:val="000000"/>
          <w:sz w:val="24"/>
          <w:szCs w:val="24"/>
          <w:bdr w:val="none" w:sz="0" w:space="0" w:color="auto" w:frame="1"/>
          <w:shd w:val="clear" w:color="auto" w:fill="FFFFFF"/>
          <w:lang w:val="en-GB"/>
        </w:rPr>
        <w:br w:type="page"/>
      </w:r>
    </w:p>
    <w:p w14:paraId="6231A06F" w14:textId="063E7408" w:rsidR="00875751" w:rsidRPr="002007DE" w:rsidRDefault="00875751" w:rsidP="00875751">
      <w:pPr>
        <w:spacing w:after="120" w:line="360" w:lineRule="auto"/>
        <w:jc w:val="both"/>
        <w:rPr>
          <w:rFonts w:ascii="Calibri" w:hAnsi="Calibri" w:cs="Calibri"/>
          <w:b/>
          <w:bCs/>
          <w:color w:val="000000"/>
          <w:sz w:val="24"/>
          <w:szCs w:val="24"/>
          <w:bdr w:val="none" w:sz="0" w:space="0" w:color="auto" w:frame="1"/>
          <w:shd w:val="clear" w:color="auto" w:fill="FFFFFF"/>
          <w:lang w:val="en-US"/>
        </w:rPr>
      </w:pPr>
      <w:r w:rsidRPr="002007DE">
        <w:rPr>
          <w:rFonts w:ascii="Calibri" w:hAnsi="Calibri" w:cs="Calibri"/>
          <w:b/>
          <w:bCs/>
          <w:color w:val="000000"/>
          <w:sz w:val="24"/>
          <w:szCs w:val="24"/>
          <w:bdr w:val="none" w:sz="0" w:space="0" w:color="auto" w:frame="1"/>
          <w:shd w:val="clear" w:color="auto" w:fill="FFFFFF"/>
          <w:lang w:val="en-GB"/>
        </w:rPr>
        <w:lastRenderedPageBreak/>
        <w:t xml:space="preserve">Appendix S1. </w:t>
      </w:r>
      <w:r w:rsidRPr="002007DE">
        <w:rPr>
          <w:rFonts w:ascii="Calibri" w:hAnsi="Calibri" w:cs="Calibri"/>
          <w:b/>
          <w:bCs/>
          <w:color w:val="201F1E"/>
          <w:sz w:val="24"/>
          <w:szCs w:val="24"/>
          <w:shd w:val="clear" w:color="auto" w:fill="FFFFFF"/>
          <w:lang w:val="en-US"/>
        </w:rPr>
        <w:t>Details about hazel grouse density estimation.</w:t>
      </w:r>
    </w:p>
    <w:p w14:paraId="24E4B5CA" w14:textId="66C4FB9E" w:rsidR="00875751" w:rsidRDefault="00875751" w:rsidP="00875751">
      <w:pPr>
        <w:spacing w:after="0" w:line="360" w:lineRule="auto"/>
        <w:jc w:val="both"/>
        <w:rPr>
          <w:rFonts w:ascii="Calibri" w:hAnsi="Calibri" w:cs="Calibri"/>
          <w:color w:val="000000"/>
          <w:bdr w:val="none" w:sz="0" w:space="0" w:color="auto" w:frame="1"/>
          <w:shd w:val="clear" w:color="auto" w:fill="FFFFFF"/>
          <w:lang w:val="en-GB"/>
        </w:rPr>
      </w:pPr>
      <w:r w:rsidRPr="00F4361D">
        <w:rPr>
          <w:rFonts w:ascii="Calibri" w:hAnsi="Calibri" w:cs="Calibri"/>
          <w:color w:val="000000"/>
          <w:bdr w:val="none" w:sz="0" w:space="0" w:color="auto" w:frame="1"/>
          <w:shd w:val="clear" w:color="auto" w:fill="FFFFFF"/>
          <w:lang w:val="en-GB"/>
        </w:rPr>
        <w:t xml:space="preserve">We based inference on maximum likelihood estimates for </w:t>
      </w:r>
      <w:r w:rsidR="002E5741">
        <w:rPr>
          <w:rFonts w:ascii="Calibri" w:hAnsi="Calibri" w:cs="Calibri"/>
          <w:color w:val="000000"/>
          <w:bdr w:val="none" w:sz="0" w:space="0" w:color="auto" w:frame="1"/>
          <w:shd w:val="clear" w:color="auto" w:fill="FFFFFF"/>
          <w:lang w:val="en-GB"/>
        </w:rPr>
        <w:t>hazel grouse</w:t>
      </w:r>
      <w:r w:rsidRPr="00F4361D">
        <w:rPr>
          <w:rFonts w:ascii="Calibri" w:hAnsi="Calibri" w:cs="Calibri"/>
          <w:color w:val="000000"/>
          <w:bdr w:val="none" w:sz="0" w:space="0" w:color="auto" w:frame="1"/>
          <w:shd w:val="clear" w:color="auto" w:fill="FFFFFF"/>
          <w:lang w:val="en-GB"/>
        </w:rPr>
        <w:t xml:space="preserve"> density </w:t>
      </w:r>
      <w:r w:rsidRPr="00F4361D">
        <w:rPr>
          <w:rFonts w:ascii="Calibri" w:hAnsi="Calibri" w:cs="Calibri"/>
          <w:color w:val="000000"/>
          <w:bdr w:val="none" w:sz="0" w:space="0" w:color="auto" w:frame="1"/>
          <w:lang w:val="en-GB"/>
        </w:rPr>
        <w:t>(</w:t>
      </w:r>
      <w:proofErr w:type="spellStart"/>
      <w:r w:rsidRPr="00F4361D">
        <w:rPr>
          <w:rFonts w:ascii="Calibri" w:hAnsi="Calibri" w:cs="Calibri"/>
          <w:color w:val="000000"/>
          <w:bdr w:val="none" w:sz="0" w:space="0" w:color="auto" w:frame="1"/>
          <w:lang w:val="en-GB"/>
        </w:rPr>
        <w:t>Efford</w:t>
      </w:r>
      <w:proofErr w:type="spellEnd"/>
      <w:r w:rsidRPr="00F4361D">
        <w:rPr>
          <w:rFonts w:ascii="Calibri" w:hAnsi="Calibri" w:cs="Calibri"/>
          <w:color w:val="000000"/>
          <w:bdr w:val="none" w:sz="0" w:space="0" w:color="auto" w:frame="1"/>
          <w:lang w:val="en-GB"/>
        </w:rPr>
        <w:t xml:space="preserve"> 2014).</w:t>
      </w:r>
      <w:r w:rsidRPr="00F4361D">
        <w:rPr>
          <w:rFonts w:ascii="Calibri" w:hAnsi="Calibri" w:cs="Calibri"/>
          <w:color w:val="000000"/>
          <w:bdr w:val="none" w:sz="0" w:space="0" w:color="auto" w:frame="1"/>
          <w:shd w:val="clear" w:color="auto" w:fill="FFFFFF"/>
          <w:lang w:val="en-GB"/>
        </w:rPr>
        <w:t xml:space="preserve"> We set a 1km buffer around the sampled polygon and a 50 m resolution of the state-space, which we defined after testing a range of resolution values that yielded stable parameter estimates and reasonable computational time. Capture histories were based on daily sampling occasions. We calculated the </w:t>
      </w:r>
      <w:proofErr w:type="spellStart"/>
      <w:r w:rsidRPr="00F4361D">
        <w:rPr>
          <w:rFonts w:ascii="Calibri" w:hAnsi="Calibri" w:cs="Calibri"/>
          <w:color w:val="000000"/>
          <w:bdr w:val="none" w:sz="0" w:space="0" w:color="auto" w:frame="1"/>
          <w:shd w:val="clear" w:color="auto" w:fill="FFFFFF"/>
          <w:lang w:val="en-GB"/>
        </w:rPr>
        <w:t>AICc</w:t>
      </w:r>
      <w:proofErr w:type="spellEnd"/>
      <w:r w:rsidRPr="00F4361D">
        <w:rPr>
          <w:rFonts w:ascii="Calibri" w:hAnsi="Calibri" w:cs="Calibri"/>
          <w:color w:val="000000"/>
          <w:bdr w:val="none" w:sz="0" w:space="0" w:color="auto" w:frame="1"/>
          <w:shd w:val="clear" w:color="auto" w:fill="FFFFFF"/>
          <w:lang w:val="en-GB"/>
        </w:rPr>
        <w:t xml:space="preserve"> for each candidate model and used the difference among values (</w:t>
      </w:r>
      <w:proofErr w:type="spellStart"/>
      <w:r w:rsidRPr="00F4361D">
        <w:rPr>
          <w:rFonts w:ascii="Calibri" w:hAnsi="Calibri" w:cs="Calibri"/>
          <w:color w:val="000000"/>
          <w:bdr w:val="none" w:sz="0" w:space="0" w:color="auto" w:frame="1"/>
          <w:shd w:val="clear" w:color="auto" w:fill="FFFFFF"/>
          <w:lang w:val="en-GB"/>
        </w:rPr>
        <w:t>ΔAICc</w:t>
      </w:r>
      <w:proofErr w:type="spellEnd"/>
      <w:r w:rsidRPr="00F4361D">
        <w:rPr>
          <w:rFonts w:ascii="Calibri" w:hAnsi="Calibri" w:cs="Calibri"/>
          <w:color w:val="000000"/>
          <w:bdr w:val="none" w:sz="0" w:space="0" w:color="auto" w:frame="1"/>
          <w:shd w:val="clear" w:color="auto" w:fill="FFFFFF"/>
          <w:lang w:val="en-GB"/>
        </w:rPr>
        <w:t xml:space="preserve">) to rank models. In the case of models within 2 </w:t>
      </w:r>
      <w:proofErr w:type="spellStart"/>
      <w:r w:rsidRPr="00F4361D">
        <w:rPr>
          <w:rFonts w:ascii="Calibri" w:hAnsi="Calibri" w:cs="Calibri"/>
          <w:color w:val="000000"/>
          <w:bdr w:val="none" w:sz="0" w:space="0" w:color="auto" w:frame="1"/>
          <w:shd w:val="clear" w:color="auto" w:fill="FFFFFF"/>
          <w:lang w:val="en-GB"/>
        </w:rPr>
        <w:t>ΔAICc</w:t>
      </w:r>
      <w:proofErr w:type="spellEnd"/>
      <w:r w:rsidRPr="00F4361D">
        <w:rPr>
          <w:rFonts w:ascii="Calibri" w:hAnsi="Calibri" w:cs="Calibri"/>
          <w:color w:val="000000"/>
          <w:bdr w:val="none" w:sz="0" w:space="0" w:color="auto" w:frame="1"/>
          <w:shd w:val="clear" w:color="auto" w:fill="FFFFFF"/>
          <w:lang w:val="en-GB"/>
        </w:rPr>
        <w:t xml:space="preserve"> units we selected the most parsimonious one, </w:t>
      </w:r>
      <w:proofErr w:type="gramStart"/>
      <w:r w:rsidRPr="00F4361D">
        <w:rPr>
          <w:rFonts w:ascii="Calibri" w:hAnsi="Calibri" w:cs="Calibri"/>
          <w:color w:val="000000"/>
          <w:bdr w:val="none" w:sz="0" w:space="0" w:color="auto" w:frame="1"/>
          <w:shd w:val="clear" w:color="auto" w:fill="FFFFFF"/>
          <w:lang w:val="en-GB"/>
        </w:rPr>
        <w:t>i.e.</w:t>
      </w:r>
      <w:proofErr w:type="gramEnd"/>
      <w:r w:rsidRPr="00F4361D">
        <w:rPr>
          <w:rFonts w:ascii="Calibri" w:hAnsi="Calibri" w:cs="Calibri"/>
          <w:color w:val="000000"/>
          <w:bdr w:val="none" w:sz="0" w:space="0" w:color="auto" w:frame="1"/>
          <w:shd w:val="clear" w:color="auto" w:fill="FFFFFF"/>
          <w:lang w:val="en-GB"/>
        </w:rPr>
        <w:t xml:space="preserve"> the one with the lowest number of parameters. We also considered 85% confidence intervals for parameter estimates, that are compatible with information-based model selection to evaluate potential uninformative parameters (Arnold 2010). We derived home range size estimates (in km</w:t>
      </w:r>
      <w:r w:rsidRPr="00F4361D">
        <w:rPr>
          <w:rFonts w:ascii="Calibri" w:hAnsi="Calibri" w:cs="Calibri"/>
          <w:color w:val="000000"/>
          <w:bdr w:val="none" w:sz="0" w:space="0" w:color="auto" w:frame="1"/>
          <w:shd w:val="clear" w:color="auto" w:fill="FFFFFF"/>
          <w:vertAlign w:val="superscript"/>
          <w:lang w:val="en-GB"/>
        </w:rPr>
        <w:t>2</w:t>
      </w:r>
      <w:r w:rsidRPr="00F4361D">
        <w:rPr>
          <w:rFonts w:ascii="Calibri" w:hAnsi="Calibri" w:cs="Calibri"/>
          <w:color w:val="000000"/>
          <w:bdr w:val="none" w:sz="0" w:space="0" w:color="auto" w:frame="1"/>
          <w:shd w:val="clear" w:color="auto" w:fill="FFFFFF"/>
          <w:lang w:val="en-GB"/>
        </w:rPr>
        <w:t xml:space="preserve">) based on </w:t>
      </w:r>
      <w:r w:rsidRPr="00F4361D">
        <w:rPr>
          <w:rFonts w:ascii="Calibri" w:hAnsi="Calibri" w:cs="Calibri"/>
          <w:color w:val="000000"/>
          <w:bdr w:val="none" w:sz="0" w:space="0" w:color="auto" w:frame="1"/>
          <w:lang w:val="en-GB"/>
        </w:rPr>
        <w:t>(</w:t>
      </w:r>
      <w:proofErr w:type="spellStart"/>
      <w:r w:rsidRPr="00F4361D">
        <w:rPr>
          <w:rFonts w:ascii="Calibri" w:hAnsi="Calibri" w:cs="Calibri"/>
          <w:color w:val="000000"/>
          <w:bdr w:val="none" w:sz="0" w:space="0" w:color="auto" w:frame="1"/>
          <w:lang w:val="en-GB"/>
        </w:rPr>
        <w:t>Royle</w:t>
      </w:r>
      <w:proofErr w:type="spellEnd"/>
      <w:r w:rsidRPr="00F4361D">
        <w:rPr>
          <w:rFonts w:ascii="Calibri" w:hAnsi="Calibri" w:cs="Calibri"/>
          <w:color w:val="000000"/>
          <w:bdr w:val="none" w:sz="0" w:space="0" w:color="auto" w:frame="1"/>
          <w:lang w:val="en-GB"/>
        </w:rPr>
        <w:t xml:space="preserve"> et al. 2014),</w:t>
      </w:r>
      <w:r w:rsidRPr="00F4361D">
        <w:rPr>
          <w:rFonts w:ascii="Calibri" w:hAnsi="Calibri" w:cs="Calibri"/>
          <w:color w:val="000000"/>
          <w:bdr w:val="none" w:sz="0" w:space="0" w:color="auto" w:frame="1"/>
          <w:shd w:val="clear" w:color="auto" w:fill="FFFFFF"/>
          <w:lang w:val="en-GB"/>
        </w:rPr>
        <w:t xml:space="preserve"> using the formula π (σ √5.99)</w:t>
      </w:r>
      <w:r w:rsidRPr="00F4361D">
        <w:rPr>
          <w:rFonts w:ascii="Calibri" w:hAnsi="Calibri" w:cs="Calibri"/>
          <w:color w:val="000000"/>
          <w:bdr w:val="none" w:sz="0" w:space="0" w:color="auto" w:frame="1"/>
          <w:shd w:val="clear" w:color="auto" w:fill="FFFFFF"/>
          <w:vertAlign w:val="superscript"/>
          <w:lang w:val="en-GB"/>
        </w:rPr>
        <w:t>2</w:t>
      </w:r>
      <w:r w:rsidRPr="00F4361D">
        <w:rPr>
          <w:rFonts w:ascii="Calibri" w:hAnsi="Calibri" w:cs="Calibri"/>
          <w:color w:val="000000"/>
          <w:bdr w:val="none" w:sz="0" w:space="0" w:color="auto" w:frame="1"/>
          <w:shd w:val="clear" w:color="auto" w:fill="FFFFFF"/>
          <w:lang w:val="en-GB"/>
        </w:rPr>
        <w:t>, where σ is the spatial scale parameter in km, interpreted as the radius of the bivariate normal model of space use. The product (σ √5.99) is the 95% of space used by an individual from the home-range centre. The value √5.99 derives from the fact that the square of the distances between trap location and individual activity centres used in the Gaussian encounter probability model have a chi-square distribution with 2 degrees of freedom which, for α=0.05, corresponds to √5.99.</w:t>
      </w:r>
    </w:p>
    <w:p w14:paraId="1118856D" w14:textId="77777777" w:rsidR="00C612A1" w:rsidRPr="00F4361D" w:rsidRDefault="00C612A1" w:rsidP="00875751">
      <w:pPr>
        <w:spacing w:after="0" w:line="360" w:lineRule="auto"/>
        <w:jc w:val="both"/>
        <w:rPr>
          <w:rFonts w:ascii="Calibri" w:hAnsi="Calibri" w:cs="Calibri"/>
          <w:color w:val="000000"/>
          <w:bdr w:val="none" w:sz="0" w:space="0" w:color="auto" w:frame="1"/>
          <w:shd w:val="clear" w:color="auto" w:fill="FFFFFF"/>
          <w:lang w:val="en-GB"/>
        </w:rPr>
      </w:pPr>
    </w:p>
    <w:p w14:paraId="4F877CA9" w14:textId="18658427" w:rsidR="007412A1" w:rsidRPr="007412A1" w:rsidRDefault="007412A1" w:rsidP="007412A1">
      <w:pPr>
        <w:spacing w:after="0" w:line="360" w:lineRule="auto"/>
        <w:jc w:val="both"/>
        <w:rPr>
          <w:i/>
          <w:iCs/>
          <w:lang w:val="en-US"/>
        </w:rPr>
      </w:pPr>
      <w:r w:rsidRPr="007412A1">
        <w:rPr>
          <w:i/>
          <w:iCs/>
          <w:lang w:val="en-US"/>
        </w:rPr>
        <w:t>References</w:t>
      </w:r>
    </w:p>
    <w:p w14:paraId="306C6EE2" w14:textId="4C972809" w:rsidR="007412A1" w:rsidRPr="007412A1" w:rsidRDefault="007412A1" w:rsidP="007412A1">
      <w:pPr>
        <w:spacing w:after="120" w:line="240" w:lineRule="auto"/>
        <w:jc w:val="both"/>
        <w:rPr>
          <w:lang w:val="en-US"/>
        </w:rPr>
      </w:pPr>
      <w:r w:rsidRPr="00F4361D">
        <w:rPr>
          <w:lang w:val="en-US"/>
        </w:rPr>
        <w:t>Arnold, T.W. (2010)</w:t>
      </w:r>
      <w:r>
        <w:rPr>
          <w:lang w:val="en-US"/>
        </w:rPr>
        <w:t xml:space="preserve">. </w:t>
      </w:r>
      <w:r w:rsidRPr="00F4361D">
        <w:rPr>
          <w:lang w:val="en-US"/>
        </w:rPr>
        <w:t>Uninformative Parameters and Model Selection Using Akaike’s Information Criterion.</w:t>
      </w:r>
      <w:r>
        <w:rPr>
          <w:lang w:val="en-US"/>
        </w:rPr>
        <w:t xml:space="preserve"> </w:t>
      </w:r>
      <w:r w:rsidRPr="00F4361D">
        <w:rPr>
          <w:i/>
          <w:iCs/>
          <w:lang w:val="en-US"/>
        </w:rPr>
        <w:t>The Journal of Wildlife Management</w:t>
      </w:r>
      <w:r w:rsidRPr="00F4361D">
        <w:rPr>
          <w:lang w:val="en-US"/>
        </w:rPr>
        <w:t xml:space="preserve">, 74: 1175–78. </w:t>
      </w:r>
    </w:p>
    <w:p w14:paraId="751EDCB3" w14:textId="54957B14" w:rsidR="00875751" w:rsidRDefault="00C612A1" w:rsidP="007412A1">
      <w:pPr>
        <w:spacing w:after="120" w:line="240" w:lineRule="auto"/>
        <w:jc w:val="both"/>
        <w:rPr>
          <w:rFonts w:ascii="Calibri" w:hAnsi="Calibri" w:cs="Calibri"/>
          <w:color w:val="000000"/>
          <w:bdr w:val="none" w:sz="0" w:space="0" w:color="auto" w:frame="1"/>
          <w:shd w:val="clear" w:color="auto" w:fill="FFFFFF"/>
          <w:lang w:val="en-GB"/>
        </w:rPr>
      </w:pPr>
      <w:proofErr w:type="spellStart"/>
      <w:r w:rsidRPr="00C612A1">
        <w:rPr>
          <w:rFonts w:ascii="Calibri" w:hAnsi="Calibri" w:cs="Calibri"/>
          <w:color w:val="000000"/>
          <w:bdr w:val="none" w:sz="0" w:space="0" w:color="auto" w:frame="1"/>
          <w:shd w:val="clear" w:color="auto" w:fill="FFFFFF"/>
          <w:lang w:val="en-GB"/>
        </w:rPr>
        <w:t>Efford</w:t>
      </w:r>
      <w:proofErr w:type="spellEnd"/>
      <w:r w:rsidRPr="00C612A1">
        <w:rPr>
          <w:rFonts w:ascii="Calibri" w:hAnsi="Calibri" w:cs="Calibri"/>
          <w:color w:val="000000"/>
          <w:bdr w:val="none" w:sz="0" w:space="0" w:color="auto" w:frame="1"/>
          <w:shd w:val="clear" w:color="auto" w:fill="FFFFFF"/>
          <w:lang w:val="en-GB"/>
        </w:rPr>
        <w:t xml:space="preserve">, M.G. (2014) </w:t>
      </w:r>
      <w:proofErr w:type="spellStart"/>
      <w:r w:rsidRPr="00C612A1">
        <w:rPr>
          <w:rFonts w:ascii="Calibri" w:hAnsi="Calibri" w:cs="Calibri"/>
          <w:color w:val="000000"/>
          <w:bdr w:val="none" w:sz="0" w:space="0" w:color="auto" w:frame="1"/>
          <w:shd w:val="clear" w:color="auto" w:fill="FFFFFF"/>
          <w:lang w:val="en-GB"/>
        </w:rPr>
        <w:t>Secr</w:t>
      </w:r>
      <w:proofErr w:type="spellEnd"/>
      <w:r w:rsidRPr="00C612A1">
        <w:rPr>
          <w:rFonts w:ascii="Calibri" w:hAnsi="Calibri" w:cs="Calibri"/>
          <w:color w:val="000000"/>
          <w:bdr w:val="none" w:sz="0" w:space="0" w:color="auto" w:frame="1"/>
          <w:shd w:val="clear" w:color="auto" w:fill="FFFFFF"/>
          <w:lang w:val="en-GB"/>
        </w:rPr>
        <w:t xml:space="preserve">: Spatially Explicit Capture-Recapture Models. </w:t>
      </w:r>
      <w:r w:rsidR="007412A1" w:rsidRPr="007412A1">
        <w:rPr>
          <w:rFonts w:ascii="Calibri" w:hAnsi="Calibri" w:cs="Calibri"/>
          <w:color w:val="000000"/>
          <w:bdr w:val="none" w:sz="0" w:space="0" w:color="auto" w:frame="1"/>
          <w:shd w:val="clear" w:color="auto" w:fill="FFFFFF"/>
          <w:lang w:val="en-GB"/>
        </w:rPr>
        <w:t>http://cran.r-project.org/package=secr</w:t>
      </w:r>
      <w:r w:rsidRPr="00C612A1">
        <w:rPr>
          <w:rFonts w:ascii="Calibri" w:hAnsi="Calibri" w:cs="Calibri"/>
          <w:color w:val="000000"/>
          <w:bdr w:val="none" w:sz="0" w:space="0" w:color="auto" w:frame="1"/>
          <w:shd w:val="clear" w:color="auto" w:fill="FFFFFF"/>
          <w:lang w:val="en-GB"/>
        </w:rPr>
        <w:t>.</w:t>
      </w:r>
    </w:p>
    <w:p w14:paraId="425A4994" w14:textId="77777777" w:rsidR="007412A1" w:rsidRPr="00F92F09" w:rsidRDefault="007412A1" w:rsidP="007412A1">
      <w:pPr>
        <w:spacing w:after="120" w:line="240" w:lineRule="auto"/>
        <w:rPr>
          <w:lang w:val="en-GB"/>
        </w:rPr>
      </w:pPr>
      <w:proofErr w:type="spellStart"/>
      <w:r w:rsidRPr="00F92F09">
        <w:rPr>
          <w:lang w:val="en-GB"/>
        </w:rPr>
        <w:t>Royle</w:t>
      </w:r>
      <w:proofErr w:type="spellEnd"/>
      <w:r w:rsidRPr="00F92F09">
        <w:rPr>
          <w:lang w:val="en-GB"/>
        </w:rPr>
        <w:t xml:space="preserve">, J.A., Richard, B.C., </w:t>
      </w:r>
      <w:proofErr w:type="spellStart"/>
      <w:r w:rsidRPr="00F92F09">
        <w:rPr>
          <w:lang w:val="en-GB"/>
        </w:rPr>
        <w:t>Sollmann</w:t>
      </w:r>
      <w:proofErr w:type="spellEnd"/>
      <w:r w:rsidRPr="00F92F09">
        <w:rPr>
          <w:lang w:val="en-GB"/>
        </w:rPr>
        <w:t>, R., Gardner, B. (2014) Spatial Capture-Recapture. Waltham, MA: Academic Press.</w:t>
      </w:r>
    </w:p>
    <w:p w14:paraId="2F14BB88" w14:textId="77777777" w:rsidR="007412A1" w:rsidRPr="00F4361D" w:rsidRDefault="007412A1" w:rsidP="00875751">
      <w:pPr>
        <w:spacing w:after="0" w:line="360" w:lineRule="auto"/>
        <w:jc w:val="both"/>
        <w:rPr>
          <w:rFonts w:ascii="Calibri" w:hAnsi="Calibri" w:cs="Calibri"/>
          <w:color w:val="000000"/>
          <w:bdr w:val="none" w:sz="0" w:space="0" w:color="auto" w:frame="1"/>
          <w:shd w:val="clear" w:color="auto" w:fill="FFFFFF"/>
          <w:lang w:val="en-GB"/>
        </w:rPr>
      </w:pPr>
    </w:p>
    <w:p w14:paraId="1689BE33" w14:textId="77777777" w:rsidR="00875751" w:rsidRPr="00875751" w:rsidRDefault="00875751" w:rsidP="007B6755">
      <w:pPr>
        <w:spacing w:after="240" w:line="240" w:lineRule="auto"/>
        <w:rPr>
          <w:b/>
          <w:bCs/>
          <w:color w:val="000000" w:themeColor="text1"/>
          <w:sz w:val="24"/>
          <w:szCs w:val="24"/>
          <w:lang w:val="en-US"/>
        </w:rPr>
      </w:pPr>
    </w:p>
    <w:p w14:paraId="1DA20A61" w14:textId="77777777" w:rsidR="00875751" w:rsidRPr="00875751" w:rsidRDefault="00875751" w:rsidP="007B6755">
      <w:pPr>
        <w:spacing w:after="240" w:line="240" w:lineRule="auto"/>
        <w:rPr>
          <w:b/>
          <w:bCs/>
          <w:color w:val="000000" w:themeColor="text1"/>
          <w:sz w:val="24"/>
          <w:szCs w:val="24"/>
          <w:lang w:val="en-US"/>
        </w:rPr>
      </w:pPr>
    </w:p>
    <w:p w14:paraId="5E5C7870" w14:textId="77777777" w:rsidR="00875751" w:rsidRPr="00875751" w:rsidRDefault="00875751" w:rsidP="007B6755">
      <w:pPr>
        <w:spacing w:after="240" w:line="240" w:lineRule="auto"/>
        <w:rPr>
          <w:b/>
          <w:bCs/>
          <w:color w:val="000000" w:themeColor="text1"/>
          <w:sz w:val="24"/>
          <w:szCs w:val="24"/>
          <w:lang w:val="en-US"/>
        </w:rPr>
      </w:pPr>
    </w:p>
    <w:p w14:paraId="420B71B6" w14:textId="77777777" w:rsidR="00875751" w:rsidRPr="00875751" w:rsidRDefault="00875751" w:rsidP="007B6755">
      <w:pPr>
        <w:spacing w:after="240" w:line="240" w:lineRule="auto"/>
        <w:rPr>
          <w:b/>
          <w:bCs/>
          <w:color w:val="000000" w:themeColor="text1"/>
          <w:sz w:val="24"/>
          <w:szCs w:val="24"/>
          <w:lang w:val="en-US"/>
        </w:rPr>
      </w:pPr>
    </w:p>
    <w:p w14:paraId="0782DECE" w14:textId="77777777" w:rsidR="00875751" w:rsidRPr="00875751" w:rsidRDefault="00875751" w:rsidP="007B6755">
      <w:pPr>
        <w:spacing w:after="240" w:line="240" w:lineRule="auto"/>
        <w:rPr>
          <w:b/>
          <w:bCs/>
          <w:color w:val="000000" w:themeColor="text1"/>
          <w:sz w:val="24"/>
          <w:szCs w:val="24"/>
          <w:lang w:val="en-US"/>
        </w:rPr>
      </w:pPr>
    </w:p>
    <w:p w14:paraId="15733B6E" w14:textId="77777777" w:rsidR="00875751" w:rsidRPr="00875751" w:rsidRDefault="00875751" w:rsidP="007B6755">
      <w:pPr>
        <w:spacing w:after="240" w:line="240" w:lineRule="auto"/>
        <w:rPr>
          <w:b/>
          <w:bCs/>
          <w:color w:val="000000" w:themeColor="text1"/>
          <w:sz w:val="24"/>
          <w:szCs w:val="24"/>
          <w:lang w:val="en-US"/>
        </w:rPr>
      </w:pPr>
    </w:p>
    <w:p w14:paraId="39BCB4B9" w14:textId="77777777" w:rsidR="00875751" w:rsidRPr="00875751" w:rsidRDefault="00875751" w:rsidP="007B6755">
      <w:pPr>
        <w:spacing w:after="240" w:line="240" w:lineRule="auto"/>
        <w:rPr>
          <w:b/>
          <w:bCs/>
          <w:color w:val="000000" w:themeColor="text1"/>
          <w:sz w:val="24"/>
          <w:szCs w:val="24"/>
          <w:lang w:val="en-US"/>
        </w:rPr>
      </w:pPr>
    </w:p>
    <w:p w14:paraId="6CC31180" w14:textId="77777777" w:rsidR="00875751" w:rsidRPr="00875751" w:rsidRDefault="00875751" w:rsidP="007B6755">
      <w:pPr>
        <w:spacing w:after="240" w:line="240" w:lineRule="auto"/>
        <w:rPr>
          <w:b/>
          <w:bCs/>
          <w:color w:val="000000" w:themeColor="text1"/>
          <w:sz w:val="24"/>
          <w:szCs w:val="24"/>
          <w:lang w:val="en-US"/>
        </w:rPr>
      </w:pPr>
    </w:p>
    <w:p w14:paraId="4F90B1B1" w14:textId="77777777" w:rsidR="00875751" w:rsidRPr="00875751" w:rsidRDefault="00875751" w:rsidP="007B6755">
      <w:pPr>
        <w:spacing w:after="240" w:line="240" w:lineRule="auto"/>
        <w:rPr>
          <w:b/>
          <w:bCs/>
          <w:color w:val="000000" w:themeColor="text1"/>
          <w:sz w:val="24"/>
          <w:szCs w:val="24"/>
          <w:lang w:val="en-US"/>
        </w:rPr>
      </w:pPr>
    </w:p>
    <w:p w14:paraId="4E248A7D" w14:textId="5D1F2BC8" w:rsidR="00117B41" w:rsidRPr="007B6755" w:rsidRDefault="00F34452" w:rsidP="007B6755">
      <w:pPr>
        <w:spacing w:after="240" w:line="240" w:lineRule="auto"/>
        <w:rPr>
          <w:b/>
          <w:bCs/>
          <w:sz w:val="24"/>
          <w:szCs w:val="24"/>
          <w:lang w:val="en-GB"/>
        </w:rPr>
      </w:pPr>
      <w:r w:rsidRPr="007B6755">
        <w:rPr>
          <w:b/>
          <w:bCs/>
          <w:color w:val="000000" w:themeColor="text1"/>
          <w:sz w:val="24"/>
          <w:szCs w:val="24"/>
          <w:lang w:val="en-US"/>
        </w:rPr>
        <w:lastRenderedPageBreak/>
        <w:t xml:space="preserve">Appendix S2. </w:t>
      </w:r>
      <w:r w:rsidR="006C0241" w:rsidRPr="007B6755">
        <w:rPr>
          <w:b/>
          <w:bCs/>
          <w:color w:val="000000" w:themeColor="text1"/>
          <w:sz w:val="24"/>
          <w:szCs w:val="24"/>
          <w:lang w:val="en-US"/>
        </w:rPr>
        <w:t>G</w:t>
      </w:r>
      <w:r w:rsidRPr="007B6755">
        <w:rPr>
          <w:b/>
          <w:bCs/>
          <w:color w:val="000000" w:themeColor="text1"/>
          <w:sz w:val="24"/>
          <w:szCs w:val="24"/>
          <w:lang w:val="en-US"/>
        </w:rPr>
        <w:t>enetic analyses</w:t>
      </w:r>
      <w:r w:rsidR="006C0241" w:rsidRPr="007B6755">
        <w:rPr>
          <w:b/>
          <w:bCs/>
          <w:color w:val="000000" w:themeColor="text1"/>
          <w:sz w:val="24"/>
          <w:szCs w:val="24"/>
          <w:lang w:val="en-US"/>
        </w:rPr>
        <w:t xml:space="preserve"> for </w:t>
      </w:r>
      <w:r w:rsidR="006C0241" w:rsidRPr="007B6755">
        <w:rPr>
          <w:b/>
          <w:bCs/>
          <w:sz w:val="24"/>
          <w:szCs w:val="24"/>
          <w:lang w:val="en-GB"/>
        </w:rPr>
        <w:t>s</w:t>
      </w:r>
      <w:r w:rsidR="00117B41" w:rsidRPr="007B6755">
        <w:rPr>
          <w:b/>
          <w:bCs/>
          <w:sz w:val="24"/>
          <w:szCs w:val="24"/>
          <w:lang w:val="en-GB"/>
        </w:rPr>
        <w:t xml:space="preserve">pecies confirmation, sexing and </w:t>
      </w:r>
      <w:r w:rsidR="00587BEE">
        <w:rPr>
          <w:b/>
          <w:bCs/>
          <w:sz w:val="24"/>
          <w:szCs w:val="24"/>
          <w:lang w:val="en-GB"/>
        </w:rPr>
        <w:t>microsatellite genotyping</w:t>
      </w:r>
      <w:r w:rsidR="007B6755" w:rsidRPr="007B6755">
        <w:rPr>
          <w:b/>
          <w:bCs/>
          <w:sz w:val="24"/>
          <w:szCs w:val="24"/>
          <w:lang w:val="en-GB"/>
        </w:rPr>
        <w:t>: methodological details.</w:t>
      </w:r>
    </w:p>
    <w:p w14:paraId="6A2B311A" w14:textId="792DE515" w:rsidR="00C73A38" w:rsidRPr="007B6755" w:rsidRDefault="00C73A38" w:rsidP="007B6755">
      <w:pPr>
        <w:autoSpaceDE w:val="0"/>
        <w:autoSpaceDN w:val="0"/>
        <w:adjustRightInd w:val="0"/>
        <w:spacing w:after="0" w:line="360" w:lineRule="auto"/>
        <w:jc w:val="both"/>
        <w:rPr>
          <w:rFonts w:eastAsia="CIDFont+F1"/>
          <w:lang w:val="en-GB"/>
        </w:rPr>
      </w:pPr>
      <w:r w:rsidRPr="007B6755">
        <w:rPr>
          <w:rFonts w:eastAsia="CIDFont+F1"/>
          <w:lang w:val="en-GB"/>
        </w:rPr>
        <w:t xml:space="preserve">In order to </w:t>
      </w:r>
      <w:r w:rsidR="006C0241" w:rsidRPr="007B6755">
        <w:rPr>
          <w:rFonts w:eastAsia="CIDFont+F1"/>
          <w:lang w:val="en-US"/>
        </w:rPr>
        <w:t>confirm the species and assess the sex of the individuals, w</w:t>
      </w:r>
      <w:r w:rsidRPr="007B6755">
        <w:rPr>
          <w:rFonts w:eastAsia="CIDFont+F1"/>
          <w:lang w:val="en-US"/>
        </w:rPr>
        <w:t xml:space="preserve">e amplified the mitochondrial control region </w:t>
      </w:r>
      <w:r w:rsidRPr="007B6755">
        <w:rPr>
          <w:rStyle w:val="Rimandonotaapidipagina"/>
          <w:rFonts w:eastAsia="CIDFont+F1"/>
        </w:rPr>
        <w:fldChar w:fldCharType="begin" w:fldLock="1"/>
      </w:r>
      <w:r w:rsidRPr="007B6755">
        <w:rPr>
          <w:rFonts w:eastAsia="CIDFont+F1"/>
          <w:lang w:val="en-US"/>
        </w:rPr>
        <w:instrText>ADDIN CSL_CITATION {"citationItems":[{"id":"ITEM-1","itemData":{"DOI":"10.1038/325031a0","ISBN":"0028-0836","ISSN":"00280836","PMID":"3025745","abstract":"Mitochondrial DNAs from 147 people, drawn from five geographic populations have been analysed by restriction mapping. All these mitochondrial DNAs stem from one woman who is postulated to have lived about 200,000 years ago, probably in Africa. All the populations examined except the African population have multiple origins, implying that each area was colonised repeatedly.","author":[{"dropping-particle":"","family":"Cann","given":"Rebecca L.","non-dropping-particle":"","parse-names":false,"suffix":""},{"dropping-particle":"","family":"Stoneking","given":"Mark","non-dropping-particle":"","parse-names":false,"suffix":""},{"dropping-particle":"","family":"Wilson","given":"Allan C.","non-dropping-particle":"","parse-names":false,"suffix":""}],"container-title":"Nature","id":"ITEM-1","issue":"6099","issued":{"date-parts":[["1987"]]},"page":"31-36","title":"Mitochondrial DNA and human evolution","type":"article","volume":"325"},"uris":["http://www.mendeley.com/documents/?uuid=fdba36cc-0b11-4e3b-9d80-4013d41ef723"]},{"id":"ITEM-2","itemData":{"DOI":"10.1002/elps.200305922","ISBN":"0173-0835","ISSN":"01730835","PMID":"15274000","abstract":"Conservation genetics focuses on the effects of contemporary genetic structuring on long-term survival of a species. It helps wildlife managers protect biodiversity by identifying a series of conservation units, which include species, evolutionarily significant units (ESUs), management units (MUs), action units (AUs), and family nets (FNs). Although mitochondrial DNA (mtDNA) evolves 5-10 times faster than single-copy nuclear DNA (scnDNA), it records few traces of contemporary events. Thus, mtDNA can be used to resolve taxonomic uncertainties and ESUs. Variable number of tandem repeats (VNTRs) evolve 100-1000 times faster than scnDNA and provide a powerful tool for analyzing recent and contemporary events. VNTR analysis techniques include polymerase chain reaction (PCR)-based microsatellite assays and oligonucleotide probing. Size homoplasy problems in PCR-based microsatellite assays can strongly affect the inference of recent population history. The high homozygosity in endangered species is reflected in a relatively low number and level of variability in microsatellite loci. This combined with \"allelic dropout\" and \"misprinting\" errors contributes to the generation of highly biased genetic data following analyses of natural populations. Thus, in conservation genetics, microsatellites are of limited use for identifying ESUs, MUs, and AUs. In contrast to PCR-based microsatellite analysis, oligonucleotide probing avoids errors resulting from PCR amplification. It is particularly suitable for inferring recent population history and contemporary gene flow between fragmented subpopulations. Oligonucleotide fingerprinting</w:instrText>
      </w:r>
      <w:r w:rsidRPr="007B6755">
        <w:rPr>
          <w:rFonts w:eastAsia="CIDFont+F1"/>
        </w:rPr>
        <w:instrText xml:space="preserve"> generates individual-specific DNA banding patterns and thus</w:instrText>
      </w:r>
      <w:r w:rsidRPr="007B6755">
        <w:rPr>
          <w:rFonts w:eastAsia="CIDFont+F1"/>
          <w:lang w:val="en-US"/>
        </w:rPr>
        <w:instrText xml:space="preserve"> provides a highly precise tool for monitoring demography of natural populations. Hence, DNA fingerprinting is powerful for distinguishing ESUs, MUs, AUs, and FNs. The use of oligonucleotide fingerprinting and fecal DNA is opening new areas for conservation genetics.","author":[{"dropping-particle":"","family":"Wan","given":"Qiu Hong","non-dropping-particle":"","parse-names":false,"suffix":""},{"dropping-particle":"","family":"Wu","given":"Hua","non-dropping-particle":"","parse-names":false,"suffix":""},{"dropping-particle":"","family":"Fujihara","given":"Tsutomu","non-dropping-particle":"","parse-names":false,"suffix":""},{"dropping-particle":"","family":"Fang","given":"Sheng Guo","non-dropping-particle":"","parse-names":false,"suffix":""}],"container-title":"Electrophoresis","id":"ITEM-2","issue":"14","issued":{"date-parts":[["2004"]]},"page":"2165-2176","title":"Which genetic marker for which conservation genetics issue?","type":"article-journal","volume":"25"},"uris":["http://www.mendeley.com/documents/?uuid=7b9bbf60-4bb4-4e3f-b9a8-e08bbc5ad078"]}],"mendeley":{"formattedCitation":"(Cann, Stoneking, and Wilson 1987; Wan et al. 2004)","manualFormatting":"(Cann et al. 1987; Wan et al. 2004)","plainTextFormattedCitation":"(Cann, Stoneking, and Wilson 1987; Wan et al. 2004)","previouslyFormattedCitation":"(Cann, Stoneking, and Wilson 1987; Wan et al. 2004)"},"properties":{"noteIndex":0},"schema":"https://github.com/citation-style-language/schema/raw/master/csl-citation.json"}</w:instrText>
      </w:r>
      <w:r w:rsidRPr="007B6755">
        <w:rPr>
          <w:rStyle w:val="Rimandonotaapidipagina"/>
          <w:rFonts w:eastAsia="CIDFont+F1"/>
        </w:rPr>
        <w:fldChar w:fldCharType="separate"/>
      </w:r>
      <w:r w:rsidRPr="007B6755">
        <w:rPr>
          <w:rFonts w:eastAsia="CIDFont+F1"/>
          <w:bCs/>
          <w:noProof/>
          <w:lang w:val="en-US"/>
        </w:rPr>
        <w:t>(Cann et al. 1987, Wan et al. 2004)</w:t>
      </w:r>
      <w:r w:rsidRPr="007B6755">
        <w:rPr>
          <w:rStyle w:val="Rimandonotaapidipagina"/>
          <w:rFonts w:eastAsia="CIDFont+F1"/>
        </w:rPr>
        <w:fldChar w:fldCharType="end"/>
      </w:r>
      <w:r w:rsidRPr="007B6755">
        <w:rPr>
          <w:rFonts w:eastAsia="CIDFont+F1"/>
          <w:lang w:val="en-US"/>
        </w:rPr>
        <w:t xml:space="preserve"> and nuclear CHD gene </w:t>
      </w:r>
      <w:r w:rsidRPr="007B6755">
        <w:rPr>
          <w:rStyle w:val="Rimandonotaapidipagina"/>
          <w:rFonts w:eastAsia="CIDFont+F1"/>
        </w:rPr>
        <w:fldChar w:fldCharType="begin" w:fldLock="1"/>
      </w:r>
      <w:r w:rsidRPr="007B6755">
        <w:rPr>
          <w:rFonts w:eastAsia="CIDFont+F1"/>
          <w:lang w:val="en-US"/>
        </w:rPr>
        <w:instrText>ADDIN CSL_CITATION {"citationItems":[{"id":"ITEM-1","itemData":{"DOI":"10.1098/rspb.1996.0239","ISBN":"0962-8452","ISSN":"14712970","PMID":"9025311","abstract":"The avian W chromosome shares many features with the mammalian Y chromosome: it is small, mostly heterochromatic, and filled with large repetitive arrays. No gene so far been assigned to the W chromosome in any bird species and, as a practical consequence, a general tag for avian gender identification on the molecular level is lacking. Here I describe the isolation of a chicken homologue to the mouse chromo-helicase-DNA binding (CHD) gene which encodes a protein involved in global regulation of transcriptional activation on the chromatin level. The avian CHD gene exists in two genomic copies, one of which termed CHD-W) was located on the W chromosome in all non-ratio species investigated. The gene displays extreme levels of sequence conservation since chicken CHD-W and mouse CHD are 82.9% and 95.6% identical at the nucleotide and amino acid level respectively. Molecular sexing can be accomplished in probably all non-ratite birds by hybridizing Southern blots with CHD probes, PCR-based gender identification is also demonstrated. A general system for avian sexing should facilitate many studies of behaviour, evolutionary ecology, genetics, and evolution.","author":[{"dropping-particle":"","family":"Ellegren","given":"H.","non-dropping-particle":"","parse-names":false,"suffix":""}],"container-title":"Proceedings of the Royal Society B: Biological Sciences","id":"ITEM-1","issue":"1377","issued":{"date-parts":[["1996"]]},"page":"1635-1641","title":"First gene on the avian W chromosome (CHD) provides a tag for universal sexing of non-ratite birds","type":"article-journal","volume":"263"},"uris":["http://www.mendeley.com/documents/?uuid=597278ca-ed5a-4bd5-8862-b334b48dbb89"]}],"mendeley":{"formattedCitation":"(Ellegren 1996)","plainTextFormattedCitation":"(Ellegren 1996)","previouslyFormattedCitation":"(Ellegren 1996)"},"properties":{"noteIndex":0},"schema":"https://github.com/citation-style-language/schema/raw/master/csl-citation.json"}</w:instrText>
      </w:r>
      <w:r w:rsidRPr="007B6755">
        <w:rPr>
          <w:rStyle w:val="Rimandonotaapidipagina"/>
          <w:rFonts w:eastAsia="CIDFont+F1"/>
        </w:rPr>
        <w:fldChar w:fldCharType="separate"/>
      </w:r>
      <w:r w:rsidRPr="007B6755">
        <w:rPr>
          <w:rFonts w:eastAsia="CIDFont+F1"/>
          <w:noProof/>
          <w:lang w:val="en-US"/>
        </w:rPr>
        <w:t>(Ellegren 1996)</w:t>
      </w:r>
      <w:r w:rsidRPr="007B6755">
        <w:rPr>
          <w:rStyle w:val="Rimandonotaapidipagina"/>
          <w:rFonts w:eastAsia="CIDFont+F1"/>
        </w:rPr>
        <w:fldChar w:fldCharType="end"/>
      </w:r>
      <w:r w:rsidR="006C0241" w:rsidRPr="007B6755">
        <w:rPr>
          <w:rFonts w:eastAsia="CIDFont+F1"/>
          <w:lang w:val="en-US"/>
        </w:rPr>
        <w:t xml:space="preserve">, </w:t>
      </w:r>
      <w:r w:rsidRPr="007B6755">
        <w:rPr>
          <w:rFonts w:eastAsia="CIDFont+F1"/>
          <w:lang w:val="en-US"/>
        </w:rPr>
        <w:t xml:space="preserve">respectively. </w:t>
      </w:r>
      <w:r w:rsidRPr="007B6755">
        <w:rPr>
          <w:lang w:val="en-US"/>
        </w:rPr>
        <w:t xml:space="preserve">To amplify the mitochondrial control region, we used the primer pair PHDL </w:t>
      </w:r>
      <w:r w:rsidRPr="007B6755">
        <w:rPr>
          <w:rFonts w:eastAsia="CIDFont+F1"/>
          <w:lang w:val="en-US"/>
        </w:rPr>
        <w:t xml:space="preserve">(5’-AGG ACT ACG GCT TGA AAA GC-3’) </w:t>
      </w:r>
      <w:r w:rsidRPr="007B6755">
        <w:rPr>
          <w:rStyle w:val="Rimandonotaapidipagina"/>
          <w:rFonts w:eastAsia="CIDFont+F1"/>
        </w:rPr>
        <w:fldChar w:fldCharType="begin" w:fldLock="1"/>
      </w:r>
      <w:r w:rsidRPr="007B6755">
        <w:rPr>
          <w:rFonts w:eastAsia="CIDFont+F1"/>
          <w:lang w:val="en-US"/>
        </w:rPr>
        <w:instrText>ADDIN CSL_CITATION {"citationItems":[{"id":"ITEM-1","itemData":{"DOI":"10.1073/pnas.92.24.11053","ISSN":"0027-8424","PMID":"7479935","abstract":"Further comparison of mitochondrial control-region DNA base sequences of 16 avian species belonging to the subfamily Phasianinae revealed the following: (i) Generalized perdicine birds (quails and partridges) are of ancient lineages. Even the closest pair, the common quail (Coturnix coturnix japonica) and the Chinese bamboo partridge (Bambusicola thoracica), maintained only 85.71% identity. (ii) The 12 species of phasianine birds previously and presently studied belonged to three distinct branches. The first branch was made exclusively of members of the genus Gallus, while the second branch was made of pheasants of the genera Phasianus, Chrysolophus, and Syrmaticus. Gallopheasants of the genus Lophura were distant cousins to these pheasants. The great argus (Argusianus argus) and peafowls of the genus Pavo constituted the third branch. The position of peacock-pheasants of the genus Polyplectron in the third branch was similar to that of the genus Lophura in the second branch. Members of the fourth phasianine branch, such as tragopans and monals, were not included in the present study. (iii) The one perdicine species, Bambusicola thoracica, was more closely related to phasianine genera Gallus and Pavo than to members of other perdicine genera. The above might indicate that Bambusicola belong to one-stem perdicine lineage that later splits into two sublineages that yielded phasianine birds, one evolving to Gallus, and the other differentiating toward Pavo and its allies.","author":[{"dropping-particle":"","family":"Fumihito","given":"A.","non-dropping-particle":"","parse-names":false,"suffix":""},{"dropping-particle":"","family":"Miyake","given":"T.","non-dropping-particle":"","parse-names":false,"suffix":""},{"dropping-particle":"","family":"Takada","given":"M.","non-dropping-particle":"","parse-names":false,"suffix":""},{"dropping-particle":"","family":"Ohno","given":"S.","non-dropping-particle":"","parse-names":false,"suffix":""},{"dropping-particle":"","family":"Kondo","given":"N.","non-dropping-particle":"","parse-names":false,"suffix":""}],"container-title":"Proceedings of the National Academy of Sciences","id":"ITEM-1","issue":"24","issued":{"date-parts":[["1995","11","21"]]},"page":"11053-11056","publisher":"National Academy of Sciences","title":"The genetic link between the Chinese bamboo partridge (Bambusicola thoracica) and the chicken and junglefowls of the genus Gallus.","type":"article-journal","volume":"92"},"uris":["http://www.mendeley.com/documents/?uuid=83051c8d-6d7e-3087-8981-d452683075d5"]}],"mendeley":{"formattedCitation":"(Fumihito et al. 1995)","plainTextFormattedCitation":"(Fumihito et al. 1995)","previouslyFormattedCitation":"(Fumihito et al. 1995)"},"properties":{"noteIndex":0},"schema":"https://github.com/citation-style-language/schema/raw/master/csl-citation.json"}</w:instrText>
      </w:r>
      <w:r w:rsidRPr="007B6755">
        <w:rPr>
          <w:rStyle w:val="Rimandonotaapidipagina"/>
          <w:rFonts w:eastAsia="CIDFont+F1"/>
        </w:rPr>
        <w:fldChar w:fldCharType="separate"/>
      </w:r>
      <w:r w:rsidRPr="007B6755">
        <w:rPr>
          <w:rFonts w:eastAsia="CIDFont+F1"/>
          <w:bCs/>
          <w:noProof/>
          <w:lang w:val="en-US"/>
        </w:rPr>
        <w:t>(Fumihito et al. 1995)</w:t>
      </w:r>
      <w:r w:rsidRPr="007B6755">
        <w:rPr>
          <w:rStyle w:val="Rimandonotaapidipagina"/>
          <w:rFonts w:eastAsia="CIDFont+F1"/>
        </w:rPr>
        <w:fldChar w:fldCharType="end"/>
      </w:r>
      <w:r w:rsidRPr="007B6755">
        <w:rPr>
          <w:rFonts w:eastAsia="CIDFont+F1"/>
          <w:lang w:val="en-US"/>
        </w:rPr>
        <w:t xml:space="preserve"> / PH-H521 (5’-TTA TGT GCT TGA CCG AGG AAC CAG-3’)</w:t>
      </w:r>
      <w:r w:rsidRPr="007B6755">
        <w:rPr>
          <w:lang w:val="en-US"/>
        </w:rPr>
        <w:t xml:space="preserve"> </w:t>
      </w:r>
      <w:r w:rsidRPr="007B6755">
        <w:rPr>
          <w:rFonts w:eastAsia="CIDFont+F1"/>
          <w:lang w:val="en-US"/>
        </w:rPr>
        <w:t xml:space="preserve">(Randi &amp; </w:t>
      </w:r>
      <w:proofErr w:type="spellStart"/>
      <w:r w:rsidRPr="007B6755">
        <w:rPr>
          <w:rFonts w:eastAsia="CIDFont+F1"/>
          <w:lang w:val="en-US"/>
        </w:rPr>
        <w:t>Lucchini</w:t>
      </w:r>
      <w:proofErr w:type="spellEnd"/>
      <w:r w:rsidRPr="007B6755">
        <w:rPr>
          <w:rFonts w:eastAsia="CIDFont+F1"/>
          <w:lang w:val="en-US"/>
        </w:rPr>
        <w:t xml:space="preserve"> 1998) resulting in a 600 bp DNA fragment. To amplify the CHD gene, we used the primer pair 1237L (5’-GAG AAA CTG TGC AAA ACA G-3’) / 1272H (5’-TCC AGA ATA TCT </w:t>
      </w:r>
      <w:proofErr w:type="spellStart"/>
      <w:r w:rsidRPr="007B6755">
        <w:rPr>
          <w:rFonts w:eastAsia="CIDFont+F1"/>
          <w:lang w:val="en-US"/>
        </w:rPr>
        <w:t>TCT</w:t>
      </w:r>
      <w:proofErr w:type="spellEnd"/>
      <w:r w:rsidRPr="007B6755">
        <w:rPr>
          <w:rFonts w:eastAsia="CIDFont+F1"/>
          <w:lang w:val="en-US"/>
        </w:rPr>
        <w:t xml:space="preserve"> GCT CC- 3’) </w:t>
      </w:r>
      <w:r w:rsidRPr="007B6755">
        <w:rPr>
          <w:rStyle w:val="Rimandonotaapidipagina"/>
          <w:rFonts w:eastAsia="CIDFont+F1"/>
        </w:rPr>
        <w:fldChar w:fldCharType="begin" w:fldLock="1"/>
      </w:r>
      <w:r w:rsidRPr="007B6755">
        <w:rPr>
          <w:rFonts w:eastAsia="CIDFont+F1"/>
          <w:lang w:val="en-US"/>
        </w:rPr>
        <w:instrText>ADDIN CSL_CITATION {"citationItems":[{"id":"ITEM-1","itemData":{"ISSN":"00048038, 19384254","author":[{"dropping-particle":"","family":"Kahn","given":"Nate W","non-dropping-particle":"","parse-names":false,"suffix":""},{"dropping-particle":"St.","family":"John","given":"Judith","non-dropping-particle":"","parse-names":false,"suffix":""},{"dropping-particle":"","family":"Quinn","given":"Thomas W","non-dropping-particle":"","parse-names":false,"suffix":""}],"container-title":"The Auk","id":"ITEM-1","issue":"4","issued":{"date-parts":[["1998"]]},"page":"1074-1078","publisher":"American Ornithological Society","title":"Chromosome-Specific Intron Size Differences in the Avian CHD Gene Provide an Efficient Method for Sex Identification in Birds","type":"article-journal","volume":"115"},"uris":["http://www.mendeley.com/documents/?uuid=665368b4-b8dd-43e7-8011-ac5959c19418"]}],"mendeley":{"formattedCitation":"(Kahn, John, and Quinn 1998)","manualFormatting":"(Kahn et al. 1998)","plainTextFormattedCitation":"(Kahn, John, and Quinn 1998)","previouslyFormattedCitation":"(Kahn, John, and Quinn 1998)"},"properties":{"noteIndex":0},"schema":"https://github.com/citation-style-language/schema/raw/master/csl-citation.json"}</w:instrText>
      </w:r>
      <w:r w:rsidRPr="007B6755">
        <w:rPr>
          <w:rStyle w:val="Rimandonotaapidipagina"/>
          <w:rFonts w:eastAsia="CIDFont+F1"/>
        </w:rPr>
        <w:fldChar w:fldCharType="separate"/>
      </w:r>
      <w:r w:rsidRPr="007B6755">
        <w:rPr>
          <w:rFonts w:eastAsia="CIDFont+F1"/>
          <w:noProof/>
          <w:lang w:val="en-US"/>
        </w:rPr>
        <w:t>(Kahn et al. 1998)</w:t>
      </w:r>
      <w:r w:rsidRPr="007B6755">
        <w:rPr>
          <w:rStyle w:val="Rimandonotaapidipagina"/>
          <w:rFonts w:eastAsia="CIDFont+F1"/>
        </w:rPr>
        <w:fldChar w:fldCharType="end"/>
      </w:r>
      <w:r w:rsidRPr="007B6755">
        <w:rPr>
          <w:rFonts w:eastAsia="CIDFont+F1"/>
          <w:lang w:val="en-US"/>
        </w:rPr>
        <w:t xml:space="preserve"> that resulted in two fragments of 232 and 266 bp for females, and one fragment of 232 bp for males. </w:t>
      </w:r>
      <w:r w:rsidRPr="007B6755">
        <w:rPr>
          <w:lang w:val="en-US"/>
        </w:rPr>
        <w:t xml:space="preserve">All PCR reactions were performed on a </w:t>
      </w:r>
      <w:proofErr w:type="spellStart"/>
      <w:r w:rsidRPr="007B6755">
        <w:rPr>
          <w:lang w:val="en-US"/>
        </w:rPr>
        <w:t>Veriti</w:t>
      </w:r>
      <w:proofErr w:type="spellEnd"/>
      <w:r w:rsidRPr="007B6755">
        <w:rPr>
          <w:lang w:val="en-US"/>
        </w:rPr>
        <w:t xml:space="preserve"> 96 well thermal cycler (Applied Biosystems), under the reaction conditions shown in </w:t>
      </w:r>
      <w:r w:rsidRPr="00E40130">
        <w:rPr>
          <w:lang w:val="en-US"/>
        </w:rPr>
        <w:t>Table S9</w:t>
      </w:r>
      <w:r w:rsidRPr="007B6755">
        <w:rPr>
          <w:lang w:val="en-US"/>
        </w:rPr>
        <w:t>.</w:t>
      </w:r>
      <w:r w:rsidRPr="007B6755">
        <w:rPr>
          <w:rFonts w:eastAsia="CIDFont+F1"/>
          <w:lang w:val="en-US"/>
        </w:rPr>
        <w:t xml:space="preserve"> Band sizes and concentrations of amplification products were checked on capillary electrophoresis using </w:t>
      </w:r>
      <w:proofErr w:type="spellStart"/>
      <w:r w:rsidRPr="007B6755">
        <w:rPr>
          <w:rFonts w:eastAsia="CIDFont+F1"/>
          <w:lang w:val="en-US"/>
        </w:rPr>
        <w:t>QIAxcel</w:t>
      </w:r>
      <w:proofErr w:type="spellEnd"/>
      <w:r w:rsidRPr="007B6755">
        <w:rPr>
          <w:rFonts w:eastAsia="CIDFont+F1"/>
          <w:lang w:val="en-US"/>
        </w:rPr>
        <w:t xml:space="preserve"> with DNA </w:t>
      </w:r>
      <w:proofErr w:type="gramStart"/>
      <w:r w:rsidRPr="007B6755">
        <w:rPr>
          <w:rFonts w:eastAsia="CIDFont+F1"/>
          <w:lang w:val="en-US"/>
        </w:rPr>
        <w:t>High</w:t>
      </w:r>
      <w:proofErr w:type="gramEnd"/>
      <w:r w:rsidRPr="007B6755">
        <w:rPr>
          <w:rFonts w:eastAsia="CIDFont+F1"/>
          <w:lang w:val="en-US"/>
        </w:rPr>
        <w:t xml:space="preserve"> Sensitive cartridge </w:t>
      </w:r>
      <w:r w:rsidRPr="007B6755">
        <w:rPr>
          <w:lang w:val="en-US"/>
        </w:rPr>
        <w:t xml:space="preserve">(Qiagen, GmbH, Hilden, Germany). </w:t>
      </w:r>
      <w:r w:rsidRPr="007B6755">
        <w:rPr>
          <w:rFonts w:eastAsia="CIDFont+F1"/>
          <w:lang w:val="en-US"/>
        </w:rPr>
        <w:t xml:space="preserve"> </w:t>
      </w:r>
      <w:r w:rsidRPr="007B6755">
        <w:rPr>
          <w:lang w:val="en-US"/>
        </w:rPr>
        <w:t xml:space="preserve">Amplified products with amplicons of the expected size were purified using the Exo-SAP kit (USB corporation – USA), and then sequenced with the ABI 3130XL DNA sequencer (Applied Biosystem, Foster City, CA, USA). Sequencing products were analyzed with </w:t>
      </w:r>
      <w:proofErr w:type="spellStart"/>
      <w:r w:rsidRPr="007B6755">
        <w:rPr>
          <w:lang w:val="en-US"/>
        </w:rPr>
        <w:t>Sequencher</w:t>
      </w:r>
      <w:proofErr w:type="spellEnd"/>
      <w:r w:rsidRPr="007B6755">
        <w:rPr>
          <w:lang w:val="en-US"/>
        </w:rPr>
        <w:t xml:space="preserve"> v.4.7 (Gene Codes Corporation, Ann Arbor, MI, USA) to remove primer sequences and to check for base-calling errors. Haplotypes were identified with </w:t>
      </w:r>
      <w:proofErr w:type="spellStart"/>
      <w:r w:rsidRPr="007B6755">
        <w:rPr>
          <w:lang w:val="en-US"/>
        </w:rPr>
        <w:t>Fabox</w:t>
      </w:r>
      <w:proofErr w:type="spellEnd"/>
      <w:r w:rsidRPr="007B6755">
        <w:rPr>
          <w:lang w:val="en-US"/>
        </w:rPr>
        <w:t xml:space="preserve"> v.1.5 </w:t>
      </w:r>
      <w:r w:rsidRPr="007B6755">
        <w:rPr>
          <w:rStyle w:val="Rimandonotaapidipagina"/>
        </w:rPr>
        <w:fldChar w:fldCharType="begin" w:fldLock="1"/>
      </w:r>
      <w:r w:rsidRPr="007B6755">
        <w:rPr>
          <w:lang w:val="en-US"/>
        </w:rPr>
        <w:instrText>ADDIN CSL_CITATION {"citationItems":[{"id":"ITEM-1","itemData":{"DOI":"10.1111/j.1471-8286.2007.01821.x","ISBN":"1471-8286","ISSN":"14718278","abstract":"FaBox is a collection of simple and intuitive web services that enable biologists and medical researchers to quickly perform typical task with sequence data. The services makes it easy to extract, edit, and replace sequence headers and join or divide data sets based on header information. Other services include collapsing a set of sequences into haplotypes and automated formatting of input files for a number of population genetics programs, such as ARLEQUIN , TCS and MRBAYES . The toolbox is expected to grow on the basis of requests for particular services and converters in the future. FaBox is freely available at www.birc.au.dk/fabox.","author":[{"dropping-particle":"","family":"Villesen","given":"P","non-dropping-particle":"","parse-names":false,"suffix":""}],"container-title":"Molecular Ecology Notes","id":"ITEM-1","issue":"6","issued":{"date-parts":[["2007","11"]]},"page":"965-968","publisher":"Wiley/Blackwell (10.1111)","title":"FaBox: An online toolbox for FASTA sequences","type":"article-journal","volume":"7"},"uris":["http://www.mendeley.com/documents/?uuid=70b70b9a-d92b-4ea0-948e-f3c4d91a6dc8"]}],"mendeley":{"formattedCitation":"(Villesen 2007)","plainTextFormattedCitation":"(Villesen 2007)","previouslyFormattedCitation":"(Villesen 2007)"},"properties":{"noteIndex":0},"schema":"https://github.com/citation-style-language/schema/raw/master/csl-citation.json"}</w:instrText>
      </w:r>
      <w:r w:rsidRPr="007B6755">
        <w:rPr>
          <w:rStyle w:val="Rimandonotaapidipagina"/>
        </w:rPr>
        <w:fldChar w:fldCharType="separate"/>
      </w:r>
      <w:r w:rsidRPr="007B6755">
        <w:rPr>
          <w:bCs/>
          <w:noProof/>
          <w:lang w:val="en-US"/>
        </w:rPr>
        <w:t>(Villesen 2007)</w:t>
      </w:r>
      <w:r w:rsidRPr="007B6755">
        <w:rPr>
          <w:rStyle w:val="Rimandonotaapidipagina"/>
        </w:rPr>
        <w:fldChar w:fldCharType="end"/>
      </w:r>
      <w:r w:rsidRPr="007B6755">
        <w:rPr>
          <w:lang w:val="en-US"/>
        </w:rPr>
        <w:t xml:space="preserve"> by comparing them with 56 sequences downloaded from GenBank.</w:t>
      </w:r>
      <w:r w:rsidRPr="007B6755">
        <w:rPr>
          <w:rFonts w:eastAsia="CIDFont+F1"/>
          <w:lang w:val="en-US"/>
        </w:rPr>
        <w:t xml:space="preserve"> </w:t>
      </w:r>
      <w:r w:rsidRPr="007B6755">
        <w:rPr>
          <w:lang w:val="en-US"/>
        </w:rPr>
        <w:t xml:space="preserve">The amplification was repeated using 5 </w:t>
      </w:r>
      <w:r w:rsidRPr="007B6755">
        <w:rPr>
          <w:rFonts w:eastAsia="CIDFont+F1"/>
          <w:lang w:val="en-US"/>
        </w:rPr>
        <w:t>µL</w:t>
      </w:r>
      <w:r w:rsidRPr="007B6755">
        <w:rPr>
          <w:lang w:val="en-US"/>
        </w:rPr>
        <w:t xml:space="preserve"> of DNA for samples with no amplicons or amplicons with low concentration. Negative controls were added to each amplification batch.</w:t>
      </w:r>
      <w:r w:rsidRPr="007B6755">
        <w:rPr>
          <w:rFonts w:eastAsia="CIDFont+F1"/>
          <w:lang w:val="en-US"/>
        </w:rPr>
        <w:t xml:space="preserve"> </w:t>
      </w:r>
      <w:r w:rsidRPr="007B6755">
        <w:rPr>
          <w:lang w:val="en-US"/>
        </w:rPr>
        <w:t>Only samples with products of the expected size for at least one of the previous markers were used to amplify microsatellite markers.</w:t>
      </w:r>
    </w:p>
    <w:p w14:paraId="74A2054F" w14:textId="77777777" w:rsidR="007B6755" w:rsidRPr="007B6755" w:rsidRDefault="006C0241" w:rsidP="007B6755">
      <w:pPr>
        <w:spacing w:after="0" w:line="360" w:lineRule="auto"/>
        <w:ind w:firstLine="708"/>
        <w:jc w:val="both"/>
        <w:rPr>
          <w:lang w:val="en-US"/>
        </w:rPr>
      </w:pPr>
      <w:r w:rsidRPr="007B6755">
        <w:rPr>
          <w:rFonts w:eastAsia="CIDFont+F1"/>
          <w:lang w:val="en-US"/>
        </w:rPr>
        <w:t>For the individual genotyping, a</w:t>
      </w:r>
      <w:r w:rsidR="00C73A38" w:rsidRPr="007B6755">
        <w:rPr>
          <w:rFonts w:eastAsia="CIDFont+F1"/>
          <w:lang w:val="en-US"/>
        </w:rPr>
        <w:t xml:space="preserve">s no species-specific </w:t>
      </w:r>
      <w:r w:rsidRPr="007B6755">
        <w:rPr>
          <w:rFonts w:eastAsia="CIDFont+F1"/>
          <w:lang w:val="en-US"/>
        </w:rPr>
        <w:t xml:space="preserve">microsatellite </w:t>
      </w:r>
      <w:r w:rsidR="00C73A38" w:rsidRPr="007B6755">
        <w:rPr>
          <w:rFonts w:eastAsia="CIDFont+F1"/>
          <w:lang w:val="en-US"/>
        </w:rPr>
        <w:t xml:space="preserve">markers were available for </w:t>
      </w:r>
      <w:proofErr w:type="spellStart"/>
      <w:r w:rsidRPr="007B6755">
        <w:rPr>
          <w:rFonts w:eastAsia="CIDFont+F1"/>
          <w:i/>
          <w:iCs/>
          <w:lang w:val="en-US"/>
        </w:rPr>
        <w:t>Tetrastes</w:t>
      </w:r>
      <w:proofErr w:type="spellEnd"/>
      <w:r w:rsidRPr="007B6755">
        <w:rPr>
          <w:rFonts w:eastAsia="CIDFont+F1"/>
          <w:i/>
          <w:iCs/>
          <w:lang w:val="en-US"/>
        </w:rPr>
        <w:t xml:space="preserve"> </w:t>
      </w:r>
      <w:proofErr w:type="spellStart"/>
      <w:r w:rsidR="00C73A38" w:rsidRPr="007B6755">
        <w:rPr>
          <w:rFonts w:eastAsia="CIDFont+F1"/>
          <w:i/>
          <w:iCs/>
          <w:lang w:val="en-US"/>
        </w:rPr>
        <w:t>bonasia</w:t>
      </w:r>
      <w:proofErr w:type="spellEnd"/>
      <w:r w:rsidR="00C73A38" w:rsidRPr="007B6755">
        <w:rPr>
          <w:rFonts w:eastAsia="CIDFont+F1"/>
          <w:lang w:val="en-US"/>
        </w:rPr>
        <w:t xml:space="preserve">, we decided to test-cross TUT1, TUT2 and TUT3 (developed for capercaillie </w:t>
      </w:r>
      <w:r w:rsidR="00C73A38" w:rsidRPr="007B6755">
        <w:rPr>
          <w:rFonts w:eastAsia="CIDFont+F1"/>
          <w:i/>
          <w:iCs/>
          <w:lang w:val="en-US"/>
        </w:rPr>
        <w:t>Tetrao urogallus</w:t>
      </w:r>
      <w:r w:rsidR="00C73A38" w:rsidRPr="007B6755">
        <w:rPr>
          <w:rFonts w:eastAsia="CIDFont+F1"/>
          <w:lang w:val="en-US"/>
        </w:rPr>
        <w:t>;</w:t>
      </w:r>
      <w:r w:rsidR="00C73A38" w:rsidRPr="007B6755">
        <w:rPr>
          <w:rStyle w:val="Rimandonotaapidipagina"/>
          <w:rFonts w:eastAsia="CIDFont+F1"/>
        </w:rPr>
        <w:fldChar w:fldCharType="begin" w:fldLock="1"/>
      </w:r>
      <w:r w:rsidR="00C73A38" w:rsidRPr="007B6755">
        <w:rPr>
          <w:rFonts w:eastAsia="CIDFont+F1"/>
          <w:lang w:val="en-US"/>
        </w:rPr>
        <w:instrText>ADDIN CSL_CITATION {"citationItems":[{"id":"ITEM-1","itemData":{"DOI":"10.1046/j.1365-294X.2000.0090111934.x","ISBN":"0962-1083","ISSN":"09621083","PMID":"11091338","abstract":"primers note","author":[{"dropping-particle":"","family":"Segelbacher","given":"Gernot","non-dropping-particle":"","parse-names":false,"suffix":""},{"dropping-particle":"","family":"Paxton","given":"R. J.","non-dropping-particle":"","parse-names":false,"suffix":""},{"dropping-particle":"","family":"Steinbrück","given":"G.","non-dropping-particle":"","parse-names":false,"suffix":""},{"dropping-particle":"","family":"Trontelj","given":"P.","non-dropping-particle":"","parse-names":false,"suffix":""},{"dropping-particle":"","family":"Storch","given":"I.","non-dropping-particle":"","parse-names":false,"suffix":""}],"container-title":"Molecular Ecology","id":"ITEM-1","issue":"11","issued":{"date-parts":[["2000","11"]]},"page":"1934-1935","publisher":"Wiley/Blackwell (10.1111)","title":"Characterization of microsatellites in capercaillie Tetrao urogallus (AVES)","type":"article-journal","volume":"9"},"uris":["http://www.mendeley.com/documents/?uuid=7fa682eb-83b4-38c8-985a-076e4d732c01"]}],"mendeley":{"formattedCitation":"(Segelbacher et al. 2000)","plainTextFormattedCitation":"(Segelbacher et al. 2000)","previouslyFormattedCitation":"(Segelbacher et al. 2000)"},"properties":{"noteIndex":0},"schema":"https://github.com/citation-style-language/schema/raw/master/csl-citation.json"}</w:instrText>
      </w:r>
      <w:r w:rsidR="00C73A38" w:rsidRPr="007B6755">
        <w:rPr>
          <w:rStyle w:val="Rimandonotaapidipagina"/>
          <w:rFonts w:eastAsia="CIDFont+F1"/>
        </w:rPr>
        <w:fldChar w:fldCharType="separate"/>
      </w:r>
      <w:r w:rsidR="00C73A38" w:rsidRPr="007B6755">
        <w:rPr>
          <w:rFonts w:eastAsia="CIDFont+F1"/>
          <w:bCs/>
          <w:noProof/>
          <w:lang w:val="en-US"/>
        </w:rPr>
        <w:t xml:space="preserve"> Segelbacher et al. 2000)</w:t>
      </w:r>
      <w:r w:rsidR="00C73A38" w:rsidRPr="007B6755">
        <w:rPr>
          <w:rStyle w:val="Rimandonotaapidipagina"/>
          <w:rFonts w:eastAsia="CIDFont+F1"/>
        </w:rPr>
        <w:fldChar w:fldCharType="end"/>
      </w:r>
      <w:r w:rsidR="00C73A38" w:rsidRPr="007B6755">
        <w:rPr>
          <w:rFonts w:eastAsia="CIDFont+F1"/>
          <w:lang w:val="en-US"/>
        </w:rPr>
        <w:t xml:space="preserve">, BG4, BG6, BG15, BG16 and BG18 (developed for black grouse </w:t>
      </w:r>
      <w:r w:rsidR="00C73A38" w:rsidRPr="007B6755">
        <w:rPr>
          <w:rFonts w:eastAsia="CIDFont+F1"/>
          <w:i/>
          <w:iCs/>
          <w:lang w:val="en-US"/>
        </w:rPr>
        <w:t xml:space="preserve">Tetrao </w:t>
      </w:r>
      <w:proofErr w:type="spellStart"/>
      <w:r w:rsidR="00C73A38" w:rsidRPr="007B6755">
        <w:rPr>
          <w:rFonts w:eastAsia="CIDFont+F1"/>
          <w:i/>
          <w:iCs/>
          <w:lang w:val="en-US"/>
        </w:rPr>
        <w:t>tetrix</w:t>
      </w:r>
      <w:proofErr w:type="spellEnd"/>
      <w:r w:rsidR="00C73A38" w:rsidRPr="007B6755">
        <w:rPr>
          <w:rFonts w:eastAsia="CIDFont+F1"/>
          <w:lang w:val="en-US"/>
        </w:rPr>
        <w:t>;</w:t>
      </w:r>
      <w:r w:rsidR="00C73A38" w:rsidRPr="007B6755">
        <w:rPr>
          <w:rFonts w:eastAsia="CIDFont+F1"/>
          <w:i/>
          <w:iCs/>
          <w:lang w:val="en-US"/>
        </w:rPr>
        <w:t xml:space="preserve"> </w:t>
      </w:r>
      <w:r w:rsidR="00C73A38" w:rsidRPr="007B6755">
        <w:rPr>
          <w:rStyle w:val="Rimandonotaapidipagina"/>
          <w:rFonts w:eastAsia="CIDFont+F1"/>
        </w:rPr>
        <w:fldChar w:fldCharType="begin" w:fldLock="1"/>
      </w:r>
      <w:r w:rsidR="00C73A38" w:rsidRPr="007B6755">
        <w:rPr>
          <w:rFonts w:eastAsia="CIDFont+F1"/>
          <w:lang w:val="en-US"/>
        </w:rPr>
        <w:instrText>ADDIN CSL_CITATION {"citationItems":[{"id":"ITEM-1","itemData":{"DOI":"10.1046/j.1471-8278.2001.00118.x","author":[{"dropping-particle":"","family":"Piertney","given":"Stuart","non-dropping-particle":"","parse-names":false,"suffix":""},{"dropping-particle":"","family":"Höglund","given":"Jacob","non-dropping-particle":"","parse-names":false,"suffix":""}],"container-title":"Molecular Ecology Notes","id":"ITEM-1","issued":{"date-parts":[["2001"]]},"page":"303-304","title":"Polymorphic microsatellite DNA markers in black grouse (Tetrao tetrix)","type":"article-journal","volume":"1"},"uris":["http://www.mendeley.com/documents/?uuid=dfefb322-a8d2-42da-a05a-c691a1170562"]}],"mendeley":{"formattedCitation":"(Piertney and Höglund 2001)","plainTextFormattedCitation":"(Piertney and Höglund 2001)","previouslyFormattedCitation":"(Piertney and Höglund 2001)"},"properties":{"noteIndex":0},"schema":"https://github.com/citation-style-language/schema/raw/master/csl-citation.json"}</w:instrText>
      </w:r>
      <w:r w:rsidR="00C73A38" w:rsidRPr="007B6755">
        <w:rPr>
          <w:rStyle w:val="Rimandonotaapidipagina"/>
          <w:rFonts w:eastAsia="CIDFont+F1"/>
        </w:rPr>
        <w:fldChar w:fldCharType="separate"/>
      </w:r>
      <w:r w:rsidR="00C73A38" w:rsidRPr="007B6755">
        <w:rPr>
          <w:rFonts w:eastAsia="CIDFont+F1"/>
          <w:noProof/>
          <w:lang w:val="en-US"/>
        </w:rPr>
        <w:t>Piertney &amp; Höglund 2001)</w:t>
      </w:r>
      <w:r w:rsidR="00C73A38" w:rsidRPr="007B6755">
        <w:rPr>
          <w:rStyle w:val="Rimandonotaapidipagina"/>
          <w:rFonts w:eastAsia="CIDFont+F1"/>
        </w:rPr>
        <w:fldChar w:fldCharType="end"/>
      </w:r>
      <w:r w:rsidR="00C73A38" w:rsidRPr="007B6755">
        <w:rPr>
          <w:rFonts w:eastAsia="CIDFont+F1"/>
          <w:lang w:val="en-US"/>
        </w:rPr>
        <w:t xml:space="preserve">, and ADL142, ADL184 and ADL230 (developed for </w:t>
      </w:r>
      <w:r w:rsidR="00C73A38" w:rsidRPr="007B6755">
        <w:rPr>
          <w:rFonts w:eastAsia="CIDFont+F1"/>
          <w:i/>
          <w:iCs/>
          <w:lang w:val="en-US"/>
        </w:rPr>
        <w:t>Gallus gallus</w:t>
      </w:r>
      <w:r w:rsidR="00C73A38" w:rsidRPr="007B6755">
        <w:rPr>
          <w:rFonts w:eastAsia="CIDFont+F1"/>
          <w:lang w:val="en-US"/>
        </w:rPr>
        <w:t xml:space="preserve">) </w:t>
      </w:r>
      <w:r w:rsidR="00C73A38" w:rsidRPr="007B6755">
        <w:rPr>
          <w:rStyle w:val="Rimandonotaapidipagina"/>
          <w:rFonts w:eastAsia="CIDFont+F1"/>
        </w:rPr>
        <w:fldChar w:fldCharType="begin" w:fldLock="1"/>
      </w:r>
      <w:r w:rsidR="00C73A38" w:rsidRPr="007B6755">
        <w:rPr>
          <w:rFonts w:eastAsia="CIDFont+F1"/>
          <w:lang w:val="en-US"/>
        </w:rPr>
        <w:instrText>ADDIN CSL_CITATION {"citationItems":[{"id":"ITEM-1","itemData":{"DOI":"10.3382/ps.0730539","ISBN":"0032-5791","ISSN":"00325791","PMID":"8202433","abstract":"Microsatellite markers have been found to be abundant, evenly distributed, and highly polymorphic in a number of eukaryotic genomes. The objective of this study was to determine the utility of (TG)n microsa</w:instrText>
      </w:r>
      <w:r w:rsidR="00C73A38" w:rsidRPr="007B6755">
        <w:rPr>
          <w:rFonts w:eastAsia="CIDFont+F1"/>
        </w:rPr>
        <w:instrText>tellites in the chicken. A chicken library enriched for (TG)n repeats was generated and 42 unique clones containing (TG)n microsatellites were identified and sequenced. The number of uninterrupted TG repeats ranged from 4 to 14 with an average of 7.8, which was considerably less than the number of repeats found in mammalian species. When primers designed to amplify across the (TG)n microsatellites were used in polymerase chain reactions (PCR) containing genomic chicken DNA, 19 of the 33 primer s</w:instrText>
      </w:r>
      <w:r w:rsidR="00C73A38" w:rsidRPr="007B6755">
        <w:rPr>
          <w:rFonts w:eastAsia="CIDFont+F1"/>
          <w:lang w:val="en-US"/>
        </w:rPr>
        <w:instrText>ets examined yielded polymorphisms in at least one of the three sets of chicken families: 15, 11, and 11 primer sets detected polymorphisms in the East Lansing (EL) reference population, the Compton (C) reference family, and between Line 63 and Line 72 chickens, respectively. The polymorphic microsatellite markers in the EL and C reference families were genetically mapped. Nine and seven mapped markers in the EL and C reference families, respectively, are polymorphic between Line 63 and Line 72, indicating that microsatellite markers will greatly enhance the ability to genotype specific loci of any chicken population.","author":[{"dropping-particle":"","family":"Cheng","given":"H. H.","non-dropping-particle":"","parse-names":false,"suffix":""},{"dropping-particle":"","family":"Crittenden","given":"L. B.","non-dropping-particle":"","parse-names":false,"suffix":""}],"container-title":"Poultry science","id":"ITEM-1","issue":"4","issued":{"date-parts":[["1994","4","1"]]},"page":"539-546","title":"Microsatellite markers for genetic mapping in the chicken.","type":"article-journal","volume":"73"},"uris":["http://www.mendeley.com/documents/?uuid=ea570552-f365-3789-a6f6-d009e9dbdd41"]}],"mendeley":{"formattedCitation":"(Cheng and Crittenden 1994)","plainTextFormattedCitation":"(Cheng and Crittenden 1994)","previouslyFormattedCitation":"(Cheng and Crittenden 1994)"},"properties":{"noteIndex":0},"schema":"https://github.com/citation-style-language/schema/raw/master/csl-citation.json"}</w:instrText>
      </w:r>
      <w:r w:rsidR="00C73A38" w:rsidRPr="007B6755">
        <w:rPr>
          <w:rStyle w:val="Rimandonotaapidipagina"/>
          <w:rFonts w:eastAsia="CIDFont+F1"/>
        </w:rPr>
        <w:fldChar w:fldCharType="separate"/>
      </w:r>
      <w:r w:rsidR="00C73A38" w:rsidRPr="007B6755">
        <w:rPr>
          <w:rFonts w:eastAsia="CIDFont+F1"/>
          <w:bCs/>
          <w:noProof/>
          <w:lang w:val="en-US"/>
        </w:rPr>
        <w:t>(Cheng and Crittenden 1994)</w:t>
      </w:r>
      <w:r w:rsidR="00C73A38" w:rsidRPr="007B6755">
        <w:rPr>
          <w:rStyle w:val="Rimandonotaapidipagina"/>
          <w:rFonts w:eastAsia="CIDFont+F1"/>
        </w:rPr>
        <w:fldChar w:fldCharType="end"/>
      </w:r>
      <w:r w:rsidR="00C73A38" w:rsidRPr="007B6755">
        <w:rPr>
          <w:rFonts w:eastAsia="CIDFont+F1"/>
          <w:lang w:val="en-US"/>
        </w:rPr>
        <w:t xml:space="preserve">, some of which already used on invasive hazel grouse samples by </w:t>
      </w:r>
      <w:proofErr w:type="spellStart"/>
      <w:r w:rsidR="00C73A38" w:rsidRPr="007B6755">
        <w:rPr>
          <w:lang w:val="en-US"/>
        </w:rPr>
        <w:t>Sahlsten</w:t>
      </w:r>
      <w:proofErr w:type="spellEnd"/>
      <w:r w:rsidR="00C73A38" w:rsidRPr="007B6755">
        <w:rPr>
          <w:lang w:val="en-US"/>
        </w:rPr>
        <w:t xml:space="preserve"> et al. (2008) </w:t>
      </w:r>
      <w:r w:rsidR="00C73A38" w:rsidRPr="007B6755">
        <w:rPr>
          <w:rFonts w:eastAsia="CIDFont+F1"/>
          <w:lang w:val="en-US"/>
        </w:rPr>
        <w:t xml:space="preserve">and </w:t>
      </w:r>
      <w:proofErr w:type="spellStart"/>
      <w:r w:rsidR="00C73A38" w:rsidRPr="007B6755">
        <w:rPr>
          <w:lang w:val="en-US"/>
        </w:rPr>
        <w:t>Rózsa</w:t>
      </w:r>
      <w:proofErr w:type="spellEnd"/>
      <w:r w:rsidR="00C73A38" w:rsidRPr="007B6755">
        <w:rPr>
          <w:lang w:val="en-US"/>
        </w:rPr>
        <w:t xml:space="preserve"> et al. (2016)</w:t>
      </w:r>
      <w:r w:rsidR="00C73A38" w:rsidRPr="007B6755">
        <w:rPr>
          <w:rStyle w:val="Rimandonotaapidipagina"/>
        </w:rPr>
        <w:fldChar w:fldCharType="begin" w:fldLock="1"/>
      </w:r>
      <w:r w:rsidR="00C73A38" w:rsidRPr="007B6755">
        <w:rPr>
          <w:lang w:val="en-US"/>
        </w:rPr>
        <w:instrText>ADDIN CSL_CITATION {"citationItems":[{"id":"ITEM-1","itemData":{"DOI":"10.1007/s10592-015-0792-3","abstract":"Biogeographic range expansions, when related to dispersal limitation, may have counter intuitive effects on genetic diversity. At range margins the relative roles of demographic changes, connectivity and genetic diversity need to be integrated for a successful assessment of population viability. Historically the Hazel grouse (Bonasa bonasia) in France was found in the north of the French Alps and also in a disjunct population in the nearby Jura Mountains. The species has recently undergone a range expansion in a north to south axis in the Alps. Local population size estimates and migration patterns during expansion have previously been studied. In this study, we performed genotyping at neutral (microsatellite) and adaptive (MHC) genetic markers in Hazel grouse. We compared diversity and differentiation (F ST and D EST) at three sampling localities along the expansion axis in the French Alps and Jura, as well as at two sampling localities in Sweden, where the population has had a long-term continuous and stable distribution. Strong serial founder effects were found between the French localities, resulting in stronger isolation further south, with a relatively high neutral differentiation (pair-wise F ST = 0.117). However, the loss of adaptive diversity MHC was slight. No adaptive differentiation (MHC D EST =-0.015) was observed, thus, the French localities can be considered uniform units with regard to MHC diversity, a criterion to treat populations in these localities as a management unit.","author":[{"dropping-particle":"","family":"Rózsa","given":"Jani","non-dropping-particle":"","parse-names":false,"suffix":""},{"dropping-particle":"","family":"Strand","given":"Tanja M","non-dropping-particle":"","parse-names":false,"suffix":""},{"dropping-particle":"","family":"Montadert","given":"Marc","non-dropping-particle":"","parse-names":false,"suffix":""},{"dropping-particle":"","family":"Radoslav Kozma","given":"•","non-dropping-particle":"","parse-names":false,"suffix":""},{"dropping-particle":"","family":"Höglund","given":"• Jacob","non-dropping-particle":"","parse-names":false,"suffix":""}],"container-title":"Conservation Genetics","id":"ITEM-1","issued":{"date-parts":[["2016"]]},"page":"401-412","title":"Effects of a range expansion on adaptive and neutral genetic diversity in dispersal limited Hazel grouse (Bonasa bonasia) in the French Alps","type":"article-journal","volume":"17"},"uris":["http://www.mendeley.com/documents/?uuid=8b286762-4f14-3926-908b-b2b4d4fc88e0"]}],"mendeley":{"formattedCitation":"(Rózsa et al. 2016)","plainTextFormattedCitation":"(Rózsa et al. 2016)","previouslyFormattedCitation":"(Rózsa et al. 2016)"},"properties":{"noteIndex":0},"schema":"https://github.com/citation-style-language/schema/raw/master/csl-citation.json"}</w:instrText>
      </w:r>
      <w:r w:rsidR="00C73A38" w:rsidRPr="007B6755">
        <w:rPr>
          <w:rStyle w:val="Rimandonotaapidipagina"/>
        </w:rPr>
        <w:fldChar w:fldCharType="end"/>
      </w:r>
      <w:r w:rsidR="00C73A38" w:rsidRPr="007B6755">
        <w:rPr>
          <w:lang w:val="en-US"/>
        </w:rPr>
        <w:t xml:space="preserve"> and on non-invasive samples by Rutkowski et al. (2012). Markers were amplified through 4 </w:t>
      </w:r>
      <w:proofErr w:type="spellStart"/>
      <w:r w:rsidR="00C73A38" w:rsidRPr="007B6755">
        <w:rPr>
          <w:lang w:val="en-US"/>
        </w:rPr>
        <w:t>multilocus</w:t>
      </w:r>
      <w:proofErr w:type="spellEnd"/>
      <w:r w:rsidR="00C73A38" w:rsidRPr="007B6755">
        <w:rPr>
          <w:lang w:val="en-US"/>
        </w:rPr>
        <w:t xml:space="preserve"> amplifications (MPX) on a </w:t>
      </w:r>
      <w:proofErr w:type="spellStart"/>
      <w:r w:rsidR="00C73A38" w:rsidRPr="007B6755">
        <w:rPr>
          <w:lang w:val="en-US"/>
        </w:rPr>
        <w:t>Veriti</w:t>
      </w:r>
      <w:proofErr w:type="spellEnd"/>
      <w:r w:rsidR="00C73A38" w:rsidRPr="007B6755">
        <w:rPr>
          <w:lang w:val="en-US"/>
        </w:rPr>
        <w:t xml:space="preserve"> 96 well thermal cycler (Applied Biosystems), under the reaction conditions shown in </w:t>
      </w:r>
      <w:r w:rsidRPr="00E40130">
        <w:rPr>
          <w:lang w:val="en-US"/>
        </w:rPr>
        <w:t>Table S9.</w:t>
      </w:r>
      <w:r w:rsidRPr="007B6755">
        <w:rPr>
          <w:b/>
          <w:bCs/>
          <w:lang w:val="en-US"/>
        </w:rPr>
        <w:t xml:space="preserve"> </w:t>
      </w:r>
      <w:r w:rsidR="00C73A38" w:rsidRPr="007B6755">
        <w:rPr>
          <w:lang w:val="en-US"/>
        </w:rPr>
        <w:t xml:space="preserve">All forward primers were labelled at the 5’ with fluorochromes from the DS-33 Matrix Standard Kit (Dye Set G5, Applied </w:t>
      </w:r>
      <w:proofErr w:type="spellStart"/>
      <w:r w:rsidR="00C73A38" w:rsidRPr="007B6755">
        <w:rPr>
          <w:lang w:val="en-US"/>
        </w:rPr>
        <w:t>Biosystems</w:t>
      </w:r>
      <w:r w:rsidR="00C73A38" w:rsidRPr="007B6755">
        <w:rPr>
          <w:vertAlign w:val="superscript"/>
          <w:lang w:val="en-US"/>
        </w:rPr>
        <w:t>TM</w:t>
      </w:r>
      <w:proofErr w:type="spellEnd"/>
      <w:r w:rsidR="00C73A38" w:rsidRPr="007B6755">
        <w:rPr>
          <w:lang w:val="en-US"/>
        </w:rPr>
        <w:t>). Genotyping was carried out on an AB3730XL Genetic Analyzer</w:t>
      </w:r>
      <w:r w:rsidR="00C73A38" w:rsidRPr="007B6755" w:rsidDel="00F36BD2">
        <w:rPr>
          <w:lang w:val="en-US"/>
        </w:rPr>
        <w:t xml:space="preserve"> </w:t>
      </w:r>
      <w:r w:rsidR="00C73A38" w:rsidRPr="007B6755">
        <w:rPr>
          <w:lang w:val="en-US"/>
        </w:rPr>
        <w:t xml:space="preserve">(Applied Biosystems) and </w:t>
      </w:r>
      <w:r w:rsidR="00C73A38" w:rsidRPr="007B6755">
        <w:rPr>
          <w:rFonts w:eastAsia="CIDFont+F1"/>
          <w:lang w:val="en-US"/>
        </w:rPr>
        <w:t xml:space="preserve">sequencing products </w:t>
      </w:r>
      <w:r w:rsidR="00C73A38" w:rsidRPr="007B6755">
        <w:rPr>
          <w:lang w:val="en-US"/>
        </w:rPr>
        <w:t xml:space="preserve">were analyzed using </w:t>
      </w:r>
      <w:proofErr w:type="spellStart"/>
      <w:r w:rsidR="00C73A38" w:rsidRPr="007B6755">
        <w:rPr>
          <w:lang w:val="en-US"/>
        </w:rPr>
        <w:t>GeneMapper</w:t>
      </w:r>
      <w:proofErr w:type="spellEnd"/>
      <w:r w:rsidR="00C73A38" w:rsidRPr="007B6755">
        <w:rPr>
          <w:lang w:val="en-US"/>
        </w:rPr>
        <w:t xml:space="preserve"> v.5.0 (Applied </w:t>
      </w:r>
      <w:proofErr w:type="spellStart"/>
      <w:r w:rsidR="00C73A38" w:rsidRPr="007B6755">
        <w:rPr>
          <w:lang w:val="en-US"/>
        </w:rPr>
        <w:t>Biosystem</w:t>
      </w:r>
      <w:r w:rsidR="00C73A38" w:rsidRPr="007B6755">
        <w:rPr>
          <w:vertAlign w:val="superscript"/>
          <w:lang w:val="en-US"/>
        </w:rPr>
        <w:t>TM</w:t>
      </w:r>
      <w:proofErr w:type="spellEnd"/>
      <w:r w:rsidR="00C73A38" w:rsidRPr="007B6755">
        <w:rPr>
          <w:lang w:val="en-US"/>
        </w:rPr>
        <w:t>).  To reduce the influence of null alleles, allelic dropout, and false alleles, a minimum of two and four independent PCR reactions were performed for heterozygous and homozygous samples</w:t>
      </w:r>
      <w:r w:rsidR="00C73A38" w:rsidRPr="007B6755">
        <w:rPr>
          <w:rStyle w:val="Rimandonotaapidipagina"/>
        </w:rPr>
        <w:fldChar w:fldCharType="begin" w:fldLock="1"/>
      </w:r>
      <w:r w:rsidR="00C73A38" w:rsidRPr="007B6755">
        <w:rPr>
          <w:lang w:val="en-US"/>
        </w:rPr>
        <w:instrText>ADDIN CSL_CITATION {"citationItems":[{"id":"ITEM-1","itemData":{"DOI":"10.1093/nar/24.16.3189","ISBN":"0305-1048","ISSN":"13624962","PMID":"8774899","abstract":"Our purpose was to identify an experimental procedure using PCR that provides a reliable genotype at a microsatellite locus using only a few picograms of template DNA. Under these circumstances, it is possible (i) that one allele of a heterozygous individual will not be detected and (ii) that PCR-generated alleles or 'false alleles' will arise. A mathematical model has been developed to account for stochastic events when pipetting template DNA in a very dilute DNA extract and computer simulations have been performed. Laboratory experiments were also carried out using DNA extracted from a bear feces sample to determine if experimental results correlate with the mathematical model. The results of 150 typing experiments are consistent with the proposed model. Based on this model and the level of observed false alleles, an experimental procedure using the multiple tubes approach is proposed to obtain reliable genotypes with a confidence level of 99%. This multiple tubes procedure should be systematically used when genotyping nuclear loci of ancient or forensic samples, museum specimens and hair or feces of free ranging animals.","author":[{"dropping-particle":"","family":"Taberlet","given":"P","non-dropping-particle":"","parse-names":false,"suffix":""}],"container-title":"Nucleic Acids Research","id":"ITEM-1","issue":"16","issued":{"date-parts":[["1996"]]},"page":"3189-3194","publisher":"Oxford University Press","title":"Reliable genotyping of samples with very low DNA quantities using PCR","type":"article-journal","volume":"24"},"uris":["http://www.mendeley.com/documents/?uuid=ad9a45f2-ff0b-4977-9d4a-80a8004e24c1"]}],"mendeley":{"formattedCitation":"(Taberlet 1996)","manualFormatting":" (Taberlet 1996)","plainTextFormattedCitation":"(Taberlet 1996)","previouslyFormattedCitation":"(Taberlet 1996)"},"properties":{"noteIndex":0},"schema":"https://github.com/citation-style-language/schema/raw/master/csl-citation.json"}</w:instrText>
      </w:r>
      <w:r w:rsidR="00C73A38" w:rsidRPr="007B6755">
        <w:rPr>
          <w:rStyle w:val="Rimandonotaapidipagina"/>
        </w:rPr>
        <w:fldChar w:fldCharType="separate"/>
      </w:r>
      <w:r w:rsidR="00C73A38" w:rsidRPr="007B6755">
        <w:rPr>
          <w:noProof/>
          <w:lang w:val="en-US"/>
        </w:rPr>
        <w:t xml:space="preserve"> </w:t>
      </w:r>
      <w:r w:rsidR="00C73A38" w:rsidRPr="007B6755">
        <w:rPr>
          <w:bCs/>
          <w:noProof/>
          <w:lang w:val="en-US"/>
        </w:rPr>
        <w:t>(Taberlet 1996)</w:t>
      </w:r>
      <w:r w:rsidR="00C73A38" w:rsidRPr="007B6755">
        <w:rPr>
          <w:rStyle w:val="Rimandonotaapidipagina"/>
        </w:rPr>
        <w:fldChar w:fldCharType="end"/>
      </w:r>
      <w:r w:rsidR="00C73A38" w:rsidRPr="007B6755">
        <w:rPr>
          <w:lang w:val="en-US"/>
        </w:rPr>
        <w:t xml:space="preserve">, respectively. For doubtful results, single locus amplifications were conducted. Reliability of consensus genotypes, obtained from the replicates, were tested using </w:t>
      </w:r>
      <w:proofErr w:type="spellStart"/>
      <w:r w:rsidR="00C73A38" w:rsidRPr="007B6755">
        <w:rPr>
          <w:lang w:val="en-US"/>
        </w:rPr>
        <w:t>Reliotype</w:t>
      </w:r>
      <w:proofErr w:type="spellEnd"/>
      <w:r w:rsidR="00C73A38" w:rsidRPr="007B6755">
        <w:rPr>
          <w:lang w:val="en-US"/>
        </w:rPr>
        <w:t xml:space="preserve"> </w:t>
      </w:r>
      <w:r w:rsidR="00C73A38" w:rsidRPr="007B6755">
        <w:fldChar w:fldCharType="begin" w:fldLock="1"/>
      </w:r>
      <w:r w:rsidR="00C73A38" w:rsidRPr="007B6755">
        <w:rPr>
          <w:lang w:val="en-US"/>
        </w:rPr>
        <w:instrText>ADDIN CSL_CITATION {"citationItems":[{"id":"ITEM-1","itemData":{"ISSN":"0016-6731 (Print)","PMID":"11805071","abstract":"A growing number of population genetic studies utilize nuclear DNA microsatellite  data from museum specimens and noninvasive sources. Genotyping errors are elevated in these low quantity DNA sources, potentially compromising the power and accuracy of the data. The most conservative method for addressing this problem is effective, but requires extensive replication of individual genotypes. In search of a more efficient method, we developed a maximum-likelihood approach that minimizes errors by estimating genotype reliability and strategically directing replication at loci most likely to harbor errors. The model assumes that false and contaminant alleles can be removed from the dataset and that the allelic dropout rate is even across loci. Simulations demonstrate that the proposed method marks a vast improvement in efficiency while maintaining accuracy. When allelic dropout rates are low (0-30%), the reduction in the number of PCR replicates is typically 40-50%. The model is robust to moderate violations of the even dropout rate assumption. For datasets that contain false and contaminant alleles, a replication strategy is proposed. Our current model addresses only allelic dropout, the most prevalent source of genotyping error. However, the developed likelihood framework can incorporate additional error-generating processes as they become more clearly understood.","author":[{"dropping-particle":"","family":"Miller","given":"Craig R","non-dropping-particle":"","parse-names":false,"suffix":""},{"dropping-particle":"","family":"Joyce","given":"Paul","non-dropping-particle":"","parse-names":false,"suffix":""},{"dropping-particle":"","family":"Waits","given":"Lisette P","non-dropping-particle":"","parse-names":false,"suffix":""}],"container-title":"Genetics","id":"ITEM-1","issue":"1","issued":{"date-parts":[["2002","1"]]},"language":"eng","page":"357-366","title":"Assessing allelic dropout and genotype reliability using maximum likelihood.","type":"article-journal","volume":"160"},"uris":["http://www.mendeley.com/documents/?uuid=fd2fa211-9853-4484-ba22-110aee9cd1a5"]}],"mendeley":{"formattedCitation":"(Miller, Joyce, and Waits 2002)","manualFormatting":"(Miller et al. 2002)","plainTextFormattedCitation":"(Miller, Joyce, and Waits 2002)","previouslyFormattedCitation":"(Miller, Joyce, and Waits 2002)"},"properties":{"noteIndex":0},"schema":"https://github.com/citation-style-language/schema/raw/master/csl-citation.json"}</w:instrText>
      </w:r>
      <w:r w:rsidR="00C73A38" w:rsidRPr="007B6755">
        <w:fldChar w:fldCharType="separate"/>
      </w:r>
      <w:r w:rsidR="00C73A38" w:rsidRPr="007B6755">
        <w:rPr>
          <w:noProof/>
          <w:lang w:val="en-US"/>
        </w:rPr>
        <w:t>(</w:t>
      </w:r>
      <w:r w:rsidR="00C73A38" w:rsidRPr="007B6755">
        <w:rPr>
          <w:lang w:val="en-US"/>
        </w:rPr>
        <w:t>default settings</w:t>
      </w:r>
      <w:r w:rsidR="00C73A38" w:rsidRPr="007B6755">
        <w:rPr>
          <w:noProof/>
          <w:lang w:val="en-US"/>
        </w:rPr>
        <w:t>; Miller et al. 2002)</w:t>
      </w:r>
      <w:r w:rsidR="00C73A38" w:rsidRPr="007B6755">
        <w:fldChar w:fldCharType="end"/>
      </w:r>
      <w:r w:rsidR="00C73A38" w:rsidRPr="007B6755">
        <w:rPr>
          <w:lang w:val="en-US"/>
        </w:rPr>
        <w:t xml:space="preserve">. Genotypes with reliability &lt; 97% were discarded. PCR success and genotyping errors were estimated using </w:t>
      </w:r>
      <w:r w:rsidR="00C73A38" w:rsidRPr="007B6755">
        <w:rPr>
          <w:lang w:val="en-US"/>
        </w:rPr>
        <w:lastRenderedPageBreak/>
        <w:t>Gimlet 1.3.3</w:t>
      </w:r>
      <w:r w:rsidR="00C73A38" w:rsidRPr="007B6755">
        <w:rPr>
          <w:vertAlign w:val="superscript"/>
          <w:lang w:val="en-US"/>
        </w:rPr>
        <w:t xml:space="preserve"> </w:t>
      </w:r>
      <w:r w:rsidR="00C73A38" w:rsidRPr="007B6755">
        <w:rPr>
          <w:vertAlign w:val="superscript"/>
        </w:rPr>
        <w:fldChar w:fldCharType="begin" w:fldLock="1"/>
      </w:r>
      <w:r w:rsidR="00C73A38" w:rsidRPr="007B6755">
        <w:rPr>
          <w:vertAlign w:val="superscript"/>
          <w:lang w:val="en-US"/>
        </w:rPr>
        <w:instrText>ADDIN CSL_CITATION {"citationItems":[{"id":"ITEM-1","itemData":{"DOI":"https://doi.org/10.1046/j.1471-8286.2002.00228.x-i2","abstract":"Abstract Growing interest in microsatellite genotyping, combined with noninvasive genetic sampling has led to the increased production of data. New tools to analyse these data are required. gimlet is a user-friendly software package designed to perform several simple tasks: (i) construction of consensus genotypes from repeated genotyping; (ii) estimation of genotyping error rates; (iii) identification of identical genotypes; (iv) comparison of new genotypes to a set of reference genotypes; (v) determination of the kinship; and (vi) estimation of several population parameters such as allele frequencies, heterozygosity, probability of identity, and population size.","author":[{"dropping-particle":"","family":"Valière","given":"Nathaniel","non-dropping-particle":"","parse-names":false,"suffix":""}],"container-title":"Molecular Ecology Notes","id":"ITEM-1","issue":"3","issued":{"date-parts":[["2002"]]},"page":"377-379","title":"gimlet: a computer program for analysing genetic individual identification data","type":"article-journal","volume":"2"},"uris":["http://www.mendeley.com/documents/?uuid=5cfb4b29-01ad-483f-9a7c-8b1e7f7157dc"]}],"mendeley":{"formattedCitation":"(Valière 2002)","plainTextFormattedCitation":"(Valière 2002)","previouslyFormattedCitation":"(Valière 2002)"},"properties":{"noteIndex":0},"schema":"https://github.com/citation-style-language/schema/raw/master/csl-citation.json"}</w:instrText>
      </w:r>
      <w:r w:rsidR="00C73A38" w:rsidRPr="007B6755">
        <w:rPr>
          <w:vertAlign w:val="superscript"/>
        </w:rPr>
        <w:fldChar w:fldCharType="separate"/>
      </w:r>
      <w:r w:rsidR="00C73A38" w:rsidRPr="007B6755">
        <w:rPr>
          <w:noProof/>
          <w:lang w:val="en-US"/>
        </w:rPr>
        <w:t>(Valière 2002)</w:t>
      </w:r>
      <w:r w:rsidR="00C73A38" w:rsidRPr="007B6755">
        <w:rPr>
          <w:vertAlign w:val="superscript"/>
        </w:rPr>
        <w:fldChar w:fldCharType="end"/>
      </w:r>
      <w:r w:rsidR="00C73A38" w:rsidRPr="007B6755">
        <w:rPr>
          <w:lang w:val="en-US"/>
        </w:rPr>
        <w:t xml:space="preserve"> testing for allelic drop-out (ADO) </w:t>
      </w:r>
      <w:r w:rsidR="00C73A38" w:rsidRPr="007B6755">
        <w:fldChar w:fldCharType="begin" w:fldLock="1"/>
      </w:r>
      <w:r w:rsidR="00C73A38" w:rsidRPr="007B6755">
        <w:rPr>
          <w:lang w:val="en-US"/>
        </w:rPr>
        <w:instrText>ADDIN CSL_CITATION {"citationItems":[{"id":"ITEM-1","itemData":{"DOI":"10.1093/nar/24.16.3189","ISBN":"0305-1048","ISSN":"13624962","PMID":"8774899","abstract":"Our purpose was to identify an experimental procedure using PCR that provides a reliable genotype at a microsatellite locus using only a few picograms of template DNA. Under these circumstances, it is possible (i) that one allele of a heterozygous individual will not be detected and (ii) that PCR-generated alleles or 'false alleles' will arise. A mathematical model has been developed to account for stochastic events when pipetting template DNA in a very dilute DNA extract and computer simulations have been performed. Laboratory experiments were also carried out using DNA extracted from a bear feces sample to determine if experimental results correlate with the mathematical model. The results of 150 typing experiments are consistent with the proposed model. Based on this model and the level of observed false alleles, an experimental procedure using the multiple tubes approach is proposed to obtain reliable genotypes with a confidence level of 99%. This multiple tubes procedure should be systematically used when genotyping nuclear loci of ancient or forensic samples, museum specimens and hair or feces of free ranging animals.","author":[{"dropping-particle":"","family":"Taberlet","given":"P","non-dropping-particle":"","parse-names":false,"suffix":""}],"container-title":"Nucleic Acids Research","id":"ITEM-1","issue":"16","issued":{"date-parts":[["1996"]]},"page":"3189-3194","publisher":"Oxford University Press","title":"Reliable genotyping of samples with very low DNA quantities using PCR","type":"article-journal","volume":"24"},"uris":["http://www.mendeley.com/documents/?uuid=ad9a45f2-ff0b-4977-9d4a-80a8004e24c1"]}],"mendeley":{"formattedCitation":"(Taberlet 1996)","plainTextFormattedCitation":"(Taberlet 1996)"},"properties":{"noteIndex":0},"schema":"https://github.com/citation-style-language/schema/raw/master/csl-citation.json"}</w:instrText>
      </w:r>
      <w:r w:rsidR="00C73A38" w:rsidRPr="007B6755">
        <w:fldChar w:fldCharType="separate"/>
      </w:r>
      <w:r w:rsidR="00C73A38" w:rsidRPr="007B6755">
        <w:rPr>
          <w:noProof/>
          <w:lang w:val="en-US"/>
        </w:rPr>
        <w:t>(Taberlet 1996)</w:t>
      </w:r>
      <w:r w:rsidR="00C73A38" w:rsidRPr="007B6755">
        <w:fldChar w:fldCharType="end"/>
      </w:r>
      <w:r w:rsidR="00C73A38" w:rsidRPr="007B6755">
        <w:rPr>
          <w:lang w:val="en-US"/>
        </w:rPr>
        <w:t xml:space="preserve">, false alleles (FA) </w:t>
      </w:r>
      <w:r w:rsidR="00C73A38" w:rsidRPr="007B6755">
        <w:rPr>
          <w:rStyle w:val="Rimandonotaapidipagina"/>
        </w:rPr>
        <w:fldChar w:fldCharType="begin" w:fldLock="1"/>
      </w:r>
      <w:r w:rsidR="00C73A38" w:rsidRPr="007B6755">
        <w:rPr>
          <w:lang w:val="en-US"/>
        </w:rPr>
        <w:instrText>ADDIN CSL_CITATION {"citationItems":[{"id":"ITEM-1","itemData":{"DOI":"10.1111/j.1365-294x.1997.tb00140.x","ISSN":"0962-1083 (Print)","PMID":"9301074","abstract":"In the context of a study of wild chimpanzees, Pan troglodytes verus, we found that  genotypes based on single PCR amplifications of microsatellite loci from single shed hair have a high error rate. We quantified error rates using the comparable results of 791 single shed hair PCR amplifications of 11 microsatellite loci of 18 known individuals. The most frequent error was the amplification of only one of the two alleles present at a heterozygous locus. This phenomenon, called allelic dropout, produced false homozygotes in 31% of single-hair amplifications. There was no difference in the probability of preferential amplification between longer and shorter alleles. The probability of scoring false homozygotes can be reduced to below 0.05 by three separate amplifications from single hairs of the same individual or by pooling hair samples from the same individual. In this study an additional 5.6% of the amplifications gave wrong genotypes because of contamination, labelling and loading errors, and possibly amplification artefacts. In contrast, amplifications from plucked hair taken from four dead individuals gave consistent results (error rate &lt; 0.01%, n = 120). Allelic dropout becomes a problem when the DNA concentration falls below 0.05 ng/10 microL in the template as it can with</w:instrText>
      </w:r>
      <w:r w:rsidR="00C73A38" w:rsidRPr="007B6755">
        <w:instrText xml:space="preserve"> shed hair, and extracts from faeces and masticated plant matter.","author":[{"dropping-particle":"","family":"Gagneux","given":"P","non-dropping-particle":"","parse-names":false,"suffix":""},{"dropping-particle":"","family":"Boesch","given":"C","non-dropping-particle":"","parse-names":false,"suffix":""},{"dropping-particle":"","family":"Woodruff","given":"D S","non-dropping-particle":"","parse-names":false,"suffix":""}],"container-title":"Molecular ecology","id":"ITEM-1","issue":"9","issued":{"date-parts":[["1997","9"]]},"language":"eng","page":"861-868","publisher-place":"England","title":"Microsatellite scoring errors associated with noninvasive genotyping based on  nuclear DNA amplified from shed hair.","type":"article-journal","volume":"6"},"uris":["http://www.mendeley.com/documents/?uuid=10939cf5-bcaf-4936-a5d6-cc05f3bb7607"]}],"mendeley":{"formattedCitation":"(Gagneux, Boesch, and Woodruff 1997)","manualFormatting":"(Gagneux et al. 1997)","plainTextFormattedCitation":"(Gagneux, Boesch, and Woodruff 1997)","previouslyFormattedCitation":"(Gagneux, Boesch, and Woodruff 1997)"},"properties":{"noteIndex":0},"schema":"https://github.com/citation-style-language/schema/raw/master/csl-citation.json"}</w:instrText>
      </w:r>
      <w:r w:rsidR="00C73A38" w:rsidRPr="007B6755">
        <w:rPr>
          <w:rStyle w:val="Rimandonotaapidipagina"/>
        </w:rPr>
        <w:fldChar w:fldCharType="separate"/>
      </w:r>
      <w:r w:rsidR="00C73A38" w:rsidRPr="007B6755">
        <w:rPr>
          <w:bCs/>
          <w:noProof/>
        </w:rPr>
        <w:t>(Gagneux et al. 1997)</w:t>
      </w:r>
      <w:r w:rsidR="00C73A38" w:rsidRPr="007B6755">
        <w:rPr>
          <w:rStyle w:val="Rimandonotaapidipagina"/>
        </w:rPr>
        <w:fldChar w:fldCharType="end"/>
      </w:r>
      <w:r w:rsidR="00C73A38" w:rsidRPr="007B6755">
        <w:t xml:space="preserve"> and positive </w:t>
      </w:r>
      <w:proofErr w:type="spellStart"/>
      <w:r w:rsidR="00C73A38" w:rsidRPr="007B6755">
        <w:t>PCRs</w:t>
      </w:r>
      <w:proofErr w:type="spellEnd"/>
      <w:r w:rsidR="00C73A38" w:rsidRPr="007B6755">
        <w:t xml:space="preserve">. </w:t>
      </w:r>
      <w:proofErr w:type="spellStart"/>
      <w:r w:rsidR="00C73A38" w:rsidRPr="007B6755">
        <w:t>GenAlEx</w:t>
      </w:r>
      <w:proofErr w:type="spellEnd"/>
      <w:r w:rsidR="00C73A38" w:rsidRPr="007B6755">
        <w:t xml:space="preserve"> 6.5 </w:t>
      </w:r>
      <w:r w:rsidR="00C73A38" w:rsidRPr="007B6755">
        <w:rPr>
          <w:rStyle w:val="Rimandonotaapidipagina"/>
        </w:rPr>
        <w:fldChar w:fldCharType="begin" w:fldLock="1"/>
      </w:r>
      <w:r w:rsidR="00C73A38" w:rsidRPr="007B6755">
        <w:instrText>ADDIN CSL_CITATION {"citationItems":[{"id":"ITEM-1","itemData":{"DOI":"https://doi.org/10.1111/j.1471-8286.2005.01155.x","abstract":"Abstract genalex is a user-friendly cross-platform package that runs within Microsoft Excel, enabling population genetic analyses of codominant, haploid and binary data. Allele frequency-based analyses include heterozygosity, F statistics, Nei's genetic distance, population assignment, probabilities of identity and pairwise relatedness. Distance-based calculations include amova, principal coordinates analysis (PCA), Mantel tests, multivariate and 2D spatial autocorrelation and twogener. More than 20 different graphs summarize data and aid exploration. Sequence and genotype data can be imported from automated sequencers, and exported to other software. Initially designed as tool for teaching, genalex 6 now offers features for researchers as well. Documentation and the program are available at http://www.anu.edu.au/BoZo/GenAlEx/","author":[{"dropping-particle":"","family":"PEAKALL","given":"R O D","non-dropping-particle":"","parse-names":false,"suffix":""},{"dropping-particle":"","family":"SMOUSE","given":"PETER E","non-dropping-particle":"","parse-names":false,"suffix":""}],"container-title":"Molecular Ecology Notes","id":"ITEM-1","issue":"1","issued":{"date-parts":[["2006"]]},"page":"288-295","title":"genalex 6: genetic analysis in Excel. Population genetic software for teaching and research","type":"article-journal","volume":"6"},"uris":["http://www.mendeley.com/documents/?uuid=cfbbcd23-38db-458f-9f1f-d6683fcfda50"]},{"id":"ITEM-2","itemData":{"DOI":"10.1093/bioinformatics/bts460","ISBN":"1367-4811 (Electronic)$\\$r1367-4803 (Linking)","ISSN":"13674803","PMID":"22820204","abstract":"SUMMARY: GenAlEx: Genetic Analysis in Excel is a cross-platform package for population genetic analyses that runs within Microsoft Excel. GenAlEx offers analysis of diploid codominant, haploid and binary genetic loci and DNA sequences. Both frequency-based (F-statistics, heterozygosity, HWE, population assignment, relatedness) and distance-based (AMOVA, PCoA, Mantel tests, multivariate spatial autocorrelation) analyses are provided. New features include calculation of new estimators of population structure: G'(ST), G''(ST), Jost's D(est) and F'(ST) through AMOVA, Shannon Information analysis, linkage disequilibrium analysis for biallelic data and novel heterogeneity tests for spatial autocorrelation analysis. Export to more than 30 other data for</w:instrText>
      </w:r>
      <w:r w:rsidR="00C73A38" w:rsidRPr="007B6755">
        <w:rPr>
          <w:lang w:val="en-US"/>
        </w:rPr>
        <w:instrText>mats is provided. Teaching tutorials and expanded step-by-step output options are included. The comprehensive guide has been fully revised.$\\$n$\\$nAVAILABILITY AND IMPLEMENTATION: GenAlEx is written in VBA and provided as a Microsoft Excel Add-in (compatible with Excel 2003, 2007, 2010 on PC; Excel 2004, 2011 on Macintosh). GenAlEx, and supporting documentation and tutorials are freely available at: http://biology.anu.edu.au/GenAlEx.$\\$n$\\$nCONTACT: rod.peakall@anu.edu.au.","author":[{"dropping-particle":"","family":"Peakall","given":"Rod","non-dropping-particle":"","parse-names":false,"suffix":""},{"dropping-particle":"","family":"Smouse","given":"Peter E","non-dropping-particle":"","parse-names":false,"suffix":""}],"container-title":"Bioinformatics","id":"ITEM-2","issue":"19","issued":{"date-parts":[["2012"]]},"page":"2537-2539","publisher":"Oxford University Press","title":"GenALEx 6.5: Genetic analysis in Excel. Population genetic software for teaching and research-an update","type":"article-journal","volume":"28"},"uris":["http://www.mendeley.com/documents/?uuid=78377299-eca1-4258-990d-065fa55b78b3"]}],"mendeley":{"formattedCitation":"(PEAKALL and SMOUSE 2006; Peakall and Smouse 2012)","plainTextFormattedCitation":"(PEAKALL and SMOUSE 2006; Peakall and Smouse 2012)","previouslyFormattedCitation":"(PEAKALL and SMOUSE 2006; Peakall and Smouse 2012)"},"properties":{"noteIndex":0},"schema":"https://github.com/citation-style-language/schema/raw/master/csl-citation.json"}</w:instrText>
      </w:r>
      <w:r w:rsidR="00C73A38" w:rsidRPr="007B6755">
        <w:rPr>
          <w:rStyle w:val="Rimandonotaapidipagina"/>
        </w:rPr>
        <w:fldChar w:fldCharType="separate"/>
      </w:r>
      <w:r w:rsidR="00C73A38" w:rsidRPr="007B6755">
        <w:rPr>
          <w:bCs/>
          <w:noProof/>
          <w:lang w:val="en-US"/>
        </w:rPr>
        <w:t>(Peakall &amp; Smouse 2006; Peakall &amp; Smouse 2012)</w:t>
      </w:r>
      <w:r w:rsidR="00C73A38" w:rsidRPr="007B6755">
        <w:rPr>
          <w:rStyle w:val="Rimandonotaapidipagina"/>
        </w:rPr>
        <w:fldChar w:fldCharType="end"/>
      </w:r>
      <w:r w:rsidR="00C73A38" w:rsidRPr="007B6755">
        <w:rPr>
          <w:vertAlign w:val="superscript"/>
          <w:lang w:val="en-US"/>
        </w:rPr>
        <w:t xml:space="preserve"> </w:t>
      </w:r>
      <w:r w:rsidR="00C73A38" w:rsidRPr="007B6755">
        <w:rPr>
          <w:lang w:val="en-US"/>
        </w:rPr>
        <w:t>was used to automatically detect repeated genotypes within the dataset (‘</w:t>
      </w:r>
      <w:proofErr w:type="spellStart"/>
      <w:r w:rsidR="00C73A38" w:rsidRPr="007B6755">
        <w:rPr>
          <w:lang w:val="en-US"/>
        </w:rPr>
        <w:t>Multilocus</w:t>
      </w:r>
      <w:proofErr w:type="spellEnd"/>
      <w:r w:rsidR="00C73A38" w:rsidRPr="007B6755">
        <w:rPr>
          <w:lang w:val="en-US"/>
        </w:rPr>
        <w:t xml:space="preserve">’ menu, option ‘matches’) and to calculate the probability of identity (PID and </w:t>
      </w:r>
      <w:proofErr w:type="spellStart"/>
      <w:r w:rsidR="00C73A38" w:rsidRPr="007B6755">
        <w:rPr>
          <w:lang w:val="en-US"/>
        </w:rPr>
        <w:t>PIDsibs</w:t>
      </w:r>
      <w:proofErr w:type="spellEnd"/>
      <w:r w:rsidR="00C73A38" w:rsidRPr="007B6755">
        <w:rPr>
          <w:lang w:val="en-US"/>
        </w:rPr>
        <w:t>; ‘</w:t>
      </w:r>
      <w:proofErr w:type="spellStart"/>
      <w:r w:rsidR="00C73A38" w:rsidRPr="007B6755">
        <w:rPr>
          <w:lang w:val="en-US"/>
        </w:rPr>
        <w:t>Multilocus</w:t>
      </w:r>
      <w:proofErr w:type="spellEnd"/>
      <w:r w:rsidR="00C73A38" w:rsidRPr="007B6755">
        <w:rPr>
          <w:lang w:val="en-US"/>
        </w:rPr>
        <w:t>’ menu, option ‘</w:t>
      </w:r>
      <w:proofErr w:type="spellStart"/>
      <w:r w:rsidR="00C73A38" w:rsidRPr="007B6755">
        <w:rPr>
          <w:lang w:val="en-US"/>
        </w:rPr>
        <w:t>Prob.Identity</w:t>
      </w:r>
      <w:proofErr w:type="spellEnd"/>
      <w:r w:rsidR="00C73A38" w:rsidRPr="007B6755">
        <w:rPr>
          <w:lang w:val="en-US"/>
        </w:rPr>
        <w:t>’), which define respectively the lower and upper limit of the probability that two different individuals share the same genotype, assuming that the sampled population included only unrelated or only sibs individuals. Main genetic diversity indexes were inferred using r package “</w:t>
      </w:r>
      <w:proofErr w:type="spellStart"/>
      <w:r w:rsidR="00C73A38" w:rsidRPr="007B6755">
        <w:rPr>
          <w:lang w:val="en-US"/>
        </w:rPr>
        <w:t>GenePop</w:t>
      </w:r>
      <w:proofErr w:type="spellEnd"/>
      <w:r w:rsidR="00C73A38" w:rsidRPr="007B6755">
        <w:rPr>
          <w:lang w:val="en-US"/>
        </w:rPr>
        <w:t xml:space="preserve">” v.1.1.3 </w:t>
      </w:r>
      <w:r w:rsidR="00C73A38" w:rsidRPr="007B6755">
        <w:rPr>
          <w:rStyle w:val="Rimandonotaapidipagina"/>
        </w:rPr>
        <w:fldChar w:fldCharType="begin" w:fldLock="1"/>
      </w:r>
      <w:r w:rsidR="00C73A38" w:rsidRPr="007B6755">
        <w:rPr>
          <w:lang w:val="en-US"/>
        </w:rPr>
        <w:instrText>ADDIN CSL_CITATION {"citationItems":[{"id":"ITEM-1","itemData":{"DOI":"10.1093/oxfordjournals.jhered.a111573","author":[{"dropping-particle":"","family":"Raymond","given":"M","non-dropping-particle":"","parse-names":false,"suffix":""},{"dropping-particle":"","family":"Rousset","given":"Francois","non-dropping-particle":"","parse-names":false,"suffix":""}],"container-title":"Journal of Heredity","id":"ITEM-1","issued":{"date-parts":[["1995"]]},"page":"248-249","title":"GENEPOP (Version 1.2): Population Genetics Software for Exact Tests and Ecumenicism","type":"article-journal","volume":"68"},"uris":["http://www.mendeley.com/documents/?uuid=03daedb8-00be-43ca-852d-49c8fabbd5ff"]},{"id":"ITEM-2","itemData":{"DOI":"10.1111/j.1471-8286.2007.01931.x","author":[{"dropping-particle":"","family":"Rousset","given":"Francois","non-dropping-particle":"","parse-names":false,"suffix":""}],"container-title":"Molecular ecology resources","id":"ITEM-2","issued":{"date-parts":[["2008"]]},"page":"103-106","title":"GENEPOP ' 007: a complete re-implementation of the GENEPOP software for Windows and Linux","type":"article-journal","volume":"8"},"uris":["http://www.mendeley.com/documents/?uuid=917610a8-fc3e-49f4-8eb7-47f1f5b065c2"]}],"mendeley":{"formattedCitation":"(Raymond and Rousset 1995; Rousset 2008)","plainTextFormattedCitation":"(Raymond and Rousset 1995; Rousset 2008)","previouslyFormattedCitation":"(Raymond and Rousset 1995; Rousset 2008)"},"properties":{"noteIndex":0},"schema":"https://github.com/citation-style-language/schema/raw/master/csl-citation.json"}</w:instrText>
      </w:r>
      <w:r w:rsidR="00C73A38" w:rsidRPr="007B6755">
        <w:rPr>
          <w:rStyle w:val="Rimandonotaapidipagina"/>
        </w:rPr>
        <w:fldChar w:fldCharType="separate"/>
      </w:r>
      <w:r w:rsidR="00C73A38" w:rsidRPr="007B6755">
        <w:rPr>
          <w:noProof/>
          <w:lang w:val="en-US"/>
        </w:rPr>
        <w:t>(Raymond &amp; Rousset 1995, Rousset 2008)</w:t>
      </w:r>
      <w:r w:rsidR="00C73A38" w:rsidRPr="007B6755">
        <w:rPr>
          <w:rStyle w:val="Rimandonotaapidipagina"/>
        </w:rPr>
        <w:fldChar w:fldCharType="end"/>
      </w:r>
      <w:r w:rsidR="00C73A38" w:rsidRPr="007B6755">
        <w:rPr>
          <w:lang w:val="en-US"/>
        </w:rPr>
        <w:t xml:space="preserve"> (iterations = 10000; batches = 1000; dememorization =500).</w:t>
      </w:r>
    </w:p>
    <w:p w14:paraId="6DDC6C9D" w14:textId="3A9E5C00" w:rsidR="007B6755" w:rsidRDefault="0018308A" w:rsidP="007B6755">
      <w:pPr>
        <w:spacing w:after="120" w:line="360" w:lineRule="auto"/>
        <w:ind w:firstLine="709"/>
        <w:jc w:val="both"/>
        <w:rPr>
          <w:lang w:val="en-US"/>
        </w:rPr>
      </w:pPr>
      <w:r w:rsidRPr="007B6755">
        <w:rPr>
          <w:lang w:val="en-US"/>
        </w:rPr>
        <w:t xml:space="preserve">The </w:t>
      </w:r>
      <w:r w:rsidR="008F2111" w:rsidRPr="007B6755">
        <w:rPr>
          <w:lang w:val="en-US"/>
        </w:rPr>
        <w:t>PCR success rate</w:t>
      </w:r>
      <w:r w:rsidRPr="007B6755">
        <w:rPr>
          <w:lang w:val="en-US"/>
        </w:rPr>
        <w:t xml:space="preserve"> for the microsatellite loci resulted to be very high for the samples which were previously confirmed as </w:t>
      </w:r>
      <w:proofErr w:type="spellStart"/>
      <w:r w:rsidRPr="007B6755">
        <w:rPr>
          <w:i/>
          <w:iCs/>
          <w:lang w:val="en-US"/>
        </w:rPr>
        <w:t>Tetrastes</w:t>
      </w:r>
      <w:proofErr w:type="spellEnd"/>
      <w:r w:rsidRPr="007B6755">
        <w:rPr>
          <w:i/>
          <w:iCs/>
          <w:lang w:val="en-US"/>
        </w:rPr>
        <w:t xml:space="preserve"> </w:t>
      </w:r>
      <w:proofErr w:type="spellStart"/>
      <w:r w:rsidRPr="007B6755">
        <w:rPr>
          <w:i/>
          <w:iCs/>
          <w:lang w:val="en-US"/>
        </w:rPr>
        <w:t>bonasia</w:t>
      </w:r>
      <w:proofErr w:type="spellEnd"/>
      <w:r w:rsidR="008F2111" w:rsidRPr="007B6755">
        <w:rPr>
          <w:lang w:val="en-US"/>
        </w:rPr>
        <w:t xml:space="preserve"> </w:t>
      </w:r>
      <w:r w:rsidRPr="007B6755">
        <w:rPr>
          <w:lang w:val="en-US"/>
        </w:rPr>
        <w:t>(</w:t>
      </w:r>
      <w:r w:rsidR="008F2111" w:rsidRPr="007B6755">
        <w:rPr>
          <w:lang w:val="en-US"/>
        </w:rPr>
        <w:t>98%</w:t>
      </w:r>
      <w:r w:rsidRPr="007B6755">
        <w:rPr>
          <w:lang w:val="en-US"/>
        </w:rPr>
        <w:t>)</w:t>
      </w:r>
      <w:r w:rsidR="008F2111" w:rsidRPr="007B6755">
        <w:rPr>
          <w:lang w:val="en-US"/>
        </w:rPr>
        <w:t xml:space="preserve">; </w:t>
      </w:r>
      <w:r w:rsidRPr="007B6755">
        <w:rPr>
          <w:lang w:val="en-US"/>
        </w:rPr>
        <w:t xml:space="preserve">the estimated </w:t>
      </w:r>
      <w:r w:rsidR="008F2111" w:rsidRPr="007B6755">
        <w:rPr>
          <w:lang w:val="en-US"/>
        </w:rPr>
        <w:t xml:space="preserve">mean allelic dropout </w:t>
      </w:r>
      <w:r w:rsidRPr="007B6755">
        <w:rPr>
          <w:lang w:val="en-US"/>
        </w:rPr>
        <w:t xml:space="preserve">per locus was low </w:t>
      </w:r>
      <w:r w:rsidR="008F2111" w:rsidRPr="007B6755">
        <w:rPr>
          <w:lang w:val="en-US"/>
        </w:rPr>
        <w:t>(5%)</w:t>
      </w:r>
      <w:r w:rsidRPr="007B6755">
        <w:rPr>
          <w:lang w:val="en-US"/>
        </w:rPr>
        <w:t>,</w:t>
      </w:r>
      <w:r w:rsidR="008F2111" w:rsidRPr="007B6755">
        <w:rPr>
          <w:lang w:val="en-US"/>
        </w:rPr>
        <w:t xml:space="preserve"> </w:t>
      </w:r>
      <w:r w:rsidRPr="007B6755">
        <w:rPr>
          <w:lang w:val="en-US"/>
        </w:rPr>
        <w:t>as well as</w:t>
      </w:r>
      <w:r w:rsidR="008F2111" w:rsidRPr="007B6755">
        <w:rPr>
          <w:lang w:val="en-US"/>
        </w:rPr>
        <w:t xml:space="preserve"> false allele rate (1%)</w:t>
      </w:r>
      <w:r w:rsidRPr="007B6755">
        <w:rPr>
          <w:lang w:val="en-US"/>
        </w:rPr>
        <w:t>.</w:t>
      </w:r>
      <w:r w:rsidR="007B6755" w:rsidRPr="007B6755">
        <w:rPr>
          <w:lang w:val="en-US"/>
        </w:rPr>
        <w:t xml:space="preserve"> Despite generally low variability levels (mean number of alleles: Na=5.5; expected heterozygosity: He=0.59), our marker panel allowed for a clear distinction between different individuals. Probability of identity (PID and </w:t>
      </w:r>
      <w:proofErr w:type="spellStart"/>
      <w:r w:rsidR="007B6755" w:rsidRPr="007B6755">
        <w:rPr>
          <w:lang w:val="en-US"/>
        </w:rPr>
        <w:t>PIDsibs</w:t>
      </w:r>
      <w:proofErr w:type="spellEnd"/>
      <w:r w:rsidR="007B6755" w:rsidRPr="007B6755">
        <w:rPr>
          <w:lang w:val="en-US"/>
        </w:rPr>
        <w:t>) varied from 6.0x10</w:t>
      </w:r>
      <w:r w:rsidR="007B6755" w:rsidRPr="007B6755">
        <w:rPr>
          <w:vertAlign w:val="superscript"/>
          <w:lang w:val="en-US"/>
        </w:rPr>
        <w:t>-1</w:t>
      </w:r>
      <w:r w:rsidR="007B6755" w:rsidRPr="007B6755">
        <w:rPr>
          <w:lang w:val="en-US"/>
        </w:rPr>
        <w:t xml:space="preserve"> and 7.8x10</w:t>
      </w:r>
      <w:r w:rsidR="007B6755" w:rsidRPr="007B6755">
        <w:rPr>
          <w:vertAlign w:val="superscript"/>
          <w:lang w:val="en-US"/>
        </w:rPr>
        <w:t>-1</w:t>
      </w:r>
      <w:r w:rsidR="007B6755" w:rsidRPr="007B6755">
        <w:rPr>
          <w:lang w:val="en-US"/>
        </w:rPr>
        <w:t xml:space="preserve"> at locus ADL184 to 4.2x10</w:t>
      </w:r>
      <w:r w:rsidR="007B6755" w:rsidRPr="007B6755">
        <w:rPr>
          <w:vertAlign w:val="superscript"/>
          <w:lang w:val="en-US"/>
        </w:rPr>
        <w:t>-2</w:t>
      </w:r>
      <w:r w:rsidR="007B6755" w:rsidRPr="007B6755">
        <w:rPr>
          <w:lang w:val="en-US"/>
        </w:rPr>
        <w:t xml:space="preserve"> and 3.4x10</w:t>
      </w:r>
      <w:r w:rsidR="007B6755" w:rsidRPr="007B6755">
        <w:rPr>
          <w:vertAlign w:val="superscript"/>
          <w:lang w:val="en-US"/>
        </w:rPr>
        <w:t>-1</w:t>
      </w:r>
      <w:r w:rsidR="007B6755" w:rsidRPr="007B6755">
        <w:rPr>
          <w:lang w:val="en-US"/>
        </w:rPr>
        <w:t xml:space="preserve"> at locus BG16; the cumulative PID (2.3x10</w:t>
      </w:r>
      <w:r w:rsidR="007B6755" w:rsidRPr="007B6755">
        <w:rPr>
          <w:vertAlign w:val="superscript"/>
          <w:lang w:val="en-US"/>
        </w:rPr>
        <w:t>-8</w:t>
      </w:r>
      <w:r w:rsidR="007B6755" w:rsidRPr="007B6755">
        <w:rPr>
          <w:lang w:val="en-US"/>
        </w:rPr>
        <w:t xml:space="preserve">) and </w:t>
      </w:r>
      <w:proofErr w:type="spellStart"/>
      <w:r w:rsidR="007B6755" w:rsidRPr="007B6755">
        <w:rPr>
          <w:lang w:val="en-US"/>
        </w:rPr>
        <w:t>PIDsibs</w:t>
      </w:r>
      <w:proofErr w:type="spellEnd"/>
      <w:r w:rsidR="007B6755" w:rsidRPr="007B6755" w:rsidDel="00A65677">
        <w:rPr>
          <w:lang w:val="en-US"/>
        </w:rPr>
        <w:t xml:space="preserve"> </w:t>
      </w:r>
      <w:r w:rsidR="007B6755" w:rsidRPr="007B6755">
        <w:rPr>
          <w:lang w:val="en-US"/>
        </w:rPr>
        <w:t>(6.0x10</w:t>
      </w:r>
      <w:r w:rsidR="007B6755" w:rsidRPr="007B6755">
        <w:rPr>
          <w:vertAlign w:val="superscript"/>
          <w:lang w:val="en-US"/>
        </w:rPr>
        <w:t>-4</w:t>
      </w:r>
      <w:r w:rsidR="007B6755" w:rsidRPr="007B6755">
        <w:rPr>
          <w:lang w:val="en-US"/>
        </w:rPr>
        <w:t xml:space="preserve">) values were sufficiently small to exclude different individuals in population having the same </w:t>
      </w:r>
      <w:proofErr w:type="spellStart"/>
      <w:r w:rsidR="007B6755" w:rsidRPr="007B6755">
        <w:rPr>
          <w:lang w:val="en-US"/>
        </w:rPr>
        <w:t>multilocus</w:t>
      </w:r>
      <w:proofErr w:type="spellEnd"/>
      <w:r w:rsidR="007B6755" w:rsidRPr="007B6755">
        <w:rPr>
          <w:lang w:val="en-US"/>
        </w:rPr>
        <w:t xml:space="preserve"> genotype (probability of correct assignment is between 99.94 and 100%).</w:t>
      </w:r>
    </w:p>
    <w:p w14:paraId="683C47C9" w14:textId="3228AC8F" w:rsidR="007B6755" w:rsidRPr="007B6755" w:rsidRDefault="007B6755" w:rsidP="007B6755">
      <w:pPr>
        <w:spacing w:after="0" w:line="360" w:lineRule="auto"/>
        <w:jc w:val="both"/>
        <w:rPr>
          <w:i/>
          <w:iCs/>
          <w:sz w:val="24"/>
          <w:szCs w:val="24"/>
          <w:lang w:val="en-US"/>
        </w:rPr>
      </w:pPr>
      <w:r w:rsidRPr="00836346">
        <w:rPr>
          <w:i/>
          <w:iCs/>
          <w:lang w:val="en-US"/>
        </w:rPr>
        <w:t>References</w:t>
      </w:r>
    </w:p>
    <w:p w14:paraId="1333F5B5"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Cann</w:t>
      </w:r>
      <w:proofErr w:type="spellEnd"/>
      <w:r w:rsidRPr="00836346">
        <w:rPr>
          <w:lang w:val="en-US"/>
        </w:rPr>
        <w:t xml:space="preserve">, R.L., </w:t>
      </w:r>
      <w:proofErr w:type="spellStart"/>
      <w:r w:rsidRPr="00836346">
        <w:rPr>
          <w:lang w:val="en-US"/>
        </w:rPr>
        <w:t>Stoneking</w:t>
      </w:r>
      <w:proofErr w:type="spellEnd"/>
      <w:r w:rsidRPr="00836346">
        <w:rPr>
          <w:lang w:val="en-US"/>
        </w:rPr>
        <w:t>, M., Wilson, A.C. (1987) Mitochondrial DNA and Human Evolution. Nature, 325:31–36.</w:t>
      </w:r>
    </w:p>
    <w:p w14:paraId="4B65EED4" w14:textId="77777777" w:rsidR="00836346" w:rsidRPr="00836346" w:rsidRDefault="00836346" w:rsidP="00836346">
      <w:pPr>
        <w:autoSpaceDE w:val="0"/>
        <w:autoSpaceDN w:val="0"/>
        <w:adjustRightInd w:val="0"/>
        <w:spacing w:after="120" w:line="240" w:lineRule="auto"/>
        <w:rPr>
          <w:lang w:val="en-US"/>
        </w:rPr>
      </w:pPr>
      <w:r w:rsidRPr="00836346">
        <w:rPr>
          <w:lang w:val="en-US"/>
        </w:rPr>
        <w:t>Cheng, H. H., and L. B. Crittenden. (1994). Microsatellite Markers for Genetic Mapping in the Chicken. Poultry Science 73: 539–46.</w:t>
      </w:r>
    </w:p>
    <w:p w14:paraId="20881F32"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Ellegren</w:t>
      </w:r>
      <w:proofErr w:type="spellEnd"/>
      <w:r w:rsidRPr="00836346">
        <w:rPr>
          <w:lang w:val="en-US"/>
        </w:rPr>
        <w:t xml:space="preserve">, H. (1996) First Gene on the Avian W Chromosome (CHD) Provides a Tag for Universal Sexing of Non-Ratite Birds. Proceedings of the Royal Society B, 263: 1635–41. </w:t>
      </w:r>
    </w:p>
    <w:p w14:paraId="21219563"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Fumihito</w:t>
      </w:r>
      <w:proofErr w:type="spellEnd"/>
      <w:r w:rsidRPr="00836346">
        <w:rPr>
          <w:lang w:val="en-US"/>
        </w:rPr>
        <w:t>, A., Miyake, T., Takada, M. et al. (1995) The Genetic Link between the Chinese Bamboo Partridge (</w:t>
      </w:r>
      <w:proofErr w:type="spellStart"/>
      <w:r w:rsidRPr="00836346">
        <w:rPr>
          <w:lang w:val="en-US"/>
        </w:rPr>
        <w:t>Bambusicola</w:t>
      </w:r>
      <w:proofErr w:type="spellEnd"/>
      <w:r w:rsidRPr="00836346">
        <w:rPr>
          <w:lang w:val="en-US"/>
        </w:rPr>
        <w:t xml:space="preserve"> </w:t>
      </w:r>
      <w:proofErr w:type="spellStart"/>
      <w:r w:rsidRPr="00836346">
        <w:rPr>
          <w:lang w:val="en-US"/>
        </w:rPr>
        <w:t>Thoracica</w:t>
      </w:r>
      <w:proofErr w:type="spellEnd"/>
      <w:r w:rsidRPr="00836346">
        <w:rPr>
          <w:lang w:val="en-US"/>
        </w:rPr>
        <w:t xml:space="preserve">) and the Chicken and Junglefowls of the Genus Gallus. Proceedings of the National Academy of Sciences, 92: 11053–56. </w:t>
      </w:r>
    </w:p>
    <w:p w14:paraId="206CB0BD" w14:textId="77777777" w:rsidR="00836346" w:rsidRPr="00836346" w:rsidRDefault="00836346" w:rsidP="00836346">
      <w:pPr>
        <w:autoSpaceDE w:val="0"/>
        <w:autoSpaceDN w:val="0"/>
        <w:adjustRightInd w:val="0"/>
        <w:spacing w:after="120" w:line="240" w:lineRule="auto"/>
        <w:rPr>
          <w:lang w:val="en-US"/>
        </w:rPr>
      </w:pPr>
      <w:r w:rsidRPr="00836346">
        <w:rPr>
          <w:lang w:val="en-US"/>
        </w:rPr>
        <w:t>Kahn, N.W, St. John, J., Quinn, T.W. (1998) Chromosome-Specific Intron Size Differences in the Avian CHD Gene Provide an Efficient Method for Sex Identification in Birds. The Auk, 115: 1074–78.</w:t>
      </w:r>
    </w:p>
    <w:p w14:paraId="04C4F7DD" w14:textId="77777777" w:rsidR="00836346" w:rsidRPr="00836346" w:rsidRDefault="00836346" w:rsidP="00836346">
      <w:pPr>
        <w:autoSpaceDE w:val="0"/>
        <w:autoSpaceDN w:val="0"/>
        <w:adjustRightInd w:val="0"/>
        <w:spacing w:after="120" w:line="240" w:lineRule="auto"/>
        <w:rPr>
          <w:lang w:val="en-US"/>
        </w:rPr>
      </w:pPr>
      <w:r w:rsidRPr="00836346">
        <w:rPr>
          <w:lang w:val="en-US"/>
        </w:rPr>
        <w:t xml:space="preserve">Miller, C.R., Joyce, P., Waits, L.P. (2005) A new method for estimating the size of small populations from genetic mark-recapture data. Molecular Ecology, 14:1991-2005. </w:t>
      </w:r>
    </w:p>
    <w:p w14:paraId="13658B6A"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Peakall</w:t>
      </w:r>
      <w:proofErr w:type="spellEnd"/>
      <w:r w:rsidRPr="00836346">
        <w:rPr>
          <w:lang w:val="en-US"/>
        </w:rPr>
        <w:t xml:space="preserve">, R., and </w:t>
      </w:r>
      <w:proofErr w:type="spellStart"/>
      <w:r w:rsidRPr="00836346">
        <w:rPr>
          <w:lang w:val="en-US"/>
        </w:rPr>
        <w:t>Smouse</w:t>
      </w:r>
      <w:proofErr w:type="spellEnd"/>
      <w:r w:rsidRPr="00836346">
        <w:rPr>
          <w:lang w:val="en-US"/>
        </w:rPr>
        <w:t xml:space="preserve">, P.E. (2006). </w:t>
      </w:r>
      <w:proofErr w:type="spellStart"/>
      <w:r w:rsidRPr="00836346">
        <w:rPr>
          <w:lang w:val="en-US"/>
        </w:rPr>
        <w:t>Genalex</w:t>
      </w:r>
      <w:proofErr w:type="spellEnd"/>
      <w:r w:rsidRPr="00836346">
        <w:rPr>
          <w:lang w:val="en-US"/>
        </w:rPr>
        <w:t xml:space="preserve"> 6: Genetic Analysis in Excel. Population Genetic Software for Teaching and Research. Molecular Ecology Notes 6: 288–95.</w:t>
      </w:r>
    </w:p>
    <w:p w14:paraId="39A228D7"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Peakall</w:t>
      </w:r>
      <w:proofErr w:type="spellEnd"/>
      <w:r w:rsidRPr="00836346">
        <w:rPr>
          <w:lang w:val="en-US"/>
        </w:rPr>
        <w:t xml:space="preserve">, R., and </w:t>
      </w:r>
      <w:proofErr w:type="spellStart"/>
      <w:r w:rsidRPr="00836346">
        <w:rPr>
          <w:lang w:val="en-US"/>
        </w:rPr>
        <w:t>Smouse</w:t>
      </w:r>
      <w:proofErr w:type="spellEnd"/>
      <w:r w:rsidRPr="00836346">
        <w:rPr>
          <w:lang w:val="en-US"/>
        </w:rPr>
        <w:t xml:space="preserve">, P.E. (2012). </w:t>
      </w:r>
      <w:proofErr w:type="spellStart"/>
      <w:r w:rsidRPr="00836346">
        <w:rPr>
          <w:lang w:val="en-US"/>
        </w:rPr>
        <w:t>GenALEx</w:t>
      </w:r>
      <w:proofErr w:type="spellEnd"/>
      <w:r w:rsidRPr="00836346">
        <w:rPr>
          <w:lang w:val="en-US"/>
        </w:rPr>
        <w:t xml:space="preserve"> 6.5: Genetic Analysis in Excel. Population Genetic Software for Teaching and Research-an Update. Bioinformatics 28: 2537–39.</w:t>
      </w:r>
    </w:p>
    <w:p w14:paraId="1D0596F3"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Piertney</w:t>
      </w:r>
      <w:proofErr w:type="spellEnd"/>
      <w:r w:rsidRPr="00836346">
        <w:rPr>
          <w:lang w:val="en-US"/>
        </w:rPr>
        <w:t xml:space="preserve">, S., and </w:t>
      </w:r>
      <w:proofErr w:type="spellStart"/>
      <w:r w:rsidRPr="00836346">
        <w:rPr>
          <w:lang w:val="en-US"/>
        </w:rPr>
        <w:t>Höglund</w:t>
      </w:r>
      <w:proofErr w:type="spellEnd"/>
      <w:r w:rsidRPr="00836346">
        <w:rPr>
          <w:lang w:val="en-US"/>
        </w:rPr>
        <w:t xml:space="preserve">, J. (2001). Polymorphic Microsatellite DNA Markers in Black Grouse (Tetrao Tetrix). Molecular Ecology Notes 1: 303–4. </w:t>
      </w:r>
    </w:p>
    <w:p w14:paraId="7A7CAFC1" w14:textId="77777777" w:rsidR="00836346" w:rsidRPr="00836346" w:rsidRDefault="00836346" w:rsidP="00836346">
      <w:pPr>
        <w:autoSpaceDE w:val="0"/>
        <w:autoSpaceDN w:val="0"/>
        <w:adjustRightInd w:val="0"/>
        <w:spacing w:after="120" w:line="240" w:lineRule="auto"/>
        <w:rPr>
          <w:lang w:val="en-US"/>
        </w:rPr>
      </w:pPr>
      <w:r w:rsidRPr="00836346">
        <w:rPr>
          <w:lang w:val="en-US"/>
        </w:rPr>
        <w:t xml:space="preserve">Randi, E., </w:t>
      </w:r>
      <w:proofErr w:type="spellStart"/>
      <w:r w:rsidRPr="00836346">
        <w:rPr>
          <w:lang w:val="en-US"/>
        </w:rPr>
        <w:t>Lucchini</w:t>
      </w:r>
      <w:proofErr w:type="spellEnd"/>
      <w:r w:rsidRPr="00836346">
        <w:rPr>
          <w:lang w:val="en-US"/>
        </w:rPr>
        <w:t xml:space="preserve">, V. (1998) Organization and Evolution of the Mitochondrial DNA Control Region in the Avian Genus </w:t>
      </w:r>
      <w:proofErr w:type="spellStart"/>
      <w:r w:rsidRPr="00836346">
        <w:rPr>
          <w:lang w:val="en-US"/>
        </w:rPr>
        <w:t>Alectoris</w:t>
      </w:r>
      <w:proofErr w:type="spellEnd"/>
      <w:r w:rsidRPr="00836346">
        <w:rPr>
          <w:lang w:val="en-US"/>
        </w:rPr>
        <w:t xml:space="preserve">. Journal of Molecular Evolution 47: 449–62. </w:t>
      </w:r>
    </w:p>
    <w:p w14:paraId="1C6F8A42" w14:textId="77777777" w:rsidR="00836346" w:rsidRPr="00836346" w:rsidRDefault="00836346" w:rsidP="00836346">
      <w:pPr>
        <w:autoSpaceDE w:val="0"/>
        <w:autoSpaceDN w:val="0"/>
        <w:adjustRightInd w:val="0"/>
        <w:spacing w:after="120" w:line="240" w:lineRule="auto"/>
        <w:rPr>
          <w:lang w:val="en-US"/>
        </w:rPr>
      </w:pPr>
      <w:r w:rsidRPr="00836346">
        <w:rPr>
          <w:lang w:val="en-US"/>
        </w:rPr>
        <w:t xml:space="preserve">Raymond, M., and </w:t>
      </w:r>
      <w:proofErr w:type="spellStart"/>
      <w:r w:rsidRPr="00836346">
        <w:rPr>
          <w:lang w:val="en-US"/>
        </w:rPr>
        <w:t>Rousset</w:t>
      </w:r>
      <w:proofErr w:type="spellEnd"/>
      <w:r w:rsidRPr="00836346">
        <w:rPr>
          <w:lang w:val="en-US"/>
        </w:rPr>
        <w:t xml:space="preserve"> F. (1995). GENEPOP (Version 1.2): Population Genetics Software for Exact Tests and Ecumenicism. Journal of Heredity 68: 248–49. </w:t>
      </w:r>
    </w:p>
    <w:p w14:paraId="7E17C54A"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lastRenderedPageBreak/>
        <w:t>Rousset</w:t>
      </w:r>
      <w:proofErr w:type="spellEnd"/>
      <w:r w:rsidRPr="00836346">
        <w:rPr>
          <w:lang w:val="en-US"/>
        </w:rPr>
        <w:t xml:space="preserve">, F. (2008). </w:t>
      </w:r>
      <w:proofErr w:type="gramStart"/>
      <w:r w:rsidRPr="00836346">
        <w:rPr>
          <w:lang w:val="en-US"/>
        </w:rPr>
        <w:t>GENEPOP ’</w:t>
      </w:r>
      <w:proofErr w:type="gramEnd"/>
      <w:r w:rsidRPr="00836346">
        <w:rPr>
          <w:lang w:val="en-US"/>
        </w:rPr>
        <w:t xml:space="preserve"> 007: A Complete Re-Implementation of the GENEPOP Software for Windows and Linux. Molecular Ecology Resources, 8:103–6.</w:t>
      </w:r>
    </w:p>
    <w:p w14:paraId="70F89460"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Rózsa</w:t>
      </w:r>
      <w:proofErr w:type="spellEnd"/>
      <w:r w:rsidRPr="00836346">
        <w:rPr>
          <w:lang w:val="en-US"/>
        </w:rPr>
        <w:t xml:space="preserve">, J., Strand, T. M., </w:t>
      </w:r>
      <w:proofErr w:type="spellStart"/>
      <w:r w:rsidRPr="00836346">
        <w:rPr>
          <w:lang w:val="en-US"/>
        </w:rPr>
        <w:t>Montadert</w:t>
      </w:r>
      <w:proofErr w:type="spellEnd"/>
      <w:r w:rsidRPr="00836346">
        <w:rPr>
          <w:lang w:val="en-US"/>
        </w:rPr>
        <w:t xml:space="preserve">, M., </w:t>
      </w:r>
      <w:proofErr w:type="spellStart"/>
      <w:r w:rsidRPr="00836346">
        <w:rPr>
          <w:lang w:val="en-US"/>
        </w:rPr>
        <w:t>Kozma</w:t>
      </w:r>
      <w:proofErr w:type="spellEnd"/>
      <w:r w:rsidRPr="00836346">
        <w:rPr>
          <w:lang w:val="en-US"/>
        </w:rPr>
        <w:t xml:space="preserve">, R., &amp; </w:t>
      </w:r>
      <w:proofErr w:type="spellStart"/>
      <w:r w:rsidRPr="00836346">
        <w:rPr>
          <w:lang w:val="en-US"/>
        </w:rPr>
        <w:t>Höglund</w:t>
      </w:r>
      <w:proofErr w:type="spellEnd"/>
      <w:r w:rsidRPr="00836346">
        <w:rPr>
          <w:lang w:val="en-US"/>
        </w:rPr>
        <w:t xml:space="preserve">, J. (2016). Effects of a range expansion on adaptive and neutral genetic diversity in dispersal limited Hazel grouse (Bonasa </w:t>
      </w:r>
      <w:proofErr w:type="spellStart"/>
      <w:r w:rsidRPr="00836346">
        <w:rPr>
          <w:lang w:val="en-US"/>
        </w:rPr>
        <w:t>bonasia</w:t>
      </w:r>
      <w:proofErr w:type="spellEnd"/>
      <w:r w:rsidRPr="00836346">
        <w:rPr>
          <w:lang w:val="en-US"/>
        </w:rPr>
        <w:t>) in the French Alps. Conservation genetics, 17(2), 401-412.</w:t>
      </w:r>
    </w:p>
    <w:p w14:paraId="0B6127AE" w14:textId="77777777" w:rsidR="00836346" w:rsidRPr="00836346" w:rsidRDefault="00836346" w:rsidP="00836346">
      <w:pPr>
        <w:autoSpaceDE w:val="0"/>
        <w:autoSpaceDN w:val="0"/>
        <w:adjustRightInd w:val="0"/>
        <w:spacing w:after="120" w:line="240" w:lineRule="auto"/>
        <w:rPr>
          <w:lang w:val="en-US"/>
        </w:rPr>
      </w:pPr>
      <w:r w:rsidRPr="00836346">
        <w:rPr>
          <w:lang w:val="en-US"/>
        </w:rPr>
        <w:t xml:space="preserve">Rutkowski, R., Keller, M., &amp; </w:t>
      </w:r>
      <w:proofErr w:type="spellStart"/>
      <w:r w:rsidRPr="00836346">
        <w:rPr>
          <w:lang w:val="en-US"/>
        </w:rPr>
        <w:t>Jagołkowska</w:t>
      </w:r>
      <w:proofErr w:type="spellEnd"/>
      <w:r w:rsidRPr="00836346">
        <w:rPr>
          <w:lang w:val="en-US"/>
        </w:rPr>
        <w:t xml:space="preserve">, P. (2012). Population genetics of the hazel hen Bonasa </w:t>
      </w:r>
      <w:proofErr w:type="spellStart"/>
      <w:r w:rsidRPr="00836346">
        <w:rPr>
          <w:lang w:val="en-US"/>
        </w:rPr>
        <w:t>bonasia</w:t>
      </w:r>
      <w:proofErr w:type="spellEnd"/>
      <w:r w:rsidRPr="00836346">
        <w:rPr>
          <w:lang w:val="en-US"/>
        </w:rPr>
        <w:t xml:space="preserve"> in Poland assessed with non-invasive samples. Open Life Sciences, 7(4), 759-775.</w:t>
      </w:r>
    </w:p>
    <w:p w14:paraId="293BFAFB"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Sahlsten</w:t>
      </w:r>
      <w:proofErr w:type="spellEnd"/>
      <w:r w:rsidRPr="00836346">
        <w:rPr>
          <w:lang w:val="en-US"/>
        </w:rPr>
        <w:t xml:space="preserve">, J., </w:t>
      </w:r>
      <w:proofErr w:type="spellStart"/>
      <w:r w:rsidRPr="00836346">
        <w:rPr>
          <w:lang w:val="en-US"/>
        </w:rPr>
        <w:t>Thörngren</w:t>
      </w:r>
      <w:proofErr w:type="spellEnd"/>
      <w:r w:rsidRPr="00836346">
        <w:rPr>
          <w:lang w:val="en-US"/>
        </w:rPr>
        <w:t xml:space="preserve">, H., &amp; </w:t>
      </w:r>
      <w:proofErr w:type="spellStart"/>
      <w:r w:rsidRPr="00836346">
        <w:rPr>
          <w:lang w:val="en-US"/>
        </w:rPr>
        <w:t>Höglund</w:t>
      </w:r>
      <w:proofErr w:type="spellEnd"/>
      <w:r w:rsidRPr="00836346">
        <w:rPr>
          <w:lang w:val="en-US"/>
        </w:rPr>
        <w:t xml:space="preserve">, J. (2008). Inference of hazel grouse population structure using </w:t>
      </w:r>
      <w:proofErr w:type="spellStart"/>
      <w:r w:rsidRPr="00836346">
        <w:rPr>
          <w:lang w:val="en-US"/>
        </w:rPr>
        <w:t>multilocus</w:t>
      </w:r>
      <w:proofErr w:type="spellEnd"/>
      <w:r w:rsidRPr="00836346">
        <w:rPr>
          <w:lang w:val="en-US"/>
        </w:rPr>
        <w:t xml:space="preserve"> data: a landscape genetic approach. Heredity, 101(6), 475-482.</w:t>
      </w:r>
    </w:p>
    <w:p w14:paraId="7D182E92"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Segelbacher</w:t>
      </w:r>
      <w:proofErr w:type="spellEnd"/>
      <w:r w:rsidRPr="00836346">
        <w:rPr>
          <w:lang w:val="en-US"/>
        </w:rPr>
        <w:t xml:space="preserve">, G., Paxton, R. J., </w:t>
      </w:r>
      <w:proofErr w:type="spellStart"/>
      <w:r w:rsidRPr="00836346">
        <w:rPr>
          <w:lang w:val="en-US"/>
        </w:rPr>
        <w:t>Steinbrück</w:t>
      </w:r>
      <w:proofErr w:type="spellEnd"/>
      <w:r w:rsidRPr="00836346">
        <w:rPr>
          <w:lang w:val="en-US"/>
        </w:rPr>
        <w:t xml:space="preserve">, G., </w:t>
      </w:r>
      <w:proofErr w:type="spellStart"/>
      <w:r w:rsidRPr="00836346">
        <w:rPr>
          <w:lang w:val="en-US"/>
        </w:rPr>
        <w:t>Trontelj</w:t>
      </w:r>
      <w:proofErr w:type="spellEnd"/>
      <w:r w:rsidRPr="00836346">
        <w:rPr>
          <w:lang w:val="en-US"/>
        </w:rPr>
        <w:t>, P., &amp; Storch, I. (2000). Characterization of microsatellites in capercaillie Tetrao urogallus (AVES). Molecular Ecology, 9(11), 1934-1935.</w:t>
      </w:r>
    </w:p>
    <w:p w14:paraId="23BF8A81"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fr-FR"/>
        </w:rPr>
        <w:t>Taberlet</w:t>
      </w:r>
      <w:proofErr w:type="spellEnd"/>
      <w:r w:rsidRPr="00836346">
        <w:rPr>
          <w:lang w:val="fr-FR"/>
        </w:rPr>
        <w:t xml:space="preserve">, P., Griffin, S., Goossens, B., </w:t>
      </w:r>
      <w:proofErr w:type="spellStart"/>
      <w:r w:rsidRPr="00836346">
        <w:rPr>
          <w:lang w:val="fr-FR"/>
        </w:rPr>
        <w:t>Questiau</w:t>
      </w:r>
      <w:proofErr w:type="spellEnd"/>
      <w:r w:rsidRPr="00836346">
        <w:rPr>
          <w:lang w:val="fr-FR"/>
        </w:rPr>
        <w:t xml:space="preserve">, S., Manceau, V., </w:t>
      </w:r>
      <w:proofErr w:type="spellStart"/>
      <w:r w:rsidRPr="00836346">
        <w:rPr>
          <w:lang w:val="fr-FR"/>
        </w:rPr>
        <w:t>Escaravage</w:t>
      </w:r>
      <w:proofErr w:type="spellEnd"/>
      <w:r w:rsidRPr="00836346">
        <w:rPr>
          <w:lang w:val="fr-FR"/>
        </w:rPr>
        <w:t xml:space="preserve">, N., ... </w:t>
      </w:r>
      <w:r w:rsidRPr="00836346">
        <w:rPr>
          <w:lang w:val="en-US"/>
        </w:rPr>
        <w:t>&amp; Bouvet, J. (1996). Reliable genotyping of samples with very low DNA quantities using PCR. Nucleic acids research, 24(16), 3189-3194.</w:t>
      </w:r>
    </w:p>
    <w:p w14:paraId="06314D42"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Valière</w:t>
      </w:r>
      <w:proofErr w:type="spellEnd"/>
      <w:r w:rsidRPr="00836346">
        <w:rPr>
          <w:lang w:val="en-US"/>
        </w:rPr>
        <w:t xml:space="preserve">, N. (2002). GIMLET: a computer program for </w:t>
      </w:r>
      <w:proofErr w:type="spellStart"/>
      <w:r w:rsidRPr="00836346">
        <w:rPr>
          <w:lang w:val="en-US"/>
        </w:rPr>
        <w:t>analysing</w:t>
      </w:r>
      <w:proofErr w:type="spellEnd"/>
      <w:r w:rsidRPr="00836346">
        <w:rPr>
          <w:lang w:val="en-US"/>
        </w:rPr>
        <w:t xml:space="preserve"> genetic individual identification data. Molecular Ecology Notes, 2(3), 377-379.</w:t>
      </w:r>
    </w:p>
    <w:p w14:paraId="2C6DA103" w14:textId="77777777" w:rsidR="00836346" w:rsidRPr="00836346" w:rsidRDefault="00836346" w:rsidP="00836346">
      <w:pPr>
        <w:autoSpaceDE w:val="0"/>
        <w:autoSpaceDN w:val="0"/>
        <w:adjustRightInd w:val="0"/>
        <w:spacing w:after="120" w:line="240" w:lineRule="auto"/>
        <w:rPr>
          <w:lang w:val="en-US"/>
        </w:rPr>
      </w:pPr>
      <w:proofErr w:type="spellStart"/>
      <w:r w:rsidRPr="00836346">
        <w:rPr>
          <w:lang w:val="en-US"/>
        </w:rPr>
        <w:t>Villesen</w:t>
      </w:r>
      <w:proofErr w:type="spellEnd"/>
      <w:r w:rsidRPr="00836346">
        <w:rPr>
          <w:lang w:val="en-US"/>
        </w:rPr>
        <w:t xml:space="preserve">, P. (2007). </w:t>
      </w:r>
      <w:proofErr w:type="spellStart"/>
      <w:r w:rsidRPr="00836346">
        <w:rPr>
          <w:lang w:val="en-US"/>
        </w:rPr>
        <w:t>FaBox</w:t>
      </w:r>
      <w:proofErr w:type="spellEnd"/>
      <w:r w:rsidRPr="00836346">
        <w:rPr>
          <w:lang w:val="en-US"/>
        </w:rPr>
        <w:t xml:space="preserve">: an online toolbox for </w:t>
      </w:r>
      <w:proofErr w:type="spellStart"/>
      <w:r w:rsidRPr="00836346">
        <w:rPr>
          <w:lang w:val="en-US"/>
        </w:rPr>
        <w:t>fasta</w:t>
      </w:r>
      <w:proofErr w:type="spellEnd"/>
      <w:r w:rsidRPr="00836346">
        <w:rPr>
          <w:lang w:val="en-US"/>
        </w:rPr>
        <w:t xml:space="preserve"> sequences. Molecular ecology notes, 7(6), 965-968.</w:t>
      </w:r>
    </w:p>
    <w:p w14:paraId="5BB2134F" w14:textId="451245B5" w:rsidR="008F2111" w:rsidRDefault="00836346" w:rsidP="00836346">
      <w:pPr>
        <w:autoSpaceDE w:val="0"/>
        <w:autoSpaceDN w:val="0"/>
        <w:adjustRightInd w:val="0"/>
        <w:spacing w:after="120" w:line="240" w:lineRule="auto"/>
        <w:rPr>
          <w:lang w:val="en-US"/>
        </w:rPr>
      </w:pPr>
      <w:r w:rsidRPr="00836346">
        <w:rPr>
          <w:lang w:val="en-US"/>
        </w:rPr>
        <w:t>Wan, Q.H., Hua, W., Tsutomu, F., Fang, S.G. (2004) Which Genetic Marker for Which Conservation Genetics Issue? Electrophoresis, 25: 2165–76.</w:t>
      </w:r>
    </w:p>
    <w:p w14:paraId="69091AED" w14:textId="77777777" w:rsidR="00836346" w:rsidRPr="00502811" w:rsidRDefault="00836346" w:rsidP="00836346">
      <w:pPr>
        <w:autoSpaceDE w:val="0"/>
        <w:autoSpaceDN w:val="0"/>
        <w:adjustRightInd w:val="0"/>
        <w:spacing w:after="0" w:line="240" w:lineRule="auto"/>
        <w:rPr>
          <w:lang w:val="en-US"/>
        </w:rPr>
      </w:pPr>
    </w:p>
    <w:p w14:paraId="702AA788" w14:textId="77777777" w:rsidR="000B5001" w:rsidRDefault="000B5001" w:rsidP="00282CF9">
      <w:pPr>
        <w:spacing w:after="240" w:line="240" w:lineRule="auto"/>
        <w:rPr>
          <w:b/>
          <w:bCs/>
          <w:color w:val="000000" w:themeColor="text1"/>
          <w:sz w:val="24"/>
          <w:szCs w:val="24"/>
          <w:lang w:val="en-US"/>
        </w:rPr>
      </w:pPr>
    </w:p>
    <w:p w14:paraId="0FA3EEC1" w14:textId="77777777" w:rsidR="000B5001" w:rsidRDefault="000B5001" w:rsidP="00282CF9">
      <w:pPr>
        <w:spacing w:after="240" w:line="240" w:lineRule="auto"/>
        <w:rPr>
          <w:b/>
          <w:bCs/>
          <w:color w:val="000000" w:themeColor="text1"/>
          <w:sz w:val="24"/>
          <w:szCs w:val="24"/>
          <w:lang w:val="en-US"/>
        </w:rPr>
      </w:pPr>
    </w:p>
    <w:p w14:paraId="076D71DA" w14:textId="77777777" w:rsidR="000B5001" w:rsidRDefault="000B5001" w:rsidP="00282CF9">
      <w:pPr>
        <w:spacing w:after="240" w:line="240" w:lineRule="auto"/>
        <w:rPr>
          <w:b/>
          <w:bCs/>
          <w:color w:val="000000" w:themeColor="text1"/>
          <w:sz w:val="24"/>
          <w:szCs w:val="24"/>
          <w:lang w:val="en-US"/>
        </w:rPr>
      </w:pPr>
    </w:p>
    <w:p w14:paraId="2497B230" w14:textId="77777777" w:rsidR="000B5001" w:rsidRDefault="000B5001" w:rsidP="00282CF9">
      <w:pPr>
        <w:spacing w:after="240" w:line="240" w:lineRule="auto"/>
        <w:rPr>
          <w:b/>
          <w:bCs/>
          <w:color w:val="000000" w:themeColor="text1"/>
          <w:sz w:val="24"/>
          <w:szCs w:val="24"/>
          <w:lang w:val="en-US"/>
        </w:rPr>
      </w:pPr>
    </w:p>
    <w:p w14:paraId="6F4D3B94" w14:textId="77777777" w:rsidR="000B5001" w:rsidRDefault="000B5001" w:rsidP="00282CF9">
      <w:pPr>
        <w:spacing w:after="240" w:line="240" w:lineRule="auto"/>
        <w:rPr>
          <w:b/>
          <w:bCs/>
          <w:color w:val="000000" w:themeColor="text1"/>
          <w:sz w:val="24"/>
          <w:szCs w:val="24"/>
          <w:lang w:val="en-US"/>
        </w:rPr>
      </w:pPr>
    </w:p>
    <w:p w14:paraId="1BCE53F2" w14:textId="77777777" w:rsidR="000B5001" w:rsidRDefault="000B5001" w:rsidP="00282CF9">
      <w:pPr>
        <w:spacing w:after="240" w:line="240" w:lineRule="auto"/>
        <w:rPr>
          <w:b/>
          <w:bCs/>
          <w:color w:val="000000" w:themeColor="text1"/>
          <w:sz w:val="24"/>
          <w:szCs w:val="24"/>
          <w:lang w:val="en-US"/>
        </w:rPr>
      </w:pPr>
    </w:p>
    <w:p w14:paraId="57CCC8DE" w14:textId="77777777" w:rsidR="000B5001" w:rsidRDefault="000B5001" w:rsidP="00282CF9">
      <w:pPr>
        <w:spacing w:after="240" w:line="240" w:lineRule="auto"/>
        <w:rPr>
          <w:b/>
          <w:bCs/>
          <w:color w:val="000000" w:themeColor="text1"/>
          <w:sz w:val="24"/>
          <w:szCs w:val="24"/>
          <w:lang w:val="en-US"/>
        </w:rPr>
      </w:pPr>
    </w:p>
    <w:p w14:paraId="2E0FB531" w14:textId="77777777" w:rsidR="000B5001" w:rsidRDefault="000B5001" w:rsidP="00282CF9">
      <w:pPr>
        <w:spacing w:after="240" w:line="240" w:lineRule="auto"/>
        <w:rPr>
          <w:b/>
          <w:bCs/>
          <w:color w:val="000000" w:themeColor="text1"/>
          <w:sz w:val="24"/>
          <w:szCs w:val="24"/>
          <w:lang w:val="en-US"/>
        </w:rPr>
      </w:pPr>
    </w:p>
    <w:p w14:paraId="3BEB8F74" w14:textId="77777777" w:rsidR="000B5001" w:rsidRDefault="000B5001" w:rsidP="00282CF9">
      <w:pPr>
        <w:spacing w:after="240" w:line="240" w:lineRule="auto"/>
        <w:rPr>
          <w:b/>
          <w:bCs/>
          <w:color w:val="000000" w:themeColor="text1"/>
          <w:sz w:val="24"/>
          <w:szCs w:val="24"/>
          <w:lang w:val="en-US"/>
        </w:rPr>
      </w:pPr>
    </w:p>
    <w:p w14:paraId="15F21651" w14:textId="77777777" w:rsidR="000B5001" w:rsidRDefault="000B5001" w:rsidP="00282CF9">
      <w:pPr>
        <w:spacing w:after="240" w:line="240" w:lineRule="auto"/>
        <w:rPr>
          <w:b/>
          <w:bCs/>
          <w:color w:val="000000" w:themeColor="text1"/>
          <w:sz w:val="24"/>
          <w:szCs w:val="24"/>
          <w:lang w:val="en-US"/>
        </w:rPr>
      </w:pPr>
    </w:p>
    <w:p w14:paraId="2950A2D8" w14:textId="77777777" w:rsidR="009A767A" w:rsidRDefault="009A767A" w:rsidP="00282CF9">
      <w:pPr>
        <w:spacing w:after="240" w:line="240" w:lineRule="auto"/>
        <w:rPr>
          <w:b/>
          <w:bCs/>
          <w:color w:val="000000" w:themeColor="text1"/>
          <w:sz w:val="24"/>
          <w:szCs w:val="24"/>
          <w:lang w:val="en-US"/>
        </w:rPr>
      </w:pPr>
    </w:p>
    <w:p w14:paraId="0474CCC2" w14:textId="77777777" w:rsidR="009A767A" w:rsidRDefault="009A767A" w:rsidP="00282CF9">
      <w:pPr>
        <w:spacing w:after="240" w:line="240" w:lineRule="auto"/>
        <w:rPr>
          <w:b/>
          <w:bCs/>
          <w:color w:val="000000" w:themeColor="text1"/>
          <w:sz w:val="24"/>
          <w:szCs w:val="24"/>
          <w:lang w:val="en-US"/>
        </w:rPr>
      </w:pPr>
    </w:p>
    <w:p w14:paraId="1A5C65C8" w14:textId="77777777" w:rsidR="009A767A" w:rsidRDefault="009A767A" w:rsidP="00282CF9">
      <w:pPr>
        <w:spacing w:after="240" w:line="240" w:lineRule="auto"/>
        <w:rPr>
          <w:b/>
          <w:bCs/>
          <w:color w:val="000000" w:themeColor="text1"/>
          <w:sz w:val="24"/>
          <w:szCs w:val="24"/>
          <w:lang w:val="en-US"/>
        </w:rPr>
      </w:pPr>
    </w:p>
    <w:p w14:paraId="15479B3B" w14:textId="77777777" w:rsidR="009A767A" w:rsidRDefault="009A767A" w:rsidP="00282CF9">
      <w:pPr>
        <w:spacing w:after="240" w:line="240" w:lineRule="auto"/>
        <w:rPr>
          <w:b/>
          <w:bCs/>
          <w:color w:val="000000" w:themeColor="text1"/>
          <w:sz w:val="24"/>
          <w:szCs w:val="24"/>
          <w:lang w:val="en-US"/>
        </w:rPr>
      </w:pPr>
    </w:p>
    <w:p w14:paraId="3BB86ACC" w14:textId="65B96AEB" w:rsidR="00282CF9" w:rsidRPr="00B056CD" w:rsidRDefault="00282CF9" w:rsidP="00282CF9">
      <w:pPr>
        <w:spacing w:after="240" w:line="240" w:lineRule="auto"/>
        <w:rPr>
          <w:b/>
          <w:bCs/>
          <w:sz w:val="24"/>
          <w:szCs w:val="24"/>
          <w:lang w:val="en-US"/>
        </w:rPr>
      </w:pPr>
      <w:r w:rsidRPr="007B6755">
        <w:rPr>
          <w:b/>
          <w:bCs/>
          <w:color w:val="000000" w:themeColor="text1"/>
          <w:sz w:val="24"/>
          <w:szCs w:val="24"/>
          <w:lang w:val="en-US"/>
        </w:rPr>
        <w:lastRenderedPageBreak/>
        <w:t>Appendix S</w:t>
      </w:r>
      <w:r>
        <w:rPr>
          <w:b/>
          <w:bCs/>
          <w:color w:val="000000" w:themeColor="text1"/>
          <w:sz w:val="24"/>
          <w:szCs w:val="24"/>
          <w:lang w:val="en-US"/>
        </w:rPr>
        <w:t>3</w:t>
      </w:r>
      <w:r w:rsidRPr="007B6755">
        <w:rPr>
          <w:b/>
          <w:bCs/>
          <w:color w:val="000000" w:themeColor="text1"/>
          <w:sz w:val="24"/>
          <w:szCs w:val="24"/>
          <w:lang w:val="en-US"/>
        </w:rPr>
        <w:t xml:space="preserve">. </w:t>
      </w:r>
      <w:r w:rsidRPr="00B056CD">
        <w:rPr>
          <w:b/>
          <w:bCs/>
          <w:color w:val="000000" w:themeColor="text1"/>
          <w:sz w:val="24"/>
          <w:szCs w:val="24"/>
          <w:lang w:val="en-US"/>
        </w:rPr>
        <w:t xml:space="preserve">DNA metabarcoding for </w:t>
      </w:r>
      <w:r w:rsidRPr="00B056CD">
        <w:rPr>
          <w:b/>
          <w:bCs/>
          <w:sz w:val="24"/>
          <w:szCs w:val="24"/>
          <w:lang w:val="en-US"/>
        </w:rPr>
        <w:t xml:space="preserve">diet analysis: </w:t>
      </w:r>
      <w:r w:rsidRPr="007B6755">
        <w:rPr>
          <w:b/>
          <w:bCs/>
          <w:sz w:val="24"/>
          <w:szCs w:val="24"/>
          <w:lang w:val="en-GB"/>
        </w:rPr>
        <w:t>methodological details.</w:t>
      </w:r>
    </w:p>
    <w:p w14:paraId="5150F71D" w14:textId="612A880F" w:rsidR="00B056CD" w:rsidRDefault="00B056CD" w:rsidP="004E3EBF">
      <w:pPr>
        <w:spacing w:after="120" w:line="360" w:lineRule="auto"/>
        <w:jc w:val="both"/>
        <w:rPr>
          <w:lang w:val="en-US"/>
        </w:rPr>
      </w:pPr>
      <w:r w:rsidRPr="00B056CD">
        <w:rPr>
          <w:lang w:val="en-US"/>
        </w:rPr>
        <w:t xml:space="preserve">To identify the plant component of the diet, a short fragment (about 150 bp) of the chloroplast gene </w:t>
      </w:r>
      <w:proofErr w:type="spellStart"/>
      <w:r w:rsidRPr="00B056CD">
        <w:rPr>
          <w:lang w:val="en-US"/>
        </w:rPr>
        <w:t>trnL</w:t>
      </w:r>
      <w:proofErr w:type="spellEnd"/>
      <w:r w:rsidRPr="00B056CD">
        <w:rPr>
          <w:lang w:val="en-US"/>
        </w:rPr>
        <w:t xml:space="preserve"> was amplified using the universal primers c-A49325 and h-B49466 [5’-CGAAATCGGTAGACGCTACG-3’ and 5’-CCATTGAGTCTCTGCACCTATC-3’] (</w:t>
      </w:r>
      <w:proofErr w:type="spellStart"/>
      <w:r w:rsidRPr="00B056CD">
        <w:rPr>
          <w:lang w:val="en-US"/>
        </w:rPr>
        <w:t>Taberlet</w:t>
      </w:r>
      <w:proofErr w:type="spellEnd"/>
      <w:r w:rsidRPr="00B056CD">
        <w:rPr>
          <w:lang w:val="en-US"/>
        </w:rPr>
        <w:t xml:space="preserve"> et al. 2007). For the characterization of the arthropod component, a short fragment (157 bp) of the cytochrome oxidase 1 (CO1) was amplified using the universal primers ZBJ-ArtF1c [5’- AGATATTGGAACWTTATATTTTATTTTTGG – 3’] and ZBJ-ArtR2c [5’ – WACTAATCAATTWCCAAATCCTCC – 3’] </w:t>
      </w:r>
      <w:r w:rsidRPr="005419AD">
        <w:rPr>
          <w:lang w:val="en-US"/>
        </w:rPr>
        <w:t>(</w:t>
      </w:r>
      <w:proofErr w:type="spellStart"/>
      <w:r w:rsidRPr="005419AD">
        <w:rPr>
          <w:lang w:val="en-US"/>
        </w:rPr>
        <w:t>Zeale</w:t>
      </w:r>
      <w:proofErr w:type="spellEnd"/>
      <w:r w:rsidRPr="005419AD">
        <w:rPr>
          <w:lang w:val="en-US"/>
        </w:rPr>
        <w:t xml:space="preserve"> et al. 2011).</w:t>
      </w:r>
      <w:r w:rsidRPr="00B056CD">
        <w:rPr>
          <w:lang w:val="en-US"/>
        </w:rPr>
        <w:t xml:space="preserve"> PCR amplification mixture and reaction conditions are described in Supporting Information (Table S</w:t>
      </w:r>
      <w:r>
        <w:rPr>
          <w:lang w:val="en-US"/>
        </w:rPr>
        <w:t>9</w:t>
      </w:r>
      <w:r w:rsidRPr="00B056CD">
        <w:rPr>
          <w:lang w:val="en-US"/>
        </w:rPr>
        <w:t xml:space="preserve">). To monitor potential reagents and environmental contaminations, negative controls were added to each amplification batch (consisting of 5 samples); two PCR replicates were performed for each sample. Both samples and blank controls were checked on the </w:t>
      </w:r>
      <w:proofErr w:type="spellStart"/>
      <w:r w:rsidRPr="00B056CD">
        <w:rPr>
          <w:lang w:val="en-US"/>
        </w:rPr>
        <w:t>QIAxcel</w:t>
      </w:r>
      <w:proofErr w:type="spellEnd"/>
      <w:r w:rsidRPr="00B056CD">
        <w:rPr>
          <w:lang w:val="en-US"/>
        </w:rPr>
        <w:t xml:space="preserve"> capillary electrophoresis, with DNA </w:t>
      </w:r>
      <w:proofErr w:type="gramStart"/>
      <w:r w:rsidRPr="00B056CD">
        <w:rPr>
          <w:lang w:val="en-US"/>
        </w:rPr>
        <w:t>High</w:t>
      </w:r>
      <w:proofErr w:type="gramEnd"/>
      <w:r w:rsidRPr="00B056CD">
        <w:rPr>
          <w:lang w:val="en-US"/>
        </w:rPr>
        <w:t xml:space="preserve"> Sensitive cartridge (Qiagen, GmbH, Hilden, Germany), and sequenced using </w:t>
      </w:r>
      <w:proofErr w:type="spellStart"/>
      <w:r w:rsidRPr="00B056CD">
        <w:rPr>
          <w:lang w:val="en-US"/>
        </w:rPr>
        <w:t>MiSeq</w:t>
      </w:r>
      <w:proofErr w:type="spellEnd"/>
      <w:r w:rsidRPr="00B056CD">
        <w:rPr>
          <w:lang w:val="en-US"/>
        </w:rPr>
        <w:t xml:space="preserve"> Reagent Kit v3 in an Illumina </w:t>
      </w:r>
      <w:proofErr w:type="spellStart"/>
      <w:r w:rsidRPr="00B056CD">
        <w:rPr>
          <w:lang w:val="en-US"/>
        </w:rPr>
        <w:t>MiSeq</w:t>
      </w:r>
      <w:proofErr w:type="spellEnd"/>
      <w:r w:rsidRPr="00B056CD">
        <w:rPr>
          <w:lang w:val="en-US"/>
        </w:rPr>
        <w:t xml:space="preserve"> platform. </w:t>
      </w:r>
    </w:p>
    <w:p w14:paraId="7BE669E5" w14:textId="78A161A4" w:rsidR="00872D06" w:rsidRPr="00872D06" w:rsidRDefault="00872D06" w:rsidP="00C3187E">
      <w:pPr>
        <w:spacing w:after="0" w:line="360" w:lineRule="auto"/>
        <w:jc w:val="both"/>
        <w:rPr>
          <w:i/>
          <w:iCs/>
          <w:lang w:val="en-US"/>
        </w:rPr>
      </w:pPr>
      <w:r w:rsidRPr="00872D06">
        <w:rPr>
          <w:i/>
          <w:iCs/>
          <w:lang w:val="en-US"/>
        </w:rPr>
        <w:t>Bioinformatics analyses</w:t>
      </w:r>
    </w:p>
    <w:p w14:paraId="689BA5DC" w14:textId="51B6C04C" w:rsidR="00BB4E70" w:rsidRDefault="00B056CD" w:rsidP="00872D06">
      <w:pPr>
        <w:spacing w:after="0" w:line="360" w:lineRule="auto"/>
        <w:rPr>
          <w:lang w:val="en-US"/>
        </w:rPr>
      </w:pPr>
      <w:r w:rsidRPr="00B056CD">
        <w:rPr>
          <w:lang w:val="en-US"/>
        </w:rPr>
        <w:t xml:space="preserve">Bioinformatics analyses were performed separately for the two resulting datasets. For the </w:t>
      </w:r>
      <w:proofErr w:type="spellStart"/>
      <w:r w:rsidRPr="00B056CD">
        <w:rPr>
          <w:lang w:val="en-US"/>
        </w:rPr>
        <w:t>trnL</w:t>
      </w:r>
      <w:proofErr w:type="spellEnd"/>
      <w:r w:rsidRPr="00B056CD">
        <w:rPr>
          <w:lang w:val="en-US"/>
        </w:rPr>
        <w:t xml:space="preserve"> (plant component), raw Illumina data were pre-processed using the MICCA v. 1.7 pipeline (Albanese et al. 2015); the obtained Operational Taxonomic Units (OTUs) were then classified using the </w:t>
      </w:r>
      <w:proofErr w:type="spellStart"/>
      <w:r w:rsidRPr="00B056CD">
        <w:rPr>
          <w:lang w:val="en-US"/>
        </w:rPr>
        <w:t>Sintax</w:t>
      </w:r>
      <w:proofErr w:type="spellEnd"/>
      <w:r w:rsidRPr="00B056CD">
        <w:rPr>
          <w:lang w:val="en-US"/>
        </w:rPr>
        <w:t xml:space="preserve"> algorithm as implemented in VSEARCH (</w:t>
      </w:r>
      <w:proofErr w:type="spellStart"/>
      <w:r w:rsidRPr="00B056CD">
        <w:rPr>
          <w:lang w:val="en-US"/>
        </w:rPr>
        <w:t>Rognes</w:t>
      </w:r>
      <w:proofErr w:type="spellEnd"/>
      <w:r w:rsidRPr="00B056CD">
        <w:rPr>
          <w:lang w:val="en-US"/>
        </w:rPr>
        <w:t xml:space="preserve"> et al. 2016). Taxonomic assignment of OTUs was performed by comparison with a custom-made reference database including </w:t>
      </w:r>
      <w:proofErr w:type="spellStart"/>
      <w:r w:rsidRPr="00B056CD">
        <w:rPr>
          <w:lang w:val="en-US"/>
        </w:rPr>
        <w:t>trnL</w:t>
      </w:r>
      <w:proofErr w:type="spellEnd"/>
      <w:r w:rsidRPr="00B056CD">
        <w:rPr>
          <w:lang w:val="en-US"/>
        </w:rPr>
        <w:t xml:space="preserve"> DNA sequences for most of the Alpine seed plants</w:t>
      </w:r>
      <w:r w:rsidR="00BB4E70">
        <w:rPr>
          <w:lang w:val="en-US"/>
        </w:rPr>
        <w:t>.</w:t>
      </w:r>
      <w:r w:rsidR="00C3187E">
        <w:rPr>
          <w:lang w:val="en-US"/>
        </w:rPr>
        <w:t xml:space="preserve"> </w:t>
      </w:r>
      <w:r w:rsidR="0010166F" w:rsidRPr="0010166F">
        <w:rPr>
          <w:lang w:val="en-US"/>
        </w:rPr>
        <w:t>This local database was developed for DNA metabarcoding of airborne pollen (</w:t>
      </w:r>
      <w:proofErr w:type="spellStart"/>
      <w:r w:rsidR="0010166F" w:rsidRPr="0010166F">
        <w:rPr>
          <w:lang w:val="en-US"/>
        </w:rPr>
        <w:t>Leontidou</w:t>
      </w:r>
      <w:proofErr w:type="spellEnd"/>
      <w:r w:rsidR="0010166F" w:rsidRPr="0010166F">
        <w:rPr>
          <w:lang w:val="en-US"/>
        </w:rPr>
        <w:t xml:space="preserve"> et al. 2018) </w:t>
      </w:r>
      <w:r w:rsidR="00FC4962" w:rsidRPr="0010166F">
        <w:rPr>
          <w:lang w:val="en-US"/>
        </w:rPr>
        <w:t>and subsequently</w:t>
      </w:r>
      <w:r w:rsidR="0010166F" w:rsidRPr="0010166F">
        <w:rPr>
          <w:lang w:val="en-US"/>
        </w:rPr>
        <w:t xml:space="preserve"> used in a recent study (</w:t>
      </w:r>
      <w:proofErr w:type="spellStart"/>
      <w:r w:rsidR="0010166F" w:rsidRPr="0010166F">
        <w:rPr>
          <w:lang w:val="en-US"/>
        </w:rPr>
        <w:t>Leontidou</w:t>
      </w:r>
      <w:proofErr w:type="spellEnd"/>
      <w:r w:rsidR="0010166F" w:rsidRPr="0010166F">
        <w:rPr>
          <w:lang w:val="en-US"/>
        </w:rPr>
        <w:t xml:space="preserve"> et</w:t>
      </w:r>
      <w:r w:rsidR="0010166F">
        <w:rPr>
          <w:lang w:val="en-US"/>
        </w:rPr>
        <w:t xml:space="preserve"> al. </w:t>
      </w:r>
      <w:r w:rsidR="0010166F" w:rsidRPr="0010166F">
        <w:rPr>
          <w:lang w:val="en-US"/>
        </w:rPr>
        <w:t xml:space="preserve">2021) focusing on Natura 2000 habitats of </w:t>
      </w:r>
      <w:proofErr w:type="spellStart"/>
      <w:r w:rsidR="0010166F" w:rsidRPr="0010166F">
        <w:rPr>
          <w:lang w:val="en-US"/>
        </w:rPr>
        <w:t>Paneveggio</w:t>
      </w:r>
      <w:proofErr w:type="spellEnd"/>
      <w:r w:rsidR="0010166F" w:rsidRPr="0010166F">
        <w:rPr>
          <w:lang w:val="en-US"/>
        </w:rPr>
        <w:t>-Pale di San Martino Natural Park</w:t>
      </w:r>
      <w:r w:rsidR="0010166F">
        <w:rPr>
          <w:lang w:val="en-US"/>
        </w:rPr>
        <w:t xml:space="preserve"> </w:t>
      </w:r>
      <w:r w:rsidR="0010166F" w:rsidRPr="0010166F">
        <w:rPr>
          <w:lang w:val="en-US"/>
        </w:rPr>
        <w:t>(</w:t>
      </w:r>
      <w:proofErr w:type="gramStart"/>
      <w:r w:rsidR="0010166F" w:rsidRPr="0010166F">
        <w:rPr>
          <w:lang w:val="en-US"/>
        </w:rPr>
        <w:t>i.e.</w:t>
      </w:r>
      <w:proofErr w:type="gramEnd"/>
      <w:r w:rsidR="0010166F" w:rsidRPr="0010166F">
        <w:rPr>
          <w:lang w:val="en-US"/>
        </w:rPr>
        <w:t xml:space="preserve"> the study area of the present work). We further complemented this database with public sequences (NCBI </w:t>
      </w:r>
      <w:proofErr w:type="spellStart"/>
      <w:r w:rsidR="0010166F" w:rsidRPr="0010166F">
        <w:rPr>
          <w:lang w:val="en-US"/>
        </w:rPr>
        <w:t>Genbank</w:t>
      </w:r>
      <w:proofErr w:type="spellEnd"/>
      <w:r w:rsidR="0010166F" w:rsidRPr="0010166F">
        <w:rPr>
          <w:lang w:val="en-US"/>
        </w:rPr>
        <w:t xml:space="preserve"> database; National Center for Biotechnology Information, www.ncbi.nlm.nih.gov/genbank) for the other most frequent plants of the Alpine flora (</w:t>
      </w:r>
      <w:proofErr w:type="spellStart"/>
      <w:r w:rsidR="0010166F" w:rsidRPr="0010166F">
        <w:rPr>
          <w:lang w:val="en-US"/>
        </w:rPr>
        <w:t>Aeschimann</w:t>
      </w:r>
      <w:proofErr w:type="spellEnd"/>
      <w:r w:rsidR="0010166F" w:rsidRPr="0010166F">
        <w:rPr>
          <w:lang w:val="en-US"/>
        </w:rPr>
        <w:t xml:space="preserve"> et al., 2004), including non-anemophilous species.</w:t>
      </w:r>
      <w:r w:rsidR="00872D06">
        <w:rPr>
          <w:lang w:val="en-US"/>
        </w:rPr>
        <w:t xml:space="preserve"> </w:t>
      </w:r>
      <w:r w:rsidR="00BB4E70" w:rsidRPr="00BB4E70">
        <w:rPr>
          <w:lang w:val="en-US"/>
        </w:rPr>
        <w:t xml:space="preserve">For each OTU sequence, the obtained classification was further checked by means of a search for similarity in NCBI </w:t>
      </w:r>
      <w:proofErr w:type="spellStart"/>
      <w:r w:rsidR="00BB4E70" w:rsidRPr="00BB4E70">
        <w:rPr>
          <w:lang w:val="en-US"/>
        </w:rPr>
        <w:t>Genbank</w:t>
      </w:r>
      <w:proofErr w:type="spellEnd"/>
      <w:r w:rsidR="00BB4E70" w:rsidRPr="00BB4E70">
        <w:rPr>
          <w:lang w:val="en-US"/>
        </w:rPr>
        <w:t xml:space="preserve"> database, using the </w:t>
      </w:r>
      <w:proofErr w:type="spellStart"/>
      <w:r w:rsidR="00BB4E70" w:rsidRPr="00BB4E70">
        <w:rPr>
          <w:lang w:val="en-US"/>
        </w:rPr>
        <w:t>BLASTn</w:t>
      </w:r>
      <w:proofErr w:type="spellEnd"/>
      <w:r w:rsidR="00BB4E70" w:rsidRPr="00BB4E70">
        <w:rPr>
          <w:lang w:val="en-US"/>
        </w:rPr>
        <w:t xml:space="preserve"> search tool (National Center for Biotechnology Information; </w:t>
      </w:r>
      <w:r w:rsidR="00BB4E70" w:rsidRPr="00C170BB">
        <w:rPr>
          <w:lang w:val="en-US"/>
        </w:rPr>
        <w:t>https://blast.ncbi.nlm.nih.gov/Blast.cgi</w:t>
      </w:r>
      <w:r w:rsidR="00BB4E70" w:rsidRPr="00BB4E70">
        <w:rPr>
          <w:lang w:val="en-US"/>
        </w:rPr>
        <w:t>).</w:t>
      </w:r>
    </w:p>
    <w:p w14:paraId="3B9ED2F4" w14:textId="14F78DD1" w:rsidR="00E148C7" w:rsidRDefault="00B056CD" w:rsidP="00872D06">
      <w:pPr>
        <w:spacing w:after="120" w:line="360" w:lineRule="auto"/>
        <w:ind w:firstLine="709"/>
        <w:jc w:val="both"/>
        <w:rPr>
          <w:lang w:val="en-US"/>
        </w:rPr>
      </w:pPr>
      <w:r w:rsidRPr="00B056CD">
        <w:rPr>
          <w:lang w:val="en-US"/>
        </w:rPr>
        <w:t>For the CO1 dataset (arthropod component), raw data were pre-processed using QIIME2 (</w:t>
      </w:r>
      <w:proofErr w:type="spellStart"/>
      <w:r w:rsidRPr="00B056CD">
        <w:rPr>
          <w:lang w:val="en-US"/>
        </w:rPr>
        <w:t>Bolyen</w:t>
      </w:r>
      <w:proofErr w:type="spellEnd"/>
      <w:r w:rsidRPr="00B056CD">
        <w:rPr>
          <w:lang w:val="en-US"/>
        </w:rPr>
        <w:t xml:space="preserve"> et al. 2019). Forward and reverse primers were removed using the command CUTADAPT (Martin 2011), and reads shorter than 60 bp where discarded. Remaining reads were merged and filtered using the command denoise-paired implemented in DADA2 (Callahan et al. 2016) and by setting a minimum length of 100 bp. The resulting Amplicon Sequence Variants (ASVs) were then classified using the command classify-consensus-</w:t>
      </w:r>
      <w:proofErr w:type="spellStart"/>
      <w:r w:rsidRPr="00B056CD">
        <w:rPr>
          <w:lang w:val="en-US"/>
        </w:rPr>
        <w:t>vsearch</w:t>
      </w:r>
      <w:proofErr w:type="spellEnd"/>
      <w:r w:rsidRPr="00B056CD">
        <w:rPr>
          <w:lang w:val="en-US"/>
        </w:rPr>
        <w:t xml:space="preserve"> implemented in QIIME2 and based on the VSEARCH (</w:t>
      </w:r>
      <w:proofErr w:type="spellStart"/>
      <w:r w:rsidRPr="00B056CD">
        <w:rPr>
          <w:lang w:val="en-US"/>
        </w:rPr>
        <w:t>Rognes</w:t>
      </w:r>
      <w:proofErr w:type="spellEnd"/>
      <w:r w:rsidRPr="00B056CD">
        <w:rPr>
          <w:lang w:val="en-US"/>
        </w:rPr>
        <w:t xml:space="preserve"> et al. 2016) algorithm. Taxonomic identification was achieved by the comparison of our dataset with the Midori-UNIQUE reference database </w:t>
      </w:r>
      <w:r w:rsidRPr="00B056CD">
        <w:rPr>
          <w:lang w:val="en-US"/>
        </w:rPr>
        <w:lastRenderedPageBreak/>
        <w:t>(</w:t>
      </w:r>
      <w:proofErr w:type="spellStart"/>
      <w:r w:rsidRPr="00B056CD">
        <w:rPr>
          <w:lang w:val="en-US"/>
        </w:rPr>
        <w:t>Leray</w:t>
      </w:r>
      <w:proofErr w:type="spellEnd"/>
      <w:r w:rsidRPr="00B056CD">
        <w:rPr>
          <w:lang w:val="en-US"/>
        </w:rPr>
        <w:t xml:space="preserve"> et al. 2018)</w:t>
      </w:r>
      <w:r w:rsidR="008957BF">
        <w:rPr>
          <w:lang w:val="en-US"/>
        </w:rPr>
        <w:t>;</w:t>
      </w:r>
      <w:r w:rsidR="00A1782D">
        <w:rPr>
          <w:lang w:val="en-US"/>
        </w:rPr>
        <w:t xml:space="preserve"> even when the species level was reached, we chose the genus level as</w:t>
      </w:r>
      <w:r w:rsidR="008957BF">
        <w:rPr>
          <w:lang w:val="en-US"/>
        </w:rPr>
        <w:t xml:space="preserve"> </w:t>
      </w:r>
      <w:r w:rsidR="00A1782D">
        <w:rPr>
          <w:lang w:val="en-US"/>
        </w:rPr>
        <w:t>maximum</w:t>
      </w:r>
      <w:r w:rsidR="008957BF">
        <w:rPr>
          <w:lang w:val="en-US"/>
        </w:rPr>
        <w:t xml:space="preserve"> lowest taxonomic rank</w:t>
      </w:r>
      <w:r w:rsidR="00A1782D">
        <w:rPr>
          <w:lang w:val="en-US"/>
        </w:rPr>
        <w:t xml:space="preserve"> to avoid potential biases due to database</w:t>
      </w:r>
      <w:r w:rsidR="00A1782D" w:rsidRPr="00A1782D">
        <w:rPr>
          <w:lang w:val="en-US"/>
        </w:rPr>
        <w:t xml:space="preserve"> incompleteness</w:t>
      </w:r>
      <w:r w:rsidR="00A1782D">
        <w:rPr>
          <w:lang w:val="en-US"/>
        </w:rPr>
        <w:t>.</w:t>
      </w:r>
      <w:r w:rsidR="00750C52">
        <w:rPr>
          <w:lang w:val="en-US"/>
        </w:rPr>
        <w:t xml:space="preserve"> </w:t>
      </w:r>
      <w:r w:rsidR="00750C52" w:rsidRPr="00750C52">
        <w:rPr>
          <w:lang w:val="en-US"/>
        </w:rPr>
        <w:t xml:space="preserve">Microorganisms such as </w:t>
      </w:r>
      <w:proofErr w:type="spellStart"/>
      <w:r w:rsidR="00750C52" w:rsidRPr="00750C52">
        <w:rPr>
          <w:lang w:val="en-US"/>
        </w:rPr>
        <w:t>Rotifera</w:t>
      </w:r>
      <w:proofErr w:type="spellEnd"/>
      <w:r w:rsidR="00750C52" w:rsidRPr="00750C52">
        <w:rPr>
          <w:lang w:val="en-US"/>
        </w:rPr>
        <w:t xml:space="preserve">, Tardigrada and Nematoda were excluded from the diet analysis: these phyla include only microscopic invertebrates, which are ubiquitous in the soil and mosses, </w:t>
      </w:r>
      <w:proofErr w:type="gramStart"/>
      <w:r w:rsidR="00750C52" w:rsidRPr="00750C52">
        <w:rPr>
          <w:lang w:val="en-US"/>
        </w:rPr>
        <w:t>i.e.</w:t>
      </w:r>
      <w:proofErr w:type="gramEnd"/>
      <w:r w:rsidR="00750C52" w:rsidRPr="00750C52">
        <w:rPr>
          <w:lang w:val="en-US"/>
        </w:rPr>
        <w:t xml:space="preserve"> the natural environment where the </w:t>
      </w:r>
      <w:proofErr w:type="spellStart"/>
      <w:r w:rsidR="00750C52" w:rsidRPr="00750C52">
        <w:rPr>
          <w:lang w:val="en-US"/>
        </w:rPr>
        <w:t>faeces</w:t>
      </w:r>
      <w:proofErr w:type="spellEnd"/>
      <w:r w:rsidR="00750C52" w:rsidRPr="00750C52">
        <w:rPr>
          <w:lang w:val="en-US"/>
        </w:rPr>
        <w:t xml:space="preserve"> were collected</w:t>
      </w:r>
      <w:r w:rsidR="00750C52">
        <w:rPr>
          <w:lang w:val="en-US"/>
        </w:rPr>
        <w:t xml:space="preserve"> </w:t>
      </w:r>
      <w:r w:rsidR="00750C52" w:rsidRPr="00750C52">
        <w:rPr>
          <w:lang w:val="en-US"/>
        </w:rPr>
        <w:t xml:space="preserve">and could potentially be present in the </w:t>
      </w:r>
      <w:proofErr w:type="spellStart"/>
      <w:r w:rsidR="00750C52" w:rsidRPr="00750C52">
        <w:rPr>
          <w:lang w:val="en-US"/>
        </w:rPr>
        <w:t>faeces</w:t>
      </w:r>
      <w:proofErr w:type="spellEnd"/>
      <w:r w:rsidR="00750C52" w:rsidRPr="00750C52">
        <w:rPr>
          <w:lang w:val="en-US"/>
        </w:rPr>
        <w:t xml:space="preserve"> themselves.</w:t>
      </w:r>
      <w:r w:rsidR="00750C52">
        <w:rPr>
          <w:lang w:val="en-US"/>
        </w:rPr>
        <w:t xml:space="preserve"> </w:t>
      </w:r>
      <w:r w:rsidR="00750C52" w:rsidRPr="00750C52">
        <w:rPr>
          <w:lang w:val="en-US"/>
        </w:rPr>
        <w:t>Therefore, they can be viewed as "environmental contaminations” and cannot be considered components of the diet of the hazel grouse (also considering their microscopic size).</w:t>
      </w:r>
      <w:r w:rsidR="00750C52">
        <w:rPr>
          <w:lang w:val="en-US"/>
        </w:rPr>
        <w:t xml:space="preserve"> </w:t>
      </w:r>
      <w:r w:rsidR="00750C52" w:rsidRPr="00750C52">
        <w:rPr>
          <w:lang w:val="en-US"/>
        </w:rPr>
        <w:t>For the same reason, also</w:t>
      </w:r>
      <w:r w:rsidR="00750C52">
        <w:rPr>
          <w:lang w:val="en-US"/>
        </w:rPr>
        <w:t xml:space="preserve"> </w:t>
      </w:r>
      <w:r w:rsidR="00750C52" w:rsidRPr="00750C52">
        <w:rPr>
          <w:lang w:val="en-US"/>
        </w:rPr>
        <w:t xml:space="preserve">microscopic soil-dwelling mites (Arachnida, </w:t>
      </w:r>
      <w:proofErr w:type="spellStart"/>
      <w:r w:rsidR="00750C52" w:rsidRPr="00750C52">
        <w:rPr>
          <w:lang w:val="en-US"/>
        </w:rPr>
        <w:t>Sarcoptiformes</w:t>
      </w:r>
      <w:proofErr w:type="spellEnd"/>
      <w:r w:rsidR="00750C52" w:rsidRPr="00750C52">
        <w:rPr>
          <w:lang w:val="en-US"/>
        </w:rPr>
        <w:t xml:space="preserve">, suborder </w:t>
      </w:r>
      <w:proofErr w:type="spellStart"/>
      <w:r w:rsidR="00750C52" w:rsidRPr="00750C52">
        <w:rPr>
          <w:lang w:val="en-US"/>
        </w:rPr>
        <w:t>Oribatida</w:t>
      </w:r>
      <w:proofErr w:type="spellEnd"/>
      <w:r w:rsidR="00750C52" w:rsidRPr="00750C52">
        <w:rPr>
          <w:lang w:val="en-US"/>
        </w:rPr>
        <w:t xml:space="preserve"> and </w:t>
      </w:r>
      <w:proofErr w:type="spellStart"/>
      <w:r w:rsidR="00750C52" w:rsidRPr="00750C52">
        <w:rPr>
          <w:lang w:val="en-US"/>
        </w:rPr>
        <w:t>Trombidiformes</w:t>
      </w:r>
      <w:proofErr w:type="spellEnd"/>
      <w:r w:rsidR="00750C52" w:rsidRPr="00750C52">
        <w:rPr>
          <w:lang w:val="en-US"/>
        </w:rPr>
        <w:t xml:space="preserve">), which were occasionally found in some </w:t>
      </w:r>
      <w:proofErr w:type="spellStart"/>
      <w:r w:rsidR="00750C52" w:rsidRPr="00750C52">
        <w:rPr>
          <w:lang w:val="en-US"/>
        </w:rPr>
        <w:t>faecal</w:t>
      </w:r>
      <w:proofErr w:type="spellEnd"/>
      <w:r w:rsidR="00750C52" w:rsidRPr="00750C52">
        <w:rPr>
          <w:lang w:val="en-US"/>
        </w:rPr>
        <w:t xml:space="preserve"> samples, were excluded from the final the dataset for diet analysis.</w:t>
      </w:r>
    </w:p>
    <w:p w14:paraId="795D8529" w14:textId="77777777" w:rsidR="00E148C7" w:rsidRPr="007B6755" w:rsidRDefault="00E148C7" w:rsidP="00E148C7">
      <w:pPr>
        <w:spacing w:after="0" w:line="360" w:lineRule="auto"/>
        <w:jc w:val="both"/>
        <w:rPr>
          <w:i/>
          <w:iCs/>
          <w:sz w:val="24"/>
          <w:szCs w:val="24"/>
          <w:lang w:val="en-US"/>
        </w:rPr>
      </w:pPr>
      <w:r w:rsidRPr="00867004">
        <w:rPr>
          <w:i/>
          <w:iCs/>
          <w:lang w:val="en-US"/>
        </w:rPr>
        <w:t>References</w:t>
      </w:r>
    </w:p>
    <w:p w14:paraId="64812945" w14:textId="77777777" w:rsidR="00867004" w:rsidRPr="00867004" w:rsidRDefault="00867004" w:rsidP="00867004">
      <w:pPr>
        <w:spacing w:after="120" w:line="240" w:lineRule="auto"/>
        <w:rPr>
          <w:lang w:val="fr-FR"/>
        </w:rPr>
      </w:pPr>
      <w:proofErr w:type="spellStart"/>
      <w:r w:rsidRPr="00867004">
        <w:rPr>
          <w:lang w:val="en-US"/>
        </w:rPr>
        <w:t>Aeschimann</w:t>
      </w:r>
      <w:proofErr w:type="spellEnd"/>
      <w:r w:rsidRPr="00867004">
        <w:rPr>
          <w:lang w:val="en-US"/>
        </w:rPr>
        <w:t xml:space="preserve">, D., Lauber, K., Moser, D. M., </w:t>
      </w:r>
      <w:proofErr w:type="spellStart"/>
      <w:r w:rsidRPr="00867004">
        <w:rPr>
          <w:lang w:val="en-US"/>
        </w:rPr>
        <w:t>Theurillat</w:t>
      </w:r>
      <w:proofErr w:type="spellEnd"/>
      <w:r w:rsidRPr="00867004">
        <w:rPr>
          <w:lang w:val="en-US"/>
        </w:rPr>
        <w:t xml:space="preserve">, J.P. (2004). </w:t>
      </w:r>
      <w:r w:rsidRPr="00867004">
        <w:rPr>
          <w:i/>
          <w:iCs/>
          <w:lang w:val="fr-FR"/>
        </w:rPr>
        <w:t xml:space="preserve">Flora </w:t>
      </w:r>
      <w:proofErr w:type="gramStart"/>
      <w:r w:rsidRPr="00867004">
        <w:rPr>
          <w:i/>
          <w:iCs/>
          <w:lang w:val="fr-FR"/>
        </w:rPr>
        <w:t>Alpina:</w:t>
      </w:r>
      <w:proofErr w:type="gramEnd"/>
      <w:r w:rsidRPr="00867004">
        <w:rPr>
          <w:i/>
          <w:iCs/>
          <w:lang w:val="fr-FR"/>
        </w:rPr>
        <w:t xml:space="preserve"> Atlas des 4500 Plantes Vasculaires des Alpes</w:t>
      </w:r>
      <w:r w:rsidRPr="00867004">
        <w:rPr>
          <w:lang w:val="fr-FR"/>
        </w:rPr>
        <w:t>. Belin, Paris.</w:t>
      </w:r>
    </w:p>
    <w:p w14:paraId="4A19329A" w14:textId="77777777" w:rsidR="00867004" w:rsidRPr="00867004" w:rsidRDefault="00867004" w:rsidP="00867004">
      <w:pPr>
        <w:spacing w:after="120" w:line="240" w:lineRule="auto"/>
        <w:rPr>
          <w:lang w:val="en-US"/>
        </w:rPr>
      </w:pPr>
      <w:r w:rsidRPr="00867004">
        <w:t xml:space="preserve">Albanese, D., Fontana, P., De Filippo, C., Cavalieri, D., Donati, C. (2015). </w:t>
      </w:r>
      <w:r w:rsidRPr="00867004">
        <w:rPr>
          <w:lang w:val="en-US"/>
        </w:rPr>
        <w:t xml:space="preserve">MICCA: a complete and accurate software for taxonomic profiling of metagenomic data. </w:t>
      </w:r>
      <w:r w:rsidRPr="00867004">
        <w:rPr>
          <w:i/>
          <w:iCs/>
          <w:lang w:val="en-US"/>
        </w:rPr>
        <w:t>Scientific Reports</w:t>
      </w:r>
      <w:r w:rsidRPr="00867004">
        <w:rPr>
          <w:lang w:val="en-US"/>
        </w:rPr>
        <w:t xml:space="preserve"> 5, 1–7.</w:t>
      </w:r>
    </w:p>
    <w:p w14:paraId="43B7256C" w14:textId="35F377B0" w:rsidR="00867004" w:rsidRPr="00867004" w:rsidRDefault="00867004" w:rsidP="00867004">
      <w:pPr>
        <w:spacing w:after="120" w:line="240" w:lineRule="auto"/>
        <w:rPr>
          <w:lang w:val="en-US"/>
        </w:rPr>
      </w:pPr>
      <w:proofErr w:type="spellStart"/>
      <w:r w:rsidRPr="00867004">
        <w:rPr>
          <w:lang w:val="en-US"/>
        </w:rPr>
        <w:t>Bolyen</w:t>
      </w:r>
      <w:proofErr w:type="spellEnd"/>
      <w:r w:rsidRPr="00867004">
        <w:rPr>
          <w:lang w:val="en-US"/>
        </w:rPr>
        <w:t xml:space="preserve">, E., Rideout, J. R., Dillon, M. R., </w:t>
      </w:r>
      <w:proofErr w:type="spellStart"/>
      <w:r w:rsidRPr="00867004">
        <w:rPr>
          <w:lang w:val="en-US"/>
        </w:rPr>
        <w:t>Bokulich</w:t>
      </w:r>
      <w:proofErr w:type="spellEnd"/>
      <w:r w:rsidRPr="00867004">
        <w:rPr>
          <w:lang w:val="en-US"/>
        </w:rPr>
        <w:t xml:space="preserve">, N. A., </w:t>
      </w:r>
      <w:proofErr w:type="spellStart"/>
      <w:r w:rsidRPr="00867004">
        <w:rPr>
          <w:lang w:val="en-US"/>
        </w:rPr>
        <w:t>Abnet</w:t>
      </w:r>
      <w:proofErr w:type="spellEnd"/>
      <w:r w:rsidRPr="00867004">
        <w:rPr>
          <w:lang w:val="en-US"/>
        </w:rPr>
        <w:t>, C. C., Al-</w:t>
      </w:r>
      <w:proofErr w:type="spellStart"/>
      <w:r w:rsidRPr="00867004">
        <w:rPr>
          <w:lang w:val="en-US"/>
        </w:rPr>
        <w:t>Ghalith</w:t>
      </w:r>
      <w:proofErr w:type="spellEnd"/>
      <w:r w:rsidRPr="00867004">
        <w:rPr>
          <w:lang w:val="en-US"/>
        </w:rPr>
        <w:t xml:space="preserve">, G. A., ... &amp; </w:t>
      </w:r>
      <w:proofErr w:type="spellStart"/>
      <w:r w:rsidRPr="00867004">
        <w:rPr>
          <w:lang w:val="en-US"/>
        </w:rPr>
        <w:t>Caporaso</w:t>
      </w:r>
      <w:proofErr w:type="spellEnd"/>
      <w:r w:rsidRPr="00867004">
        <w:rPr>
          <w:lang w:val="en-US"/>
        </w:rPr>
        <w:t xml:space="preserve">, J. G. (2019). Reproducible, interactive, scalable and extensible microbiome data science using QIIME 2. </w:t>
      </w:r>
      <w:r w:rsidRPr="00867004">
        <w:rPr>
          <w:i/>
          <w:iCs/>
          <w:lang w:val="en-US"/>
        </w:rPr>
        <w:t xml:space="preserve">Nature </w:t>
      </w:r>
      <w:r>
        <w:rPr>
          <w:i/>
          <w:iCs/>
          <w:lang w:val="en-US"/>
        </w:rPr>
        <w:t>B</w:t>
      </w:r>
      <w:r w:rsidRPr="00867004">
        <w:rPr>
          <w:i/>
          <w:iCs/>
          <w:lang w:val="en-US"/>
        </w:rPr>
        <w:t>iotechnology</w:t>
      </w:r>
      <w:r w:rsidRPr="00867004">
        <w:rPr>
          <w:lang w:val="en-US"/>
        </w:rPr>
        <w:t>, 37(8), 852-857.</w:t>
      </w:r>
    </w:p>
    <w:p w14:paraId="64237427" w14:textId="2B79EF48" w:rsidR="00867004" w:rsidRPr="00867004" w:rsidRDefault="00867004" w:rsidP="00867004">
      <w:pPr>
        <w:spacing w:after="120" w:line="240" w:lineRule="auto"/>
        <w:rPr>
          <w:lang w:val="en-US"/>
        </w:rPr>
      </w:pPr>
      <w:r w:rsidRPr="00867004">
        <w:rPr>
          <w:lang w:val="en-US"/>
        </w:rPr>
        <w:t xml:space="preserve">Callahan, B. J., </w:t>
      </w:r>
      <w:proofErr w:type="spellStart"/>
      <w:r w:rsidRPr="00867004">
        <w:rPr>
          <w:lang w:val="en-US"/>
        </w:rPr>
        <w:t>McMurdie</w:t>
      </w:r>
      <w:proofErr w:type="spellEnd"/>
      <w:r w:rsidRPr="00867004">
        <w:rPr>
          <w:lang w:val="en-US"/>
        </w:rPr>
        <w:t xml:space="preserve">, P. J., Rosen, M. J., Han, A. W., Johnson, A. J. A., &amp; Holmes, S. P. (2016). DADA2: high-resolution sample inference from Illumina amplicon data. </w:t>
      </w:r>
      <w:r w:rsidRPr="00867004">
        <w:rPr>
          <w:i/>
          <w:iCs/>
          <w:lang w:val="en-US"/>
        </w:rPr>
        <w:t>Nature Methods</w:t>
      </w:r>
      <w:r w:rsidRPr="00867004">
        <w:rPr>
          <w:lang w:val="en-US"/>
        </w:rPr>
        <w:t>, 13(7), 581-583.</w:t>
      </w:r>
    </w:p>
    <w:p w14:paraId="3F2BE6CB" w14:textId="77777777" w:rsidR="00867004" w:rsidRPr="00867004" w:rsidRDefault="00867004" w:rsidP="00867004">
      <w:pPr>
        <w:spacing w:after="120" w:line="240" w:lineRule="auto"/>
        <w:rPr>
          <w:lang w:val="pt-PT"/>
        </w:rPr>
      </w:pPr>
      <w:proofErr w:type="spellStart"/>
      <w:r w:rsidRPr="00867004">
        <w:rPr>
          <w:lang w:val="en-US"/>
        </w:rPr>
        <w:t>Leontidou</w:t>
      </w:r>
      <w:proofErr w:type="spellEnd"/>
      <w:r w:rsidRPr="00867004">
        <w:rPr>
          <w:lang w:val="en-US"/>
        </w:rPr>
        <w:t xml:space="preserve">, K. et al. (2018). DNA metabarcoding of airborne pollen: new protocols for improved taxonomic identification of environmental samples. </w:t>
      </w:r>
      <w:r w:rsidRPr="00867004">
        <w:rPr>
          <w:i/>
          <w:iCs/>
          <w:lang w:val="pt-PT"/>
        </w:rPr>
        <w:t>Aerobiologia</w:t>
      </w:r>
      <w:r w:rsidRPr="00867004">
        <w:rPr>
          <w:lang w:val="pt-PT"/>
        </w:rPr>
        <w:t xml:space="preserve"> 34, 63–74.</w:t>
      </w:r>
    </w:p>
    <w:p w14:paraId="1241BF6F" w14:textId="77777777" w:rsidR="00867004" w:rsidRPr="00867004" w:rsidRDefault="00867004" w:rsidP="00867004">
      <w:pPr>
        <w:spacing w:after="120" w:line="240" w:lineRule="auto"/>
        <w:rPr>
          <w:lang w:val="en-US"/>
        </w:rPr>
      </w:pPr>
      <w:r w:rsidRPr="00867004">
        <w:rPr>
          <w:lang w:val="pt-PT"/>
        </w:rPr>
        <w:t xml:space="preserve">Leontidou, K., Vokou, D., Sandionigi, A., Bruno, A., Lazarina, M., De Groeve, J., ... &amp; Cristofori, A. (2021). Plant biodiversity assessment through pollen DNA metabarcoding in Natura 2000 habitats (Italian Alps). </w:t>
      </w:r>
      <w:r w:rsidRPr="00867004">
        <w:rPr>
          <w:i/>
          <w:iCs/>
          <w:lang w:val="en-US"/>
        </w:rPr>
        <w:t>Scientific Reports</w:t>
      </w:r>
      <w:r w:rsidRPr="00867004">
        <w:rPr>
          <w:lang w:val="en-US"/>
        </w:rPr>
        <w:t>, 11, 1-12.</w:t>
      </w:r>
    </w:p>
    <w:p w14:paraId="7F59B5F3" w14:textId="77777777" w:rsidR="00867004" w:rsidRPr="00867004" w:rsidRDefault="00867004" w:rsidP="00867004">
      <w:pPr>
        <w:spacing w:after="120" w:line="240" w:lineRule="auto"/>
        <w:rPr>
          <w:lang w:val="en-US"/>
        </w:rPr>
      </w:pPr>
      <w:proofErr w:type="spellStart"/>
      <w:r w:rsidRPr="00867004">
        <w:rPr>
          <w:lang w:val="en-US"/>
        </w:rPr>
        <w:t>Leray</w:t>
      </w:r>
      <w:proofErr w:type="spellEnd"/>
      <w:r w:rsidRPr="00867004">
        <w:rPr>
          <w:lang w:val="en-US"/>
        </w:rPr>
        <w:t xml:space="preserve">, M., </w:t>
      </w:r>
      <w:proofErr w:type="spellStart"/>
      <w:r w:rsidRPr="00867004">
        <w:rPr>
          <w:lang w:val="en-US"/>
        </w:rPr>
        <w:t>Shian</w:t>
      </w:r>
      <w:proofErr w:type="spellEnd"/>
      <w:r w:rsidRPr="00867004">
        <w:rPr>
          <w:lang w:val="en-US"/>
        </w:rPr>
        <w:t>-</w:t>
      </w:r>
      <w:proofErr w:type="spellStart"/>
      <w:r w:rsidRPr="00867004">
        <w:rPr>
          <w:lang w:val="en-US"/>
        </w:rPr>
        <w:t>Lei</w:t>
      </w:r>
      <w:proofErr w:type="gramStart"/>
      <w:r w:rsidRPr="00867004">
        <w:rPr>
          <w:lang w:val="en-US"/>
        </w:rPr>
        <w:t>,.H</w:t>
      </w:r>
      <w:proofErr w:type="spellEnd"/>
      <w:r w:rsidRPr="00867004">
        <w:rPr>
          <w:lang w:val="en-US"/>
        </w:rPr>
        <w:t>.</w:t>
      </w:r>
      <w:proofErr w:type="gramEnd"/>
      <w:r w:rsidRPr="00867004">
        <w:rPr>
          <w:lang w:val="en-US"/>
        </w:rPr>
        <w:t>, I-</w:t>
      </w:r>
      <w:proofErr w:type="spellStart"/>
      <w:r w:rsidRPr="00867004">
        <w:rPr>
          <w:lang w:val="en-US"/>
        </w:rPr>
        <w:t>Jeng</w:t>
      </w:r>
      <w:proofErr w:type="spellEnd"/>
      <w:r w:rsidRPr="00867004">
        <w:rPr>
          <w:lang w:val="en-US"/>
        </w:rPr>
        <w:t xml:space="preserve">, L., Ryuji, J.M. (2018). MIDORI Server: A Webserver for Taxonomic Assignment of Unknown Metazoan Mitochondrial-Encoded Sequences Using a Curated Database. </w:t>
      </w:r>
      <w:r w:rsidRPr="00867004">
        <w:rPr>
          <w:i/>
          <w:iCs/>
          <w:lang w:val="en-US"/>
        </w:rPr>
        <w:t>Bioinformatics</w:t>
      </w:r>
      <w:r w:rsidRPr="00867004">
        <w:rPr>
          <w:lang w:val="en-US"/>
        </w:rPr>
        <w:t xml:space="preserve">, 34: 3753–54. </w:t>
      </w:r>
    </w:p>
    <w:p w14:paraId="2FA6270F" w14:textId="6C1FBDD8" w:rsidR="00867004" w:rsidRPr="00867004" w:rsidRDefault="00867004" w:rsidP="00867004">
      <w:pPr>
        <w:spacing w:after="120" w:line="240" w:lineRule="auto"/>
        <w:rPr>
          <w:lang w:val="fr-FR"/>
        </w:rPr>
      </w:pPr>
      <w:r w:rsidRPr="00867004">
        <w:rPr>
          <w:lang w:val="en-US"/>
        </w:rPr>
        <w:t xml:space="preserve">Martin, M. (2011). </w:t>
      </w:r>
      <w:proofErr w:type="spellStart"/>
      <w:r w:rsidRPr="00867004">
        <w:rPr>
          <w:lang w:val="en-US"/>
        </w:rPr>
        <w:t>Cutadapt</w:t>
      </w:r>
      <w:proofErr w:type="spellEnd"/>
      <w:r w:rsidRPr="00867004">
        <w:rPr>
          <w:lang w:val="en-US"/>
        </w:rPr>
        <w:t xml:space="preserve"> removes adapter sequences from high-throughput sequencing reads. </w:t>
      </w:r>
      <w:proofErr w:type="spellStart"/>
      <w:r w:rsidRPr="00867004">
        <w:rPr>
          <w:i/>
          <w:iCs/>
          <w:lang w:val="fr-FR"/>
        </w:rPr>
        <w:t>EMBnet</w:t>
      </w:r>
      <w:proofErr w:type="spellEnd"/>
      <w:r w:rsidRPr="00867004">
        <w:rPr>
          <w:i/>
          <w:iCs/>
          <w:lang w:val="fr-FR"/>
        </w:rPr>
        <w:t>. Journal</w:t>
      </w:r>
      <w:r w:rsidRPr="00867004">
        <w:rPr>
          <w:lang w:val="fr-FR"/>
        </w:rPr>
        <w:t>, 17(1), 10-12.</w:t>
      </w:r>
    </w:p>
    <w:p w14:paraId="143546FD" w14:textId="77777777" w:rsidR="00867004" w:rsidRPr="00867004" w:rsidRDefault="00867004" w:rsidP="00867004">
      <w:pPr>
        <w:rPr>
          <w:lang w:val="fr-FR"/>
        </w:rPr>
      </w:pPr>
      <w:r w:rsidRPr="00867004">
        <w:rPr>
          <w:lang w:val="fr-FR"/>
        </w:rPr>
        <w:t xml:space="preserve">Rognes, T., </w:t>
      </w:r>
      <w:proofErr w:type="spellStart"/>
      <w:r w:rsidRPr="00867004">
        <w:rPr>
          <w:lang w:val="fr-FR"/>
        </w:rPr>
        <w:t>Flouri</w:t>
      </w:r>
      <w:proofErr w:type="spellEnd"/>
      <w:r w:rsidRPr="00867004">
        <w:rPr>
          <w:lang w:val="fr-FR"/>
        </w:rPr>
        <w:t xml:space="preserve">, T., Nichols, B., </w:t>
      </w:r>
      <w:proofErr w:type="spellStart"/>
      <w:r w:rsidRPr="00867004">
        <w:rPr>
          <w:lang w:val="fr-FR"/>
        </w:rPr>
        <w:t>Quince</w:t>
      </w:r>
      <w:proofErr w:type="spellEnd"/>
      <w:r w:rsidRPr="00867004">
        <w:rPr>
          <w:lang w:val="fr-FR"/>
        </w:rPr>
        <w:t xml:space="preserve">, C. &amp; Mahé, F. (2016). </w:t>
      </w:r>
      <w:proofErr w:type="gramStart"/>
      <w:r w:rsidRPr="00867004">
        <w:rPr>
          <w:lang w:val="fr-FR"/>
        </w:rPr>
        <w:t>VSEARCH:</w:t>
      </w:r>
      <w:proofErr w:type="gramEnd"/>
      <w:r w:rsidRPr="00867004">
        <w:rPr>
          <w:lang w:val="fr-FR"/>
        </w:rPr>
        <w:t xml:space="preserve"> </w:t>
      </w:r>
      <w:proofErr w:type="spellStart"/>
      <w:r w:rsidRPr="00867004">
        <w:rPr>
          <w:lang w:val="fr-FR"/>
        </w:rPr>
        <w:t>a</w:t>
      </w:r>
      <w:proofErr w:type="spellEnd"/>
      <w:r w:rsidRPr="00867004">
        <w:rPr>
          <w:lang w:val="fr-FR"/>
        </w:rPr>
        <w:t xml:space="preserve"> versatile open source </w:t>
      </w:r>
      <w:proofErr w:type="spellStart"/>
      <w:r w:rsidRPr="00867004">
        <w:rPr>
          <w:lang w:val="fr-FR"/>
        </w:rPr>
        <w:t>tool</w:t>
      </w:r>
      <w:proofErr w:type="spellEnd"/>
      <w:r w:rsidRPr="00867004">
        <w:rPr>
          <w:lang w:val="fr-FR"/>
        </w:rPr>
        <w:t xml:space="preserve"> for </w:t>
      </w:r>
      <w:proofErr w:type="spellStart"/>
      <w:r w:rsidRPr="00867004">
        <w:rPr>
          <w:lang w:val="fr-FR"/>
        </w:rPr>
        <w:t>metagenomics</w:t>
      </w:r>
      <w:proofErr w:type="spellEnd"/>
      <w:r w:rsidRPr="00867004">
        <w:rPr>
          <w:lang w:val="fr-FR"/>
        </w:rPr>
        <w:t xml:space="preserve">. </w:t>
      </w:r>
      <w:proofErr w:type="spellStart"/>
      <w:r w:rsidRPr="00867004">
        <w:rPr>
          <w:i/>
          <w:iCs/>
          <w:lang w:val="fr-FR"/>
        </w:rPr>
        <w:t>PeerJ</w:t>
      </w:r>
      <w:proofErr w:type="spellEnd"/>
      <w:r w:rsidRPr="00867004">
        <w:rPr>
          <w:lang w:val="fr-FR"/>
        </w:rPr>
        <w:t xml:space="preserve"> 4, e2584</w:t>
      </w:r>
    </w:p>
    <w:p w14:paraId="5AF117E6" w14:textId="77777777" w:rsidR="00867004" w:rsidRPr="00867004" w:rsidRDefault="00867004" w:rsidP="00867004">
      <w:pPr>
        <w:rPr>
          <w:lang w:val="en-US"/>
        </w:rPr>
      </w:pPr>
      <w:proofErr w:type="spellStart"/>
      <w:r w:rsidRPr="00867004">
        <w:rPr>
          <w:lang w:val="fr-FR"/>
        </w:rPr>
        <w:t>Taberlet</w:t>
      </w:r>
      <w:proofErr w:type="spellEnd"/>
      <w:r w:rsidRPr="00867004">
        <w:rPr>
          <w:lang w:val="fr-FR"/>
        </w:rPr>
        <w:t xml:space="preserve">, P., </w:t>
      </w:r>
      <w:proofErr w:type="spellStart"/>
      <w:r w:rsidRPr="00867004">
        <w:rPr>
          <w:lang w:val="fr-FR"/>
        </w:rPr>
        <w:t>Coissac</w:t>
      </w:r>
      <w:proofErr w:type="spellEnd"/>
      <w:r w:rsidRPr="00867004">
        <w:rPr>
          <w:lang w:val="fr-FR"/>
        </w:rPr>
        <w:t xml:space="preserve">, E., </w:t>
      </w:r>
      <w:proofErr w:type="spellStart"/>
      <w:r w:rsidRPr="00867004">
        <w:rPr>
          <w:lang w:val="fr-FR"/>
        </w:rPr>
        <w:t>Pompanon</w:t>
      </w:r>
      <w:proofErr w:type="spellEnd"/>
      <w:r w:rsidRPr="00867004">
        <w:rPr>
          <w:lang w:val="fr-FR"/>
        </w:rPr>
        <w:t xml:space="preserve">, F. et al. </w:t>
      </w:r>
      <w:r w:rsidRPr="00867004">
        <w:rPr>
          <w:lang w:val="en-US"/>
        </w:rPr>
        <w:t xml:space="preserve">(2007). Power and limitations of the chloroplast </w:t>
      </w:r>
      <w:proofErr w:type="spellStart"/>
      <w:r w:rsidRPr="00867004">
        <w:rPr>
          <w:lang w:val="en-US"/>
        </w:rPr>
        <w:t>trn</w:t>
      </w:r>
      <w:proofErr w:type="spellEnd"/>
      <w:r w:rsidRPr="00867004">
        <w:rPr>
          <w:lang w:val="en-US"/>
        </w:rPr>
        <w:t xml:space="preserve"> L (UAA) intron for plant DNA barcoding. </w:t>
      </w:r>
      <w:r w:rsidRPr="00867004">
        <w:rPr>
          <w:i/>
          <w:iCs/>
          <w:lang w:val="en-US"/>
        </w:rPr>
        <w:t>Nucleic Acids Research</w:t>
      </w:r>
      <w:r w:rsidRPr="00867004">
        <w:rPr>
          <w:lang w:val="en-US"/>
        </w:rPr>
        <w:t>, 35, e14–e14.</w:t>
      </w:r>
    </w:p>
    <w:p w14:paraId="38DCE876" w14:textId="76AB3BFF" w:rsidR="00BB4E70" w:rsidRDefault="00867004" w:rsidP="00867004">
      <w:pPr>
        <w:rPr>
          <w:lang w:val="en-US"/>
        </w:rPr>
      </w:pPr>
      <w:proofErr w:type="spellStart"/>
      <w:r w:rsidRPr="00867004">
        <w:rPr>
          <w:lang w:val="en-US"/>
        </w:rPr>
        <w:t>Zeale</w:t>
      </w:r>
      <w:proofErr w:type="spellEnd"/>
      <w:r w:rsidRPr="00867004">
        <w:rPr>
          <w:lang w:val="en-US"/>
        </w:rPr>
        <w:t xml:space="preserve">, M.R., </w:t>
      </w:r>
      <w:proofErr w:type="spellStart"/>
      <w:r w:rsidRPr="00867004">
        <w:rPr>
          <w:lang w:val="en-US"/>
        </w:rPr>
        <w:t>Butlin</w:t>
      </w:r>
      <w:proofErr w:type="spellEnd"/>
      <w:r w:rsidRPr="00867004">
        <w:rPr>
          <w:lang w:val="en-US"/>
        </w:rPr>
        <w:t xml:space="preserve">, R. K., Barker, G. L., Lees, D. C., Jones, G. (2011). Taxon‐specific PCR for DNA barcoding arthropod prey in bat </w:t>
      </w:r>
      <w:proofErr w:type="spellStart"/>
      <w:r w:rsidRPr="00867004">
        <w:rPr>
          <w:lang w:val="en-US"/>
        </w:rPr>
        <w:t>faeces</w:t>
      </w:r>
      <w:proofErr w:type="spellEnd"/>
      <w:r w:rsidRPr="00867004">
        <w:rPr>
          <w:lang w:val="en-US"/>
        </w:rPr>
        <w:t xml:space="preserve">. </w:t>
      </w:r>
      <w:r w:rsidRPr="00867004">
        <w:rPr>
          <w:i/>
          <w:iCs/>
          <w:lang w:val="en-US"/>
        </w:rPr>
        <w:t>Molecular Ecology Resources</w:t>
      </w:r>
      <w:r w:rsidRPr="00867004">
        <w:rPr>
          <w:lang w:val="en-US"/>
        </w:rPr>
        <w:t>, 11:236-244.</w:t>
      </w:r>
    </w:p>
    <w:p w14:paraId="2ED37B51" w14:textId="77777777" w:rsidR="008F2111" w:rsidRPr="00B056CD" w:rsidRDefault="008F2111" w:rsidP="002479DF">
      <w:pPr>
        <w:spacing w:line="360" w:lineRule="auto"/>
        <w:rPr>
          <w:lang w:val="en-US"/>
        </w:rPr>
      </w:pPr>
    </w:p>
    <w:p w14:paraId="29C44437" w14:textId="77777777" w:rsidR="008F2111" w:rsidRPr="00B056CD" w:rsidRDefault="008F2111" w:rsidP="002479DF">
      <w:pPr>
        <w:spacing w:line="360" w:lineRule="auto"/>
        <w:rPr>
          <w:lang w:val="en-US"/>
        </w:rPr>
      </w:pPr>
    </w:p>
    <w:p w14:paraId="0DDC0401" w14:textId="77777777" w:rsidR="002479DF" w:rsidRPr="00B056CD" w:rsidRDefault="002479DF">
      <w:pPr>
        <w:rPr>
          <w:lang w:val="en-US"/>
        </w:rPr>
      </w:pPr>
    </w:p>
    <w:sectPr w:rsidR="002479DF" w:rsidRPr="00B056CD">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95109" w14:textId="77777777" w:rsidR="005158DC" w:rsidRDefault="005158DC" w:rsidP="000B5001">
      <w:pPr>
        <w:spacing w:after="0" w:line="240" w:lineRule="auto"/>
      </w:pPr>
      <w:r>
        <w:separator/>
      </w:r>
    </w:p>
  </w:endnote>
  <w:endnote w:type="continuationSeparator" w:id="0">
    <w:p w14:paraId="5DBFAC94" w14:textId="77777777" w:rsidR="005158DC" w:rsidRDefault="005158DC" w:rsidP="000B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290964"/>
      <w:docPartObj>
        <w:docPartGallery w:val="Page Numbers (Bottom of Page)"/>
        <w:docPartUnique/>
      </w:docPartObj>
    </w:sdtPr>
    <w:sdtContent>
      <w:p w14:paraId="551D5F67" w14:textId="0F1A66F9" w:rsidR="000B5001" w:rsidRDefault="000B5001">
        <w:pPr>
          <w:pStyle w:val="Pidipagina"/>
          <w:jc w:val="right"/>
        </w:pPr>
        <w:r>
          <w:fldChar w:fldCharType="begin"/>
        </w:r>
        <w:r>
          <w:instrText>PAGE   \* MERGEFORMAT</w:instrText>
        </w:r>
        <w:r>
          <w:fldChar w:fldCharType="separate"/>
        </w:r>
        <w:r>
          <w:t>2</w:t>
        </w:r>
        <w:r>
          <w:fldChar w:fldCharType="end"/>
        </w:r>
      </w:p>
    </w:sdtContent>
  </w:sdt>
  <w:p w14:paraId="76E65F7E" w14:textId="77777777" w:rsidR="000B5001" w:rsidRDefault="000B50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D0D8" w14:textId="77777777" w:rsidR="005158DC" w:rsidRDefault="005158DC" w:rsidP="000B5001">
      <w:pPr>
        <w:spacing w:after="0" w:line="240" w:lineRule="auto"/>
      </w:pPr>
      <w:r>
        <w:separator/>
      </w:r>
    </w:p>
  </w:footnote>
  <w:footnote w:type="continuationSeparator" w:id="0">
    <w:p w14:paraId="6618197A" w14:textId="77777777" w:rsidR="005158DC" w:rsidRDefault="005158DC" w:rsidP="000B50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52"/>
    <w:rsid w:val="000B5001"/>
    <w:rsid w:val="0010166F"/>
    <w:rsid w:val="00117B41"/>
    <w:rsid w:val="0016019C"/>
    <w:rsid w:val="001765A4"/>
    <w:rsid w:val="0018308A"/>
    <w:rsid w:val="001C279E"/>
    <w:rsid w:val="001E44DA"/>
    <w:rsid w:val="002479DF"/>
    <w:rsid w:val="00264846"/>
    <w:rsid w:val="00282CF9"/>
    <w:rsid w:val="002C5C25"/>
    <w:rsid w:val="002E5741"/>
    <w:rsid w:val="003C5B74"/>
    <w:rsid w:val="00430B5F"/>
    <w:rsid w:val="004E3EBF"/>
    <w:rsid w:val="005158DC"/>
    <w:rsid w:val="0053566A"/>
    <w:rsid w:val="005419AD"/>
    <w:rsid w:val="00587BEE"/>
    <w:rsid w:val="00611F26"/>
    <w:rsid w:val="006C0241"/>
    <w:rsid w:val="007412A1"/>
    <w:rsid w:val="00750C52"/>
    <w:rsid w:val="0077568C"/>
    <w:rsid w:val="007B6755"/>
    <w:rsid w:val="00836346"/>
    <w:rsid w:val="00867004"/>
    <w:rsid w:val="00872D06"/>
    <w:rsid w:val="00875751"/>
    <w:rsid w:val="008957BF"/>
    <w:rsid w:val="008D58B4"/>
    <w:rsid w:val="008F07F7"/>
    <w:rsid w:val="008F2111"/>
    <w:rsid w:val="009431DD"/>
    <w:rsid w:val="009A767A"/>
    <w:rsid w:val="00A059FE"/>
    <w:rsid w:val="00A158BE"/>
    <w:rsid w:val="00A1782D"/>
    <w:rsid w:val="00A5622F"/>
    <w:rsid w:val="00AB7A68"/>
    <w:rsid w:val="00B056CD"/>
    <w:rsid w:val="00B54747"/>
    <w:rsid w:val="00BA7C60"/>
    <w:rsid w:val="00BB4E70"/>
    <w:rsid w:val="00BF0E59"/>
    <w:rsid w:val="00C170BB"/>
    <w:rsid w:val="00C3187E"/>
    <w:rsid w:val="00C612A1"/>
    <w:rsid w:val="00C73A38"/>
    <w:rsid w:val="00CB23EE"/>
    <w:rsid w:val="00DA2EFC"/>
    <w:rsid w:val="00DC4DF7"/>
    <w:rsid w:val="00E148C7"/>
    <w:rsid w:val="00E40130"/>
    <w:rsid w:val="00E809EA"/>
    <w:rsid w:val="00EA2DCB"/>
    <w:rsid w:val="00F33205"/>
    <w:rsid w:val="00F34452"/>
    <w:rsid w:val="00F405BC"/>
    <w:rsid w:val="00FC496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668C"/>
  <w15:chartTrackingRefBased/>
  <w15:docId w15:val="{7EF8CEBF-B993-45D1-A993-773C80F2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uiPriority w:val="99"/>
    <w:semiHidden/>
    <w:unhideWhenUsed/>
    <w:rsid w:val="00117B41"/>
    <w:rPr>
      <w:vertAlign w:val="superscript"/>
    </w:rPr>
  </w:style>
  <w:style w:type="character" w:styleId="Rimandocommento">
    <w:name w:val="annotation reference"/>
    <w:basedOn w:val="Carpredefinitoparagrafo"/>
    <w:uiPriority w:val="99"/>
    <w:semiHidden/>
    <w:unhideWhenUsed/>
    <w:rsid w:val="00C73A38"/>
    <w:rPr>
      <w:sz w:val="16"/>
      <w:szCs w:val="16"/>
    </w:rPr>
  </w:style>
  <w:style w:type="paragraph" w:styleId="Testocommento">
    <w:name w:val="annotation text"/>
    <w:basedOn w:val="Normale"/>
    <w:link w:val="TestocommentoCarattere"/>
    <w:uiPriority w:val="99"/>
    <w:unhideWhenUsed/>
    <w:rsid w:val="00C73A38"/>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C73A38"/>
    <w:rPr>
      <w:sz w:val="20"/>
      <w:szCs w:val="20"/>
    </w:rPr>
  </w:style>
  <w:style w:type="character" w:styleId="Collegamentoipertestuale">
    <w:name w:val="Hyperlink"/>
    <w:basedOn w:val="Carpredefinitoparagrafo"/>
    <w:uiPriority w:val="99"/>
    <w:unhideWhenUsed/>
    <w:rsid w:val="00BB4E70"/>
    <w:rPr>
      <w:color w:val="0563C1" w:themeColor="hyperlink"/>
      <w:u w:val="single"/>
    </w:rPr>
  </w:style>
  <w:style w:type="character" w:styleId="Menzionenonrisolta">
    <w:name w:val="Unresolved Mention"/>
    <w:basedOn w:val="Carpredefinitoparagrafo"/>
    <w:uiPriority w:val="99"/>
    <w:semiHidden/>
    <w:unhideWhenUsed/>
    <w:rsid w:val="00BB4E70"/>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C3187E"/>
    <w:pPr>
      <w:spacing w:after="160"/>
    </w:pPr>
    <w:rPr>
      <w:b/>
      <w:bCs/>
    </w:rPr>
  </w:style>
  <w:style w:type="character" w:customStyle="1" w:styleId="SoggettocommentoCarattere">
    <w:name w:val="Soggetto commento Carattere"/>
    <w:basedOn w:val="TestocommentoCarattere"/>
    <w:link w:val="Soggettocommento"/>
    <w:uiPriority w:val="99"/>
    <w:semiHidden/>
    <w:rsid w:val="00C3187E"/>
    <w:rPr>
      <w:b/>
      <w:bCs/>
      <w:sz w:val="20"/>
      <w:szCs w:val="20"/>
    </w:rPr>
  </w:style>
  <w:style w:type="paragraph" w:styleId="Intestazione">
    <w:name w:val="header"/>
    <w:basedOn w:val="Normale"/>
    <w:link w:val="IntestazioneCarattere"/>
    <w:uiPriority w:val="99"/>
    <w:unhideWhenUsed/>
    <w:rsid w:val="000B50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5001"/>
  </w:style>
  <w:style w:type="paragraph" w:styleId="Pidipagina">
    <w:name w:val="footer"/>
    <w:basedOn w:val="Normale"/>
    <w:link w:val="PidipaginaCarattere"/>
    <w:uiPriority w:val="99"/>
    <w:unhideWhenUsed/>
    <w:rsid w:val="000B50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5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45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8251</Words>
  <Characters>47031</Characters>
  <Application>Microsoft Office Word</Application>
  <DocSecurity>0</DocSecurity>
  <Lines>391</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Marchesini</dc:creator>
  <cp:keywords/>
  <dc:description/>
  <cp:lastModifiedBy>Davide Scridel</cp:lastModifiedBy>
  <cp:revision>35</cp:revision>
  <dcterms:created xsi:type="dcterms:W3CDTF">2021-11-23T18:03:00Z</dcterms:created>
  <dcterms:modified xsi:type="dcterms:W3CDTF">2022-07-03T13:34:00Z</dcterms:modified>
</cp:coreProperties>
</file>