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5D20C" w14:textId="3DFFDAF7" w:rsidR="007B47B3" w:rsidRDefault="007B47B3" w:rsidP="007B47B3">
      <w:pPr>
        <w:jc w:val="left"/>
        <w:rPr>
          <w:rFonts w:cs="Calibri"/>
          <w:b/>
          <w:sz w:val="28"/>
        </w:rPr>
      </w:pPr>
      <w:bookmarkStart w:id="0" w:name="_Hlk42344993"/>
      <w:r w:rsidRPr="007B47B3">
        <w:rPr>
          <w:rFonts w:cs="Calibri"/>
          <w:b/>
          <w:sz w:val="28"/>
        </w:rPr>
        <w:t xml:space="preserve">Influence of crown and canopy structure on light absorption, light-use efficiency and growth in mixed and pure </w:t>
      </w:r>
      <w:proofErr w:type="spellStart"/>
      <w:r w:rsidRPr="007B47B3">
        <w:rPr>
          <w:rFonts w:cs="Calibri"/>
          <w:b/>
          <w:sz w:val="28"/>
        </w:rPr>
        <w:t>Pseudotsuga</w:t>
      </w:r>
      <w:proofErr w:type="spellEnd"/>
      <w:r w:rsidRPr="007B47B3">
        <w:rPr>
          <w:rFonts w:cs="Calibri"/>
          <w:b/>
          <w:sz w:val="28"/>
        </w:rPr>
        <w:t xml:space="preserve"> </w:t>
      </w:r>
      <w:proofErr w:type="spellStart"/>
      <w:r w:rsidRPr="007B47B3">
        <w:rPr>
          <w:rFonts w:cs="Calibri"/>
          <w:b/>
          <w:sz w:val="28"/>
        </w:rPr>
        <w:t>menziesii</w:t>
      </w:r>
      <w:proofErr w:type="spellEnd"/>
      <w:r w:rsidRPr="007B47B3">
        <w:rPr>
          <w:rFonts w:cs="Calibri"/>
          <w:b/>
          <w:sz w:val="28"/>
        </w:rPr>
        <w:t xml:space="preserve"> and Fagus sylvatica forests</w:t>
      </w:r>
    </w:p>
    <w:p w14:paraId="4D77DFF0" w14:textId="229EE494" w:rsidR="007B47B3" w:rsidRDefault="007B47B3" w:rsidP="007B47B3">
      <w:pPr>
        <w:jc w:val="left"/>
        <w:rPr>
          <w:rFonts w:cs="Calibri"/>
          <w:sz w:val="22"/>
          <w:vertAlign w:val="superscript"/>
        </w:rPr>
      </w:pPr>
      <w:r w:rsidRPr="007B47B3">
        <w:rPr>
          <w:rFonts w:cs="Calibri"/>
          <w:sz w:val="22"/>
        </w:rPr>
        <w:t>Benjamin N.E. Plaga, Jürgen Bauhus, Hans Pretzsch, Mário Gonzalez Pereira, David I. Forrester</w:t>
      </w:r>
    </w:p>
    <w:p w14:paraId="0AD6E244" w14:textId="77777777" w:rsidR="007B47B3" w:rsidRDefault="007B47B3" w:rsidP="007B47B3">
      <w:pPr>
        <w:pStyle w:val="Heading2"/>
        <w:spacing w:before="0" w:after="0"/>
      </w:pPr>
    </w:p>
    <w:p w14:paraId="06E3535C" w14:textId="70B309A4" w:rsidR="007B47B3" w:rsidRPr="007B47B3" w:rsidRDefault="007B47B3" w:rsidP="007B47B3">
      <w:pPr>
        <w:rPr>
          <w:b/>
          <w:bCs/>
          <w:sz w:val="28"/>
          <w:szCs w:val="28"/>
        </w:rPr>
      </w:pPr>
      <w:r w:rsidRPr="007B47B3">
        <w:rPr>
          <w:b/>
          <w:bCs/>
          <w:sz w:val="28"/>
          <w:szCs w:val="28"/>
        </w:rPr>
        <w:t>Supplementary Data</w:t>
      </w:r>
    </w:p>
    <w:bookmarkEnd w:id="0"/>
    <w:p w14:paraId="3C26EC3C" w14:textId="77777777" w:rsidR="007B47B3" w:rsidRDefault="007B47B3" w:rsidP="004725E1">
      <w:pPr>
        <w:spacing w:line="240" w:lineRule="auto"/>
        <w:rPr>
          <w:b/>
          <w:sz w:val="32"/>
        </w:rPr>
      </w:pPr>
    </w:p>
    <w:p w14:paraId="1E87604F" w14:textId="6F9181A1" w:rsidR="00AB75C0" w:rsidRPr="00735E3A" w:rsidRDefault="00AB75C0" w:rsidP="004725E1">
      <w:pPr>
        <w:spacing w:line="240" w:lineRule="auto"/>
        <w:rPr>
          <w:rFonts w:cstheme="minorHAnsi"/>
          <w:b/>
          <w:lang w:val="en-GB"/>
        </w:rPr>
      </w:pPr>
      <w:r w:rsidRPr="00735E3A">
        <w:rPr>
          <w:rFonts w:cstheme="minorHAnsi"/>
          <w:b/>
          <w:lang w:val="en-GB"/>
        </w:rPr>
        <w:t>Allometric leaf area equations</w:t>
      </w:r>
    </w:p>
    <w:p w14:paraId="3202DADC" w14:textId="7075D583" w:rsidR="002614CF" w:rsidRDefault="000D741A" w:rsidP="00C462BD">
      <w:pPr>
        <w:spacing w:after="0"/>
        <w:rPr>
          <w:sz w:val="20"/>
          <w:lang w:val="en-GB"/>
        </w:rPr>
      </w:pPr>
      <w:r w:rsidRPr="00C462BD">
        <w:rPr>
          <w:sz w:val="20"/>
          <w:lang w:val="en-GB"/>
        </w:rPr>
        <w:t xml:space="preserve">To predict </w:t>
      </w:r>
      <w:r w:rsidR="00101B26" w:rsidRPr="00C462BD">
        <w:rPr>
          <w:sz w:val="20"/>
          <w:lang w:val="en-GB"/>
        </w:rPr>
        <w:t xml:space="preserve">the </w:t>
      </w:r>
      <w:r w:rsidRPr="00C462BD">
        <w:rPr>
          <w:sz w:val="20"/>
          <w:lang w:val="en-GB"/>
        </w:rPr>
        <w:t>leaf area of individual trees, we used allometric equations because it was not possible to take destructive samples to develop such equations.</w:t>
      </w:r>
      <w:r w:rsidR="00D43DAC" w:rsidRPr="00C462BD">
        <w:rPr>
          <w:sz w:val="20"/>
          <w:lang w:val="en-GB"/>
        </w:rPr>
        <w:t xml:space="preserve"> </w:t>
      </w:r>
      <w:r w:rsidR="00735E3A" w:rsidRPr="00C462BD">
        <w:rPr>
          <w:sz w:val="20"/>
          <w:lang w:val="en-GB"/>
        </w:rPr>
        <w:t>Therefore</w:t>
      </w:r>
      <w:r w:rsidR="00D43DAC" w:rsidRPr="00C462BD">
        <w:rPr>
          <w:sz w:val="20"/>
          <w:lang w:val="en-GB"/>
        </w:rPr>
        <w:t xml:space="preserve"> we used the equation</w:t>
      </w:r>
      <w:r w:rsidR="00735E3A" w:rsidRPr="00C462BD">
        <w:rPr>
          <w:sz w:val="20"/>
          <w:lang w:val="en-GB"/>
        </w:rPr>
        <w:t>s</w:t>
      </w:r>
      <w:r w:rsidR="00D43DAC" w:rsidRPr="00C462BD">
        <w:rPr>
          <w:sz w:val="20"/>
          <w:lang w:val="en-GB"/>
        </w:rPr>
        <w:t xml:space="preserve"> and parameters </w:t>
      </w:r>
      <w:r w:rsidR="00E264B1" w:rsidRPr="00C462BD">
        <w:rPr>
          <w:sz w:val="20"/>
          <w:lang w:val="en-GB"/>
        </w:rPr>
        <w:t xml:space="preserve">from </w:t>
      </w:r>
      <w:r w:rsidR="00F41B4D" w:rsidRPr="00C462BD">
        <w:rPr>
          <w:noProof/>
          <w:sz w:val="20"/>
          <w:lang w:val="en-GB"/>
        </w:rPr>
        <w:t xml:space="preserve">Forrester et al., </w:t>
      </w:r>
      <w:r w:rsidR="008B3EF5" w:rsidRPr="00C462BD">
        <w:rPr>
          <w:noProof/>
          <w:sz w:val="20"/>
          <w:lang w:val="en-GB"/>
        </w:rPr>
        <w:t>(</w:t>
      </w:r>
      <w:r w:rsidR="00F41B4D" w:rsidRPr="00C462BD">
        <w:rPr>
          <w:noProof/>
          <w:sz w:val="20"/>
          <w:lang w:val="en-GB"/>
        </w:rPr>
        <w:t>2017c)</w:t>
      </w:r>
      <w:r w:rsidR="0031754B" w:rsidRPr="00C462BD">
        <w:rPr>
          <w:sz w:val="20"/>
          <w:lang w:val="en-GB"/>
        </w:rPr>
        <w:t xml:space="preserve"> </w:t>
      </w:r>
      <w:r w:rsidR="00D43DAC" w:rsidRPr="00C462BD">
        <w:rPr>
          <w:sz w:val="20"/>
          <w:lang w:val="en-GB"/>
        </w:rPr>
        <w:t xml:space="preserve">which were developed in very similar stands and also covered the range of our data </w:t>
      </w:r>
      <w:r w:rsidR="00751C5F" w:rsidRPr="00C462BD">
        <w:rPr>
          <w:sz w:val="20"/>
          <w:lang w:val="en-GB"/>
        </w:rPr>
        <w:t>in terms of DBH, basal area (m² </w:t>
      </w:r>
      <w:r w:rsidR="00D43DAC" w:rsidRPr="00C462BD">
        <w:rPr>
          <w:sz w:val="20"/>
          <w:lang w:val="en-GB"/>
        </w:rPr>
        <w:t>ha</w:t>
      </w:r>
      <w:r w:rsidR="00D43DAC" w:rsidRPr="00C462BD">
        <w:rPr>
          <w:sz w:val="20"/>
          <w:vertAlign w:val="superscript"/>
          <w:lang w:val="en-GB"/>
        </w:rPr>
        <w:t>-1</w:t>
      </w:r>
      <w:r w:rsidR="00D43DAC" w:rsidRPr="00C462BD">
        <w:rPr>
          <w:sz w:val="20"/>
          <w:lang w:val="en-GB"/>
        </w:rPr>
        <w:t>), tree density (trees</w:t>
      </w:r>
      <w:r w:rsidR="00751C5F" w:rsidRPr="00C462BD">
        <w:rPr>
          <w:sz w:val="20"/>
          <w:lang w:val="en-GB"/>
        </w:rPr>
        <w:t> </w:t>
      </w:r>
      <w:r w:rsidR="00D43DAC" w:rsidRPr="00C462BD">
        <w:rPr>
          <w:sz w:val="20"/>
          <w:lang w:val="en-GB"/>
        </w:rPr>
        <w:t>ha</w:t>
      </w:r>
      <w:r w:rsidR="00D43DAC" w:rsidRPr="00C462BD">
        <w:rPr>
          <w:sz w:val="20"/>
          <w:vertAlign w:val="superscript"/>
          <w:lang w:val="en-GB"/>
        </w:rPr>
        <w:t>-1</w:t>
      </w:r>
      <w:r w:rsidR="00D43DAC" w:rsidRPr="00C462BD">
        <w:rPr>
          <w:sz w:val="20"/>
          <w:lang w:val="en-GB"/>
        </w:rPr>
        <w:t>) and age</w:t>
      </w:r>
      <w:r w:rsidR="00B93A7F" w:rsidRPr="00C462BD">
        <w:rPr>
          <w:sz w:val="20"/>
          <w:lang w:val="en-GB"/>
        </w:rPr>
        <w:t xml:space="preserve"> (Table A1 &amp; A2)</w:t>
      </w:r>
      <w:r w:rsidR="00D43DAC" w:rsidRPr="00C462BD">
        <w:rPr>
          <w:sz w:val="20"/>
          <w:lang w:val="en-GB"/>
        </w:rPr>
        <w:t>.</w:t>
      </w:r>
    </w:p>
    <w:p w14:paraId="00A6259E" w14:textId="77777777" w:rsidR="00C462BD" w:rsidRPr="00C462BD" w:rsidRDefault="00C462BD" w:rsidP="00C462BD">
      <w:pPr>
        <w:spacing w:after="0"/>
        <w:rPr>
          <w:sz w:val="20"/>
          <w:szCs w:val="20"/>
          <w:lang w:val="en-GB"/>
        </w:rPr>
      </w:pPr>
    </w:p>
    <w:p w14:paraId="4A868047" w14:textId="1E60CABB" w:rsidR="00AB75C0" w:rsidRPr="00C462BD" w:rsidRDefault="00101B26" w:rsidP="00AB75C0">
      <w:pPr>
        <w:spacing w:after="0" w:line="240" w:lineRule="auto"/>
        <w:rPr>
          <w:sz w:val="18"/>
          <w:szCs w:val="20"/>
          <w:lang w:val="en-GB"/>
        </w:rPr>
      </w:pPr>
      <w:r w:rsidRPr="00C462BD">
        <w:rPr>
          <w:b/>
          <w:sz w:val="18"/>
          <w:szCs w:val="20"/>
          <w:lang w:val="en-GB"/>
        </w:rPr>
        <w:t>Table </w:t>
      </w:r>
      <w:r w:rsidR="00B93A7F" w:rsidRPr="00C462BD">
        <w:rPr>
          <w:b/>
          <w:sz w:val="18"/>
          <w:szCs w:val="20"/>
          <w:lang w:val="en-GB"/>
        </w:rPr>
        <w:t>A1</w:t>
      </w:r>
      <w:r w:rsidR="00AB75C0" w:rsidRPr="00C462BD">
        <w:rPr>
          <w:sz w:val="18"/>
          <w:szCs w:val="20"/>
          <w:lang w:val="en-GB"/>
        </w:rPr>
        <w:t xml:space="preserve"> </w:t>
      </w:r>
      <w:r w:rsidR="00B2475F">
        <w:rPr>
          <w:sz w:val="18"/>
          <w:szCs w:val="20"/>
          <w:lang w:val="en-GB"/>
        </w:rPr>
        <w:t xml:space="preserve">The </w:t>
      </w:r>
      <w:r w:rsidR="004A7266">
        <w:rPr>
          <w:sz w:val="18"/>
          <w:szCs w:val="20"/>
          <w:lang w:val="en-GB"/>
        </w:rPr>
        <w:t xml:space="preserve">applied </w:t>
      </w:r>
      <w:r w:rsidR="00B2475F">
        <w:rPr>
          <w:sz w:val="18"/>
          <w:szCs w:val="20"/>
          <w:lang w:val="en-GB"/>
        </w:rPr>
        <w:t>p</w:t>
      </w:r>
      <w:r w:rsidR="0096616A" w:rsidRPr="0096616A">
        <w:rPr>
          <w:sz w:val="18"/>
          <w:szCs w:val="20"/>
          <w:lang w:val="en-GB"/>
        </w:rPr>
        <w:t>arameter</w:t>
      </w:r>
      <w:r w:rsidR="00B2475F">
        <w:rPr>
          <w:sz w:val="18"/>
          <w:szCs w:val="20"/>
          <w:lang w:val="en-GB"/>
        </w:rPr>
        <w:t>s</w:t>
      </w:r>
      <w:r w:rsidR="0096616A" w:rsidRPr="0096616A">
        <w:rPr>
          <w:sz w:val="18"/>
          <w:szCs w:val="20"/>
          <w:lang w:val="en-GB"/>
        </w:rPr>
        <w:t xml:space="preserve"> (ß) and correction ratios (</w:t>
      </w:r>
      <w:r w:rsidR="0096616A" w:rsidRPr="0096616A">
        <w:rPr>
          <w:i/>
          <w:sz w:val="18"/>
          <w:szCs w:val="20"/>
          <w:lang w:val="en-GB"/>
        </w:rPr>
        <w:t>ε</w:t>
      </w:r>
      <w:r w:rsidR="0096616A" w:rsidRPr="0096616A">
        <w:rPr>
          <w:sz w:val="18"/>
          <w:szCs w:val="20"/>
          <w:lang w:val="en-GB"/>
        </w:rPr>
        <w:t xml:space="preserve">) to calculate </w:t>
      </w:r>
      <w:r w:rsidR="0096616A">
        <w:rPr>
          <w:sz w:val="18"/>
          <w:szCs w:val="20"/>
          <w:lang w:val="en-GB"/>
        </w:rPr>
        <w:t xml:space="preserve">the </w:t>
      </w:r>
      <w:r w:rsidR="0096616A" w:rsidRPr="0096616A">
        <w:rPr>
          <w:sz w:val="18"/>
          <w:szCs w:val="20"/>
          <w:lang w:val="en-GB"/>
        </w:rPr>
        <w:t xml:space="preserve">individual leaf area </w:t>
      </w:r>
      <w:r w:rsidR="004A7266">
        <w:rPr>
          <w:sz w:val="18"/>
          <w:szCs w:val="20"/>
          <w:lang w:val="en-GB"/>
        </w:rPr>
        <w:t xml:space="preserve">for the trees </w:t>
      </w:r>
      <w:r w:rsidR="0096616A" w:rsidRPr="0096616A">
        <w:rPr>
          <w:sz w:val="18"/>
          <w:szCs w:val="20"/>
          <w:lang w:val="en-GB"/>
        </w:rPr>
        <w:t xml:space="preserve">of </w:t>
      </w:r>
      <w:r w:rsidR="0096616A" w:rsidRPr="0096616A">
        <w:rPr>
          <w:i/>
          <w:sz w:val="18"/>
          <w:szCs w:val="20"/>
          <w:lang w:val="en-GB"/>
        </w:rPr>
        <w:t>F. sylvatica</w:t>
      </w:r>
      <w:r w:rsidR="0096616A" w:rsidRPr="0096616A">
        <w:rPr>
          <w:sz w:val="18"/>
          <w:szCs w:val="20"/>
          <w:lang w:val="en-GB"/>
        </w:rPr>
        <w:t xml:space="preserve"> and </w:t>
      </w:r>
      <w:r w:rsidR="0096616A" w:rsidRPr="0096616A">
        <w:rPr>
          <w:i/>
          <w:sz w:val="18"/>
          <w:szCs w:val="20"/>
          <w:lang w:val="en-GB"/>
        </w:rPr>
        <w:t>P. menziesii</w:t>
      </w:r>
      <w:r w:rsidR="0096616A" w:rsidRPr="0096616A">
        <w:rPr>
          <w:sz w:val="18"/>
          <w:szCs w:val="20"/>
          <w:lang w:val="en-GB"/>
        </w:rPr>
        <w:t xml:space="preserve"> </w:t>
      </w:r>
      <w:r w:rsidR="0096616A">
        <w:rPr>
          <w:sz w:val="18"/>
          <w:szCs w:val="20"/>
          <w:lang w:val="en-GB"/>
        </w:rPr>
        <w:t xml:space="preserve">in this study. Data </w:t>
      </w:r>
      <w:r w:rsidR="0096616A" w:rsidRPr="0096616A">
        <w:rPr>
          <w:sz w:val="18"/>
          <w:szCs w:val="20"/>
          <w:lang w:val="en-GB"/>
        </w:rPr>
        <w:t>provided by Forrester et al. (2017c)</w:t>
      </w:r>
      <w:r w:rsidR="0096616A">
        <w:rPr>
          <w:sz w:val="18"/>
          <w:szCs w:val="20"/>
          <w:lang w:val="en-GB"/>
        </w:rPr>
        <w:t>.</w:t>
      </w:r>
    </w:p>
    <w:tbl>
      <w:tblPr>
        <w:tblW w:w="9764" w:type="dxa"/>
        <w:tblBorders>
          <w:top w:val="single" w:sz="4" w:space="0" w:color="auto"/>
          <w:bottom w:val="single" w:sz="4" w:space="0" w:color="auto"/>
        </w:tblBorders>
        <w:tblLook w:val="04A0" w:firstRow="1" w:lastRow="0" w:firstColumn="1" w:lastColumn="0" w:noHBand="0" w:noVBand="1"/>
      </w:tblPr>
      <w:tblGrid>
        <w:gridCol w:w="1276"/>
        <w:gridCol w:w="1080"/>
        <w:gridCol w:w="871"/>
        <w:gridCol w:w="884"/>
        <w:gridCol w:w="1276"/>
        <w:gridCol w:w="1134"/>
        <w:gridCol w:w="827"/>
        <w:gridCol w:w="1157"/>
        <w:gridCol w:w="1259"/>
      </w:tblGrid>
      <w:tr w:rsidR="00AB75C0" w:rsidRPr="00950C99" w14:paraId="66711F1A" w14:textId="77777777" w:rsidTr="00566548">
        <w:trPr>
          <w:trHeight w:val="158"/>
        </w:trPr>
        <w:tc>
          <w:tcPr>
            <w:tcW w:w="1276" w:type="dxa"/>
            <w:tcBorders>
              <w:top w:val="single" w:sz="4" w:space="0" w:color="auto"/>
              <w:bottom w:val="single" w:sz="4" w:space="0" w:color="auto"/>
            </w:tcBorders>
            <w:shd w:val="clear" w:color="auto" w:fill="auto"/>
            <w:noWrap/>
            <w:vAlign w:val="bottom"/>
            <w:hideMark/>
          </w:tcPr>
          <w:p w14:paraId="24F40BDF"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Species</w:t>
            </w:r>
          </w:p>
        </w:tc>
        <w:tc>
          <w:tcPr>
            <w:tcW w:w="1080" w:type="dxa"/>
            <w:tcBorders>
              <w:top w:val="single" w:sz="4" w:space="0" w:color="auto"/>
              <w:bottom w:val="single" w:sz="4" w:space="0" w:color="auto"/>
            </w:tcBorders>
            <w:shd w:val="clear" w:color="auto" w:fill="auto"/>
            <w:noWrap/>
            <w:vAlign w:val="bottom"/>
            <w:hideMark/>
          </w:tcPr>
          <w:p w14:paraId="417828F4"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w:t>
            </w:r>
            <w:r w:rsidRPr="007F05D7">
              <w:rPr>
                <w:rFonts w:ascii="Calibri" w:eastAsia="Times New Roman" w:hAnsi="Calibri" w:cs="Calibri"/>
                <w:i/>
                <w:color w:val="000000"/>
                <w:sz w:val="18"/>
                <w:szCs w:val="18"/>
                <w:lang w:val="en-GB" w:eastAsia="en-GB"/>
              </w:rPr>
              <w:t>Y</w:t>
            </w:r>
            <w:r>
              <w:rPr>
                <w:rFonts w:ascii="Calibri" w:eastAsia="Times New Roman" w:hAnsi="Calibri" w:cs="Calibri"/>
                <w:color w:val="000000"/>
                <w:sz w:val="18"/>
                <w:szCs w:val="18"/>
                <w:lang w:val="en-GB" w:eastAsia="en-GB"/>
              </w:rPr>
              <w:t>)</w:t>
            </w:r>
          </w:p>
        </w:tc>
        <w:tc>
          <w:tcPr>
            <w:tcW w:w="871" w:type="dxa"/>
            <w:tcBorders>
              <w:top w:val="single" w:sz="4" w:space="0" w:color="auto"/>
              <w:bottom w:val="single" w:sz="4" w:space="0" w:color="auto"/>
            </w:tcBorders>
            <w:shd w:val="clear" w:color="auto" w:fill="auto"/>
            <w:noWrap/>
            <w:vAlign w:val="bottom"/>
            <w:hideMark/>
          </w:tcPr>
          <w:p w14:paraId="39C7E24C"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Equation</w:t>
            </w:r>
          </w:p>
        </w:tc>
        <w:tc>
          <w:tcPr>
            <w:tcW w:w="884" w:type="dxa"/>
            <w:tcBorders>
              <w:top w:val="single" w:sz="4" w:space="0" w:color="auto"/>
              <w:bottom w:val="single" w:sz="4" w:space="0" w:color="auto"/>
            </w:tcBorders>
            <w:shd w:val="clear" w:color="auto" w:fill="auto"/>
            <w:noWrap/>
            <w:vAlign w:val="bottom"/>
            <w:hideMark/>
          </w:tcPr>
          <w:p w14:paraId="4441464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ln(β</w:t>
            </w:r>
            <w:r w:rsidRPr="00701D4D">
              <w:rPr>
                <w:rFonts w:ascii="Calibri" w:eastAsia="Times New Roman" w:hAnsi="Calibri" w:cs="Calibri"/>
                <w:color w:val="000000"/>
                <w:sz w:val="18"/>
                <w:szCs w:val="18"/>
                <w:vertAlign w:val="subscript"/>
                <w:lang w:val="en-GB" w:eastAsia="en-GB"/>
              </w:rPr>
              <w:t>0</w:t>
            </w:r>
            <w:r w:rsidRPr="00701D4D">
              <w:rPr>
                <w:rFonts w:ascii="Calibri" w:eastAsia="Times New Roman" w:hAnsi="Calibri" w:cs="Calibri"/>
                <w:color w:val="000000"/>
                <w:sz w:val="18"/>
                <w:szCs w:val="18"/>
                <w:lang w:val="en-GB" w:eastAsia="en-GB"/>
              </w:rPr>
              <w:t>)</w:t>
            </w:r>
          </w:p>
        </w:tc>
        <w:tc>
          <w:tcPr>
            <w:tcW w:w="1276" w:type="dxa"/>
            <w:tcBorders>
              <w:top w:val="single" w:sz="4" w:space="0" w:color="auto"/>
              <w:bottom w:val="single" w:sz="4" w:space="0" w:color="auto"/>
            </w:tcBorders>
            <w:shd w:val="clear" w:color="auto" w:fill="auto"/>
            <w:noWrap/>
            <w:vAlign w:val="bottom"/>
            <w:hideMark/>
          </w:tcPr>
          <w:p w14:paraId="1732661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β for ln(</w:t>
            </w:r>
            <w:r>
              <w:rPr>
                <w:rFonts w:ascii="Calibri" w:eastAsia="Times New Roman" w:hAnsi="Calibri" w:cs="Calibri"/>
                <w:color w:val="000000"/>
                <w:sz w:val="18"/>
                <w:szCs w:val="18"/>
                <w:lang w:val="en-GB" w:eastAsia="en-GB"/>
              </w:rPr>
              <w:t>DBH</w:t>
            </w:r>
            <w:r w:rsidRPr="00701D4D">
              <w:rPr>
                <w:rFonts w:ascii="Calibri" w:eastAsia="Times New Roman" w:hAnsi="Calibri" w:cs="Calibri"/>
                <w:color w:val="000000"/>
                <w:sz w:val="18"/>
                <w:szCs w:val="18"/>
                <w:lang w:val="en-GB" w:eastAsia="en-GB"/>
              </w:rPr>
              <w:t xml:space="preserve">) </w:t>
            </w:r>
          </w:p>
        </w:tc>
        <w:tc>
          <w:tcPr>
            <w:tcW w:w="1134" w:type="dxa"/>
            <w:tcBorders>
              <w:top w:val="single" w:sz="4" w:space="0" w:color="auto"/>
              <w:bottom w:val="single" w:sz="4" w:space="0" w:color="auto"/>
            </w:tcBorders>
            <w:shd w:val="clear" w:color="auto" w:fill="auto"/>
            <w:noWrap/>
            <w:vAlign w:val="bottom"/>
            <w:hideMark/>
          </w:tcPr>
          <w:p w14:paraId="03826435"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 xml:space="preserve">β for ln(Age) </w:t>
            </w:r>
          </w:p>
        </w:tc>
        <w:tc>
          <w:tcPr>
            <w:tcW w:w="827" w:type="dxa"/>
            <w:tcBorders>
              <w:top w:val="single" w:sz="4" w:space="0" w:color="auto"/>
              <w:bottom w:val="single" w:sz="4" w:space="0" w:color="auto"/>
            </w:tcBorders>
            <w:shd w:val="clear" w:color="auto" w:fill="auto"/>
            <w:noWrap/>
            <w:vAlign w:val="bottom"/>
            <w:hideMark/>
          </w:tcPr>
          <w:p w14:paraId="3C4B0A6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β for BA</w:t>
            </w:r>
          </w:p>
        </w:tc>
        <w:tc>
          <w:tcPr>
            <w:tcW w:w="1157" w:type="dxa"/>
            <w:tcBorders>
              <w:top w:val="single" w:sz="4" w:space="0" w:color="auto"/>
              <w:bottom w:val="single" w:sz="4" w:space="0" w:color="auto"/>
            </w:tcBorders>
            <w:shd w:val="clear" w:color="auto" w:fill="auto"/>
            <w:noWrap/>
            <w:vAlign w:val="bottom"/>
            <w:hideMark/>
          </w:tcPr>
          <w:p w14:paraId="25DB5116"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β for ln(TPH)</w:t>
            </w:r>
          </w:p>
        </w:tc>
        <w:tc>
          <w:tcPr>
            <w:tcW w:w="1259" w:type="dxa"/>
            <w:tcBorders>
              <w:top w:val="single" w:sz="4" w:space="0" w:color="auto"/>
              <w:bottom w:val="single" w:sz="4" w:space="0" w:color="auto"/>
            </w:tcBorders>
            <w:shd w:val="clear" w:color="auto" w:fill="auto"/>
            <w:noWrap/>
            <w:vAlign w:val="bottom"/>
            <w:hideMark/>
          </w:tcPr>
          <w:p w14:paraId="69C284E4"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m:oMath>
              <m:r>
                <w:rPr>
                  <w:rFonts w:ascii="Cambria Math" w:hAnsi="Cambria Math" w:cs="Times New Roman"/>
                  <w:sz w:val="22"/>
                  <w:lang w:val="en-GB"/>
                </w:rPr>
                <m:t>ε</m:t>
              </m:r>
            </m:oMath>
            <w:r w:rsidRPr="00701D4D">
              <w:rPr>
                <w:rFonts w:ascii="Calibri" w:eastAsia="Times New Roman" w:hAnsi="Calibri" w:cs="Calibri"/>
                <w:color w:val="000000"/>
                <w:sz w:val="18"/>
                <w:szCs w:val="18"/>
                <w:lang w:val="en-GB" w:eastAsia="en-GB"/>
              </w:rPr>
              <w:t xml:space="preserve"> </w:t>
            </w:r>
          </w:p>
        </w:tc>
      </w:tr>
      <w:tr w:rsidR="00AB75C0" w:rsidRPr="00F818AE" w14:paraId="1411CD7F" w14:textId="77777777" w:rsidTr="00566548">
        <w:trPr>
          <w:trHeight w:val="158"/>
        </w:trPr>
        <w:tc>
          <w:tcPr>
            <w:tcW w:w="1276" w:type="dxa"/>
            <w:tcBorders>
              <w:top w:val="single" w:sz="4" w:space="0" w:color="auto"/>
            </w:tcBorders>
            <w:shd w:val="clear" w:color="auto" w:fill="auto"/>
            <w:noWrap/>
            <w:vAlign w:val="center"/>
            <w:hideMark/>
          </w:tcPr>
          <w:p w14:paraId="1CC32774"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F</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sylvatica</w:t>
            </w:r>
          </w:p>
        </w:tc>
        <w:tc>
          <w:tcPr>
            <w:tcW w:w="1080" w:type="dxa"/>
            <w:tcBorders>
              <w:top w:val="single" w:sz="4" w:space="0" w:color="auto"/>
            </w:tcBorders>
            <w:shd w:val="clear" w:color="auto" w:fill="auto"/>
            <w:noWrap/>
            <w:vAlign w:val="center"/>
            <w:hideMark/>
          </w:tcPr>
          <w:p w14:paraId="05CD3C0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Foliage mass</w:t>
            </w:r>
          </w:p>
        </w:tc>
        <w:tc>
          <w:tcPr>
            <w:tcW w:w="871" w:type="dxa"/>
            <w:tcBorders>
              <w:top w:val="single" w:sz="4" w:space="0" w:color="auto"/>
            </w:tcBorders>
            <w:shd w:val="clear" w:color="auto" w:fill="auto"/>
            <w:noWrap/>
            <w:vAlign w:val="center"/>
            <w:hideMark/>
          </w:tcPr>
          <w:p w14:paraId="2D8566F6" w14:textId="77777777" w:rsidR="00AB75C0" w:rsidRPr="00701D4D" w:rsidRDefault="00AB75C0"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w:t>
            </w:r>
          </w:p>
        </w:tc>
        <w:tc>
          <w:tcPr>
            <w:tcW w:w="884" w:type="dxa"/>
            <w:tcBorders>
              <w:top w:val="single" w:sz="4" w:space="0" w:color="auto"/>
            </w:tcBorders>
            <w:shd w:val="clear" w:color="auto" w:fill="auto"/>
            <w:noWrap/>
            <w:vAlign w:val="center"/>
            <w:hideMark/>
          </w:tcPr>
          <w:p w14:paraId="71CBB398"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-3.0381  (0.5145)</w:t>
            </w:r>
          </w:p>
        </w:tc>
        <w:tc>
          <w:tcPr>
            <w:tcW w:w="1276" w:type="dxa"/>
            <w:tcBorders>
              <w:top w:val="single" w:sz="4" w:space="0" w:color="auto"/>
            </w:tcBorders>
            <w:shd w:val="clear" w:color="auto" w:fill="auto"/>
            <w:noWrap/>
            <w:vAlign w:val="center"/>
            <w:hideMark/>
          </w:tcPr>
          <w:p w14:paraId="2EB5D25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1.9131  (0.0358)</w:t>
            </w:r>
          </w:p>
        </w:tc>
        <w:tc>
          <w:tcPr>
            <w:tcW w:w="1134" w:type="dxa"/>
            <w:tcBorders>
              <w:top w:val="single" w:sz="4" w:space="0" w:color="auto"/>
            </w:tcBorders>
            <w:shd w:val="clear" w:color="auto" w:fill="auto"/>
            <w:noWrap/>
            <w:vAlign w:val="center"/>
            <w:hideMark/>
          </w:tcPr>
          <w:p w14:paraId="1052504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827" w:type="dxa"/>
            <w:tcBorders>
              <w:top w:val="single" w:sz="4" w:space="0" w:color="auto"/>
            </w:tcBorders>
            <w:shd w:val="clear" w:color="auto" w:fill="auto"/>
            <w:noWrap/>
            <w:vAlign w:val="center"/>
            <w:hideMark/>
          </w:tcPr>
          <w:p w14:paraId="40DDBDDB"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-0.0474  (0.0177)</w:t>
            </w:r>
          </w:p>
        </w:tc>
        <w:tc>
          <w:tcPr>
            <w:tcW w:w="1157" w:type="dxa"/>
            <w:tcBorders>
              <w:top w:val="single" w:sz="4" w:space="0" w:color="auto"/>
            </w:tcBorders>
            <w:shd w:val="clear" w:color="auto" w:fill="auto"/>
            <w:noWrap/>
            <w:vAlign w:val="center"/>
            <w:hideMark/>
          </w:tcPr>
          <w:p w14:paraId="15C95826"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1259" w:type="dxa"/>
            <w:tcBorders>
              <w:top w:val="single" w:sz="4" w:space="0" w:color="auto"/>
            </w:tcBorders>
            <w:shd w:val="clear" w:color="auto" w:fill="auto"/>
            <w:noWrap/>
            <w:vAlign w:val="center"/>
            <w:hideMark/>
          </w:tcPr>
          <w:p w14:paraId="6847584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1.156113761</w:t>
            </w:r>
          </w:p>
        </w:tc>
      </w:tr>
      <w:tr w:rsidR="00AB75C0" w:rsidRPr="00F818AE" w14:paraId="178BB878" w14:textId="77777777" w:rsidTr="00566548">
        <w:trPr>
          <w:trHeight w:val="158"/>
        </w:trPr>
        <w:tc>
          <w:tcPr>
            <w:tcW w:w="1276" w:type="dxa"/>
            <w:shd w:val="clear" w:color="auto" w:fill="auto"/>
            <w:noWrap/>
            <w:vAlign w:val="center"/>
            <w:hideMark/>
          </w:tcPr>
          <w:p w14:paraId="0A053BBC"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Broad-leaved species</w:t>
            </w:r>
          </w:p>
        </w:tc>
        <w:tc>
          <w:tcPr>
            <w:tcW w:w="1080" w:type="dxa"/>
            <w:shd w:val="clear" w:color="auto" w:fill="auto"/>
            <w:noWrap/>
            <w:vAlign w:val="center"/>
            <w:hideMark/>
          </w:tcPr>
          <w:p w14:paraId="05D1506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4A0710C2" w14:textId="4A17022C"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6.1</w:t>
            </w:r>
          </w:p>
        </w:tc>
        <w:tc>
          <w:tcPr>
            <w:tcW w:w="884" w:type="dxa"/>
            <w:shd w:val="clear" w:color="auto" w:fill="auto"/>
            <w:noWrap/>
            <w:vAlign w:val="center"/>
            <w:hideMark/>
          </w:tcPr>
          <w:p w14:paraId="0C1AADEF"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-0.9395  (0.2989)</w:t>
            </w:r>
          </w:p>
        </w:tc>
        <w:tc>
          <w:tcPr>
            <w:tcW w:w="1276" w:type="dxa"/>
            <w:shd w:val="clear" w:color="auto" w:fill="auto"/>
            <w:noWrap/>
            <w:vAlign w:val="center"/>
            <w:hideMark/>
          </w:tcPr>
          <w:p w14:paraId="768F59E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1.8915  (0.0151)</w:t>
            </w:r>
          </w:p>
        </w:tc>
        <w:tc>
          <w:tcPr>
            <w:tcW w:w="1134" w:type="dxa"/>
            <w:shd w:val="clear" w:color="auto" w:fill="auto"/>
            <w:noWrap/>
            <w:vAlign w:val="center"/>
            <w:hideMark/>
          </w:tcPr>
          <w:p w14:paraId="7479CA76"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-0.1913  (0.0838)</w:t>
            </w:r>
          </w:p>
        </w:tc>
        <w:tc>
          <w:tcPr>
            <w:tcW w:w="827" w:type="dxa"/>
            <w:shd w:val="clear" w:color="auto" w:fill="auto"/>
            <w:noWrap/>
            <w:vAlign w:val="center"/>
            <w:hideMark/>
          </w:tcPr>
          <w:p w14:paraId="7F590A53"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1157" w:type="dxa"/>
            <w:shd w:val="clear" w:color="auto" w:fill="auto"/>
            <w:noWrap/>
            <w:vAlign w:val="center"/>
            <w:hideMark/>
          </w:tcPr>
          <w:p w14:paraId="15EDFCEE"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259" w:type="dxa"/>
            <w:shd w:val="clear" w:color="auto" w:fill="auto"/>
            <w:noWrap/>
            <w:vAlign w:val="center"/>
            <w:hideMark/>
          </w:tcPr>
          <w:p w14:paraId="660CE3C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1.068914638</w:t>
            </w:r>
          </w:p>
        </w:tc>
      </w:tr>
      <w:tr w:rsidR="00AB75C0" w:rsidRPr="00F818AE" w14:paraId="70183386" w14:textId="77777777" w:rsidTr="00566548">
        <w:trPr>
          <w:trHeight w:val="158"/>
        </w:trPr>
        <w:tc>
          <w:tcPr>
            <w:tcW w:w="1276" w:type="dxa"/>
            <w:shd w:val="clear" w:color="auto" w:fill="auto"/>
            <w:noWrap/>
            <w:vAlign w:val="center"/>
            <w:hideMark/>
          </w:tcPr>
          <w:p w14:paraId="66307F46"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Broad-leaved species</w:t>
            </w:r>
          </w:p>
        </w:tc>
        <w:tc>
          <w:tcPr>
            <w:tcW w:w="1080" w:type="dxa"/>
            <w:shd w:val="clear" w:color="auto" w:fill="auto"/>
            <w:noWrap/>
            <w:vAlign w:val="center"/>
            <w:hideMark/>
          </w:tcPr>
          <w:p w14:paraId="6D8F9CA9"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Foliage mass</w:t>
            </w:r>
          </w:p>
        </w:tc>
        <w:tc>
          <w:tcPr>
            <w:tcW w:w="871" w:type="dxa"/>
            <w:shd w:val="clear" w:color="auto" w:fill="auto"/>
            <w:noWrap/>
            <w:vAlign w:val="center"/>
            <w:hideMark/>
          </w:tcPr>
          <w:p w14:paraId="3979DF61" w14:textId="5E88456C"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6.2</w:t>
            </w:r>
          </w:p>
        </w:tc>
        <w:tc>
          <w:tcPr>
            <w:tcW w:w="884" w:type="dxa"/>
            <w:shd w:val="clear" w:color="auto" w:fill="auto"/>
            <w:noWrap/>
            <w:vAlign w:val="center"/>
            <w:hideMark/>
          </w:tcPr>
          <w:p w14:paraId="137B59F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-5.9336  (0.6859)</w:t>
            </w:r>
          </w:p>
        </w:tc>
        <w:tc>
          <w:tcPr>
            <w:tcW w:w="1276" w:type="dxa"/>
            <w:shd w:val="clear" w:color="auto" w:fill="auto"/>
            <w:noWrap/>
            <w:vAlign w:val="center"/>
            <w:hideMark/>
          </w:tcPr>
          <w:p w14:paraId="7E3633E3"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1.9292  (0.0161)</w:t>
            </w:r>
          </w:p>
        </w:tc>
        <w:tc>
          <w:tcPr>
            <w:tcW w:w="1134" w:type="dxa"/>
            <w:shd w:val="clear" w:color="auto" w:fill="auto"/>
            <w:noWrap/>
            <w:vAlign w:val="center"/>
            <w:hideMark/>
          </w:tcPr>
          <w:p w14:paraId="0071744B"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827" w:type="dxa"/>
            <w:shd w:val="clear" w:color="auto" w:fill="auto"/>
            <w:noWrap/>
            <w:vAlign w:val="center"/>
            <w:hideMark/>
          </w:tcPr>
          <w:p w14:paraId="1B871938"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157" w:type="dxa"/>
            <w:shd w:val="clear" w:color="auto" w:fill="auto"/>
            <w:noWrap/>
            <w:vAlign w:val="center"/>
            <w:hideMark/>
          </w:tcPr>
          <w:p w14:paraId="28DF471F"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0.1817  (0.0846)</w:t>
            </w:r>
          </w:p>
        </w:tc>
        <w:tc>
          <w:tcPr>
            <w:tcW w:w="1259" w:type="dxa"/>
            <w:shd w:val="clear" w:color="auto" w:fill="auto"/>
            <w:noWrap/>
            <w:vAlign w:val="center"/>
            <w:hideMark/>
          </w:tcPr>
          <w:p w14:paraId="18B8441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1.049789259</w:t>
            </w:r>
          </w:p>
        </w:tc>
      </w:tr>
      <w:tr w:rsidR="00AB75C0" w:rsidRPr="00F818AE" w14:paraId="1F9F820F" w14:textId="77777777" w:rsidTr="00566548">
        <w:trPr>
          <w:trHeight w:val="158"/>
        </w:trPr>
        <w:tc>
          <w:tcPr>
            <w:tcW w:w="1276" w:type="dxa"/>
            <w:shd w:val="clear" w:color="auto" w:fill="auto"/>
            <w:noWrap/>
            <w:vAlign w:val="center"/>
            <w:hideMark/>
          </w:tcPr>
          <w:p w14:paraId="6B7DA116"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4D99C5E6"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1F49DA9A" w14:textId="270591C5"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6.3</w:t>
            </w:r>
          </w:p>
        </w:tc>
        <w:tc>
          <w:tcPr>
            <w:tcW w:w="884" w:type="dxa"/>
            <w:shd w:val="clear" w:color="auto" w:fill="auto"/>
            <w:noWrap/>
            <w:vAlign w:val="center"/>
            <w:hideMark/>
          </w:tcPr>
          <w:p w14:paraId="6F541BD0"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-1.6095  (0.0853)</w:t>
            </w:r>
          </w:p>
        </w:tc>
        <w:tc>
          <w:tcPr>
            <w:tcW w:w="1276" w:type="dxa"/>
            <w:shd w:val="clear" w:color="auto" w:fill="auto"/>
            <w:noWrap/>
            <w:vAlign w:val="center"/>
            <w:hideMark/>
          </w:tcPr>
          <w:p w14:paraId="08BBDA8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1.9025  (0.0175)</w:t>
            </w:r>
          </w:p>
        </w:tc>
        <w:tc>
          <w:tcPr>
            <w:tcW w:w="1134" w:type="dxa"/>
            <w:shd w:val="clear" w:color="auto" w:fill="auto"/>
            <w:noWrap/>
            <w:vAlign w:val="center"/>
            <w:hideMark/>
          </w:tcPr>
          <w:p w14:paraId="29BBFA90"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827" w:type="dxa"/>
            <w:shd w:val="clear" w:color="auto" w:fill="auto"/>
            <w:noWrap/>
            <w:vAlign w:val="center"/>
            <w:hideMark/>
          </w:tcPr>
          <w:p w14:paraId="2B8827A7"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157" w:type="dxa"/>
            <w:shd w:val="clear" w:color="auto" w:fill="auto"/>
            <w:noWrap/>
            <w:vAlign w:val="center"/>
            <w:hideMark/>
          </w:tcPr>
          <w:p w14:paraId="2165F422"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259" w:type="dxa"/>
            <w:shd w:val="clear" w:color="auto" w:fill="auto"/>
            <w:noWrap/>
            <w:vAlign w:val="center"/>
            <w:hideMark/>
          </w:tcPr>
          <w:p w14:paraId="5F53743F"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0.970451431</w:t>
            </w:r>
          </w:p>
        </w:tc>
      </w:tr>
      <w:tr w:rsidR="00AB75C0" w:rsidRPr="00F818AE" w14:paraId="6154D694" w14:textId="77777777" w:rsidTr="00566548">
        <w:trPr>
          <w:trHeight w:val="158"/>
        </w:trPr>
        <w:tc>
          <w:tcPr>
            <w:tcW w:w="1276" w:type="dxa"/>
            <w:shd w:val="clear" w:color="auto" w:fill="auto"/>
            <w:noWrap/>
            <w:vAlign w:val="center"/>
            <w:hideMark/>
          </w:tcPr>
          <w:p w14:paraId="454D45E0"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407E86B4"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5102898C" w14:textId="698FA532"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6.4</w:t>
            </w:r>
          </w:p>
        </w:tc>
        <w:tc>
          <w:tcPr>
            <w:tcW w:w="884" w:type="dxa"/>
            <w:shd w:val="clear" w:color="auto" w:fill="auto"/>
            <w:noWrap/>
            <w:vAlign w:val="center"/>
            <w:hideMark/>
          </w:tcPr>
          <w:p w14:paraId="696397C0"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0.7396  (0.1577)</w:t>
            </w:r>
          </w:p>
        </w:tc>
        <w:tc>
          <w:tcPr>
            <w:tcW w:w="1276" w:type="dxa"/>
            <w:shd w:val="clear" w:color="auto" w:fill="auto"/>
            <w:noWrap/>
            <w:vAlign w:val="center"/>
            <w:hideMark/>
          </w:tcPr>
          <w:p w14:paraId="2CC17D10"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2.3402  (0.0213)</w:t>
            </w:r>
          </w:p>
        </w:tc>
        <w:tc>
          <w:tcPr>
            <w:tcW w:w="1134" w:type="dxa"/>
            <w:shd w:val="clear" w:color="auto" w:fill="auto"/>
            <w:noWrap/>
            <w:vAlign w:val="center"/>
            <w:hideMark/>
          </w:tcPr>
          <w:p w14:paraId="15E7A043"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-1.018  (0.043)</w:t>
            </w:r>
          </w:p>
        </w:tc>
        <w:tc>
          <w:tcPr>
            <w:tcW w:w="827" w:type="dxa"/>
            <w:shd w:val="clear" w:color="auto" w:fill="auto"/>
            <w:noWrap/>
            <w:vAlign w:val="center"/>
            <w:hideMark/>
          </w:tcPr>
          <w:p w14:paraId="71FBEED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1157" w:type="dxa"/>
            <w:shd w:val="clear" w:color="auto" w:fill="auto"/>
            <w:noWrap/>
            <w:vAlign w:val="center"/>
            <w:hideMark/>
          </w:tcPr>
          <w:p w14:paraId="6905EF3D"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259" w:type="dxa"/>
            <w:shd w:val="clear" w:color="auto" w:fill="auto"/>
            <w:noWrap/>
            <w:vAlign w:val="center"/>
            <w:hideMark/>
          </w:tcPr>
          <w:p w14:paraId="23B7E83B"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1.023919804</w:t>
            </w:r>
          </w:p>
        </w:tc>
      </w:tr>
      <w:tr w:rsidR="00AB75C0" w:rsidRPr="00F818AE" w14:paraId="16CD00B5" w14:textId="77777777" w:rsidTr="00566548">
        <w:trPr>
          <w:trHeight w:val="158"/>
        </w:trPr>
        <w:tc>
          <w:tcPr>
            <w:tcW w:w="1276" w:type="dxa"/>
            <w:shd w:val="clear" w:color="auto" w:fill="auto"/>
            <w:noWrap/>
            <w:vAlign w:val="center"/>
            <w:hideMark/>
          </w:tcPr>
          <w:p w14:paraId="0EB8DFFC"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65756F75"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6541BC16" w14:textId="117286C5"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6.5</w:t>
            </w:r>
          </w:p>
        </w:tc>
        <w:tc>
          <w:tcPr>
            <w:tcW w:w="884" w:type="dxa"/>
            <w:shd w:val="clear" w:color="auto" w:fill="auto"/>
            <w:noWrap/>
            <w:vAlign w:val="center"/>
            <w:hideMark/>
          </w:tcPr>
          <w:p w14:paraId="25D9770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-7.3341  (0.3219)</w:t>
            </w:r>
          </w:p>
        </w:tc>
        <w:tc>
          <w:tcPr>
            <w:tcW w:w="1276" w:type="dxa"/>
            <w:shd w:val="clear" w:color="auto" w:fill="auto"/>
            <w:noWrap/>
            <w:vAlign w:val="center"/>
            <w:hideMark/>
          </w:tcPr>
          <w:p w14:paraId="22B7212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2.4205  (0.021)</w:t>
            </w:r>
          </w:p>
        </w:tc>
        <w:tc>
          <w:tcPr>
            <w:tcW w:w="1134" w:type="dxa"/>
            <w:shd w:val="clear" w:color="auto" w:fill="auto"/>
            <w:noWrap/>
            <w:vAlign w:val="center"/>
            <w:hideMark/>
          </w:tcPr>
          <w:p w14:paraId="667EB89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827" w:type="dxa"/>
            <w:shd w:val="clear" w:color="auto" w:fill="auto"/>
            <w:noWrap/>
            <w:vAlign w:val="center"/>
            <w:hideMark/>
          </w:tcPr>
          <w:p w14:paraId="267B7AC1" w14:textId="77777777" w:rsidR="00AB75C0" w:rsidRPr="00701D4D" w:rsidRDefault="00AB75C0" w:rsidP="00566548">
            <w:pPr>
              <w:spacing w:after="0" w:line="240" w:lineRule="auto"/>
              <w:jc w:val="left"/>
              <w:rPr>
                <w:rFonts w:ascii="Times New Roman" w:eastAsia="Times New Roman" w:hAnsi="Times New Roman" w:cs="Times New Roman"/>
                <w:sz w:val="20"/>
                <w:szCs w:val="20"/>
                <w:lang w:val="en-GB" w:eastAsia="en-GB"/>
              </w:rPr>
            </w:pPr>
          </w:p>
        </w:tc>
        <w:tc>
          <w:tcPr>
            <w:tcW w:w="1157" w:type="dxa"/>
            <w:shd w:val="clear" w:color="auto" w:fill="auto"/>
            <w:noWrap/>
            <w:vAlign w:val="center"/>
            <w:hideMark/>
          </w:tcPr>
          <w:p w14:paraId="6A20FD0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0.5288  (0.0342)</w:t>
            </w:r>
          </w:p>
        </w:tc>
        <w:tc>
          <w:tcPr>
            <w:tcW w:w="1259" w:type="dxa"/>
            <w:shd w:val="clear" w:color="auto" w:fill="auto"/>
            <w:noWrap/>
            <w:vAlign w:val="center"/>
            <w:hideMark/>
          </w:tcPr>
          <w:p w14:paraId="0E98CBBE"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1.016315103</w:t>
            </w:r>
          </w:p>
        </w:tc>
      </w:tr>
      <w:tr w:rsidR="00AB75C0" w:rsidRPr="00F818AE" w14:paraId="63FDC726" w14:textId="77777777" w:rsidTr="00566548">
        <w:trPr>
          <w:trHeight w:val="158"/>
        </w:trPr>
        <w:tc>
          <w:tcPr>
            <w:tcW w:w="1276" w:type="dxa"/>
            <w:shd w:val="clear" w:color="auto" w:fill="auto"/>
            <w:noWrap/>
            <w:vAlign w:val="center"/>
            <w:hideMark/>
          </w:tcPr>
          <w:p w14:paraId="51A0DA92"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22EE036F"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20067E7C" w14:textId="3B8D2400"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6.6</w:t>
            </w:r>
          </w:p>
        </w:tc>
        <w:tc>
          <w:tcPr>
            <w:tcW w:w="884" w:type="dxa"/>
            <w:shd w:val="clear" w:color="auto" w:fill="auto"/>
            <w:noWrap/>
            <w:vAlign w:val="center"/>
            <w:hideMark/>
          </w:tcPr>
          <w:p w14:paraId="342F27A0"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0.6366  (0.1806)</w:t>
            </w:r>
          </w:p>
        </w:tc>
        <w:tc>
          <w:tcPr>
            <w:tcW w:w="1276" w:type="dxa"/>
            <w:shd w:val="clear" w:color="auto" w:fill="auto"/>
            <w:noWrap/>
            <w:vAlign w:val="center"/>
            <w:hideMark/>
          </w:tcPr>
          <w:p w14:paraId="100FF108"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2.3424  (0.0294)</w:t>
            </w:r>
          </w:p>
        </w:tc>
        <w:tc>
          <w:tcPr>
            <w:tcW w:w="1134" w:type="dxa"/>
            <w:shd w:val="clear" w:color="auto" w:fill="auto"/>
            <w:noWrap/>
            <w:vAlign w:val="center"/>
            <w:hideMark/>
          </w:tcPr>
          <w:p w14:paraId="4E9E7375"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-0.7175  (0.0711)</w:t>
            </w:r>
          </w:p>
        </w:tc>
        <w:tc>
          <w:tcPr>
            <w:tcW w:w="827" w:type="dxa"/>
            <w:shd w:val="clear" w:color="auto" w:fill="auto"/>
            <w:noWrap/>
            <w:vAlign w:val="center"/>
            <w:hideMark/>
          </w:tcPr>
          <w:p w14:paraId="2FC02825"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-0.0259  (0.0044)</w:t>
            </w:r>
          </w:p>
        </w:tc>
        <w:tc>
          <w:tcPr>
            <w:tcW w:w="1157" w:type="dxa"/>
            <w:shd w:val="clear" w:color="auto" w:fill="auto"/>
            <w:noWrap/>
            <w:vAlign w:val="center"/>
            <w:hideMark/>
          </w:tcPr>
          <w:p w14:paraId="79D0E8B5"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1259" w:type="dxa"/>
            <w:shd w:val="clear" w:color="auto" w:fill="auto"/>
            <w:noWrap/>
            <w:vAlign w:val="center"/>
            <w:hideMark/>
          </w:tcPr>
          <w:p w14:paraId="5E7C5CB7"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1.02250669</w:t>
            </w:r>
          </w:p>
        </w:tc>
      </w:tr>
      <w:tr w:rsidR="00AB75C0" w:rsidRPr="00F818AE" w14:paraId="4067EC2D" w14:textId="77777777" w:rsidTr="00566548">
        <w:trPr>
          <w:trHeight w:val="158"/>
        </w:trPr>
        <w:tc>
          <w:tcPr>
            <w:tcW w:w="1276" w:type="dxa"/>
            <w:shd w:val="clear" w:color="auto" w:fill="auto"/>
            <w:noWrap/>
            <w:vAlign w:val="center"/>
            <w:hideMark/>
          </w:tcPr>
          <w:p w14:paraId="19CDE183"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0A5116DD"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63E6DF92" w14:textId="7A07E019"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6.7</w:t>
            </w:r>
          </w:p>
        </w:tc>
        <w:tc>
          <w:tcPr>
            <w:tcW w:w="884" w:type="dxa"/>
            <w:shd w:val="clear" w:color="auto" w:fill="auto"/>
            <w:noWrap/>
            <w:vAlign w:val="center"/>
            <w:hideMark/>
          </w:tcPr>
          <w:p w14:paraId="2B1BC23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-3.9226  (0.448)</w:t>
            </w:r>
          </w:p>
        </w:tc>
        <w:tc>
          <w:tcPr>
            <w:tcW w:w="1276" w:type="dxa"/>
            <w:shd w:val="clear" w:color="auto" w:fill="auto"/>
            <w:noWrap/>
            <w:vAlign w:val="center"/>
            <w:hideMark/>
          </w:tcPr>
          <w:p w14:paraId="62F6EAE8"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2.4269  (0.0225)</w:t>
            </w:r>
          </w:p>
        </w:tc>
        <w:tc>
          <w:tcPr>
            <w:tcW w:w="1134" w:type="dxa"/>
            <w:shd w:val="clear" w:color="auto" w:fill="auto"/>
            <w:noWrap/>
            <w:vAlign w:val="center"/>
            <w:hideMark/>
          </w:tcPr>
          <w:p w14:paraId="359EBD3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827" w:type="dxa"/>
            <w:shd w:val="clear" w:color="auto" w:fill="auto"/>
            <w:noWrap/>
            <w:vAlign w:val="center"/>
            <w:hideMark/>
          </w:tcPr>
          <w:p w14:paraId="25CCE4C2"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-0.0342  (0.0042)</w:t>
            </w:r>
          </w:p>
        </w:tc>
        <w:tc>
          <w:tcPr>
            <w:tcW w:w="1157" w:type="dxa"/>
            <w:shd w:val="clear" w:color="auto" w:fill="auto"/>
            <w:noWrap/>
            <w:vAlign w:val="center"/>
            <w:hideMark/>
          </w:tcPr>
          <w:p w14:paraId="4070A5CB"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0.2627  (0.0392)</w:t>
            </w:r>
          </w:p>
        </w:tc>
        <w:tc>
          <w:tcPr>
            <w:tcW w:w="1259" w:type="dxa"/>
            <w:shd w:val="clear" w:color="auto" w:fill="auto"/>
            <w:noWrap/>
            <w:vAlign w:val="center"/>
            <w:hideMark/>
          </w:tcPr>
          <w:p w14:paraId="3C9522E1"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1.018918729</w:t>
            </w:r>
          </w:p>
        </w:tc>
      </w:tr>
      <w:tr w:rsidR="00AB75C0" w:rsidRPr="00F818AE" w14:paraId="1C6ADB97" w14:textId="77777777" w:rsidTr="00566548">
        <w:trPr>
          <w:trHeight w:val="158"/>
        </w:trPr>
        <w:tc>
          <w:tcPr>
            <w:tcW w:w="1276" w:type="dxa"/>
            <w:shd w:val="clear" w:color="auto" w:fill="auto"/>
            <w:noWrap/>
            <w:vAlign w:val="center"/>
            <w:hideMark/>
          </w:tcPr>
          <w:p w14:paraId="6DDC5D66" w14:textId="77777777" w:rsidR="00AB75C0" w:rsidRPr="00701D4D" w:rsidRDefault="00AB75C0" w:rsidP="00566548">
            <w:pPr>
              <w:spacing w:after="0" w:line="240" w:lineRule="auto"/>
              <w:jc w:val="left"/>
              <w:rPr>
                <w:rFonts w:ascii="Calibri" w:eastAsia="Times New Roman" w:hAnsi="Calibri" w:cs="Calibri"/>
                <w:i/>
                <w:color w:val="000000"/>
                <w:sz w:val="18"/>
                <w:szCs w:val="18"/>
                <w:lang w:val="en-GB" w:eastAsia="en-GB"/>
              </w:rPr>
            </w:pPr>
            <w:r w:rsidRPr="00701D4D">
              <w:rPr>
                <w:rFonts w:ascii="Calibri" w:eastAsia="Times New Roman" w:hAnsi="Calibri" w:cs="Calibri"/>
                <w:i/>
                <w:color w:val="000000"/>
                <w:sz w:val="18"/>
                <w:szCs w:val="18"/>
                <w:lang w:val="en-GB" w:eastAsia="en-GB"/>
              </w:rPr>
              <w:t>P</w:t>
            </w:r>
            <w:r w:rsidRPr="00743FC1">
              <w:rPr>
                <w:rFonts w:ascii="Calibri" w:eastAsia="Times New Roman" w:hAnsi="Calibri" w:cs="Calibri"/>
                <w:i/>
                <w:color w:val="000000"/>
                <w:sz w:val="18"/>
                <w:szCs w:val="18"/>
                <w:lang w:val="en-GB" w:eastAsia="en-GB"/>
              </w:rPr>
              <w:t>.</w:t>
            </w:r>
            <w:r w:rsidRPr="00701D4D">
              <w:rPr>
                <w:rFonts w:ascii="Calibri" w:eastAsia="Times New Roman" w:hAnsi="Calibri" w:cs="Calibri"/>
                <w:i/>
                <w:color w:val="000000"/>
                <w:sz w:val="18"/>
                <w:szCs w:val="18"/>
                <w:lang w:val="en-GB" w:eastAsia="en-GB"/>
              </w:rPr>
              <w:t>menziesii</w:t>
            </w:r>
          </w:p>
        </w:tc>
        <w:tc>
          <w:tcPr>
            <w:tcW w:w="1080" w:type="dxa"/>
            <w:shd w:val="clear" w:color="auto" w:fill="auto"/>
            <w:noWrap/>
            <w:vAlign w:val="center"/>
            <w:hideMark/>
          </w:tcPr>
          <w:p w14:paraId="39F81734"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Leaf area</w:t>
            </w:r>
          </w:p>
        </w:tc>
        <w:tc>
          <w:tcPr>
            <w:tcW w:w="871" w:type="dxa"/>
            <w:shd w:val="clear" w:color="auto" w:fill="auto"/>
            <w:noWrap/>
            <w:vAlign w:val="center"/>
            <w:hideMark/>
          </w:tcPr>
          <w:p w14:paraId="7D9EF72F" w14:textId="2D0B6281" w:rsidR="00AB75C0" w:rsidRPr="00701D4D" w:rsidRDefault="00A0614E" w:rsidP="00566548">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6.8</w:t>
            </w:r>
          </w:p>
        </w:tc>
        <w:tc>
          <w:tcPr>
            <w:tcW w:w="884" w:type="dxa"/>
            <w:shd w:val="clear" w:color="auto" w:fill="auto"/>
            <w:noWrap/>
            <w:vAlign w:val="center"/>
            <w:hideMark/>
          </w:tcPr>
          <w:p w14:paraId="567DC959"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-4.0617  (0.7018)</w:t>
            </w:r>
          </w:p>
        </w:tc>
        <w:tc>
          <w:tcPr>
            <w:tcW w:w="1276" w:type="dxa"/>
            <w:shd w:val="clear" w:color="auto" w:fill="auto"/>
            <w:noWrap/>
            <w:vAlign w:val="center"/>
            <w:hideMark/>
          </w:tcPr>
          <w:p w14:paraId="32A23E2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2.4513  (0.0238)</w:t>
            </w:r>
          </w:p>
        </w:tc>
        <w:tc>
          <w:tcPr>
            <w:tcW w:w="1134" w:type="dxa"/>
            <w:shd w:val="clear" w:color="auto" w:fill="auto"/>
            <w:noWrap/>
            <w:vAlign w:val="center"/>
            <w:hideMark/>
          </w:tcPr>
          <w:p w14:paraId="15379B24"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-0.4353  (0.0894)</w:t>
            </w:r>
          </w:p>
        </w:tc>
        <w:tc>
          <w:tcPr>
            <w:tcW w:w="827" w:type="dxa"/>
            <w:shd w:val="clear" w:color="auto" w:fill="auto"/>
            <w:noWrap/>
            <w:vAlign w:val="center"/>
            <w:hideMark/>
          </w:tcPr>
          <w:p w14:paraId="11476B4E"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p>
        </w:tc>
        <w:tc>
          <w:tcPr>
            <w:tcW w:w="1157" w:type="dxa"/>
            <w:shd w:val="clear" w:color="auto" w:fill="auto"/>
            <w:noWrap/>
            <w:vAlign w:val="center"/>
            <w:hideMark/>
          </w:tcPr>
          <w:p w14:paraId="7BEC3DCA"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0.2886  (0.0541)</w:t>
            </w:r>
          </w:p>
        </w:tc>
        <w:tc>
          <w:tcPr>
            <w:tcW w:w="1259" w:type="dxa"/>
            <w:shd w:val="clear" w:color="auto" w:fill="auto"/>
            <w:noWrap/>
            <w:vAlign w:val="center"/>
            <w:hideMark/>
          </w:tcPr>
          <w:p w14:paraId="310B5FE7" w14:textId="77777777" w:rsidR="00AB75C0" w:rsidRPr="00701D4D" w:rsidRDefault="00AB75C0" w:rsidP="00566548">
            <w:pPr>
              <w:spacing w:after="0" w:line="240" w:lineRule="auto"/>
              <w:jc w:val="left"/>
              <w:rPr>
                <w:rFonts w:ascii="Calibri" w:eastAsia="Times New Roman" w:hAnsi="Calibri" w:cs="Calibri"/>
                <w:color w:val="000000"/>
                <w:sz w:val="18"/>
                <w:szCs w:val="18"/>
                <w:lang w:val="en-GB" w:eastAsia="en-GB"/>
              </w:rPr>
            </w:pPr>
            <w:r w:rsidRPr="00701D4D">
              <w:rPr>
                <w:rFonts w:ascii="Calibri" w:eastAsia="Times New Roman" w:hAnsi="Calibri" w:cs="Calibri"/>
                <w:color w:val="000000"/>
                <w:sz w:val="18"/>
                <w:szCs w:val="18"/>
                <w:lang w:val="en-GB" w:eastAsia="en-GB"/>
              </w:rPr>
              <w:t>1.013919268</w:t>
            </w:r>
          </w:p>
        </w:tc>
      </w:tr>
    </w:tbl>
    <w:p w14:paraId="4A76EBF3" w14:textId="6A33E3D2" w:rsidR="00AB75C0" w:rsidRPr="00C462BD" w:rsidRDefault="00AB75C0" w:rsidP="00AB75C0">
      <w:pPr>
        <w:spacing w:after="0" w:line="240" w:lineRule="auto"/>
        <w:rPr>
          <w:sz w:val="22"/>
          <w:lang w:val="en-GB"/>
        </w:rPr>
      </w:pPr>
    </w:p>
    <w:p w14:paraId="534546AE" w14:textId="31261143" w:rsidR="00566548" w:rsidRPr="00C462BD" w:rsidRDefault="00B93A7F" w:rsidP="00AB75C0">
      <w:pPr>
        <w:spacing w:after="0" w:line="240" w:lineRule="auto"/>
        <w:rPr>
          <w:sz w:val="18"/>
          <w:lang w:val="en-GB"/>
        </w:rPr>
      </w:pPr>
      <w:r w:rsidRPr="00C462BD">
        <w:rPr>
          <w:b/>
          <w:sz w:val="18"/>
          <w:lang w:val="en-GB"/>
        </w:rPr>
        <w:t>Table A2</w:t>
      </w:r>
      <w:r w:rsidRPr="00C462BD">
        <w:rPr>
          <w:sz w:val="18"/>
          <w:lang w:val="en-GB"/>
        </w:rPr>
        <w:t xml:space="preserve"> </w:t>
      </w:r>
      <w:r w:rsidR="00735E3A" w:rsidRPr="00C462BD">
        <w:rPr>
          <w:sz w:val="18"/>
          <w:lang w:val="en-GB"/>
        </w:rPr>
        <w:t xml:space="preserve">Show the range </w:t>
      </w:r>
      <w:r w:rsidR="004F3D86" w:rsidRPr="00C462BD">
        <w:rPr>
          <w:sz w:val="18"/>
          <w:lang w:val="en-GB"/>
        </w:rPr>
        <w:t>of the equations in Table A1. All ranges are listed as (min/average/maximum)</w:t>
      </w:r>
    </w:p>
    <w:tbl>
      <w:tblPr>
        <w:tblStyle w:val="TableGrid"/>
        <w:tblW w:w="8217" w:type="dxa"/>
        <w:tblLook w:val="04A0" w:firstRow="1" w:lastRow="0" w:firstColumn="1" w:lastColumn="0" w:noHBand="0" w:noVBand="1"/>
      </w:tblPr>
      <w:tblGrid>
        <w:gridCol w:w="1129"/>
        <w:gridCol w:w="1560"/>
        <w:gridCol w:w="1701"/>
        <w:gridCol w:w="1701"/>
        <w:gridCol w:w="2126"/>
      </w:tblGrid>
      <w:tr w:rsidR="00B93A7F" w14:paraId="1CFAE07E" w14:textId="77777777" w:rsidTr="00B93A7F">
        <w:tc>
          <w:tcPr>
            <w:tcW w:w="1129" w:type="dxa"/>
            <w:tcBorders>
              <w:left w:val="nil"/>
              <w:bottom w:val="single" w:sz="4" w:space="0" w:color="auto"/>
              <w:right w:val="nil"/>
            </w:tcBorders>
            <w:vAlign w:val="center"/>
          </w:tcPr>
          <w:p w14:paraId="29DDC841" w14:textId="666CC461" w:rsidR="00B93A7F" w:rsidRDefault="00B93A7F" w:rsidP="00A0614E">
            <w:pPr>
              <w:spacing w:after="0"/>
              <w:jc w:val="left"/>
              <w:rPr>
                <w:lang w:val="en-GB"/>
              </w:rPr>
            </w:pPr>
            <w:r w:rsidRPr="00701D4D">
              <w:rPr>
                <w:rFonts w:ascii="Calibri" w:eastAsia="Times New Roman" w:hAnsi="Calibri" w:cs="Calibri"/>
                <w:color w:val="000000"/>
                <w:sz w:val="18"/>
                <w:szCs w:val="18"/>
                <w:lang w:val="en-GB" w:eastAsia="en-GB"/>
              </w:rPr>
              <w:t>Equation</w:t>
            </w:r>
          </w:p>
        </w:tc>
        <w:tc>
          <w:tcPr>
            <w:tcW w:w="1560" w:type="dxa"/>
            <w:tcBorders>
              <w:left w:val="nil"/>
              <w:bottom w:val="single" w:sz="4" w:space="0" w:color="auto"/>
              <w:right w:val="nil"/>
            </w:tcBorders>
            <w:shd w:val="clear" w:color="auto" w:fill="auto"/>
            <w:vAlign w:val="center"/>
          </w:tcPr>
          <w:p w14:paraId="60D51883" w14:textId="0D14552F" w:rsidR="00B93A7F" w:rsidRPr="007A504E" w:rsidRDefault="00B93A7F" w:rsidP="00A0614E">
            <w:pPr>
              <w:spacing w:after="0"/>
              <w:jc w:val="left"/>
              <w:rPr>
                <w:sz w:val="18"/>
                <w:lang w:val="en-GB"/>
              </w:rPr>
            </w:pPr>
            <w:r w:rsidRPr="007A504E">
              <w:rPr>
                <w:rFonts w:ascii="Calibri" w:hAnsi="Calibri" w:cs="Calibri"/>
                <w:bCs/>
                <w:sz w:val="18"/>
                <w:szCs w:val="16"/>
              </w:rPr>
              <w:t>d range (cm)</w:t>
            </w:r>
          </w:p>
        </w:tc>
        <w:tc>
          <w:tcPr>
            <w:tcW w:w="1701" w:type="dxa"/>
            <w:tcBorders>
              <w:left w:val="nil"/>
              <w:bottom w:val="single" w:sz="4" w:space="0" w:color="auto"/>
              <w:right w:val="nil"/>
            </w:tcBorders>
            <w:shd w:val="clear" w:color="auto" w:fill="auto"/>
            <w:vAlign w:val="center"/>
          </w:tcPr>
          <w:p w14:paraId="6A1A5452" w14:textId="79BA75D9" w:rsidR="00B93A7F" w:rsidRPr="007A504E" w:rsidRDefault="00B93A7F" w:rsidP="00A0614E">
            <w:pPr>
              <w:spacing w:after="0"/>
              <w:jc w:val="left"/>
              <w:rPr>
                <w:sz w:val="18"/>
                <w:lang w:val="en-GB"/>
              </w:rPr>
            </w:pPr>
            <w:r w:rsidRPr="007A504E">
              <w:rPr>
                <w:rFonts w:ascii="Calibri" w:hAnsi="Calibri" w:cs="Calibri"/>
                <w:bCs/>
                <w:sz w:val="18"/>
                <w:szCs w:val="16"/>
              </w:rPr>
              <w:t>BA range (m</w:t>
            </w:r>
            <w:r w:rsidRPr="007A504E">
              <w:rPr>
                <w:rFonts w:ascii="Calibri" w:hAnsi="Calibri" w:cs="Calibri"/>
                <w:bCs/>
                <w:sz w:val="18"/>
                <w:szCs w:val="16"/>
                <w:vertAlign w:val="superscript"/>
              </w:rPr>
              <w:t>2</w:t>
            </w:r>
            <w:r>
              <w:rPr>
                <w:rFonts w:ascii="Calibri" w:hAnsi="Calibri" w:cs="Calibri"/>
                <w:bCs/>
                <w:sz w:val="18"/>
                <w:szCs w:val="16"/>
              </w:rPr>
              <w:t xml:space="preserve"> </w:t>
            </w:r>
            <w:r w:rsidRPr="007A504E">
              <w:rPr>
                <w:rFonts w:ascii="Calibri" w:hAnsi="Calibri" w:cs="Calibri"/>
                <w:bCs/>
                <w:sz w:val="18"/>
                <w:szCs w:val="16"/>
              </w:rPr>
              <w:t>ha</w:t>
            </w:r>
            <w:r w:rsidRPr="007A504E">
              <w:rPr>
                <w:rFonts w:ascii="Calibri" w:hAnsi="Calibri" w:cs="Calibri"/>
                <w:bCs/>
                <w:sz w:val="18"/>
                <w:szCs w:val="16"/>
                <w:vertAlign w:val="superscript"/>
              </w:rPr>
              <w:t>-1</w:t>
            </w:r>
            <w:r w:rsidRPr="007A504E">
              <w:rPr>
                <w:rFonts w:ascii="Calibri" w:hAnsi="Calibri" w:cs="Calibri"/>
                <w:bCs/>
                <w:sz w:val="18"/>
                <w:szCs w:val="16"/>
              </w:rPr>
              <w:t>)</w:t>
            </w:r>
          </w:p>
        </w:tc>
        <w:tc>
          <w:tcPr>
            <w:tcW w:w="1701" w:type="dxa"/>
            <w:tcBorders>
              <w:left w:val="nil"/>
              <w:bottom w:val="single" w:sz="4" w:space="0" w:color="auto"/>
              <w:right w:val="nil"/>
            </w:tcBorders>
            <w:shd w:val="clear" w:color="auto" w:fill="auto"/>
            <w:vAlign w:val="center"/>
          </w:tcPr>
          <w:p w14:paraId="0F21BBDD" w14:textId="12AF9098" w:rsidR="00B93A7F" w:rsidRPr="007A504E" w:rsidRDefault="00B93A7F" w:rsidP="00A0614E">
            <w:pPr>
              <w:spacing w:after="0"/>
              <w:jc w:val="left"/>
              <w:rPr>
                <w:sz w:val="18"/>
                <w:lang w:val="en-GB"/>
              </w:rPr>
            </w:pPr>
            <w:r w:rsidRPr="007A504E">
              <w:rPr>
                <w:rFonts w:ascii="Calibri" w:hAnsi="Calibri" w:cs="Calibri"/>
                <w:bCs/>
                <w:sz w:val="18"/>
                <w:szCs w:val="16"/>
              </w:rPr>
              <w:t>Age range (years)</w:t>
            </w:r>
          </w:p>
        </w:tc>
        <w:tc>
          <w:tcPr>
            <w:tcW w:w="2126" w:type="dxa"/>
            <w:tcBorders>
              <w:left w:val="nil"/>
              <w:bottom w:val="single" w:sz="4" w:space="0" w:color="auto"/>
              <w:right w:val="nil"/>
            </w:tcBorders>
            <w:shd w:val="clear" w:color="auto" w:fill="auto"/>
            <w:vAlign w:val="center"/>
          </w:tcPr>
          <w:p w14:paraId="1C30BA3F" w14:textId="4685BDB0" w:rsidR="00B93A7F" w:rsidRPr="007A504E" w:rsidRDefault="00B93A7F" w:rsidP="00A0614E">
            <w:pPr>
              <w:spacing w:after="0"/>
              <w:jc w:val="left"/>
              <w:rPr>
                <w:sz w:val="18"/>
                <w:lang w:val="en-GB"/>
              </w:rPr>
            </w:pPr>
            <w:r w:rsidRPr="007A504E">
              <w:rPr>
                <w:rFonts w:ascii="Calibri" w:hAnsi="Calibri" w:cs="Calibri"/>
                <w:bCs/>
                <w:sz w:val="18"/>
                <w:szCs w:val="16"/>
              </w:rPr>
              <w:t>TPH range (trees ha</w:t>
            </w:r>
            <w:r w:rsidRPr="007A504E">
              <w:rPr>
                <w:rFonts w:ascii="Calibri" w:hAnsi="Calibri" w:cs="Calibri"/>
                <w:bCs/>
                <w:sz w:val="18"/>
                <w:szCs w:val="16"/>
                <w:vertAlign w:val="superscript"/>
              </w:rPr>
              <w:t>-1</w:t>
            </w:r>
            <w:r w:rsidRPr="007A504E">
              <w:rPr>
                <w:rFonts w:ascii="Calibri" w:hAnsi="Calibri" w:cs="Calibri"/>
                <w:bCs/>
                <w:sz w:val="18"/>
                <w:szCs w:val="16"/>
              </w:rPr>
              <w:t>)</w:t>
            </w:r>
          </w:p>
        </w:tc>
      </w:tr>
      <w:tr w:rsidR="00B93A7F" w14:paraId="69065961" w14:textId="77777777" w:rsidTr="00B93A7F">
        <w:tc>
          <w:tcPr>
            <w:tcW w:w="1129" w:type="dxa"/>
            <w:tcBorders>
              <w:top w:val="single" w:sz="4" w:space="0" w:color="auto"/>
              <w:left w:val="nil"/>
              <w:bottom w:val="nil"/>
              <w:right w:val="nil"/>
            </w:tcBorders>
            <w:vAlign w:val="center"/>
          </w:tcPr>
          <w:p w14:paraId="1C204983" w14:textId="75B6B472" w:rsidR="00B93A7F" w:rsidRDefault="00B93A7F" w:rsidP="00A0614E">
            <w:pPr>
              <w:spacing w:after="0"/>
              <w:rPr>
                <w:lang w:val="en-GB"/>
              </w:rPr>
            </w:pPr>
            <w:r>
              <w:rPr>
                <w:rFonts w:ascii="Calibri" w:eastAsia="Times New Roman" w:hAnsi="Calibri" w:cs="Calibri"/>
                <w:color w:val="000000"/>
                <w:sz w:val="18"/>
                <w:szCs w:val="18"/>
                <w:lang w:val="en-GB" w:eastAsia="en-GB"/>
              </w:rPr>
              <w:t>6</w:t>
            </w:r>
          </w:p>
        </w:tc>
        <w:tc>
          <w:tcPr>
            <w:tcW w:w="1560" w:type="dxa"/>
            <w:tcBorders>
              <w:top w:val="single" w:sz="4" w:space="0" w:color="auto"/>
              <w:left w:val="nil"/>
              <w:bottom w:val="nil"/>
              <w:right w:val="nil"/>
            </w:tcBorders>
            <w:shd w:val="clear" w:color="auto" w:fill="auto"/>
            <w:vAlign w:val="bottom"/>
          </w:tcPr>
          <w:p w14:paraId="20E7C6CE" w14:textId="3E0AFD8B" w:rsidR="00B93A7F" w:rsidRDefault="00B93A7F" w:rsidP="00A0614E">
            <w:pPr>
              <w:spacing w:after="0"/>
              <w:rPr>
                <w:rFonts w:ascii="Calibri" w:hAnsi="Calibri" w:cs="Calibri"/>
                <w:b/>
                <w:bCs/>
                <w:sz w:val="16"/>
                <w:szCs w:val="16"/>
              </w:rPr>
            </w:pPr>
            <w:r>
              <w:rPr>
                <w:rFonts w:ascii="Calibri" w:hAnsi="Calibri" w:cs="Calibri"/>
                <w:color w:val="000000"/>
                <w:sz w:val="18"/>
                <w:szCs w:val="18"/>
              </w:rPr>
              <w:t>2 / 19.7 / 54</w:t>
            </w:r>
          </w:p>
        </w:tc>
        <w:tc>
          <w:tcPr>
            <w:tcW w:w="1701" w:type="dxa"/>
            <w:tcBorders>
              <w:top w:val="single" w:sz="4" w:space="0" w:color="auto"/>
              <w:left w:val="nil"/>
              <w:bottom w:val="nil"/>
              <w:right w:val="nil"/>
            </w:tcBorders>
            <w:shd w:val="clear" w:color="auto" w:fill="auto"/>
            <w:vAlign w:val="bottom"/>
          </w:tcPr>
          <w:p w14:paraId="76C28E9F" w14:textId="46AD94F0" w:rsidR="00B93A7F" w:rsidRDefault="00B93A7F" w:rsidP="00A0614E">
            <w:pPr>
              <w:spacing w:after="0"/>
              <w:rPr>
                <w:rFonts w:ascii="Calibri" w:hAnsi="Calibri" w:cs="Calibri"/>
                <w:b/>
                <w:bCs/>
                <w:sz w:val="16"/>
                <w:szCs w:val="16"/>
              </w:rPr>
            </w:pPr>
            <w:r>
              <w:rPr>
                <w:rFonts w:ascii="Calibri" w:hAnsi="Calibri" w:cs="Calibri"/>
                <w:color w:val="000000"/>
                <w:sz w:val="18"/>
                <w:szCs w:val="18"/>
              </w:rPr>
              <w:t>19.3 / 27.1 / 45.6</w:t>
            </w:r>
          </w:p>
        </w:tc>
        <w:tc>
          <w:tcPr>
            <w:tcW w:w="1701" w:type="dxa"/>
            <w:tcBorders>
              <w:top w:val="single" w:sz="4" w:space="0" w:color="auto"/>
              <w:left w:val="nil"/>
              <w:bottom w:val="nil"/>
              <w:right w:val="nil"/>
            </w:tcBorders>
            <w:shd w:val="clear" w:color="auto" w:fill="auto"/>
            <w:vAlign w:val="bottom"/>
          </w:tcPr>
          <w:p w14:paraId="20E65609" w14:textId="0C37940E" w:rsidR="00B93A7F" w:rsidRDefault="00B93A7F" w:rsidP="00A0614E">
            <w:pPr>
              <w:spacing w:after="0"/>
              <w:rPr>
                <w:rFonts w:ascii="Calibri" w:hAnsi="Calibri" w:cs="Calibri"/>
                <w:b/>
                <w:bCs/>
                <w:sz w:val="16"/>
                <w:szCs w:val="16"/>
              </w:rPr>
            </w:pPr>
            <w:r>
              <w:rPr>
                <w:rFonts w:ascii="Calibri" w:hAnsi="Calibri" w:cs="Calibri"/>
                <w:color w:val="000000"/>
                <w:sz w:val="18"/>
                <w:szCs w:val="18"/>
              </w:rPr>
              <w:t>27.8 / 38.8 / 56</w:t>
            </w:r>
          </w:p>
        </w:tc>
        <w:tc>
          <w:tcPr>
            <w:tcW w:w="2126" w:type="dxa"/>
            <w:tcBorders>
              <w:top w:val="single" w:sz="4" w:space="0" w:color="auto"/>
              <w:left w:val="nil"/>
              <w:bottom w:val="nil"/>
              <w:right w:val="nil"/>
            </w:tcBorders>
            <w:shd w:val="clear" w:color="auto" w:fill="auto"/>
            <w:vAlign w:val="bottom"/>
          </w:tcPr>
          <w:p w14:paraId="3F7F5CE1" w14:textId="4B37A0E5" w:rsidR="00B93A7F" w:rsidRDefault="00B93A7F" w:rsidP="00A0614E">
            <w:pPr>
              <w:spacing w:after="0"/>
              <w:rPr>
                <w:rFonts w:ascii="Calibri" w:hAnsi="Calibri" w:cs="Calibri"/>
                <w:b/>
                <w:bCs/>
                <w:sz w:val="16"/>
                <w:szCs w:val="16"/>
              </w:rPr>
            </w:pPr>
            <w:r>
              <w:rPr>
                <w:rFonts w:ascii="Calibri" w:hAnsi="Calibri" w:cs="Calibri"/>
                <w:color w:val="000000"/>
                <w:sz w:val="18"/>
                <w:szCs w:val="18"/>
              </w:rPr>
              <w:t>379 / 1887.2 / 4000</w:t>
            </w:r>
          </w:p>
        </w:tc>
      </w:tr>
      <w:tr w:rsidR="00B93A7F" w14:paraId="793ED895" w14:textId="77777777" w:rsidTr="00B93A7F">
        <w:tc>
          <w:tcPr>
            <w:tcW w:w="1129" w:type="dxa"/>
            <w:tcBorders>
              <w:top w:val="nil"/>
              <w:left w:val="nil"/>
              <w:bottom w:val="nil"/>
              <w:right w:val="nil"/>
            </w:tcBorders>
            <w:vAlign w:val="center"/>
          </w:tcPr>
          <w:p w14:paraId="253A4962" w14:textId="7D35793D" w:rsidR="00B93A7F" w:rsidRDefault="00B93A7F" w:rsidP="00A0614E">
            <w:pPr>
              <w:spacing w:after="0"/>
              <w:rPr>
                <w:lang w:val="en-GB"/>
              </w:rPr>
            </w:pPr>
            <w:r>
              <w:rPr>
                <w:rFonts w:ascii="Calibri" w:eastAsia="Times New Roman" w:hAnsi="Calibri" w:cs="Calibri"/>
                <w:color w:val="000000"/>
                <w:sz w:val="18"/>
                <w:szCs w:val="18"/>
                <w:lang w:val="en-GB" w:eastAsia="en-GB"/>
              </w:rPr>
              <w:t>6.1</w:t>
            </w:r>
          </w:p>
        </w:tc>
        <w:tc>
          <w:tcPr>
            <w:tcW w:w="1560" w:type="dxa"/>
            <w:tcBorders>
              <w:top w:val="nil"/>
              <w:left w:val="nil"/>
              <w:bottom w:val="nil"/>
              <w:right w:val="nil"/>
            </w:tcBorders>
            <w:shd w:val="clear" w:color="auto" w:fill="auto"/>
            <w:vAlign w:val="bottom"/>
          </w:tcPr>
          <w:p w14:paraId="34BE63AA" w14:textId="7D958A19" w:rsidR="00B93A7F" w:rsidRDefault="00B93A7F" w:rsidP="00A0614E">
            <w:pPr>
              <w:spacing w:after="0"/>
              <w:rPr>
                <w:rFonts w:ascii="Calibri" w:hAnsi="Calibri" w:cs="Calibri"/>
                <w:b/>
                <w:bCs/>
                <w:sz w:val="16"/>
                <w:szCs w:val="16"/>
              </w:rPr>
            </w:pPr>
            <w:r>
              <w:rPr>
                <w:rFonts w:ascii="Calibri" w:hAnsi="Calibri" w:cs="Calibri"/>
                <w:color w:val="000000"/>
                <w:sz w:val="18"/>
                <w:szCs w:val="18"/>
              </w:rPr>
              <w:t>0.1 / 16.6 / 88.2</w:t>
            </w:r>
          </w:p>
        </w:tc>
        <w:tc>
          <w:tcPr>
            <w:tcW w:w="1701" w:type="dxa"/>
            <w:tcBorders>
              <w:top w:val="nil"/>
              <w:left w:val="nil"/>
              <w:bottom w:val="nil"/>
              <w:right w:val="nil"/>
            </w:tcBorders>
            <w:shd w:val="clear" w:color="auto" w:fill="auto"/>
            <w:vAlign w:val="bottom"/>
          </w:tcPr>
          <w:p w14:paraId="07023CD0" w14:textId="6CDFDA9D" w:rsidR="00B93A7F" w:rsidRDefault="00B93A7F" w:rsidP="00A0614E">
            <w:pPr>
              <w:spacing w:after="0"/>
              <w:rPr>
                <w:rFonts w:ascii="Calibri" w:hAnsi="Calibri" w:cs="Calibri"/>
                <w:b/>
                <w:bCs/>
                <w:sz w:val="16"/>
                <w:szCs w:val="16"/>
              </w:rPr>
            </w:pPr>
            <w:r>
              <w:rPr>
                <w:rFonts w:ascii="Calibri" w:hAnsi="Calibri" w:cs="Calibri"/>
                <w:color w:val="000000"/>
                <w:sz w:val="18"/>
                <w:szCs w:val="18"/>
              </w:rPr>
              <w:t>10.6 / 27.8 / 45.6</w:t>
            </w:r>
          </w:p>
        </w:tc>
        <w:tc>
          <w:tcPr>
            <w:tcW w:w="1701" w:type="dxa"/>
            <w:tcBorders>
              <w:top w:val="nil"/>
              <w:left w:val="nil"/>
              <w:bottom w:val="nil"/>
              <w:right w:val="nil"/>
            </w:tcBorders>
            <w:shd w:val="clear" w:color="auto" w:fill="auto"/>
            <w:vAlign w:val="bottom"/>
          </w:tcPr>
          <w:p w14:paraId="7BE3B90C" w14:textId="62D2AAD9" w:rsidR="00B93A7F" w:rsidRDefault="00B93A7F" w:rsidP="00A0614E">
            <w:pPr>
              <w:spacing w:after="0"/>
              <w:rPr>
                <w:rFonts w:ascii="Calibri" w:hAnsi="Calibri" w:cs="Calibri"/>
                <w:b/>
                <w:bCs/>
                <w:sz w:val="16"/>
                <w:szCs w:val="16"/>
              </w:rPr>
            </w:pPr>
            <w:r>
              <w:rPr>
                <w:rFonts w:ascii="Calibri" w:hAnsi="Calibri" w:cs="Calibri"/>
                <w:color w:val="000000"/>
                <w:sz w:val="18"/>
                <w:szCs w:val="18"/>
              </w:rPr>
              <w:t>4.6 / 41.6 / 143.8</w:t>
            </w:r>
          </w:p>
        </w:tc>
        <w:tc>
          <w:tcPr>
            <w:tcW w:w="2126" w:type="dxa"/>
            <w:tcBorders>
              <w:top w:val="nil"/>
              <w:left w:val="nil"/>
              <w:bottom w:val="nil"/>
              <w:right w:val="nil"/>
            </w:tcBorders>
            <w:shd w:val="clear" w:color="auto" w:fill="auto"/>
            <w:vAlign w:val="bottom"/>
          </w:tcPr>
          <w:p w14:paraId="6A3EF81E" w14:textId="46F143BD" w:rsidR="00B93A7F" w:rsidRDefault="00B93A7F" w:rsidP="00A0614E">
            <w:pPr>
              <w:spacing w:after="0"/>
              <w:rPr>
                <w:rFonts w:ascii="Calibri" w:hAnsi="Calibri" w:cs="Calibri"/>
                <w:b/>
                <w:bCs/>
                <w:sz w:val="16"/>
                <w:szCs w:val="16"/>
              </w:rPr>
            </w:pPr>
            <w:r>
              <w:rPr>
                <w:rFonts w:ascii="Calibri" w:hAnsi="Calibri" w:cs="Calibri"/>
                <w:color w:val="000000"/>
                <w:sz w:val="18"/>
                <w:szCs w:val="18"/>
              </w:rPr>
              <w:t>375 / 10499.5 / 69527.4</w:t>
            </w:r>
          </w:p>
        </w:tc>
      </w:tr>
      <w:tr w:rsidR="00B93A7F" w14:paraId="07276F17" w14:textId="77777777" w:rsidTr="00B93A7F">
        <w:tc>
          <w:tcPr>
            <w:tcW w:w="1129" w:type="dxa"/>
            <w:tcBorders>
              <w:top w:val="nil"/>
              <w:left w:val="nil"/>
              <w:bottom w:val="nil"/>
              <w:right w:val="nil"/>
            </w:tcBorders>
            <w:vAlign w:val="center"/>
          </w:tcPr>
          <w:p w14:paraId="41E97012" w14:textId="077914DF" w:rsidR="00B93A7F" w:rsidRDefault="00B93A7F" w:rsidP="00A0614E">
            <w:pPr>
              <w:spacing w:after="0"/>
              <w:rPr>
                <w:lang w:val="en-GB"/>
              </w:rPr>
            </w:pPr>
            <w:r>
              <w:rPr>
                <w:rFonts w:ascii="Calibri" w:eastAsia="Times New Roman" w:hAnsi="Calibri" w:cs="Calibri"/>
                <w:color w:val="000000"/>
                <w:sz w:val="18"/>
                <w:szCs w:val="18"/>
                <w:lang w:val="en-GB" w:eastAsia="en-GB"/>
              </w:rPr>
              <w:t>6.2</w:t>
            </w:r>
          </w:p>
        </w:tc>
        <w:tc>
          <w:tcPr>
            <w:tcW w:w="1560" w:type="dxa"/>
            <w:tcBorders>
              <w:top w:val="nil"/>
              <w:left w:val="nil"/>
              <w:bottom w:val="nil"/>
              <w:right w:val="nil"/>
            </w:tcBorders>
            <w:shd w:val="clear" w:color="auto" w:fill="auto"/>
            <w:vAlign w:val="bottom"/>
          </w:tcPr>
          <w:p w14:paraId="6BDFDD5A" w14:textId="6353C4C0" w:rsidR="00B93A7F" w:rsidRDefault="00B93A7F" w:rsidP="00A0614E">
            <w:pPr>
              <w:spacing w:after="0"/>
              <w:rPr>
                <w:rFonts w:ascii="Calibri" w:hAnsi="Calibri" w:cs="Calibri"/>
                <w:b/>
                <w:bCs/>
                <w:sz w:val="16"/>
                <w:szCs w:val="16"/>
              </w:rPr>
            </w:pPr>
            <w:r>
              <w:rPr>
                <w:rFonts w:ascii="Calibri" w:hAnsi="Calibri" w:cs="Calibri"/>
                <w:color w:val="000000"/>
                <w:sz w:val="18"/>
                <w:szCs w:val="18"/>
              </w:rPr>
              <w:t>0.5 / 18.5 / 75</w:t>
            </w:r>
          </w:p>
        </w:tc>
        <w:tc>
          <w:tcPr>
            <w:tcW w:w="1701" w:type="dxa"/>
            <w:tcBorders>
              <w:top w:val="nil"/>
              <w:left w:val="nil"/>
              <w:bottom w:val="nil"/>
              <w:right w:val="nil"/>
            </w:tcBorders>
            <w:shd w:val="clear" w:color="auto" w:fill="auto"/>
            <w:vAlign w:val="bottom"/>
          </w:tcPr>
          <w:p w14:paraId="063BBEA2" w14:textId="1FAFDDDB" w:rsidR="00B93A7F" w:rsidRDefault="00B93A7F" w:rsidP="00A0614E">
            <w:pPr>
              <w:spacing w:after="0"/>
              <w:rPr>
                <w:rFonts w:ascii="Calibri" w:hAnsi="Calibri" w:cs="Calibri"/>
                <w:b/>
                <w:bCs/>
                <w:sz w:val="16"/>
                <w:szCs w:val="16"/>
              </w:rPr>
            </w:pPr>
            <w:r>
              <w:rPr>
                <w:rFonts w:ascii="Calibri" w:hAnsi="Calibri" w:cs="Calibri"/>
                <w:color w:val="000000"/>
                <w:sz w:val="18"/>
                <w:szCs w:val="18"/>
              </w:rPr>
              <w:t>10.6 / 28.3 / 45.6</w:t>
            </w:r>
          </w:p>
        </w:tc>
        <w:tc>
          <w:tcPr>
            <w:tcW w:w="1701" w:type="dxa"/>
            <w:tcBorders>
              <w:top w:val="nil"/>
              <w:left w:val="nil"/>
              <w:bottom w:val="nil"/>
              <w:right w:val="nil"/>
            </w:tcBorders>
            <w:shd w:val="clear" w:color="auto" w:fill="auto"/>
            <w:vAlign w:val="bottom"/>
          </w:tcPr>
          <w:p w14:paraId="3D0D06EC" w14:textId="38DEE7CF" w:rsidR="00B93A7F" w:rsidRDefault="00B93A7F" w:rsidP="00A0614E">
            <w:pPr>
              <w:spacing w:after="0"/>
              <w:rPr>
                <w:rFonts w:ascii="Calibri" w:hAnsi="Calibri" w:cs="Calibri"/>
                <w:b/>
                <w:bCs/>
                <w:sz w:val="16"/>
                <w:szCs w:val="16"/>
              </w:rPr>
            </w:pPr>
            <w:r>
              <w:rPr>
                <w:rFonts w:ascii="Calibri" w:hAnsi="Calibri" w:cs="Calibri"/>
                <w:color w:val="000000"/>
                <w:sz w:val="18"/>
                <w:szCs w:val="18"/>
              </w:rPr>
              <w:t>4.6 / 41.3 / 133.3</w:t>
            </w:r>
          </w:p>
        </w:tc>
        <w:tc>
          <w:tcPr>
            <w:tcW w:w="2126" w:type="dxa"/>
            <w:tcBorders>
              <w:top w:val="nil"/>
              <w:left w:val="nil"/>
              <w:bottom w:val="nil"/>
              <w:right w:val="nil"/>
            </w:tcBorders>
            <w:shd w:val="clear" w:color="auto" w:fill="auto"/>
            <w:vAlign w:val="bottom"/>
          </w:tcPr>
          <w:p w14:paraId="37CF5CCF" w14:textId="5A6FD474" w:rsidR="00B93A7F" w:rsidRDefault="00B93A7F" w:rsidP="00A0614E">
            <w:pPr>
              <w:spacing w:after="0"/>
              <w:rPr>
                <w:rFonts w:ascii="Calibri" w:hAnsi="Calibri" w:cs="Calibri"/>
                <w:b/>
                <w:bCs/>
                <w:sz w:val="16"/>
                <w:szCs w:val="16"/>
              </w:rPr>
            </w:pPr>
            <w:r>
              <w:rPr>
                <w:rFonts w:ascii="Calibri" w:hAnsi="Calibri" w:cs="Calibri"/>
                <w:color w:val="000000"/>
                <w:sz w:val="18"/>
                <w:szCs w:val="18"/>
              </w:rPr>
              <w:t>167 / 9285.7 / 69527.4</w:t>
            </w:r>
          </w:p>
        </w:tc>
      </w:tr>
      <w:tr w:rsidR="00B93A7F" w14:paraId="134B6C04" w14:textId="77777777" w:rsidTr="00B93A7F">
        <w:tc>
          <w:tcPr>
            <w:tcW w:w="1129" w:type="dxa"/>
            <w:tcBorders>
              <w:top w:val="nil"/>
              <w:left w:val="nil"/>
              <w:bottom w:val="nil"/>
              <w:right w:val="nil"/>
            </w:tcBorders>
            <w:vAlign w:val="center"/>
          </w:tcPr>
          <w:p w14:paraId="66C16410" w14:textId="4B225E4B" w:rsidR="00B93A7F" w:rsidRDefault="00B93A7F" w:rsidP="00A0614E">
            <w:pPr>
              <w:spacing w:after="0"/>
              <w:rPr>
                <w:lang w:val="en-GB"/>
              </w:rPr>
            </w:pPr>
            <w:r>
              <w:rPr>
                <w:rFonts w:ascii="Calibri" w:eastAsia="Times New Roman" w:hAnsi="Calibri" w:cs="Calibri"/>
                <w:color w:val="000000"/>
                <w:sz w:val="18"/>
                <w:szCs w:val="18"/>
                <w:lang w:val="en-GB" w:eastAsia="en-GB"/>
              </w:rPr>
              <w:t>6.3</w:t>
            </w:r>
          </w:p>
        </w:tc>
        <w:tc>
          <w:tcPr>
            <w:tcW w:w="1560" w:type="dxa"/>
            <w:tcBorders>
              <w:top w:val="nil"/>
              <w:left w:val="nil"/>
              <w:bottom w:val="nil"/>
              <w:right w:val="nil"/>
            </w:tcBorders>
            <w:shd w:val="clear" w:color="auto" w:fill="auto"/>
            <w:vAlign w:val="bottom"/>
          </w:tcPr>
          <w:p w14:paraId="0B9E154B" w14:textId="2F750F87" w:rsidR="00B93A7F" w:rsidRDefault="00B93A7F" w:rsidP="00A0614E">
            <w:pPr>
              <w:spacing w:after="0"/>
              <w:rPr>
                <w:rFonts w:ascii="Calibri" w:hAnsi="Calibri" w:cs="Calibri"/>
                <w:b/>
                <w:bCs/>
                <w:sz w:val="16"/>
                <w:szCs w:val="16"/>
              </w:rPr>
            </w:pPr>
            <w:r>
              <w:rPr>
                <w:rFonts w:ascii="Calibri" w:hAnsi="Calibri" w:cs="Calibri"/>
                <w:color w:val="000000"/>
                <w:sz w:val="18"/>
                <w:szCs w:val="18"/>
              </w:rPr>
              <w:t>1 / 24.7 / 163</w:t>
            </w:r>
          </w:p>
        </w:tc>
        <w:tc>
          <w:tcPr>
            <w:tcW w:w="1701" w:type="dxa"/>
            <w:tcBorders>
              <w:top w:val="nil"/>
              <w:left w:val="nil"/>
              <w:bottom w:val="nil"/>
              <w:right w:val="nil"/>
            </w:tcBorders>
            <w:shd w:val="clear" w:color="auto" w:fill="auto"/>
            <w:vAlign w:val="bottom"/>
          </w:tcPr>
          <w:p w14:paraId="4AA3A102" w14:textId="38E189FB" w:rsidR="00B93A7F" w:rsidRDefault="00B93A7F" w:rsidP="00A0614E">
            <w:pPr>
              <w:spacing w:after="0"/>
              <w:rPr>
                <w:rFonts w:ascii="Calibri" w:hAnsi="Calibri" w:cs="Calibri"/>
                <w:b/>
                <w:bCs/>
                <w:sz w:val="16"/>
                <w:szCs w:val="16"/>
              </w:rPr>
            </w:pPr>
            <w:r>
              <w:rPr>
                <w:rFonts w:ascii="Calibri" w:hAnsi="Calibri" w:cs="Calibri"/>
                <w:color w:val="000000"/>
                <w:sz w:val="18"/>
                <w:szCs w:val="18"/>
              </w:rPr>
              <w:t>0.5 / 44.1 / 75</w:t>
            </w:r>
          </w:p>
        </w:tc>
        <w:tc>
          <w:tcPr>
            <w:tcW w:w="1701" w:type="dxa"/>
            <w:tcBorders>
              <w:top w:val="nil"/>
              <w:left w:val="nil"/>
              <w:bottom w:val="nil"/>
              <w:right w:val="nil"/>
            </w:tcBorders>
            <w:shd w:val="clear" w:color="auto" w:fill="auto"/>
            <w:vAlign w:val="bottom"/>
          </w:tcPr>
          <w:p w14:paraId="02649D80" w14:textId="3F773727" w:rsidR="00B93A7F" w:rsidRDefault="00B93A7F" w:rsidP="00A0614E">
            <w:pPr>
              <w:spacing w:after="0"/>
              <w:rPr>
                <w:rFonts w:ascii="Calibri" w:hAnsi="Calibri" w:cs="Calibri"/>
                <w:b/>
                <w:bCs/>
                <w:sz w:val="16"/>
                <w:szCs w:val="16"/>
              </w:rPr>
            </w:pPr>
            <w:r>
              <w:rPr>
                <w:rFonts w:ascii="Calibri" w:hAnsi="Calibri" w:cs="Calibri"/>
                <w:color w:val="000000"/>
                <w:sz w:val="18"/>
                <w:szCs w:val="18"/>
              </w:rPr>
              <w:t>10 / 40.6 / 262</w:t>
            </w:r>
          </w:p>
        </w:tc>
        <w:tc>
          <w:tcPr>
            <w:tcW w:w="2126" w:type="dxa"/>
            <w:tcBorders>
              <w:top w:val="nil"/>
              <w:left w:val="nil"/>
              <w:bottom w:val="nil"/>
              <w:right w:val="nil"/>
            </w:tcBorders>
            <w:shd w:val="clear" w:color="auto" w:fill="auto"/>
            <w:vAlign w:val="bottom"/>
          </w:tcPr>
          <w:p w14:paraId="68FAEDD2" w14:textId="5B8BAC42" w:rsidR="00B93A7F" w:rsidRDefault="00B93A7F" w:rsidP="00A0614E">
            <w:pPr>
              <w:spacing w:after="0"/>
              <w:rPr>
                <w:rFonts w:ascii="Calibri" w:hAnsi="Calibri" w:cs="Calibri"/>
                <w:b/>
                <w:bCs/>
                <w:sz w:val="16"/>
                <w:szCs w:val="16"/>
              </w:rPr>
            </w:pPr>
            <w:r>
              <w:rPr>
                <w:rFonts w:ascii="Calibri" w:hAnsi="Calibri" w:cs="Calibri"/>
                <w:color w:val="000000"/>
                <w:sz w:val="18"/>
                <w:szCs w:val="18"/>
              </w:rPr>
              <w:t>235 / 3048.8 / 12000</w:t>
            </w:r>
          </w:p>
        </w:tc>
      </w:tr>
      <w:tr w:rsidR="00B93A7F" w14:paraId="4F1CDBA0" w14:textId="77777777" w:rsidTr="00B93A7F">
        <w:tc>
          <w:tcPr>
            <w:tcW w:w="1129" w:type="dxa"/>
            <w:tcBorders>
              <w:top w:val="nil"/>
              <w:left w:val="nil"/>
              <w:bottom w:val="nil"/>
              <w:right w:val="nil"/>
            </w:tcBorders>
            <w:vAlign w:val="center"/>
          </w:tcPr>
          <w:p w14:paraId="474D15F5" w14:textId="00882E54" w:rsidR="00B93A7F" w:rsidRDefault="00B93A7F" w:rsidP="00A0614E">
            <w:pPr>
              <w:spacing w:after="0"/>
              <w:rPr>
                <w:lang w:val="en-GB"/>
              </w:rPr>
            </w:pPr>
            <w:r>
              <w:rPr>
                <w:rFonts w:ascii="Calibri" w:eastAsia="Times New Roman" w:hAnsi="Calibri" w:cs="Calibri"/>
                <w:color w:val="000000"/>
                <w:sz w:val="18"/>
                <w:szCs w:val="18"/>
                <w:lang w:val="en-GB" w:eastAsia="en-GB"/>
              </w:rPr>
              <w:t>6.4</w:t>
            </w:r>
          </w:p>
        </w:tc>
        <w:tc>
          <w:tcPr>
            <w:tcW w:w="1560" w:type="dxa"/>
            <w:tcBorders>
              <w:top w:val="nil"/>
              <w:left w:val="nil"/>
              <w:bottom w:val="nil"/>
              <w:right w:val="nil"/>
            </w:tcBorders>
            <w:shd w:val="clear" w:color="auto" w:fill="auto"/>
            <w:vAlign w:val="bottom"/>
          </w:tcPr>
          <w:p w14:paraId="22AC0113" w14:textId="24F7BA8A" w:rsidR="00B93A7F" w:rsidRDefault="00B93A7F" w:rsidP="00A0614E">
            <w:pPr>
              <w:spacing w:after="0"/>
              <w:rPr>
                <w:rFonts w:ascii="Calibri" w:hAnsi="Calibri" w:cs="Calibri"/>
                <w:b/>
                <w:bCs/>
                <w:sz w:val="16"/>
                <w:szCs w:val="16"/>
              </w:rPr>
            </w:pPr>
            <w:r>
              <w:rPr>
                <w:rFonts w:ascii="Calibri" w:hAnsi="Calibri" w:cs="Calibri"/>
                <w:color w:val="000000"/>
                <w:sz w:val="18"/>
                <w:szCs w:val="18"/>
              </w:rPr>
              <w:t>1 / 20.9 / 86.3</w:t>
            </w:r>
          </w:p>
        </w:tc>
        <w:tc>
          <w:tcPr>
            <w:tcW w:w="1701" w:type="dxa"/>
            <w:tcBorders>
              <w:top w:val="nil"/>
              <w:left w:val="nil"/>
              <w:bottom w:val="nil"/>
              <w:right w:val="nil"/>
            </w:tcBorders>
            <w:shd w:val="clear" w:color="auto" w:fill="auto"/>
            <w:vAlign w:val="bottom"/>
          </w:tcPr>
          <w:p w14:paraId="3BB20BD8" w14:textId="4EBC0A9C" w:rsidR="00B93A7F" w:rsidRDefault="00B93A7F" w:rsidP="00A0614E">
            <w:pPr>
              <w:spacing w:after="0"/>
              <w:rPr>
                <w:rFonts w:ascii="Calibri" w:hAnsi="Calibri" w:cs="Calibri"/>
                <w:b/>
                <w:bCs/>
                <w:sz w:val="16"/>
                <w:szCs w:val="16"/>
              </w:rPr>
            </w:pPr>
            <w:r>
              <w:rPr>
                <w:rFonts w:ascii="Calibri" w:hAnsi="Calibri" w:cs="Calibri"/>
                <w:color w:val="000000"/>
                <w:sz w:val="18"/>
                <w:szCs w:val="18"/>
              </w:rPr>
              <w:t>0.5 / 43.5 / 70.1</w:t>
            </w:r>
          </w:p>
        </w:tc>
        <w:tc>
          <w:tcPr>
            <w:tcW w:w="1701" w:type="dxa"/>
            <w:tcBorders>
              <w:top w:val="nil"/>
              <w:left w:val="nil"/>
              <w:bottom w:val="nil"/>
              <w:right w:val="nil"/>
            </w:tcBorders>
            <w:shd w:val="clear" w:color="auto" w:fill="auto"/>
            <w:vAlign w:val="bottom"/>
          </w:tcPr>
          <w:p w14:paraId="387D446C" w14:textId="1EEFF1A5" w:rsidR="00B93A7F" w:rsidRDefault="00B93A7F" w:rsidP="00A0614E">
            <w:pPr>
              <w:spacing w:after="0"/>
              <w:rPr>
                <w:rFonts w:ascii="Calibri" w:hAnsi="Calibri" w:cs="Calibri"/>
                <w:b/>
                <w:bCs/>
                <w:sz w:val="16"/>
                <w:szCs w:val="16"/>
              </w:rPr>
            </w:pPr>
            <w:r>
              <w:rPr>
                <w:rFonts w:ascii="Calibri" w:hAnsi="Calibri" w:cs="Calibri"/>
                <w:color w:val="000000"/>
                <w:sz w:val="18"/>
                <w:szCs w:val="18"/>
              </w:rPr>
              <w:t>10 / 40.6 / 262</w:t>
            </w:r>
          </w:p>
        </w:tc>
        <w:tc>
          <w:tcPr>
            <w:tcW w:w="2126" w:type="dxa"/>
            <w:tcBorders>
              <w:top w:val="nil"/>
              <w:left w:val="nil"/>
              <w:bottom w:val="nil"/>
              <w:right w:val="nil"/>
            </w:tcBorders>
            <w:shd w:val="clear" w:color="auto" w:fill="auto"/>
            <w:vAlign w:val="bottom"/>
          </w:tcPr>
          <w:p w14:paraId="38B6ACBD" w14:textId="7615FACA" w:rsidR="00B93A7F" w:rsidRDefault="00B93A7F" w:rsidP="00A0614E">
            <w:pPr>
              <w:spacing w:after="0"/>
              <w:rPr>
                <w:rFonts w:ascii="Calibri" w:hAnsi="Calibri" w:cs="Calibri"/>
                <w:b/>
                <w:bCs/>
                <w:sz w:val="16"/>
                <w:szCs w:val="16"/>
              </w:rPr>
            </w:pPr>
            <w:r>
              <w:rPr>
                <w:rFonts w:ascii="Calibri" w:hAnsi="Calibri" w:cs="Calibri"/>
                <w:color w:val="000000"/>
                <w:sz w:val="18"/>
                <w:szCs w:val="18"/>
              </w:rPr>
              <w:t>235 / 3177.6 / 12000</w:t>
            </w:r>
          </w:p>
        </w:tc>
      </w:tr>
      <w:tr w:rsidR="00B93A7F" w14:paraId="441B59D2" w14:textId="77777777" w:rsidTr="00B93A7F">
        <w:tc>
          <w:tcPr>
            <w:tcW w:w="1129" w:type="dxa"/>
            <w:tcBorders>
              <w:top w:val="nil"/>
              <w:left w:val="nil"/>
              <w:bottom w:val="nil"/>
              <w:right w:val="nil"/>
            </w:tcBorders>
            <w:vAlign w:val="center"/>
          </w:tcPr>
          <w:p w14:paraId="645BD6BF" w14:textId="03660025" w:rsidR="00B93A7F" w:rsidRDefault="00B93A7F" w:rsidP="00A0614E">
            <w:pPr>
              <w:spacing w:after="0"/>
              <w:rPr>
                <w:lang w:val="en-GB"/>
              </w:rPr>
            </w:pPr>
            <w:r>
              <w:rPr>
                <w:rFonts w:ascii="Calibri" w:eastAsia="Times New Roman" w:hAnsi="Calibri" w:cs="Calibri"/>
                <w:color w:val="000000"/>
                <w:sz w:val="18"/>
                <w:szCs w:val="18"/>
                <w:lang w:val="en-GB" w:eastAsia="en-GB"/>
              </w:rPr>
              <w:t>6.5</w:t>
            </w:r>
          </w:p>
        </w:tc>
        <w:tc>
          <w:tcPr>
            <w:tcW w:w="1560" w:type="dxa"/>
            <w:tcBorders>
              <w:top w:val="nil"/>
              <w:left w:val="nil"/>
              <w:bottom w:val="nil"/>
              <w:right w:val="nil"/>
            </w:tcBorders>
            <w:shd w:val="clear" w:color="auto" w:fill="auto"/>
            <w:vAlign w:val="bottom"/>
          </w:tcPr>
          <w:p w14:paraId="1B2A5E75" w14:textId="5B2C3B6A" w:rsidR="00B93A7F" w:rsidRDefault="00B93A7F" w:rsidP="00A0614E">
            <w:pPr>
              <w:spacing w:after="0"/>
              <w:rPr>
                <w:rFonts w:ascii="Calibri" w:hAnsi="Calibri" w:cs="Calibri"/>
                <w:b/>
                <w:bCs/>
                <w:sz w:val="16"/>
                <w:szCs w:val="16"/>
              </w:rPr>
            </w:pPr>
            <w:r>
              <w:rPr>
                <w:rFonts w:ascii="Calibri" w:hAnsi="Calibri" w:cs="Calibri"/>
                <w:color w:val="000000"/>
                <w:sz w:val="18"/>
                <w:szCs w:val="18"/>
              </w:rPr>
              <w:t>3 / 23.4 / 86.3</w:t>
            </w:r>
          </w:p>
        </w:tc>
        <w:tc>
          <w:tcPr>
            <w:tcW w:w="1701" w:type="dxa"/>
            <w:tcBorders>
              <w:top w:val="nil"/>
              <w:left w:val="nil"/>
              <w:bottom w:val="nil"/>
              <w:right w:val="nil"/>
            </w:tcBorders>
            <w:shd w:val="clear" w:color="auto" w:fill="auto"/>
            <w:vAlign w:val="bottom"/>
          </w:tcPr>
          <w:p w14:paraId="43766101" w14:textId="4AF02893" w:rsidR="00B93A7F" w:rsidRDefault="00B93A7F" w:rsidP="00A0614E">
            <w:pPr>
              <w:spacing w:after="0"/>
              <w:rPr>
                <w:rFonts w:ascii="Calibri" w:hAnsi="Calibri" w:cs="Calibri"/>
                <w:b/>
                <w:bCs/>
                <w:sz w:val="16"/>
                <w:szCs w:val="16"/>
              </w:rPr>
            </w:pPr>
            <w:r>
              <w:rPr>
                <w:rFonts w:ascii="Calibri" w:hAnsi="Calibri" w:cs="Calibri"/>
                <w:color w:val="000000"/>
                <w:sz w:val="18"/>
                <w:szCs w:val="18"/>
              </w:rPr>
              <w:t>21.1 / 43.4 / 70.1</w:t>
            </w:r>
          </w:p>
        </w:tc>
        <w:tc>
          <w:tcPr>
            <w:tcW w:w="1701" w:type="dxa"/>
            <w:tcBorders>
              <w:top w:val="nil"/>
              <w:left w:val="nil"/>
              <w:bottom w:val="nil"/>
              <w:right w:val="nil"/>
            </w:tcBorders>
            <w:shd w:val="clear" w:color="auto" w:fill="auto"/>
            <w:vAlign w:val="bottom"/>
          </w:tcPr>
          <w:p w14:paraId="2F744D8A" w14:textId="7A516BC9" w:rsidR="00B93A7F" w:rsidRDefault="00B93A7F" w:rsidP="00A0614E">
            <w:pPr>
              <w:spacing w:after="0"/>
              <w:rPr>
                <w:rFonts w:ascii="Calibri" w:hAnsi="Calibri" w:cs="Calibri"/>
                <w:b/>
                <w:bCs/>
                <w:sz w:val="16"/>
                <w:szCs w:val="16"/>
              </w:rPr>
            </w:pPr>
            <w:r>
              <w:rPr>
                <w:rFonts w:ascii="Calibri" w:hAnsi="Calibri" w:cs="Calibri"/>
                <w:color w:val="000000"/>
                <w:sz w:val="18"/>
                <w:szCs w:val="18"/>
              </w:rPr>
              <w:t>18 / 40.7 / 100</w:t>
            </w:r>
          </w:p>
        </w:tc>
        <w:tc>
          <w:tcPr>
            <w:tcW w:w="2126" w:type="dxa"/>
            <w:tcBorders>
              <w:top w:val="nil"/>
              <w:left w:val="nil"/>
              <w:bottom w:val="nil"/>
              <w:right w:val="nil"/>
            </w:tcBorders>
            <w:shd w:val="clear" w:color="auto" w:fill="auto"/>
            <w:vAlign w:val="bottom"/>
          </w:tcPr>
          <w:p w14:paraId="1BCF695F" w14:textId="20A0FCCD" w:rsidR="00B93A7F" w:rsidRDefault="00B93A7F" w:rsidP="00A0614E">
            <w:pPr>
              <w:spacing w:after="0"/>
              <w:rPr>
                <w:rFonts w:ascii="Calibri" w:hAnsi="Calibri" w:cs="Calibri"/>
                <w:b/>
                <w:bCs/>
                <w:sz w:val="16"/>
                <w:szCs w:val="16"/>
              </w:rPr>
            </w:pPr>
            <w:r>
              <w:rPr>
                <w:rFonts w:ascii="Calibri" w:hAnsi="Calibri" w:cs="Calibri"/>
                <w:color w:val="000000"/>
                <w:sz w:val="18"/>
                <w:szCs w:val="18"/>
              </w:rPr>
              <w:t>235 / 3048.8 / 12000</w:t>
            </w:r>
          </w:p>
        </w:tc>
      </w:tr>
      <w:tr w:rsidR="00B93A7F" w14:paraId="742F2246" w14:textId="77777777" w:rsidTr="00B93A7F">
        <w:tc>
          <w:tcPr>
            <w:tcW w:w="1129" w:type="dxa"/>
            <w:tcBorders>
              <w:top w:val="nil"/>
              <w:left w:val="nil"/>
              <w:bottom w:val="nil"/>
              <w:right w:val="nil"/>
            </w:tcBorders>
            <w:vAlign w:val="center"/>
          </w:tcPr>
          <w:p w14:paraId="65B0ECAB" w14:textId="7B2044AF" w:rsidR="00B93A7F" w:rsidRDefault="00B93A7F" w:rsidP="00A0614E">
            <w:pPr>
              <w:spacing w:after="0"/>
              <w:rPr>
                <w:lang w:val="en-GB"/>
              </w:rPr>
            </w:pPr>
            <w:r>
              <w:rPr>
                <w:rFonts w:ascii="Calibri" w:eastAsia="Times New Roman" w:hAnsi="Calibri" w:cs="Calibri"/>
                <w:color w:val="000000"/>
                <w:sz w:val="18"/>
                <w:szCs w:val="18"/>
                <w:lang w:val="en-GB" w:eastAsia="en-GB"/>
              </w:rPr>
              <w:t>6.6</w:t>
            </w:r>
          </w:p>
        </w:tc>
        <w:tc>
          <w:tcPr>
            <w:tcW w:w="1560" w:type="dxa"/>
            <w:tcBorders>
              <w:top w:val="nil"/>
              <w:left w:val="nil"/>
              <w:bottom w:val="nil"/>
              <w:right w:val="nil"/>
            </w:tcBorders>
            <w:shd w:val="clear" w:color="auto" w:fill="auto"/>
            <w:vAlign w:val="bottom"/>
          </w:tcPr>
          <w:p w14:paraId="3BCEF40E" w14:textId="6A3960B4" w:rsidR="00B93A7F" w:rsidRDefault="00B93A7F" w:rsidP="00A0614E">
            <w:pPr>
              <w:spacing w:after="0"/>
              <w:rPr>
                <w:rFonts w:ascii="Calibri" w:hAnsi="Calibri" w:cs="Calibri"/>
                <w:b/>
                <w:bCs/>
                <w:sz w:val="16"/>
                <w:szCs w:val="16"/>
              </w:rPr>
            </w:pPr>
            <w:r>
              <w:rPr>
                <w:rFonts w:ascii="Calibri" w:hAnsi="Calibri" w:cs="Calibri"/>
                <w:color w:val="000000"/>
                <w:sz w:val="18"/>
                <w:szCs w:val="18"/>
              </w:rPr>
              <w:t>1 / 23.5 / 86.3</w:t>
            </w:r>
          </w:p>
        </w:tc>
        <w:tc>
          <w:tcPr>
            <w:tcW w:w="1701" w:type="dxa"/>
            <w:tcBorders>
              <w:top w:val="nil"/>
              <w:left w:val="nil"/>
              <w:bottom w:val="nil"/>
              <w:right w:val="nil"/>
            </w:tcBorders>
            <w:shd w:val="clear" w:color="auto" w:fill="auto"/>
            <w:vAlign w:val="bottom"/>
          </w:tcPr>
          <w:p w14:paraId="0D759115" w14:textId="363FC6DD" w:rsidR="00B93A7F" w:rsidRDefault="00B93A7F" w:rsidP="00A0614E">
            <w:pPr>
              <w:spacing w:after="0"/>
              <w:rPr>
                <w:rFonts w:ascii="Calibri" w:hAnsi="Calibri" w:cs="Calibri"/>
                <w:b/>
                <w:bCs/>
                <w:sz w:val="16"/>
                <w:szCs w:val="16"/>
              </w:rPr>
            </w:pPr>
            <w:r>
              <w:rPr>
                <w:rFonts w:ascii="Calibri" w:hAnsi="Calibri" w:cs="Calibri"/>
                <w:color w:val="000000"/>
                <w:sz w:val="18"/>
                <w:szCs w:val="18"/>
              </w:rPr>
              <w:t>0.5 / 43.5 / 70.1</w:t>
            </w:r>
          </w:p>
        </w:tc>
        <w:tc>
          <w:tcPr>
            <w:tcW w:w="1701" w:type="dxa"/>
            <w:tcBorders>
              <w:top w:val="nil"/>
              <w:left w:val="nil"/>
              <w:bottom w:val="nil"/>
              <w:right w:val="nil"/>
            </w:tcBorders>
            <w:shd w:val="clear" w:color="auto" w:fill="auto"/>
            <w:vAlign w:val="bottom"/>
          </w:tcPr>
          <w:p w14:paraId="724B9DDB" w14:textId="47BCCE39" w:rsidR="00B93A7F" w:rsidRDefault="00B93A7F" w:rsidP="00A0614E">
            <w:pPr>
              <w:spacing w:after="0"/>
              <w:rPr>
                <w:rFonts w:ascii="Calibri" w:hAnsi="Calibri" w:cs="Calibri"/>
                <w:b/>
                <w:bCs/>
                <w:sz w:val="16"/>
                <w:szCs w:val="16"/>
              </w:rPr>
            </w:pPr>
            <w:r>
              <w:rPr>
                <w:rFonts w:ascii="Calibri" w:hAnsi="Calibri" w:cs="Calibri"/>
                <w:color w:val="000000"/>
                <w:sz w:val="18"/>
                <w:szCs w:val="18"/>
              </w:rPr>
              <w:t>10 / 44.1 / 262</w:t>
            </w:r>
          </w:p>
        </w:tc>
        <w:tc>
          <w:tcPr>
            <w:tcW w:w="2126" w:type="dxa"/>
            <w:tcBorders>
              <w:top w:val="nil"/>
              <w:left w:val="nil"/>
              <w:bottom w:val="nil"/>
              <w:right w:val="nil"/>
            </w:tcBorders>
            <w:shd w:val="clear" w:color="auto" w:fill="auto"/>
            <w:vAlign w:val="bottom"/>
          </w:tcPr>
          <w:p w14:paraId="59F3C27C" w14:textId="3140348E" w:rsidR="00B93A7F" w:rsidRDefault="00B93A7F" w:rsidP="00A0614E">
            <w:pPr>
              <w:spacing w:after="0"/>
              <w:rPr>
                <w:rFonts w:ascii="Calibri" w:hAnsi="Calibri" w:cs="Calibri"/>
                <w:b/>
                <w:bCs/>
                <w:sz w:val="16"/>
                <w:szCs w:val="16"/>
              </w:rPr>
            </w:pPr>
            <w:r>
              <w:rPr>
                <w:rFonts w:ascii="Calibri" w:hAnsi="Calibri" w:cs="Calibri"/>
                <w:color w:val="000000"/>
                <w:sz w:val="18"/>
                <w:szCs w:val="18"/>
              </w:rPr>
              <w:t>235 / 3390.4 / 12000</w:t>
            </w:r>
          </w:p>
        </w:tc>
      </w:tr>
      <w:tr w:rsidR="00B93A7F" w14:paraId="1B59431F" w14:textId="77777777" w:rsidTr="00B93A7F">
        <w:tc>
          <w:tcPr>
            <w:tcW w:w="1129" w:type="dxa"/>
            <w:tcBorders>
              <w:top w:val="nil"/>
              <w:left w:val="nil"/>
              <w:bottom w:val="nil"/>
              <w:right w:val="nil"/>
            </w:tcBorders>
            <w:vAlign w:val="center"/>
          </w:tcPr>
          <w:p w14:paraId="3CECFA80" w14:textId="1FF7F095" w:rsidR="00B93A7F" w:rsidRDefault="00B93A7F" w:rsidP="00A0614E">
            <w:pPr>
              <w:spacing w:after="0"/>
              <w:rPr>
                <w:lang w:val="en-GB"/>
              </w:rPr>
            </w:pPr>
            <w:r>
              <w:rPr>
                <w:rFonts w:ascii="Calibri" w:eastAsia="Times New Roman" w:hAnsi="Calibri" w:cs="Calibri"/>
                <w:color w:val="000000"/>
                <w:sz w:val="18"/>
                <w:szCs w:val="18"/>
                <w:lang w:val="en-GB" w:eastAsia="en-GB"/>
              </w:rPr>
              <w:t>6.7</w:t>
            </w:r>
          </w:p>
        </w:tc>
        <w:tc>
          <w:tcPr>
            <w:tcW w:w="1560" w:type="dxa"/>
            <w:tcBorders>
              <w:top w:val="nil"/>
              <w:left w:val="nil"/>
              <w:bottom w:val="nil"/>
              <w:right w:val="nil"/>
            </w:tcBorders>
            <w:shd w:val="clear" w:color="auto" w:fill="auto"/>
            <w:vAlign w:val="bottom"/>
          </w:tcPr>
          <w:p w14:paraId="51533FF3" w14:textId="60EEC98A" w:rsidR="00B93A7F" w:rsidRDefault="00B93A7F" w:rsidP="00A0614E">
            <w:pPr>
              <w:spacing w:after="0"/>
              <w:rPr>
                <w:rFonts w:ascii="Calibri" w:hAnsi="Calibri" w:cs="Calibri"/>
                <w:b/>
                <w:bCs/>
                <w:sz w:val="16"/>
                <w:szCs w:val="16"/>
              </w:rPr>
            </w:pPr>
            <w:r>
              <w:rPr>
                <w:rFonts w:ascii="Calibri" w:hAnsi="Calibri" w:cs="Calibri"/>
                <w:color w:val="000000"/>
                <w:sz w:val="18"/>
                <w:szCs w:val="18"/>
              </w:rPr>
              <w:t>3 / 23.8 / 86.3</w:t>
            </w:r>
          </w:p>
        </w:tc>
        <w:tc>
          <w:tcPr>
            <w:tcW w:w="1701" w:type="dxa"/>
            <w:tcBorders>
              <w:top w:val="nil"/>
              <w:left w:val="nil"/>
              <w:bottom w:val="nil"/>
              <w:right w:val="nil"/>
            </w:tcBorders>
            <w:shd w:val="clear" w:color="auto" w:fill="auto"/>
            <w:vAlign w:val="bottom"/>
          </w:tcPr>
          <w:p w14:paraId="01C9350F" w14:textId="43B6B01D" w:rsidR="00B93A7F" w:rsidRDefault="00B93A7F" w:rsidP="00A0614E">
            <w:pPr>
              <w:spacing w:after="0"/>
              <w:rPr>
                <w:rFonts w:ascii="Calibri" w:hAnsi="Calibri" w:cs="Calibri"/>
                <w:b/>
                <w:bCs/>
                <w:sz w:val="16"/>
                <w:szCs w:val="16"/>
              </w:rPr>
            </w:pPr>
            <w:r>
              <w:rPr>
                <w:rFonts w:ascii="Calibri" w:hAnsi="Calibri" w:cs="Calibri"/>
                <w:color w:val="000000"/>
                <w:sz w:val="18"/>
                <w:szCs w:val="18"/>
              </w:rPr>
              <w:t>21.1 / 43.4 / 70.1</w:t>
            </w:r>
          </w:p>
        </w:tc>
        <w:tc>
          <w:tcPr>
            <w:tcW w:w="1701" w:type="dxa"/>
            <w:tcBorders>
              <w:top w:val="nil"/>
              <w:left w:val="nil"/>
              <w:bottom w:val="nil"/>
              <w:right w:val="nil"/>
            </w:tcBorders>
            <w:shd w:val="clear" w:color="auto" w:fill="auto"/>
            <w:vAlign w:val="bottom"/>
          </w:tcPr>
          <w:p w14:paraId="1F052385" w14:textId="528F2179" w:rsidR="00B93A7F" w:rsidRDefault="00B93A7F" w:rsidP="00A0614E">
            <w:pPr>
              <w:spacing w:after="0"/>
              <w:rPr>
                <w:rFonts w:ascii="Calibri" w:hAnsi="Calibri" w:cs="Calibri"/>
                <w:b/>
                <w:bCs/>
                <w:sz w:val="16"/>
                <w:szCs w:val="16"/>
              </w:rPr>
            </w:pPr>
            <w:r>
              <w:rPr>
                <w:rFonts w:ascii="Calibri" w:hAnsi="Calibri" w:cs="Calibri"/>
                <w:color w:val="000000"/>
                <w:sz w:val="18"/>
                <w:szCs w:val="18"/>
              </w:rPr>
              <w:t>22 / 42.8 / 100</w:t>
            </w:r>
          </w:p>
        </w:tc>
        <w:tc>
          <w:tcPr>
            <w:tcW w:w="2126" w:type="dxa"/>
            <w:tcBorders>
              <w:top w:val="nil"/>
              <w:left w:val="nil"/>
              <w:bottom w:val="nil"/>
              <w:right w:val="nil"/>
            </w:tcBorders>
            <w:shd w:val="clear" w:color="auto" w:fill="auto"/>
            <w:vAlign w:val="bottom"/>
          </w:tcPr>
          <w:p w14:paraId="23305919" w14:textId="58041019" w:rsidR="00B93A7F" w:rsidRDefault="00B93A7F" w:rsidP="00A0614E">
            <w:pPr>
              <w:spacing w:after="0"/>
              <w:rPr>
                <w:rFonts w:ascii="Calibri" w:hAnsi="Calibri" w:cs="Calibri"/>
                <w:b/>
                <w:bCs/>
                <w:sz w:val="16"/>
                <w:szCs w:val="16"/>
              </w:rPr>
            </w:pPr>
            <w:r>
              <w:rPr>
                <w:rFonts w:ascii="Calibri" w:hAnsi="Calibri" w:cs="Calibri"/>
                <w:color w:val="000000"/>
                <w:sz w:val="18"/>
                <w:szCs w:val="18"/>
              </w:rPr>
              <w:t>235 / 3229.6 / 12000</w:t>
            </w:r>
          </w:p>
        </w:tc>
      </w:tr>
      <w:tr w:rsidR="00B93A7F" w14:paraId="36A183EB" w14:textId="77777777" w:rsidTr="00B93A7F">
        <w:tc>
          <w:tcPr>
            <w:tcW w:w="1129" w:type="dxa"/>
            <w:tcBorders>
              <w:top w:val="nil"/>
              <w:left w:val="nil"/>
              <w:bottom w:val="single" w:sz="4" w:space="0" w:color="auto"/>
              <w:right w:val="nil"/>
            </w:tcBorders>
            <w:vAlign w:val="center"/>
          </w:tcPr>
          <w:p w14:paraId="04C62D5B" w14:textId="05D55A3A" w:rsidR="00B93A7F" w:rsidRDefault="00B93A7F" w:rsidP="00A0614E">
            <w:pPr>
              <w:spacing w:after="0"/>
              <w:rPr>
                <w:lang w:val="en-GB"/>
              </w:rPr>
            </w:pPr>
            <w:r>
              <w:rPr>
                <w:rFonts w:ascii="Calibri" w:eastAsia="Times New Roman" w:hAnsi="Calibri" w:cs="Calibri"/>
                <w:color w:val="000000"/>
                <w:sz w:val="18"/>
                <w:szCs w:val="18"/>
                <w:lang w:val="en-GB" w:eastAsia="en-GB"/>
              </w:rPr>
              <w:t>6.8</w:t>
            </w:r>
          </w:p>
        </w:tc>
        <w:tc>
          <w:tcPr>
            <w:tcW w:w="1560" w:type="dxa"/>
            <w:tcBorders>
              <w:top w:val="nil"/>
              <w:left w:val="nil"/>
              <w:bottom w:val="single" w:sz="4" w:space="0" w:color="auto"/>
              <w:right w:val="nil"/>
            </w:tcBorders>
            <w:shd w:val="clear" w:color="auto" w:fill="auto"/>
            <w:vAlign w:val="bottom"/>
          </w:tcPr>
          <w:p w14:paraId="17F48F3B" w14:textId="7360250A" w:rsidR="00B93A7F" w:rsidRDefault="00B93A7F" w:rsidP="00A0614E">
            <w:pPr>
              <w:spacing w:after="0"/>
              <w:rPr>
                <w:rFonts w:ascii="Calibri" w:hAnsi="Calibri" w:cs="Calibri"/>
                <w:b/>
                <w:bCs/>
                <w:sz w:val="16"/>
                <w:szCs w:val="16"/>
              </w:rPr>
            </w:pPr>
            <w:r>
              <w:rPr>
                <w:rFonts w:ascii="Calibri" w:hAnsi="Calibri" w:cs="Calibri"/>
                <w:color w:val="000000"/>
                <w:sz w:val="18"/>
                <w:szCs w:val="18"/>
              </w:rPr>
              <w:t>3 / 23 / 86.3</w:t>
            </w:r>
          </w:p>
        </w:tc>
        <w:tc>
          <w:tcPr>
            <w:tcW w:w="1701" w:type="dxa"/>
            <w:tcBorders>
              <w:top w:val="nil"/>
              <w:left w:val="nil"/>
              <w:bottom w:val="single" w:sz="4" w:space="0" w:color="auto"/>
              <w:right w:val="nil"/>
            </w:tcBorders>
            <w:shd w:val="clear" w:color="auto" w:fill="auto"/>
            <w:vAlign w:val="bottom"/>
          </w:tcPr>
          <w:p w14:paraId="1C278435" w14:textId="4A79E6A5" w:rsidR="00B93A7F" w:rsidRDefault="00B93A7F" w:rsidP="00A0614E">
            <w:pPr>
              <w:spacing w:after="0"/>
              <w:rPr>
                <w:rFonts w:ascii="Calibri" w:hAnsi="Calibri" w:cs="Calibri"/>
                <w:b/>
                <w:bCs/>
                <w:sz w:val="16"/>
                <w:szCs w:val="16"/>
              </w:rPr>
            </w:pPr>
            <w:r>
              <w:rPr>
                <w:rFonts w:ascii="Calibri" w:hAnsi="Calibri" w:cs="Calibri"/>
                <w:color w:val="000000"/>
                <w:sz w:val="18"/>
                <w:szCs w:val="18"/>
              </w:rPr>
              <w:t>21.1 / 44.4 / 70.1</w:t>
            </w:r>
          </w:p>
        </w:tc>
        <w:tc>
          <w:tcPr>
            <w:tcW w:w="1701" w:type="dxa"/>
            <w:tcBorders>
              <w:top w:val="nil"/>
              <w:left w:val="nil"/>
              <w:bottom w:val="single" w:sz="4" w:space="0" w:color="auto"/>
              <w:right w:val="nil"/>
            </w:tcBorders>
            <w:shd w:val="clear" w:color="auto" w:fill="auto"/>
            <w:vAlign w:val="bottom"/>
          </w:tcPr>
          <w:p w14:paraId="33079A74" w14:textId="41922514" w:rsidR="00B93A7F" w:rsidRDefault="00B93A7F" w:rsidP="00A0614E">
            <w:pPr>
              <w:spacing w:after="0"/>
              <w:rPr>
                <w:rFonts w:ascii="Calibri" w:hAnsi="Calibri" w:cs="Calibri"/>
                <w:b/>
                <w:bCs/>
                <w:sz w:val="16"/>
                <w:szCs w:val="16"/>
              </w:rPr>
            </w:pPr>
            <w:r>
              <w:rPr>
                <w:rFonts w:ascii="Calibri" w:hAnsi="Calibri" w:cs="Calibri"/>
                <w:color w:val="000000"/>
                <w:sz w:val="18"/>
                <w:szCs w:val="18"/>
              </w:rPr>
              <w:t>18 / 40.7 / 100</w:t>
            </w:r>
          </w:p>
        </w:tc>
        <w:tc>
          <w:tcPr>
            <w:tcW w:w="2126" w:type="dxa"/>
            <w:tcBorders>
              <w:top w:val="nil"/>
              <w:left w:val="nil"/>
              <w:bottom w:val="single" w:sz="4" w:space="0" w:color="auto"/>
              <w:right w:val="nil"/>
            </w:tcBorders>
            <w:shd w:val="clear" w:color="auto" w:fill="auto"/>
            <w:vAlign w:val="bottom"/>
          </w:tcPr>
          <w:p w14:paraId="45BD2CA2" w14:textId="1EA541A4" w:rsidR="00B93A7F" w:rsidRDefault="00B93A7F" w:rsidP="00A0614E">
            <w:pPr>
              <w:spacing w:after="0"/>
              <w:rPr>
                <w:rFonts w:ascii="Calibri" w:hAnsi="Calibri" w:cs="Calibri"/>
                <w:b/>
                <w:bCs/>
                <w:sz w:val="16"/>
                <w:szCs w:val="16"/>
              </w:rPr>
            </w:pPr>
            <w:r>
              <w:rPr>
                <w:rFonts w:ascii="Calibri" w:hAnsi="Calibri" w:cs="Calibri"/>
                <w:color w:val="000000"/>
                <w:sz w:val="18"/>
                <w:szCs w:val="18"/>
              </w:rPr>
              <w:t>235 / 3177.6 / 12000</w:t>
            </w:r>
          </w:p>
        </w:tc>
      </w:tr>
    </w:tbl>
    <w:p w14:paraId="1E14C9EA" w14:textId="77777777" w:rsidR="004725E1" w:rsidRPr="00C462BD" w:rsidRDefault="004725E1" w:rsidP="00AB75C0">
      <w:pPr>
        <w:spacing w:after="0" w:line="240" w:lineRule="auto"/>
        <w:rPr>
          <w:sz w:val="20"/>
          <w:lang w:val="en-GB"/>
        </w:rPr>
      </w:pPr>
    </w:p>
    <w:p w14:paraId="72728AA4" w14:textId="4F4C196D" w:rsidR="00682A33" w:rsidRPr="00C462BD" w:rsidRDefault="00682A33" w:rsidP="00AB75C0">
      <w:pPr>
        <w:spacing w:after="0" w:line="240" w:lineRule="auto"/>
        <w:rPr>
          <w:sz w:val="20"/>
          <w:lang w:val="en-GB"/>
        </w:rPr>
      </w:pPr>
      <w:r w:rsidRPr="00C462BD">
        <w:rPr>
          <w:sz w:val="20"/>
          <w:lang w:val="en-GB"/>
        </w:rPr>
        <w:t>If leaf mass was determined as the response variable, it was then divided by the calculated SLA</w:t>
      </w:r>
      <w:r w:rsidR="002A094F" w:rsidRPr="00C462BD">
        <w:rPr>
          <w:sz w:val="20"/>
          <w:lang w:val="en-GB"/>
        </w:rPr>
        <w:t xml:space="preserve"> (m</w:t>
      </w:r>
      <w:r w:rsidR="002A094F" w:rsidRPr="00C462BD">
        <w:rPr>
          <w:sz w:val="20"/>
          <w:vertAlign w:val="superscript"/>
          <w:lang w:val="en-GB"/>
        </w:rPr>
        <w:t>2</w:t>
      </w:r>
      <w:r w:rsidR="00751C5F" w:rsidRPr="00C462BD">
        <w:rPr>
          <w:sz w:val="20"/>
          <w:lang w:val="en-GB"/>
        </w:rPr>
        <w:t> </w:t>
      </w:r>
      <w:r w:rsidR="002A094F" w:rsidRPr="00C462BD">
        <w:rPr>
          <w:sz w:val="20"/>
          <w:lang w:val="en-GB"/>
        </w:rPr>
        <w:t>kg</w:t>
      </w:r>
      <w:r w:rsidR="002A094F" w:rsidRPr="00C462BD">
        <w:rPr>
          <w:sz w:val="20"/>
          <w:vertAlign w:val="superscript"/>
          <w:lang w:val="en-GB"/>
        </w:rPr>
        <w:t>-1</w:t>
      </w:r>
      <w:r w:rsidR="002A094F" w:rsidRPr="00C462BD">
        <w:rPr>
          <w:sz w:val="20"/>
          <w:lang w:val="en-GB"/>
        </w:rPr>
        <w:t>)</w:t>
      </w:r>
      <w:r w:rsidRPr="00C462BD">
        <w:rPr>
          <w:sz w:val="20"/>
          <w:lang w:val="en-GB"/>
        </w:rPr>
        <w:t>.</w:t>
      </w:r>
    </w:p>
    <w:p w14:paraId="51774DD5" w14:textId="7827D43A" w:rsidR="00682A33" w:rsidRPr="00C462BD" w:rsidRDefault="00682A33" w:rsidP="00AB75C0">
      <w:pPr>
        <w:spacing w:after="0" w:line="240" w:lineRule="auto"/>
        <w:rPr>
          <w:sz w:val="20"/>
          <w:lang w:val="en-GB"/>
        </w:rPr>
      </w:pPr>
    </w:p>
    <w:p w14:paraId="1217F06A" w14:textId="77777777" w:rsidR="0094359D" w:rsidRDefault="0094359D" w:rsidP="008B3EF5">
      <w:pPr>
        <w:spacing w:line="240" w:lineRule="auto"/>
        <w:rPr>
          <w:rFonts w:cstheme="minorHAnsi"/>
          <w:b/>
          <w:lang w:val="en-GB"/>
        </w:rPr>
      </w:pPr>
    </w:p>
    <w:p w14:paraId="26E7211B" w14:textId="77777777" w:rsidR="0094359D" w:rsidRDefault="0094359D" w:rsidP="008B3EF5">
      <w:pPr>
        <w:spacing w:line="240" w:lineRule="auto"/>
        <w:rPr>
          <w:rFonts w:cstheme="minorHAnsi"/>
          <w:b/>
          <w:lang w:val="en-GB"/>
        </w:rPr>
      </w:pPr>
    </w:p>
    <w:p w14:paraId="2B05BF04" w14:textId="3B6EDB7D" w:rsidR="002A094F" w:rsidRDefault="002A094F" w:rsidP="008B3EF5">
      <w:pPr>
        <w:spacing w:line="240" w:lineRule="auto"/>
        <w:rPr>
          <w:rFonts w:cstheme="minorHAnsi"/>
          <w:b/>
          <w:lang w:val="en-GB"/>
        </w:rPr>
      </w:pPr>
      <w:r>
        <w:rPr>
          <w:rFonts w:cstheme="minorHAnsi"/>
          <w:b/>
          <w:lang w:val="en-GB"/>
        </w:rPr>
        <w:lastRenderedPageBreak/>
        <w:t>Specific</w:t>
      </w:r>
      <w:r w:rsidRPr="00735E3A">
        <w:rPr>
          <w:rFonts w:cstheme="minorHAnsi"/>
          <w:b/>
          <w:lang w:val="en-GB"/>
        </w:rPr>
        <w:t xml:space="preserve"> leaf area equations</w:t>
      </w:r>
    </w:p>
    <w:p w14:paraId="33A13F71" w14:textId="76CDB233" w:rsidR="00AB75C0" w:rsidRPr="00C462BD" w:rsidRDefault="003B2571" w:rsidP="00C462BD">
      <w:pPr>
        <w:rPr>
          <w:rFonts w:ascii="Times New Roman" w:hAnsi="Times New Roman"/>
          <w:sz w:val="20"/>
          <w:szCs w:val="20"/>
          <w:lang w:val="en-GB"/>
        </w:rPr>
      </w:pPr>
      <w:r w:rsidRPr="00C462BD">
        <w:rPr>
          <w:sz w:val="20"/>
          <w:szCs w:val="20"/>
          <w:lang w:val="en-GB"/>
        </w:rPr>
        <w:t>For the calculation of the SLA, we used the parameters from</w:t>
      </w:r>
      <w:r w:rsidR="008B3EF5" w:rsidRPr="00C462BD">
        <w:rPr>
          <w:sz w:val="20"/>
          <w:szCs w:val="20"/>
          <w:lang w:val="en-GB"/>
        </w:rPr>
        <w:t xml:space="preserve"> </w:t>
      </w:r>
      <w:r w:rsidR="008B3EF5" w:rsidRPr="00C462BD">
        <w:rPr>
          <w:noProof/>
          <w:sz w:val="20"/>
          <w:szCs w:val="20"/>
          <w:lang w:val="en-GB"/>
        </w:rPr>
        <w:t>Forrester et al.</w:t>
      </w:r>
      <w:r w:rsidR="00F41B4D" w:rsidRPr="00C462BD">
        <w:rPr>
          <w:noProof/>
          <w:sz w:val="20"/>
          <w:szCs w:val="20"/>
          <w:lang w:val="en-GB"/>
        </w:rPr>
        <w:t xml:space="preserve"> </w:t>
      </w:r>
      <w:r w:rsidR="008B3EF5" w:rsidRPr="00C462BD">
        <w:rPr>
          <w:noProof/>
          <w:sz w:val="20"/>
          <w:szCs w:val="20"/>
          <w:lang w:val="en-GB"/>
        </w:rPr>
        <w:t>(</w:t>
      </w:r>
      <w:r w:rsidR="00F41B4D" w:rsidRPr="00C462BD">
        <w:rPr>
          <w:noProof/>
          <w:sz w:val="20"/>
          <w:szCs w:val="20"/>
          <w:lang w:val="en-GB"/>
        </w:rPr>
        <w:t>2017c)</w:t>
      </w:r>
      <w:r w:rsidRPr="00C462BD">
        <w:rPr>
          <w:sz w:val="20"/>
          <w:szCs w:val="20"/>
          <w:lang w:val="en-GB"/>
        </w:rPr>
        <w:t>. The resulting two equations were:</w:t>
      </w:r>
    </w:p>
    <w:p w14:paraId="4AA7D82D" w14:textId="6C2A6F3B" w:rsidR="00AB75C0" w:rsidRPr="00C462BD" w:rsidRDefault="00AB75C0" w:rsidP="006548BC">
      <w:pPr>
        <w:spacing w:line="240" w:lineRule="auto"/>
        <w:rPr>
          <w:sz w:val="20"/>
          <w:szCs w:val="20"/>
          <w:lang w:val="en-GB"/>
        </w:rPr>
      </w:pPr>
      <w:r w:rsidRPr="00C462BD">
        <w:rPr>
          <w:rFonts w:ascii="Cambria Math" w:hAnsi="Cambria Math" w:cs="Cambria Math"/>
          <w:sz w:val="20"/>
          <w:szCs w:val="20"/>
          <w:lang w:val="en-GB"/>
        </w:rPr>
        <w:t>𝑆𝐿𝐴</w:t>
      </w:r>
      <w:r w:rsidRPr="00C462BD">
        <w:rPr>
          <w:rFonts w:ascii="Cambria Math" w:hAnsi="Cambria Math" w:cs="Cambria Math"/>
          <w:sz w:val="20"/>
          <w:szCs w:val="20"/>
          <w:vertAlign w:val="subscript"/>
          <w:lang w:val="en-GB"/>
        </w:rPr>
        <w:t>𝐹</w:t>
      </w:r>
      <w:r w:rsidRPr="00C462BD">
        <w:rPr>
          <w:sz w:val="20"/>
          <w:szCs w:val="20"/>
          <w:vertAlign w:val="subscript"/>
          <w:lang w:val="en-GB"/>
        </w:rPr>
        <w:t>.</w:t>
      </w:r>
      <w:r w:rsidRPr="00C462BD">
        <w:rPr>
          <w:rFonts w:ascii="Cambria Math" w:hAnsi="Cambria Math" w:cs="Cambria Math"/>
          <w:sz w:val="20"/>
          <w:szCs w:val="20"/>
          <w:vertAlign w:val="subscript"/>
          <w:lang w:val="en-GB"/>
        </w:rPr>
        <w:t>𝑠𝑦𝑙𝑣𝑎𝑡𝑖𝑐𝑎</w:t>
      </w:r>
      <w:r w:rsidRPr="00C462BD">
        <w:rPr>
          <w:sz w:val="20"/>
          <w:szCs w:val="20"/>
          <w:vertAlign w:val="subscript"/>
          <w:lang w:val="en-GB"/>
        </w:rPr>
        <w:t xml:space="preserve"> </w:t>
      </w:r>
      <w:r w:rsidRPr="00C462BD">
        <w:rPr>
          <w:sz w:val="20"/>
          <w:szCs w:val="20"/>
          <w:lang w:val="en-GB"/>
        </w:rPr>
        <w:t>= 19.4 + (24.72 − 19.4</w:t>
      </w:r>
      <w:proofErr w:type="gramStart"/>
      <w:r w:rsidRPr="00C462BD">
        <w:rPr>
          <w:sz w:val="20"/>
          <w:szCs w:val="20"/>
          <w:lang w:val="en-GB"/>
        </w:rPr>
        <w:t>)</w:t>
      </w:r>
      <w:r w:rsidRPr="00C462BD">
        <w:rPr>
          <w:sz w:val="20"/>
          <w:szCs w:val="20"/>
          <w:vertAlign w:val="superscript"/>
          <w:lang w:val="en-GB"/>
        </w:rPr>
        <w:t>−</w:t>
      </w:r>
      <w:proofErr w:type="gramEnd"/>
      <w:r w:rsidRPr="00C462BD">
        <w:rPr>
          <w:sz w:val="20"/>
          <w:szCs w:val="20"/>
          <w:vertAlign w:val="superscript"/>
          <w:lang w:val="en-GB"/>
        </w:rPr>
        <w:t>(ln 2)</w:t>
      </w:r>
      <w:r w:rsidRPr="00C462BD">
        <w:rPr>
          <w:rFonts w:ascii="Cambria Math" w:hAnsi="Cambria Math" w:cs="Cambria Math"/>
          <w:sz w:val="20"/>
          <w:szCs w:val="20"/>
          <w:vertAlign w:val="superscript"/>
          <w:lang w:val="en-GB"/>
        </w:rPr>
        <w:t>∗</w:t>
      </w:r>
      <w:r w:rsidRPr="00C462BD">
        <w:rPr>
          <w:sz w:val="20"/>
          <w:szCs w:val="20"/>
          <w:vertAlign w:val="superscript"/>
          <w:lang w:val="en-GB"/>
        </w:rPr>
        <w:t>(</w:t>
      </w:r>
      <w:r w:rsidRPr="00C462BD">
        <w:rPr>
          <w:rFonts w:ascii="Cambria Math" w:hAnsi="Cambria Math" w:cs="Cambria Math"/>
          <w:sz w:val="20"/>
          <w:szCs w:val="20"/>
          <w:vertAlign w:val="superscript"/>
          <w:lang w:val="en-GB"/>
        </w:rPr>
        <w:t>𝐴𝑔𝑒</w:t>
      </w:r>
      <w:r w:rsidRPr="00C462BD">
        <w:rPr>
          <w:sz w:val="20"/>
          <w:szCs w:val="20"/>
          <w:vertAlign w:val="superscript"/>
          <w:lang w:val="en-GB"/>
        </w:rPr>
        <w:t>/35)²</w:t>
      </w:r>
      <w:r w:rsidR="006548BC" w:rsidRPr="00C462BD">
        <w:rPr>
          <w:sz w:val="20"/>
          <w:szCs w:val="20"/>
          <w:vertAlign w:val="superscript"/>
          <w:lang w:val="en-GB"/>
        </w:rPr>
        <w:tab/>
      </w:r>
      <w:r w:rsidR="006548BC" w:rsidRPr="00C462BD">
        <w:rPr>
          <w:sz w:val="20"/>
          <w:szCs w:val="20"/>
          <w:vertAlign w:val="superscript"/>
          <w:lang w:val="en-GB"/>
        </w:rPr>
        <w:tab/>
      </w:r>
      <w:r w:rsidR="006548BC" w:rsidRPr="00C462BD">
        <w:rPr>
          <w:sz w:val="20"/>
          <w:szCs w:val="20"/>
          <w:vertAlign w:val="superscript"/>
          <w:lang w:val="en-GB"/>
        </w:rPr>
        <w:tab/>
      </w:r>
      <w:r w:rsidR="006548BC" w:rsidRPr="00C462BD">
        <w:rPr>
          <w:sz w:val="20"/>
          <w:szCs w:val="20"/>
          <w:vertAlign w:val="superscript"/>
          <w:lang w:val="en-GB"/>
        </w:rPr>
        <w:tab/>
      </w:r>
      <w:r w:rsidR="006548BC" w:rsidRPr="00C462BD">
        <w:rPr>
          <w:sz w:val="20"/>
          <w:szCs w:val="20"/>
          <w:vertAlign w:val="superscript"/>
          <w:lang w:val="en-GB"/>
        </w:rPr>
        <w:tab/>
      </w:r>
      <w:r w:rsidR="006E60DB">
        <w:rPr>
          <w:sz w:val="20"/>
          <w:szCs w:val="20"/>
          <w:vertAlign w:val="superscript"/>
          <w:lang w:val="en-GB"/>
        </w:rPr>
        <w:tab/>
      </w:r>
      <w:r w:rsidR="006548BC" w:rsidRPr="00C462BD">
        <w:rPr>
          <w:sz w:val="20"/>
          <w:szCs w:val="20"/>
          <w:vertAlign w:val="superscript"/>
          <w:lang w:val="en-GB"/>
        </w:rPr>
        <w:tab/>
      </w:r>
      <w:r w:rsidR="00FC0FAC" w:rsidRPr="00C462BD">
        <w:rPr>
          <w:rFonts w:cstheme="minorHAnsi"/>
          <w:sz w:val="20"/>
          <w:szCs w:val="20"/>
        </w:rPr>
        <w:t>(</w:t>
      </w:r>
      <w:r w:rsidR="006548BC" w:rsidRPr="00C462BD">
        <w:rPr>
          <w:rFonts w:cstheme="minorHAnsi"/>
          <w:sz w:val="20"/>
          <w:szCs w:val="20"/>
        </w:rPr>
        <w:t>A1)</w:t>
      </w:r>
    </w:p>
    <w:p w14:paraId="0BF9DC7B" w14:textId="648661AC" w:rsidR="00AB75C0" w:rsidRPr="00C462BD" w:rsidRDefault="00AB75C0" w:rsidP="006548BC">
      <w:pPr>
        <w:spacing w:line="240" w:lineRule="auto"/>
        <w:rPr>
          <w:sz w:val="20"/>
          <w:szCs w:val="20"/>
          <w:lang w:val="en-GB"/>
        </w:rPr>
      </w:pPr>
      <w:r w:rsidRPr="00C462BD">
        <w:rPr>
          <w:rFonts w:ascii="Cambria Math" w:hAnsi="Cambria Math" w:cs="Cambria Math"/>
          <w:sz w:val="20"/>
          <w:szCs w:val="20"/>
          <w:lang w:val="en-GB"/>
        </w:rPr>
        <w:t>𝑆𝐿𝐴</w:t>
      </w:r>
      <w:r w:rsidRPr="00C462BD">
        <w:rPr>
          <w:rFonts w:ascii="Cambria Math" w:hAnsi="Cambria Math" w:cs="Cambria Math"/>
          <w:sz w:val="20"/>
          <w:szCs w:val="20"/>
          <w:vertAlign w:val="subscript"/>
          <w:lang w:val="en-GB"/>
        </w:rPr>
        <w:t>𝑃</w:t>
      </w:r>
      <w:r w:rsidRPr="00C462BD">
        <w:rPr>
          <w:sz w:val="20"/>
          <w:szCs w:val="20"/>
          <w:vertAlign w:val="subscript"/>
          <w:lang w:val="en-GB"/>
        </w:rPr>
        <w:t>.</w:t>
      </w:r>
      <w:r w:rsidRPr="00C462BD">
        <w:rPr>
          <w:rFonts w:ascii="Cambria Math" w:hAnsi="Cambria Math" w:cs="Cambria Math"/>
          <w:sz w:val="20"/>
          <w:szCs w:val="20"/>
          <w:vertAlign w:val="subscript"/>
          <w:lang w:val="en-GB"/>
        </w:rPr>
        <w:t>𝑚𝑒𝑛𝑧𝑖𝑒𝑠𝑖𝑖</w:t>
      </w:r>
      <w:r w:rsidRPr="00C462BD">
        <w:rPr>
          <w:sz w:val="20"/>
          <w:szCs w:val="20"/>
          <w:vertAlign w:val="subscript"/>
          <w:lang w:val="en-GB"/>
        </w:rPr>
        <w:t xml:space="preserve"> </w:t>
      </w:r>
      <w:r w:rsidRPr="00C462BD">
        <w:rPr>
          <w:sz w:val="20"/>
          <w:szCs w:val="20"/>
          <w:lang w:val="en-GB"/>
        </w:rPr>
        <w:t>= 5 + (6.56 − 5</w:t>
      </w:r>
      <w:proofErr w:type="gramStart"/>
      <w:r w:rsidRPr="00C462BD">
        <w:rPr>
          <w:sz w:val="20"/>
          <w:szCs w:val="20"/>
          <w:lang w:val="en-GB"/>
        </w:rPr>
        <w:t>)</w:t>
      </w:r>
      <w:r w:rsidRPr="00C462BD">
        <w:rPr>
          <w:sz w:val="20"/>
          <w:szCs w:val="20"/>
          <w:vertAlign w:val="superscript"/>
          <w:lang w:val="en-GB"/>
        </w:rPr>
        <w:t>−</w:t>
      </w:r>
      <w:proofErr w:type="gramEnd"/>
      <w:r w:rsidRPr="00C462BD">
        <w:rPr>
          <w:sz w:val="20"/>
          <w:szCs w:val="20"/>
          <w:vertAlign w:val="superscript"/>
          <w:lang w:val="en-GB"/>
        </w:rPr>
        <w:t>(ln 2)</w:t>
      </w:r>
      <w:r w:rsidRPr="00C462BD">
        <w:rPr>
          <w:rFonts w:ascii="Cambria Math" w:hAnsi="Cambria Math" w:cs="Cambria Math"/>
          <w:sz w:val="20"/>
          <w:szCs w:val="20"/>
          <w:vertAlign w:val="superscript"/>
          <w:lang w:val="en-GB"/>
        </w:rPr>
        <w:t>∗</w:t>
      </w:r>
      <w:r w:rsidRPr="00C462BD">
        <w:rPr>
          <w:sz w:val="20"/>
          <w:szCs w:val="20"/>
          <w:vertAlign w:val="superscript"/>
          <w:lang w:val="en-GB"/>
        </w:rPr>
        <w:t>(</w:t>
      </w:r>
      <w:r w:rsidRPr="00C462BD">
        <w:rPr>
          <w:rFonts w:ascii="Cambria Math" w:hAnsi="Cambria Math" w:cs="Cambria Math"/>
          <w:sz w:val="20"/>
          <w:szCs w:val="20"/>
          <w:vertAlign w:val="superscript"/>
          <w:lang w:val="en-GB"/>
        </w:rPr>
        <w:t>𝐴𝑔𝑒</w:t>
      </w:r>
      <w:r w:rsidRPr="00C462BD">
        <w:rPr>
          <w:sz w:val="20"/>
          <w:szCs w:val="20"/>
          <w:vertAlign w:val="superscript"/>
          <w:lang w:val="en-GB"/>
        </w:rPr>
        <w:t>/44.7)²</w:t>
      </w:r>
      <w:r w:rsidR="006548BC" w:rsidRPr="00C462BD">
        <w:rPr>
          <w:rFonts w:cstheme="minorHAnsi"/>
          <w:sz w:val="20"/>
          <w:szCs w:val="20"/>
        </w:rPr>
        <w:tab/>
      </w:r>
      <w:r w:rsidR="006548BC" w:rsidRPr="00C462BD">
        <w:rPr>
          <w:rFonts w:cstheme="minorHAnsi"/>
          <w:sz w:val="20"/>
          <w:szCs w:val="20"/>
        </w:rPr>
        <w:tab/>
      </w:r>
      <w:r w:rsidR="006548BC" w:rsidRPr="00C462BD">
        <w:rPr>
          <w:rFonts w:cstheme="minorHAnsi"/>
          <w:sz w:val="20"/>
          <w:szCs w:val="20"/>
        </w:rPr>
        <w:tab/>
      </w:r>
      <w:r w:rsidR="006548BC" w:rsidRPr="00C462BD">
        <w:rPr>
          <w:rFonts w:cstheme="minorHAnsi"/>
          <w:sz w:val="20"/>
          <w:szCs w:val="20"/>
        </w:rPr>
        <w:tab/>
      </w:r>
      <w:r w:rsidR="006548BC" w:rsidRPr="00C462BD">
        <w:rPr>
          <w:rFonts w:cstheme="minorHAnsi"/>
          <w:sz w:val="20"/>
          <w:szCs w:val="20"/>
        </w:rPr>
        <w:tab/>
      </w:r>
      <w:r w:rsidR="006548BC" w:rsidRPr="00C462BD">
        <w:rPr>
          <w:rFonts w:cstheme="minorHAnsi"/>
          <w:sz w:val="20"/>
          <w:szCs w:val="20"/>
        </w:rPr>
        <w:tab/>
      </w:r>
      <w:r w:rsidR="006E60DB">
        <w:rPr>
          <w:rFonts w:cstheme="minorHAnsi"/>
          <w:sz w:val="20"/>
          <w:szCs w:val="20"/>
        </w:rPr>
        <w:tab/>
      </w:r>
      <w:r w:rsidR="006E60DB">
        <w:rPr>
          <w:rFonts w:cstheme="minorHAnsi"/>
          <w:sz w:val="20"/>
          <w:szCs w:val="20"/>
        </w:rPr>
        <w:tab/>
      </w:r>
      <w:r w:rsidR="00FC0FAC" w:rsidRPr="00C462BD">
        <w:rPr>
          <w:rFonts w:cstheme="minorHAnsi"/>
          <w:sz w:val="20"/>
          <w:szCs w:val="20"/>
        </w:rPr>
        <w:t>(</w:t>
      </w:r>
      <w:r w:rsidR="006548BC" w:rsidRPr="00C462BD">
        <w:rPr>
          <w:rFonts w:cstheme="minorHAnsi"/>
          <w:sz w:val="20"/>
          <w:szCs w:val="20"/>
        </w:rPr>
        <w:t>A2)</w:t>
      </w:r>
    </w:p>
    <w:p w14:paraId="4CE7411E" w14:textId="77777777" w:rsidR="008B3EF5" w:rsidRPr="00BB1495" w:rsidRDefault="008B3EF5" w:rsidP="00BB1495">
      <w:pPr>
        <w:rPr>
          <w:sz w:val="20"/>
          <w:szCs w:val="20"/>
          <w:lang w:val="en-GB"/>
        </w:rPr>
      </w:pPr>
    </w:p>
    <w:p w14:paraId="029F85B5" w14:textId="72CEF5EA" w:rsidR="003453AB" w:rsidRPr="00BB1495" w:rsidRDefault="003453AB" w:rsidP="00BB1495">
      <w:pPr>
        <w:rPr>
          <w:rFonts w:cstheme="minorHAnsi"/>
          <w:b/>
          <w:szCs w:val="20"/>
        </w:rPr>
      </w:pPr>
      <w:r w:rsidRPr="00BB1495">
        <w:rPr>
          <w:rFonts w:cstheme="minorHAnsi"/>
          <w:b/>
          <w:szCs w:val="20"/>
        </w:rPr>
        <w:t>Parameterisation of the M</w:t>
      </w:r>
      <w:r w:rsidR="0066718A">
        <w:rPr>
          <w:rFonts w:cstheme="minorHAnsi"/>
          <w:b/>
          <w:szCs w:val="20"/>
        </w:rPr>
        <w:t>AESTRA</w:t>
      </w:r>
      <w:r w:rsidRPr="00BB1495">
        <w:rPr>
          <w:rFonts w:cstheme="minorHAnsi"/>
          <w:b/>
          <w:szCs w:val="20"/>
        </w:rPr>
        <w:t xml:space="preserve"> model</w:t>
      </w:r>
    </w:p>
    <w:p w14:paraId="4B663360" w14:textId="267B8D5F" w:rsidR="003453AB" w:rsidRPr="00BB1495" w:rsidRDefault="0066718A" w:rsidP="00BB1495">
      <w:pPr>
        <w:rPr>
          <w:rFonts w:cstheme="minorHAnsi"/>
          <w:sz w:val="20"/>
          <w:szCs w:val="20"/>
        </w:rPr>
      </w:pPr>
      <w:r w:rsidRPr="00DC783C">
        <w:rPr>
          <w:sz w:val="20"/>
          <w:lang w:val="en-GB"/>
        </w:rPr>
        <w:t xml:space="preserve">MAESTRA </w:t>
      </w:r>
      <w:r w:rsidR="003453AB" w:rsidRPr="00BB1495">
        <w:rPr>
          <w:rFonts w:cstheme="minorHAnsi"/>
          <w:sz w:val="20"/>
          <w:szCs w:val="20"/>
        </w:rPr>
        <w:t>requires parameters that describe the vertical and horizontal leaf-area density distribution (LAD; leaf area per crown volume, m</w:t>
      </w:r>
      <w:r w:rsidR="003453AB" w:rsidRPr="00BB1495">
        <w:rPr>
          <w:rFonts w:cstheme="minorHAnsi"/>
          <w:sz w:val="20"/>
          <w:szCs w:val="20"/>
          <w:vertAlign w:val="superscript"/>
        </w:rPr>
        <w:t>2</w:t>
      </w:r>
      <w:r w:rsidR="0054463A" w:rsidRPr="00BB1495">
        <w:rPr>
          <w:rFonts w:cstheme="minorHAnsi"/>
          <w:sz w:val="20"/>
          <w:szCs w:val="20"/>
        </w:rPr>
        <w:t> </w:t>
      </w:r>
      <w:r w:rsidR="003453AB" w:rsidRPr="00BB1495">
        <w:rPr>
          <w:rFonts w:cstheme="minorHAnsi"/>
          <w:sz w:val="20"/>
          <w:szCs w:val="20"/>
        </w:rPr>
        <w:t>m</w:t>
      </w:r>
      <w:r w:rsidR="003453AB" w:rsidRPr="00BB1495">
        <w:rPr>
          <w:rFonts w:cstheme="minorHAnsi"/>
          <w:sz w:val="20"/>
          <w:szCs w:val="20"/>
          <w:vertAlign w:val="superscript"/>
        </w:rPr>
        <w:t>-3</w:t>
      </w:r>
      <w:r w:rsidR="003453AB" w:rsidRPr="00BB1495">
        <w:rPr>
          <w:rFonts w:cstheme="minorHAnsi"/>
          <w:sz w:val="20"/>
          <w:szCs w:val="20"/>
        </w:rPr>
        <w:t>). In this study, the horizontal leaf-area density distribution was assumed to be uniform. The vertical LAD at a given height within a tree crown is described using a 3-parameter beta function of relative crown height (</w:t>
      </w:r>
      <w:proofErr w:type="spellStart"/>
      <w:r w:rsidR="003453AB" w:rsidRPr="00BB1495">
        <w:rPr>
          <w:rFonts w:cstheme="minorHAnsi"/>
          <w:i/>
          <w:sz w:val="20"/>
          <w:szCs w:val="20"/>
        </w:rPr>
        <w:t>h</w:t>
      </w:r>
      <w:r w:rsidR="003453AB" w:rsidRPr="00BB1495">
        <w:rPr>
          <w:rFonts w:cstheme="minorHAnsi"/>
          <w:i/>
          <w:sz w:val="20"/>
          <w:szCs w:val="20"/>
          <w:vertAlign w:val="subscript"/>
        </w:rPr>
        <w:t>rel</w:t>
      </w:r>
      <w:proofErr w:type="spellEnd"/>
      <w:r w:rsidR="003453AB" w:rsidRPr="00BB1495">
        <w:rPr>
          <w:rFonts w:cstheme="minorHAnsi"/>
          <w:sz w:val="20"/>
          <w:szCs w:val="20"/>
        </w:rPr>
        <w:t xml:space="preserve">), where 0 is the height of the lowest branch and 1 is tree height </w:t>
      </w:r>
      <w:r w:rsidR="003C33DE" w:rsidRPr="00BB1495">
        <w:rPr>
          <w:rFonts w:cstheme="minorHAnsi"/>
          <w:noProof/>
          <w:sz w:val="20"/>
          <w:szCs w:val="20"/>
        </w:rPr>
        <w:t>(Eq. A</w:t>
      </w:r>
      <w:r w:rsidR="006548BC" w:rsidRPr="00BB1495">
        <w:rPr>
          <w:rFonts w:cstheme="minorHAnsi"/>
          <w:noProof/>
          <w:sz w:val="20"/>
          <w:szCs w:val="20"/>
        </w:rPr>
        <w:t>3</w:t>
      </w:r>
      <w:r w:rsidR="003C33DE" w:rsidRPr="00BB1495">
        <w:rPr>
          <w:rFonts w:cstheme="minorHAnsi"/>
          <w:noProof/>
          <w:sz w:val="20"/>
          <w:szCs w:val="20"/>
        </w:rPr>
        <w:t>; Wang et al., 1990)</w:t>
      </w:r>
      <w:r w:rsidR="00E264B1" w:rsidRPr="00BB1495">
        <w:rPr>
          <w:rFonts w:cstheme="minorHAnsi"/>
          <w:sz w:val="20"/>
          <w:szCs w:val="20"/>
        </w:rPr>
        <w:t>.</w:t>
      </w:r>
    </w:p>
    <w:p w14:paraId="2ACDC7B0" w14:textId="3602727C" w:rsidR="003453AB" w:rsidRPr="00BB1495" w:rsidRDefault="003453AB" w:rsidP="00BB1495">
      <w:pPr>
        <w:ind w:left="2124" w:firstLine="708"/>
        <w:rPr>
          <w:rFonts w:cstheme="minorHAnsi"/>
          <w:sz w:val="20"/>
          <w:szCs w:val="20"/>
        </w:rPr>
      </w:pPr>
      <w:proofErr w:type="spellStart"/>
      <w:r w:rsidRPr="00BB1495">
        <w:rPr>
          <w:rFonts w:cstheme="minorHAnsi"/>
          <w:sz w:val="20"/>
          <w:szCs w:val="20"/>
        </w:rPr>
        <w:t>LAD</w:t>
      </w:r>
      <w:r w:rsidRPr="00BB1495">
        <w:rPr>
          <w:rFonts w:cstheme="minorHAnsi"/>
          <w:i/>
          <w:sz w:val="20"/>
          <w:szCs w:val="20"/>
          <w:vertAlign w:val="subscript"/>
        </w:rPr>
        <w:t>hrel</w:t>
      </w:r>
      <w:proofErr w:type="spellEnd"/>
      <w:r w:rsidRPr="00BB1495">
        <w:rPr>
          <w:rFonts w:cstheme="minorHAnsi"/>
          <w:sz w:val="20"/>
          <w:szCs w:val="20"/>
        </w:rPr>
        <w:t xml:space="preserve"> </w:t>
      </w:r>
      <w:r w:rsidR="00751C5F" w:rsidRPr="00BB1495">
        <w:rPr>
          <w:rFonts w:cstheme="minorHAnsi"/>
          <w:sz w:val="20"/>
          <w:szCs w:val="20"/>
        </w:rPr>
        <w:t>=</w:t>
      </w:r>
      <w:r w:rsidRPr="00BB1495">
        <w:rPr>
          <w:rFonts w:cstheme="minorHAnsi"/>
          <w:sz w:val="20"/>
          <w:szCs w:val="20"/>
        </w:rPr>
        <w:t xml:space="preserve"> a </w:t>
      </w:r>
      <w:proofErr w:type="spellStart"/>
      <w:r w:rsidRPr="00BB1495">
        <w:rPr>
          <w:rFonts w:cstheme="minorHAnsi"/>
          <w:i/>
          <w:sz w:val="20"/>
          <w:szCs w:val="20"/>
        </w:rPr>
        <w:t>h</w:t>
      </w:r>
      <w:r w:rsidRPr="00BB1495">
        <w:rPr>
          <w:rFonts w:cstheme="minorHAnsi"/>
          <w:i/>
          <w:sz w:val="20"/>
          <w:szCs w:val="20"/>
          <w:vertAlign w:val="subscript"/>
        </w:rPr>
        <w:t>rel</w:t>
      </w:r>
      <w:proofErr w:type="spellEnd"/>
      <w:r w:rsidR="00751C5F" w:rsidRPr="00BB1495">
        <w:rPr>
          <w:rFonts w:cstheme="minorHAnsi"/>
          <w:sz w:val="20"/>
          <w:szCs w:val="20"/>
        </w:rPr>
        <w:t> </w:t>
      </w:r>
      <w:r w:rsidRPr="00BB1495">
        <w:rPr>
          <w:rFonts w:cstheme="minorHAnsi"/>
          <w:sz w:val="20"/>
          <w:szCs w:val="20"/>
          <w:vertAlign w:val="superscript"/>
        </w:rPr>
        <w:t>b</w:t>
      </w:r>
      <w:r w:rsidR="00751C5F" w:rsidRPr="00BB1495">
        <w:rPr>
          <w:rFonts w:cstheme="minorHAnsi"/>
          <w:sz w:val="20"/>
          <w:szCs w:val="20"/>
        </w:rPr>
        <w:t xml:space="preserve"> (1 − </w:t>
      </w:r>
      <w:proofErr w:type="spellStart"/>
      <w:r w:rsidRPr="00BB1495">
        <w:rPr>
          <w:rFonts w:cstheme="minorHAnsi"/>
          <w:i/>
          <w:sz w:val="20"/>
          <w:szCs w:val="20"/>
        </w:rPr>
        <w:t>h</w:t>
      </w:r>
      <w:r w:rsidRPr="00BB1495">
        <w:rPr>
          <w:rFonts w:cstheme="minorHAnsi"/>
          <w:i/>
          <w:sz w:val="20"/>
          <w:szCs w:val="20"/>
          <w:vertAlign w:val="subscript"/>
        </w:rPr>
        <w:t>rel</w:t>
      </w:r>
      <w:proofErr w:type="spellEnd"/>
      <w:r w:rsidR="00751C5F" w:rsidRPr="00BB1495">
        <w:rPr>
          <w:rFonts w:cstheme="minorHAnsi"/>
          <w:sz w:val="20"/>
          <w:szCs w:val="20"/>
        </w:rPr>
        <w:t>) </w:t>
      </w:r>
      <w:r w:rsidRPr="00BB1495">
        <w:rPr>
          <w:rFonts w:cstheme="minorHAnsi"/>
          <w:sz w:val="20"/>
          <w:szCs w:val="20"/>
          <w:vertAlign w:val="superscript"/>
        </w:rPr>
        <w:t>c</w:t>
      </w:r>
      <w:r w:rsidRPr="00BB1495">
        <w:rPr>
          <w:rFonts w:cstheme="minorHAnsi"/>
          <w:sz w:val="20"/>
          <w:szCs w:val="20"/>
        </w:rPr>
        <w:t xml:space="preserve"> </w:t>
      </w:r>
      <w:r w:rsidRPr="00BB1495">
        <w:rPr>
          <w:rFonts w:cstheme="minorHAnsi"/>
          <w:sz w:val="20"/>
          <w:szCs w:val="20"/>
        </w:rPr>
        <w:tab/>
      </w:r>
      <w:r w:rsidRPr="00BB1495">
        <w:rPr>
          <w:rFonts w:cstheme="minorHAnsi"/>
          <w:sz w:val="20"/>
          <w:szCs w:val="20"/>
        </w:rPr>
        <w:tab/>
      </w:r>
      <w:r w:rsidRPr="00BB1495">
        <w:rPr>
          <w:rFonts w:cstheme="minorHAnsi"/>
          <w:sz w:val="20"/>
          <w:szCs w:val="20"/>
        </w:rPr>
        <w:tab/>
      </w:r>
      <w:r w:rsidRPr="00BB1495">
        <w:rPr>
          <w:rFonts w:cstheme="minorHAnsi"/>
          <w:sz w:val="20"/>
          <w:szCs w:val="20"/>
        </w:rPr>
        <w:tab/>
      </w:r>
      <w:r w:rsidR="006E60DB">
        <w:rPr>
          <w:rFonts w:cstheme="minorHAnsi"/>
          <w:sz w:val="20"/>
          <w:szCs w:val="20"/>
        </w:rPr>
        <w:tab/>
      </w:r>
      <w:r w:rsidR="006E60DB">
        <w:rPr>
          <w:rFonts w:cstheme="minorHAnsi"/>
          <w:sz w:val="20"/>
          <w:szCs w:val="20"/>
        </w:rPr>
        <w:tab/>
      </w:r>
      <w:r w:rsidR="00FC0FAC" w:rsidRPr="00BB1495">
        <w:rPr>
          <w:rFonts w:cstheme="minorHAnsi"/>
          <w:sz w:val="20"/>
          <w:szCs w:val="20"/>
        </w:rPr>
        <w:t>(</w:t>
      </w:r>
      <w:r w:rsidRPr="00BB1495">
        <w:rPr>
          <w:rFonts w:cstheme="minorHAnsi"/>
          <w:sz w:val="20"/>
          <w:szCs w:val="20"/>
        </w:rPr>
        <w:t>A</w:t>
      </w:r>
      <w:r w:rsidR="006548BC" w:rsidRPr="00BB1495">
        <w:rPr>
          <w:rFonts w:cstheme="minorHAnsi"/>
          <w:sz w:val="20"/>
          <w:szCs w:val="20"/>
        </w:rPr>
        <w:t>3</w:t>
      </w:r>
      <w:r w:rsidRPr="00BB1495">
        <w:rPr>
          <w:rFonts w:cstheme="minorHAnsi"/>
          <w:sz w:val="20"/>
          <w:szCs w:val="20"/>
        </w:rPr>
        <w:t>)</w:t>
      </w:r>
    </w:p>
    <w:p w14:paraId="75FE15D2" w14:textId="77777777" w:rsidR="009D0786" w:rsidRDefault="009D0786" w:rsidP="00BB1495">
      <w:pPr>
        <w:rPr>
          <w:rFonts w:cstheme="minorHAnsi"/>
          <w:sz w:val="20"/>
          <w:szCs w:val="20"/>
        </w:rPr>
      </w:pPr>
    </w:p>
    <w:p w14:paraId="67DBAFB4" w14:textId="166D6E1E" w:rsidR="003453AB" w:rsidRPr="00BB1495" w:rsidRDefault="00101B26" w:rsidP="00BB1495">
      <w:pPr>
        <w:rPr>
          <w:rFonts w:cstheme="minorHAnsi"/>
          <w:sz w:val="20"/>
          <w:szCs w:val="20"/>
        </w:rPr>
      </w:pPr>
      <w:r w:rsidRPr="00BB1495">
        <w:rPr>
          <w:rFonts w:cstheme="minorHAnsi"/>
          <w:sz w:val="20"/>
          <w:szCs w:val="20"/>
        </w:rPr>
        <w:t xml:space="preserve">The mean </w:t>
      </w:r>
      <w:r w:rsidR="00806AB0" w:rsidRPr="00BB1495">
        <w:rPr>
          <w:rFonts w:cstheme="minorHAnsi"/>
          <w:sz w:val="20"/>
          <w:szCs w:val="20"/>
        </w:rPr>
        <w:t xml:space="preserve">leaf angle (from horizontal) was obtained from the literature for both species </w:t>
      </w:r>
      <w:r w:rsidR="007E2A59" w:rsidRPr="007E2A59">
        <w:rPr>
          <w:rFonts w:cstheme="minorHAnsi"/>
          <w:noProof/>
          <w:sz w:val="20"/>
          <w:szCs w:val="20"/>
        </w:rPr>
        <w:t>(Planchais and Pontailler 1999; Barclay 2001)</w:t>
      </w:r>
      <w:r w:rsidR="003453AB" w:rsidRPr="00BB1495">
        <w:rPr>
          <w:rFonts w:cstheme="minorHAnsi"/>
          <w:sz w:val="20"/>
          <w:szCs w:val="20"/>
        </w:rPr>
        <w:t xml:space="preserve">. Leaf transmittance and reflectance of photosynthetically active radiation (PAR) were obtained from other studies with the same species or species with similar leaf characteristics where possible </w:t>
      </w:r>
      <w:r w:rsidR="007E2A59" w:rsidRPr="007E2A59">
        <w:rPr>
          <w:rFonts w:cstheme="minorHAnsi"/>
          <w:noProof/>
          <w:sz w:val="20"/>
          <w:szCs w:val="20"/>
        </w:rPr>
        <w:t>(Ibrom et al. 2006; Linderson et al. 2012)</w:t>
      </w:r>
    </w:p>
    <w:p w14:paraId="7494CB96" w14:textId="4389DFE4" w:rsidR="00F82850" w:rsidRDefault="003453AB" w:rsidP="00BB1495">
      <w:pPr>
        <w:rPr>
          <w:rFonts w:cstheme="minorHAnsi"/>
          <w:sz w:val="20"/>
          <w:szCs w:val="20"/>
        </w:rPr>
      </w:pPr>
      <w:r w:rsidRPr="00BB1495">
        <w:rPr>
          <w:rFonts w:cstheme="minorHAnsi"/>
          <w:sz w:val="20"/>
          <w:szCs w:val="20"/>
        </w:rPr>
        <w:t xml:space="preserve">The non-species-specific parameter values used included </w:t>
      </w:r>
      <w:proofErr w:type="spellStart"/>
      <w:r w:rsidRPr="00BB1495">
        <w:rPr>
          <w:rFonts w:cstheme="minorHAnsi"/>
          <w:i/>
          <w:sz w:val="20"/>
          <w:szCs w:val="20"/>
        </w:rPr>
        <w:t>nalpha</w:t>
      </w:r>
      <w:proofErr w:type="spellEnd"/>
      <w:r w:rsidRPr="00BB1495">
        <w:rPr>
          <w:rFonts w:cstheme="minorHAnsi"/>
          <w:sz w:val="20"/>
          <w:szCs w:val="20"/>
        </w:rPr>
        <w:t>: number of leaf ang</w:t>
      </w:r>
      <w:r w:rsidR="00D55489" w:rsidRPr="00BB1495">
        <w:rPr>
          <w:rFonts w:cstheme="minorHAnsi"/>
          <w:sz w:val="20"/>
          <w:szCs w:val="20"/>
        </w:rPr>
        <w:t>le classes from 0 to </w:t>
      </w:r>
      <w:r w:rsidR="008B2508" w:rsidRPr="00BB1495">
        <w:rPr>
          <w:rFonts w:cstheme="minorHAnsi"/>
          <w:sz w:val="20"/>
          <w:szCs w:val="20"/>
        </w:rPr>
        <w:t>90 degrees = </w:t>
      </w:r>
      <w:r w:rsidRPr="00BB1495">
        <w:rPr>
          <w:rFonts w:cstheme="minorHAnsi"/>
          <w:sz w:val="20"/>
          <w:szCs w:val="20"/>
        </w:rPr>
        <w:t xml:space="preserve">5, </w:t>
      </w:r>
      <w:proofErr w:type="spellStart"/>
      <w:r w:rsidRPr="00BB1495">
        <w:rPr>
          <w:rFonts w:cstheme="minorHAnsi"/>
          <w:i/>
          <w:sz w:val="20"/>
          <w:szCs w:val="20"/>
        </w:rPr>
        <w:t>jleaf</w:t>
      </w:r>
      <w:proofErr w:type="spellEnd"/>
      <w:r w:rsidRPr="00BB1495">
        <w:rPr>
          <w:rFonts w:cstheme="minorHAnsi"/>
          <w:sz w:val="20"/>
          <w:szCs w:val="20"/>
        </w:rPr>
        <w:t>: specification of</w:t>
      </w:r>
      <w:r w:rsidR="008B2508" w:rsidRPr="00BB1495">
        <w:rPr>
          <w:rFonts w:cstheme="minorHAnsi"/>
          <w:sz w:val="20"/>
          <w:szCs w:val="20"/>
        </w:rPr>
        <w:t xml:space="preserve"> leaf-area density distribution = </w:t>
      </w:r>
      <w:r w:rsidRPr="00BB1495">
        <w:rPr>
          <w:rFonts w:cstheme="minorHAnsi"/>
          <w:sz w:val="20"/>
          <w:szCs w:val="20"/>
        </w:rPr>
        <w:t xml:space="preserve">1 (vertical direction, uniform horizontal distribution), </w:t>
      </w:r>
      <w:proofErr w:type="spellStart"/>
      <w:r w:rsidRPr="00BB1495">
        <w:rPr>
          <w:rFonts w:cstheme="minorHAnsi"/>
          <w:i/>
          <w:sz w:val="20"/>
          <w:szCs w:val="20"/>
        </w:rPr>
        <w:t>nolay</w:t>
      </w:r>
      <w:proofErr w:type="spellEnd"/>
      <w:r w:rsidRPr="00BB1495">
        <w:rPr>
          <w:rFonts w:cstheme="minorHAnsi"/>
          <w:sz w:val="20"/>
          <w:szCs w:val="20"/>
        </w:rPr>
        <w:t xml:space="preserve">: number of individual tree crown layers to integrate over = 6, </w:t>
      </w:r>
      <w:proofErr w:type="spellStart"/>
      <w:r w:rsidRPr="00BB1495">
        <w:rPr>
          <w:rFonts w:cstheme="minorHAnsi"/>
          <w:i/>
          <w:sz w:val="20"/>
          <w:szCs w:val="20"/>
        </w:rPr>
        <w:t>pplay</w:t>
      </w:r>
      <w:proofErr w:type="spellEnd"/>
      <w:r w:rsidR="008B2508" w:rsidRPr="00BB1495">
        <w:rPr>
          <w:rFonts w:cstheme="minorHAnsi"/>
          <w:sz w:val="20"/>
          <w:szCs w:val="20"/>
        </w:rPr>
        <w:t> </w:t>
      </w:r>
      <w:r w:rsidRPr="00BB1495">
        <w:rPr>
          <w:rFonts w:cstheme="minorHAnsi"/>
          <w:sz w:val="20"/>
          <w:szCs w:val="20"/>
        </w:rPr>
        <w:t>=</w:t>
      </w:r>
      <w:r w:rsidR="008B2508" w:rsidRPr="00BB1495">
        <w:rPr>
          <w:rFonts w:cstheme="minorHAnsi"/>
          <w:sz w:val="20"/>
          <w:szCs w:val="20"/>
        </w:rPr>
        <w:t> </w:t>
      </w:r>
      <w:r w:rsidRPr="00BB1495">
        <w:rPr>
          <w:rFonts w:cstheme="minorHAnsi"/>
          <w:sz w:val="20"/>
          <w:szCs w:val="20"/>
        </w:rPr>
        <w:t xml:space="preserve">12, </w:t>
      </w:r>
      <w:proofErr w:type="spellStart"/>
      <w:r w:rsidRPr="00BB1495">
        <w:rPr>
          <w:rFonts w:cstheme="minorHAnsi"/>
          <w:i/>
          <w:sz w:val="20"/>
          <w:szCs w:val="20"/>
        </w:rPr>
        <w:t>nzen</w:t>
      </w:r>
      <w:proofErr w:type="spellEnd"/>
      <w:r w:rsidR="008B2508" w:rsidRPr="00BB1495">
        <w:rPr>
          <w:rFonts w:cstheme="minorHAnsi"/>
          <w:sz w:val="20"/>
          <w:szCs w:val="20"/>
        </w:rPr>
        <w:t> </w:t>
      </w:r>
      <w:r w:rsidRPr="00BB1495">
        <w:rPr>
          <w:rFonts w:cstheme="minorHAnsi"/>
          <w:sz w:val="20"/>
          <w:szCs w:val="20"/>
        </w:rPr>
        <w:t>=</w:t>
      </w:r>
      <w:r w:rsidR="008B2508" w:rsidRPr="00BB1495">
        <w:rPr>
          <w:rFonts w:cstheme="minorHAnsi"/>
          <w:sz w:val="20"/>
          <w:szCs w:val="20"/>
        </w:rPr>
        <w:t> </w:t>
      </w:r>
      <w:r w:rsidRPr="00BB1495">
        <w:rPr>
          <w:rFonts w:cstheme="minorHAnsi"/>
          <w:sz w:val="20"/>
          <w:szCs w:val="20"/>
        </w:rPr>
        <w:t xml:space="preserve">5, </w:t>
      </w:r>
      <w:proofErr w:type="spellStart"/>
      <w:r w:rsidRPr="00BB1495">
        <w:rPr>
          <w:rFonts w:cstheme="minorHAnsi"/>
          <w:i/>
          <w:sz w:val="20"/>
          <w:szCs w:val="20"/>
        </w:rPr>
        <w:t>naz</w:t>
      </w:r>
      <w:proofErr w:type="spellEnd"/>
      <w:r w:rsidR="008B2508" w:rsidRPr="00BB1495">
        <w:rPr>
          <w:sz w:val="20"/>
          <w:szCs w:val="20"/>
        </w:rPr>
        <w:t> </w:t>
      </w:r>
      <w:r w:rsidRPr="00BB1495">
        <w:rPr>
          <w:rFonts w:cstheme="minorHAnsi"/>
          <w:sz w:val="20"/>
          <w:szCs w:val="20"/>
        </w:rPr>
        <w:t>=</w:t>
      </w:r>
      <w:r w:rsidR="008B2508" w:rsidRPr="00BB1495">
        <w:rPr>
          <w:rFonts w:cstheme="minorHAnsi"/>
          <w:sz w:val="20"/>
          <w:szCs w:val="20"/>
        </w:rPr>
        <w:t> </w:t>
      </w:r>
      <w:r w:rsidRPr="00BB1495">
        <w:rPr>
          <w:rFonts w:cstheme="minorHAnsi"/>
          <w:sz w:val="20"/>
          <w:szCs w:val="20"/>
        </w:rPr>
        <w:t xml:space="preserve">11; </w:t>
      </w:r>
      <w:proofErr w:type="spellStart"/>
      <w:r w:rsidRPr="00BB1495">
        <w:rPr>
          <w:rFonts w:cstheme="minorHAnsi"/>
          <w:i/>
          <w:sz w:val="20"/>
          <w:szCs w:val="20"/>
        </w:rPr>
        <w:t>difsky</w:t>
      </w:r>
      <w:proofErr w:type="spellEnd"/>
      <w:r w:rsidRPr="00BB1495">
        <w:rPr>
          <w:rFonts w:cstheme="minorHAnsi"/>
          <w:sz w:val="20"/>
          <w:szCs w:val="20"/>
        </w:rPr>
        <w:t xml:space="preserve">: the distribution of diffuse radiation incident from the </w:t>
      </w:r>
      <w:r w:rsidRPr="00BB1495">
        <w:rPr>
          <w:rFonts w:cstheme="minorHAnsi"/>
          <w:i/>
          <w:sz w:val="20"/>
          <w:szCs w:val="20"/>
        </w:rPr>
        <w:t>sky</w:t>
      </w:r>
      <w:r w:rsidR="00D55489" w:rsidRPr="00BB1495">
        <w:rPr>
          <w:rFonts w:cstheme="minorHAnsi"/>
          <w:sz w:val="20"/>
          <w:szCs w:val="20"/>
        </w:rPr>
        <w:t> = </w:t>
      </w:r>
      <w:r w:rsidRPr="00BB1495">
        <w:rPr>
          <w:rFonts w:cstheme="minorHAnsi"/>
          <w:sz w:val="20"/>
          <w:szCs w:val="20"/>
        </w:rPr>
        <w:t xml:space="preserve">0; </w:t>
      </w:r>
      <w:proofErr w:type="spellStart"/>
      <w:r w:rsidRPr="00BB1495">
        <w:rPr>
          <w:rFonts w:cstheme="minorHAnsi"/>
          <w:i/>
          <w:sz w:val="20"/>
          <w:szCs w:val="20"/>
        </w:rPr>
        <w:t>khrsperday</w:t>
      </w:r>
      <w:proofErr w:type="spellEnd"/>
      <w:r w:rsidRPr="00BB1495">
        <w:rPr>
          <w:rFonts w:cstheme="minorHAnsi"/>
          <w:sz w:val="20"/>
          <w:szCs w:val="20"/>
        </w:rPr>
        <w:t>: the number of time steps per day</w:t>
      </w:r>
      <w:r w:rsidR="00D55489" w:rsidRPr="00BB1495">
        <w:rPr>
          <w:rFonts w:cstheme="minorHAnsi"/>
          <w:sz w:val="20"/>
          <w:szCs w:val="20"/>
        </w:rPr>
        <w:t> = </w:t>
      </w:r>
      <w:r w:rsidRPr="00BB1495">
        <w:rPr>
          <w:rFonts w:cstheme="minorHAnsi"/>
          <w:sz w:val="20"/>
          <w:szCs w:val="20"/>
        </w:rPr>
        <w:t xml:space="preserve">48; </w:t>
      </w:r>
      <w:proofErr w:type="spellStart"/>
      <w:r w:rsidRPr="00BB1495">
        <w:rPr>
          <w:rFonts w:cstheme="minorHAnsi"/>
          <w:i/>
          <w:sz w:val="20"/>
          <w:szCs w:val="20"/>
        </w:rPr>
        <w:t>cshape</w:t>
      </w:r>
      <w:proofErr w:type="spellEnd"/>
      <w:r w:rsidRPr="00BB1495">
        <w:rPr>
          <w:rFonts w:cstheme="minorHAnsi"/>
          <w:sz w:val="20"/>
          <w:szCs w:val="20"/>
        </w:rPr>
        <w:t xml:space="preserve">: </w:t>
      </w:r>
      <w:r w:rsidR="00101B26" w:rsidRPr="00BB1495">
        <w:rPr>
          <w:rFonts w:cstheme="minorHAnsi"/>
          <w:sz w:val="20"/>
          <w:szCs w:val="20"/>
        </w:rPr>
        <w:t xml:space="preserve">the </w:t>
      </w:r>
      <w:r w:rsidRPr="00BB1495">
        <w:rPr>
          <w:rFonts w:cstheme="minorHAnsi"/>
          <w:sz w:val="20"/>
          <w:szCs w:val="20"/>
        </w:rPr>
        <w:t>crown sh</w:t>
      </w:r>
      <w:r w:rsidR="00D55489" w:rsidRPr="00BB1495">
        <w:rPr>
          <w:rFonts w:cstheme="minorHAnsi"/>
          <w:sz w:val="20"/>
          <w:szCs w:val="20"/>
        </w:rPr>
        <w:t>ape was a half-ellipse = </w:t>
      </w:r>
      <w:r w:rsidRPr="00BB1495">
        <w:rPr>
          <w:rFonts w:cstheme="minorHAnsi"/>
          <w:sz w:val="20"/>
          <w:szCs w:val="20"/>
        </w:rPr>
        <w:t xml:space="preserve">ELIP; there was only one age considered for the beta distribution of leaf-area density; there was no clumping of foliage into shoots. Further details about the meaning and significance of these parameters can be found in the </w:t>
      </w:r>
      <w:r w:rsidR="0066718A" w:rsidRPr="00DC783C">
        <w:rPr>
          <w:sz w:val="20"/>
          <w:lang w:val="en-GB"/>
        </w:rPr>
        <w:t xml:space="preserve">MAESTRA </w:t>
      </w:r>
      <w:r w:rsidRPr="00BB1495">
        <w:rPr>
          <w:rFonts w:cstheme="minorHAnsi"/>
          <w:sz w:val="20"/>
          <w:szCs w:val="20"/>
        </w:rPr>
        <w:t>manual</w:t>
      </w:r>
      <w:r w:rsidR="003C33DE" w:rsidRPr="00BB1495">
        <w:rPr>
          <w:rFonts w:cstheme="minorHAnsi"/>
          <w:sz w:val="20"/>
          <w:szCs w:val="20"/>
        </w:rPr>
        <w:t xml:space="preserve"> </w:t>
      </w:r>
      <w:r w:rsidR="003C33DE" w:rsidRPr="00BB1495">
        <w:rPr>
          <w:rFonts w:cstheme="minorHAnsi"/>
          <w:noProof/>
          <w:sz w:val="20"/>
          <w:szCs w:val="20"/>
        </w:rPr>
        <w:t>(</w:t>
      </w:r>
      <w:r w:rsidR="003507E9" w:rsidRPr="00BB1495">
        <w:rPr>
          <w:rFonts w:cstheme="minorHAnsi"/>
          <w:noProof/>
          <w:sz w:val="20"/>
          <w:szCs w:val="20"/>
        </w:rPr>
        <w:t xml:space="preserve">see </w:t>
      </w:r>
      <w:r w:rsidR="003C33DE" w:rsidRPr="00BB1495">
        <w:rPr>
          <w:rFonts w:cstheme="minorHAnsi"/>
          <w:noProof/>
          <w:sz w:val="20"/>
          <w:szCs w:val="20"/>
        </w:rPr>
        <w:t>Medlyn, 2004)</w:t>
      </w:r>
    </w:p>
    <w:p w14:paraId="407220F1" w14:textId="77777777" w:rsidR="00BB1495" w:rsidRPr="00BB1495" w:rsidRDefault="00BB1495" w:rsidP="00BB1495">
      <w:pPr>
        <w:rPr>
          <w:sz w:val="20"/>
          <w:szCs w:val="20"/>
        </w:rPr>
      </w:pPr>
    </w:p>
    <w:p w14:paraId="50330CAA" w14:textId="6D069724" w:rsidR="003453AB" w:rsidRPr="00BB1495" w:rsidRDefault="003453AB" w:rsidP="003453AB">
      <w:pPr>
        <w:spacing w:after="0"/>
        <w:rPr>
          <w:rFonts w:cstheme="minorHAnsi"/>
          <w:sz w:val="18"/>
        </w:rPr>
      </w:pPr>
      <w:r w:rsidRPr="00BB1495">
        <w:rPr>
          <w:rFonts w:cstheme="minorHAnsi"/>
          <w:b/>
          <w:sz w:val="18"/>
        </w:rPr>
        <w:t xml:space="preserve">Table </w:t>
      </w:r>
      <w:r w:rsidR="00D115F2" w:rsidRPr="00BB1495">
        <w:rPr>
          <w:rFonts w:cstheme="minorHAnsi"/>
          <w:b/>
          <w:sz w:val="18"/>
        </w:rPr>
        <w:t>A3</w:t>
      </w:r>
      <w:r w:rsidRPr="00BB1495">
        <w:rPr>
          <w:rFonts w:cstheme="minorHAnsi"/>
          <w:sz w:val="18"/>
        </w:rPr>
        <w:t xml:space="preserve">. Species-specific parameter values for the </w:t>
      </w:r>
      <w:r w:rsidR="0066718A" w:rsidRPr="00DC783C">
        <w:rPr>
          <w:sz w:val="20"/>
          <w:lang w:val="en-GB"/>
        </w:rPr>
        <w:t xml:space="preserve">MAESTRA </w:t>
      </w:r>
      <w:r w:rsidRPr="00BB1495">
        <w:rPr>
          <w:rFonts w:cstheme="minorHAnsi"/>
          <w:sz w:val="18"/>
        </w:rPr>
        <w:t>model</w:t>
      </w:r>
    </w:p>
    <w:tbl>
      <w:tblPr>
        <w:tblStyle w:val="TableGrid"/>
        <w:tblW w:w="9172" w:type="dxa"/>
        <w:tblLayout w:type="fixed"/>
        <w:tblLook w:val="04A0" w:firstRow="1" w:lastRow="0" w:firstColumn="1" w:lastColumn="0" w:noHBand="0" w:noVBand="1"/>
      </w:tblPr>
      <w:tblGrid>
        <w:gridCol w:w="1134"/>
        <w:gridCol w:w="1134"/>
        <w:gridCol w:w="1560"/>
        <w:gridCol w:w="1559"/>
        <w:gridCol w:w="2410"/>
        <w:gridCol w:w="1375"/>
      </w:tblGrid>
      <w:tr w:rsidR="003F73BD" w14:paraId="24AF1304" w14:textId="77777777" w:rsidTr="003F73BD">
        <w:tc>
          <w:tcPr>
            <w:tcW w:w="1134" w:type="dxa"/>
            <w:tcBorders>
              <w:left w:val="nil"/>
              <w:bottom w:val="single" w:sz="4" w:space="0" w:color="auto"/>
              <w:right w:val="nil"/>
            </w:tcBorders>
          </w:tcPr>
          <w:p w14:paraId="5179B9C9" w14:textId="77777777" w:rsidR="003F73BD" w:rsidRPr="00BA03C9" w:rsidRDefault="003F73BD" w:rsidP="00566548">
            <w:pPr>
              <w:spacing w:after="0"/>
              <w:rPr>
                <w:sz w:val="18"/>
              </w:rPr>
            </w:pPr>
            <w:r w:rsidRPr="00BA03C9">
              <w:rPr>
                <w:sz w:val="18"/>
              </w:rPr>
              <w:t>Species</w:t>
            </w:r>
          </w:p>
        </w:tc>
        <w:tc>
          <w:tcPr>
            <w:tcW w:w="1134" w:type="dxa"/>
            <w:tcBorders>
              <w:left w:val="nil"/>
              <w:bottom w:val="single" w:sz="4" w:space="0" w:color="auto"/>
              <w:right w:val="nil"/>
            </w:tcBorders>
          </w:tcPr>
          <w:p w14:paraId="45D940AA" w14:textId="0E253E5C" w:rsidR="003F73BD" w:rsidRPr="00BA03C9" w:rsidRDefault="003F73BD" w:rsidP="00566548">
            <w:pPr>
              <w:spacing w:after="0"/>
              <w:rPr>
                <w:sz w:val="18"/>
              </w:rPr>
            </w:pPr>
            <w:r>
              <w:rPr>
                <w:sz w:val="18"/>
              </w:rPr>
              <w:t>Experiment type</w:t>
            </w:r>
          </w:p>
        </w:tc>
        <w:tc>
          <w:tcPr>
            <w:tcW w:w="1560" w:type="dxa"/>
            <w:tcBorders>
              <w:left w:val="nil"/>
              <w:bottom w:val="single" w:sz="4" w:space="0" w:color="auto"/>
              <w:right w:val="nil"/>
            </w:tcBorders>
          </w:tcPr>
          <w:p w14:paraId="3A92A222" w14:textId="77777777" w:rsidR="003F73BD" w:rsidRPr="00BA03C9" w:rsidRDefault="003F73BD" w:rsidP="00566548">
            <w:pPr>
              <w:spacing w:after="0"/>
              <w:rPr>
                <w:sz w:val="18"/>
              </w:rPr>
            </w:pPr>
            <w:proofErr w:type="spellStart"/>
            <w:r w:rsidRPr="00BA03C9">
              <w:rPr>
                <w:sz w:val="18"/>
              </w:rPr>
              <w:t>atau</w:t>
            </w:r>
            <w:proofErr w:type="spellEnd"/>
            <w:r w:rsidRPr="00BA03C9">
              <w:rPr>
                <w:sz w:val="18"/>
              </w:rPr>
              <w:t>: leaf</w:t>
            </w:r>
          </w:p>
          <w:p w14:paraId="2662CD2B" w14:textId="77777777" w:rsidR="003F73BD" w:rsidRPr="00BA03C9" w:rsidRDefault="003F73BD" w:rsidP="00566548">
            <w:pPr>
              <w:spacing w:after="0"/>
              <w:rPr>
                <w:sz w:val="18"/>
              </w:rPr>
            </w:pPr>
            <w:r w:rsidRPr="00BA03C9">
              <w:rPr>
                <w:sz w:val="18"/>
              </w:rPr>
              <w:t>transmittance in</w:t>
            </w:r>
          </w:p>
          <w:p w14:paraId="3765A3CB" w14:textId="77777777" w:rsidR="003F73BD" w:rsidRPr="00BA03C9" w:rsidRDefault="003F73BD" w:rsidP="00566548">
            <w:pPr>
              <w:spacing w:after="0"/>
              <w:rPr>
                <w:sz w:val="18"/>
              </w:rPr>
            </w:pPr>
            <w:r w:rsidRPr="00BA03C9">
              <w:rPr>
                <w:sz w:val="18"/>
              </w:rPr>
              <w:t>PAR/NIR/thermal</w:t>
            </w:r>
          </w:p>
        </w:tc>
        <w:tc>
          <w:tcPr>
            <w:tcW w:w="1559" w:type="dxa"/>
            <w:tcBorders>
              <w:left w:val="nil"/>
              <w:bottom w:val="single" w:sz="4" w:space="0" w:color="auto"/>
              <w:right w:val="nil"/>
            </w:tcBorders>
          </w:tcPr>
          <w:p w14:paraId="51496CED" w14:textId="77777777" w:rsidR="003F73BD" w:rsidRPr="00BA03C9" w:rsidRDefault="003F73BD" w:rsidP="00566548">
            <w:pPr>
              <w:spacing w:after="0"/>
              <w:rPr>
                <w:sz w:val="18"/>
              </w:rPr>
            </w:pPr>
            <w:proofErr w:type="spellStart"/>
            <w:r w:rsidRPr="00BA03C9">
              <w:rPr>
                <w:sz w:val="18"/>
              </w:rPr>
              <w:t>arho</w:t>
            </w:r>
            <w:proofErr w:type="spellEnd"/>
            <w:r w:rsidRPr="00BA03C9">
              <w:rPr>
                <w:sz w:val="18"/>
              </w:rPr>
              <w:t>: leaf</w:t>
            </w:r>
          </w:p>
          <w:p w14:paraId="08E49332" w14:textId="77777777" w:rsidR="003F73BD" w:rsidRPr="00BA03C9" w:rsidRDefault="003F73BD" w:rsidP="00566548">
            <w:pPr>
              <w:spacing w:after="0"/>
              <w:rPr>
                <w:sz w:val="18"/>
              </w:rPr>
            </w:pPr>
            <w:r w:rsidRPr="00BA03C9">
              <w:rPr>
                <w:sz w:val="18"/>
              </w:rPr>
              <w:t>reflectance in</w:t>
            </w:r>
          </w:p>
          <w:p w14:paraId="43EFA980" w14:textId="77777777" w:rsidR="003F73BD" w:rsidRPr="00BA03C9" w:rsidRDefault="003F73BD" w:rsidP="00566548">
            <w:pPr>
              <w:spacing w:after="0"/>
              <w:rPr>
                <w:sz w:val="18"/>
              </w:rPr>
            </w:pPr>
            <w:r w:rsidRPr="00BA03C9">
              <w:rPr>
                <w:sz w:val="18"/>
              </w:rPr>
              <w:t>PAR/NIR/thermal</w:t>
            </w:r>
          </w:p>
        </w:tc>
        <w:tc>
          <w:tcPr>
            <w:tcW w:w="2410" w:type="dxa"/>
            <w:tcBorders>
              <w:left w:val="nil"/>
              <w:bottom w:val="single" w:sz="4" w:space="0" w:color="auto"/>
              <w:right w:val="nil"/>
            </w:tcBorders>
          </w:tcPr>
          <w:p w14:paraId="5C466026" w14:textId="42639BD0" w:rsidR="003F73BD" w:rsidRPr="00BA03C9" w:rsidRDefault="003F73BD" w:rsidP="00566548">
            <w:pPr>
              <w:spacing w:after="0"/>
              <w:jc w:val="left"/>
              <w:rPr>
                <w:sz w:val="18"/>
              </w:rPr>
            </w:pPr>
            <w:r w:rsidRPr="00BA03C9">
              <w:rPr>
                <w:sz w:val="18"/>
              </w:rPr>
              <w:t>Parameters (a</w:t>
            </w:r>
            <w:r w:rsidR="008B2508">
              <w:rPr>
                <w:sz w:val="18"/>
              </w:rPr>
              <w:t> </w:t>
            </w:r>
            <w:r w:rsidRPr="00BA03C9">
              <w:rPr>
                <w:sz w:val="18"/>
              </w:rPr>
              <w:t>/</w:t>
            </w:r>
            <w:r w:rsidR="008B2508">
              <w:rPr>
                <w:sz w:val="18"/>
              </w:rPr>
              <w:t> </w:t>
            </w:r>
            <w:r w:rsidRPr="00BA03C9">
              <w:rPr>
                <w:sz w:val="18"/>
              </w:rPr>
              <w:t>b</w:t>
            </w:r>
            <w:r w:rsidR="008B2508">
              <w:rPr>
                <w:sz w:val="18"/>
              </w:rPr>
              <w:t> </w:t>
            </w:r>
            <w:r w:rsidRPr="00BA03C9">
              <w:rPr>
                <w:sz w:val="18"/>
              </w:rPr>
              <w:t>/</w:t>
            </w:r>
            <w:r w:rsidR="008B2508">
              <w:rPr>
                <w:sz w:val="18"/>
              </w:rPr>
              <w:t> </w:t>
            </w:r>
            <w:r w:rsidRPr="00BA03C9">
              <w:rPr>
                <w:sz w:val="18"/>
              </w:rPr>
              <w:t>c) for the</w:t>
            </w:r>
            <w:r>
              <w:rPr>
                <w:sz w:val="18"/>
              </w:rPr>
              <w:t xml:space="preserve"> </w:t>
            </w:r>
            <w:r w:rsidRPr="00BA03C9">
              <w:rPr>
                <w:sz w:val="18"/>
              </w:rPr>
              <w:t>vertical leaf area density</w:t>
            </w:r>
          </w:p>
          <w:p w14:paraId="12E38B0B" w14:textId="77777777" w:rsidR="003F73BD" w:rsidRPr="00BA03C9" w:rsidRDefault="003F73BD" w:rsidP="00566548">
            <w:pPr>
              <w:spacing w:after="0"/>
              <w:jc w:val="left"/>
              <w:rPr>
                <w:sz w:val="18"/>
              </w:rPr>
            </w:pPr>
            <w:r w:rsidRPr="00BA03C9">
              <w:rPr>
                <w:sz w:val="18"/>
              </w:rPr>
              <w:t>(beta distribution: BPT)</w:t>
            </w:r>
          </w:p>
        </w:tc>
        <w:tc>
          <w:tcPr>
            <w:tcW w:w="1375" w:type="dxa"/>
            <w:tcBorders>
              <w:left w:val="nil"/>
              <w:bottom w:val="single" w:sz="4" w:space="0" w:color="auto"/>
              <w:right w:val="nil"/>
            </w:tcBorders>
          </w:tcPr>
          <w:p w14:paraId="3E59D46D" w14:textId="77777777" w:rsidR="003F73BD" w:rsidRPr="00BA03C9" w:rsidRDefault="003F73BD" w:rsidP="00566548">
            <w:pPr>
              <w:spacing w:after="0"/>
              <w:jc w:val="center"/>
              <w:rPr>
                <w:sz w:val="18"/>
              </w:rPr>
            </w:pPr>
            <w:proofErr w:type="spellStart"/>
            <w:r w:rsidRPr="00BA03C9">
              <w:rPr>
                <w:sz w:val="18"/>
              </w:rPr>
              <w:t>avgang</w:t>
            </w:r>
            <w:proofErr w:type="spellEnd"/>
            <w:r w:rsidRPr="00BA03C9">
              <w:rPr>
                <w:sz w:val="18"/>
              </w:rPr>
              <w:t>: mean</w:t>
            </w:r>
          </w:p>
          <w:p w14:paraId="1737329E" w14:textId="77777777" w:rsidR="003F73BD" w:rsidRPr="00BA03C9" w:rsidRDefault="003F73BD" w:rsidP="00566548">
            <w:pPr>
              <w:spacing w:after="0"/>
              <w:jc w:val="center"/>
              <w:rPr>
                <w:sz w:val="18"/>
              </w:rPr>
            </w:pPr>
            <w:r w:rsidRPr="00BA03C9">
              <w:rPr>
                <w:sz w:val="18"/>
              </w:rPr>
              <w:t>leaf inclination</w:t>
            </w:r>
          </w:p>
          <w:p w14:paraId="3B9D82C8" w14:textId="77777777" w:rsidR="003F73BD" w:rsidRPr="00BA03C9" w:rsidRDefault="003F73BD" w:rsidP="00566548">
            <w:pPr>
              <w:spacing w:after="0"/>
              <w:jc w:val="center"/>
              <w:rPr>
                <w:sz w:val="18"/>
              </w:rPr>
            </w:pPr>
            <w:r w:rsidRPr="00BA03C9">
              <w:rPr>
                <w:sz w:val="18"/>
              </w:rPr>
              <w:t>angle</w:t>
            </w:r>
          </w:p>
        </w:tc>
      </w:tr>
      <w:tr w:rsidR="003F73BD" w14:paraId="79FE0900" w14:textId="77777777" w:rsidTr="00566548">
        <w:tc>
          <w:tcPr>
            <w:tcW w:w="1134" w:type="dxa"/>
            <w:tcBorders>
              <w:left w:val="nil"/>
              <w:bottom w:val="nil"/>
              <w:right w:val="nil"/>
            </w:tcBorders>
            <w:vAlign w:val="center"/>
          </w:tcPr>
          <w:p w14:paraId="6B794A8E" w14:textId="1E653873" w:rsidR="003F73BD" w:rsidRPr="00BA03C9" w:rsidRDefault="003F73BD" w:rsidP="00DD50BD">
            <w:pPr>
              <w:spacing w:after="0"/>
              <w:rPr>
                <w:i/>
                <w:sz w:val="18"/>
              </w:rPr>
            </w:pPr>
            <w:r>
              <w:rPr>
                <w:i/>
                <w:sz w:val="18"/>
              </w:rPr>
              <w:t>P. menziesii</w:t>
            </w:r>
          </w:p>
        </w:tc>
        <w:tc>
          <w:tcPr>
            <w:tcW w:w="1134" w:type="dxa"/>
            <w:tcBorders>
              <w:left w:val="nil"/>
              <w:bottom w:val="nil"/>
              <w:right w:val="nil"/>
            </w:tcBorders>
          </w:tcPr>
          <w:p w14:paraId="272E1C14" w14:textId="4958CE08" w:rsidR="003F73BD" w:rsidRPr="00BA03C9" w:rsidRDefault="003F73BD" w:rsidP="00A73E78">
            <w:pPr>
              <w:spacing w:after="0"/>
              <w:rPr>
                <w:sz w:val="18"/>
              </w:rPr>
            </w:pPr>
            <w:r>
              <w:rPr>
                <w:sz w:val="18"/>
              </w:rPr>
              <w:t>triplet</w:t>
            </w:r>
          </w:p>
        </w:tc>
        <w:tc>
          <w:tcPr>
            <w:tcW w:w="1560" w:type="dxa"/>
            <w:tcBorders>
              <w:left w:val="nil"/>
              <w:bottom w:val="nil"/>
              <w:right w:val="nil"/>
            </w:tcBorders>
            <w:vAlign w:val="center"/>
          </w:tcPr>
          <w:p w14:paraId="2EF7F3B9" w14:textId="1F60DF46" w:rsidR="003F73BD" w:rsidRPr="00BA03C9" w:rsidRDefault="003F73BD" w:rsidP="004D2D48">
            <w:pPr>
              <w:spacing w:after="0"/>
              <w:rPr>
                <w:sz w:val="18"/>
              </w:rPr>
            </w:pPr>
            <w:r>
              <w:rPr>
                <w:sz w:val="18"/>
              </w:rPr>
              <w:t>0.03/0.26/0.00</w:t>
            </w:r>
          </w:p>
        </w:tc>
        <w:tc>
          <w:tcPr>
            <w:tcW w:w="1559" w:type="dxa"/>
            <w:tcBorders>
              <w:left w:val="nil"/>
              <w:bottom w:val="nil"/>
              <w:right w:val="nil"/>
            </w:tcBorders>
            <w:vAlign w:val="center"/>
          </w:tcPr>
          <w:p w14:paraId="794DCC7B" w14:textId="4C0FD163" w:rsidR="003F73BD" w:rsidRPr="00BA03C9" w:rsidRDefault="003F73BD" w:rsidP="004D2D48">
            <w:pPr>
              <w:spacing w:after="0"/>
              <w:rPr>
                <w:sz w:val="18"/>
              </w:rPr>
            </w:pPr>
            <w:r>
              <w:rPr>
                <w:sz w:val="18"/>
              </w:rPr>
              <w:t>0.09/0.33/0.05</w:t>
            </w:r>
          </w:p>
        </w:tc>
        <w:tc>
          <w:tcPr>
            <w:tcW w:w="2410" w:type="dxa"/>
            <w:tcBorders>
              <w:left w:val="nil"/>
              <w:bottom w:val="nil"/>
              <w:right w:val="nil"/>
            </w:tcBorders>
            <w:vAlign w:val="center"/>
          </w:tcPr>
          <w:p w14:paraId="38AA8771" w14:textId="18E99BB5" w:rsidR="003F73BD" w:rsidRPr="00BA03C9" w:rsidRDefault="003F73BD" w:rsidP="00A73E78">
            <w:pPr>
              <w:spacing w:after="0"/>
              <w:rPr>
                <w:sz w:val="18"/>
              </w:rPr>
            </w:pPr>
            <w:r>
              <w:rPr>
                <w:sz w:val="18"/>
              </w:rPr>
              <w:t>3.40/1.50/0.19</w:t>
            </w:r>
          </w:p>
        </w:tc>
        <w:tc>
          <w:tcPr>
            <w:tcW w:w="1375" w:type="dxa"/>
            <w:tcBorders>
              <w:left w:val="nil"/>
              <w:bottom w:val="nil"/>
              <w:right w:val="nil"/>
            </w:tcBorders>
            <w:vAlign w:val="center"/>
          </w:tcPr>
          <w:p w14:paraId="011ABE2A" w14:textId="308E12CA" w:rsidR="003F73BD" w:rsidRPr="00BA03C9" w:rsidRDefault="003F73BD" w:rsidP="00A73E78">
            <w:pPr>
              <w:spacing w:after="0"/>
              <w:jc w:val="center"/>
              <w:rPr>
                <w:sz w:val="18"/>
              </w:rPr>
            </w:pPr>
            <w:r>
              <w:rPr>
                <w:sz w:val="18"/>
              </w:rPr>
              <w:t>10</w:t>
            </w:r>
          </w:p>
        </w:tc>
      </w:tr>
      <w:tr w:rsidR="003F73BD" w14:paraId="108CF24A" w14:textId="77777777" w:rsidTr="00566548">
        <w:tc>
          <w:tcPr>
            <w:tcW w:w="1134" w:type="dxa"/>
            <w:tcBorders>
              <w:top w:val="nil"/>
              <w:left w:val="nil"/>
              <w:bottom w:val="nil"/>
              <w:right w:val="nil"/>
            </w:tcBorders>
          </w:tcPr>
          <w:p w14:paraId="5665E113" w14:textId="122F6E48" w:rsidR="003F73BD" w:rsidRPr="00BA03C9" w:rsidRDefault="003F73BD" w:rsidP="00DD50BD">
            <w:pPr>
              <w:spacing w:after="0"/>
              <w:rPr>
                <w:i/>
                <w:sz w:val="18"/>
              </w:rPr>
            </w:pPr>
            <w:r w:rsidRPr="00BA03C9">
              <w:rPr>
                <w:i/>
                <w:sz w:val="18"/>
              </w:rPr>
              <w:t>F</w:t>
            </w:r>
            <w:r>
              <w:rPr>
                <w:i/>
                <w:sz w:val="18"/>
              </w:rPr>
              <w:t>.</w:t>
            </w:r>
            <w:r w:rsidR="00B8467B">
              <w:rPr>
                <w:i/>
                <w:sz w:val="18"/>
              </w:rPr>
              <w:t xml:space="preserve"> </w:t>
            </w:r>
            <w:r w:rsidRPr="00BA03C9">
              <w:rPr>
                <w:i/>
                <w:sz w:val="18"/>
              </w:rPr>
              <w:t>sylvatica</w:t>
            </w:r>
          </w:p>
        </w:tc>
        <w:tc>
          <w:tcPr>
            <w:tcW w:w="1134" w:type="dxa"/>
            <w:tcBorders>
              <w:top w:val="nil"/>
              <w:left w:val="nil"/>
              <w:bottom w:val="nil"/>
              <w:right w:val="nil"/>
            </w:tcBorders>
          </w:tcPr>
          <w:p w14:paraId="1D787EA8" w14:textId="59C16191" w:rsidR="003F73BD" w:rsidRPr="00BA03C9" w:rsidRDefault="003F73BD" w:rsidP="00A73E78">
            <w:pPr>
              <w:spacing w:after="0"/>
              <w:rPr>
                <w:sz w:val="18"/>
              </w:rPr>
            </w:pPr>
            <w:r>
              <w:rPr>
                <w:sz w:val="18"/>
              </w:rPr>
              <w:t>triplet</w:t>
            </w:r>
          </w:p>
        </w:tc>
        <w:tc>
          <w:tcPr>
            <w:tcW w:w="1560" w:type="dxa"/>
            <w:tcBorders>
              <w:top w:val="nil"/>
              <w:left w:val="nil"/>
              <w:bottom w:val="nil"/>
              <w:right w:val="nil"/>
            </w:tcBorders>
          </w:tcPr>
          <w:p w14:paraId="329FA3F6" w14:textId="77777777" w:rsidR="003F73BD" w:rsidRPr="00BA03C9" w:rsidRDefault="003F73BD" w:rsidP="00A73E78">
            <w:pPr>
              <w:spacing w:after="0"/>
              <w:rPr>
                <w:sz w:val="18"/>
              </w:rPr>
            </w:pPr>
            <w:r>
              <w:rPr>
                <w:sz w:val="18"/>
              </w:rPr>
              <w:t>0.05/0.30/0.05</w:t>
            </w:r>
          </w:p>
        </w:tc>
        <w:tc>
          <w:tcPr>
            <w:tcW w:w="1559" w:type="dxa"/>
            <w:tcBorders>
              <w:top w:val="nil"/>
              <w:left w:val="nil"/>
              <w:bottom w:val="nil"/>
              <w:right w:val="nil"/>
            </w:tcBorders>
          </w:tcPr>
          <w:p w14:paraId="3161DF4C" w14:textId="77777777" w:rsidR="003F73BD" w:rsidRPr="00BA03C9" w:rsidRDefault="003F73BD" w:rsidP="00A73E78">
            <w:pPr>
              <w:spacing w:after="0"/>
              <w:rPr>
                <w:sz w:val="18"/>
              </w:rPr>
            </w:pPr>
            <w:r>
              <w:rPr>
                <w:sz w:val="18"/>
              </w:rPr>
              <w:t>0.06/0.35/0.05</w:t>
            </w:r>
          </w:p>
        </w:tc>
        <w:tc>
          <w:tcPr>
            <w:tcW w:w="2410" w:type="dxa"/>
            <w:tcBorders>
              <w:top w:val="nil"/>
              <w:left w:val="nil"/>
              <w:bottom w:val="nil"/>
              <w:right w:val="nil"/>
            </w:tcBorders>
          </w:tcPr>
          <w:p w14:paraId="12C032AA" w14:textId="0CDA68A6" w:rsidR="003F73BD" w:rsidRPr="00BA03C9" w:rsidRDefault="003F73BD" w:rsidP="004D2D48">
            <w:pPr>
              <w:spacing w:after="0"/>
              <w:rPr>
                <w:sz w:val="18"/>
              </w:rPr>
            </w:pPr>
            <w:r>
              <w:rPr>
                <w:sz w:val="18"/>
              </w:rPr>
              <w:t>3.76/1.80/0.17</w:t>
            </w:r>
          </w:p>
        </w:tc>
        <w:tc>
          <w:tcPr>
            <w:tcW w:w="1375" w:type="dxa"/>
            <w:tcBorders>
              <w:top w:val="nil"/>
              <w:left w:val="nil"/>
              <w:bottom w:val="nil"/>
              <w:right w:val="nil"/>
            </w:tcBorders>
          </w:tcPr>
          <w:p w14:paraId="7264653E" w14:textId="1AD92B9A" w:rsidR="003F73BD" w:rsidRPr="00BA03C9" w:rsidRDefault="003F73BD" w:rsidP="00A73E78">
            <w:pPr>
              <w:spacing w:after="0"/>
              <w:jc w:val="center"/>
              <w:rPr>
                <w:sz w:val="18"/>
              </w:rPr>
            </w:pPr>
            <w:r>
              <w:rPr>
                <w:sz w:val="18"/>
              </w:rPr>
              <w:t>20.5</w:t>
            </w:r>
          </w:p>
        </w:tc>
      </w:tr>
      <w:tr w:rsidR="00DD50BD" w14:paraId="1056C607" w14:textId="77777777" w:rsidTr="003F73BD">
        <w:tc>
          <w:tcPr>
            <w:tcW w:w="1134" w:type="dxa"/>
            <w:tcBorders>
              <w:top w:val="nil"/>
              <w:left w:val="nil"/>
              <w:right w:val="nil"/>
            </w:tcBorders>
            <w:vAlign w:val="center"/>
          </w:tcPr>
          <w:p w14:paraId="332FE380" w14:textId="7BE90D79" w:rsidR="00DD50BD" w:rsidRPr="00BA03C9" w:rsidRDefault="00DD50BD" w:rsidP="00DD50BD">
            <w:pPr>
              <w:spacing w:after="0"/>
              <w:rPr>
                <w:i/>
                <w:sz w:val="18"/>
              </w:rPr>
            </w:pPr>
            <w:r>
              <w:rPr>
                <w:i/>
                <w:sz w:val="18"/>
              </w:rPr>
              <w:t>P. menziesii</w:t>
            </w:r>
          </w:p>
        </w:tc>
        <w:tc>
          <w:tcPr>
            <w:tcW w:w="1134" w:type="dxa"/>
            <w:tcBorders>
              <w:top w:val="nil"/>
              <w:left w:val="nil"/>
              <w:right w:val="nil"/>
            </w:tcBorders>
          </w:tcPr>
          <w:p w14:paraId="4F376A22" w14:textId="384ACBFD" w:rsidR="00DD50BD" w:rsidRPr="00BA03C9" w:rsidRDefault="003F73BD" w:rsidP="00DD50BD">
            <w:pPr>
              <w:spacing w:after="0"/>
              <w:rPr>
                <w:sz w:val="18"/>
              </w:rPr>
            </w:pPr>
            <w:r>
              <w:rPr>
                <w:sz w:val="18"/>
              </w:rPr>
              <w:t>density</w:t>
            </w:r>
          </w:p>
        </w:tc>
        <w:tc>
          <w:tcPr>
            <w:tcW w:w="1560" w:type="dxa"/>
            <w:tcBorders>
              <w:top w:val="nil"/>
              <w:left w:val="nil"/>
              <w:right w:val="nil"/>
            </w:tcBorders>
            <w:vAlign w:val="center"/>
          </w:tcPr>
          <w:p w14:paraId="1BEF82E1" w14:textId="36B6D52B" w:rsidR="00DD50BD" w:rsidRDefault="00DD50BD" w:rsidP="00DD50BD">
            <w:pPr>
              <w:spacing w:after="0"/>
              <w:rPr>
                <w:sz w:val="18"/>
              </w:rPr>
            </w:pPr>
            <w:r>
              <w:rPr>
                <w:sz w:val="18"/>
              </w:rPr>
              <w:t>0.03/0.26/0.00</w:t>
            </w:r>
          </w:p>
        </w:tc>
        <w:tc>
          <w:tcPr>
            <w:tcW w:w="1559" w:type="dxa"/>
            <w:tcBorders>
              <w:top w:val="nil"/>
              <w:left w:val="nil"/>
              <w:right w:val="nil"/>
            </w:tcBorders>
            <w:vAlign w:val="center"/>
          </w:tcPr>
          <w:p w14:paraId="4E7CB420" w14:textId="1F1CA6EB" w:rsidR="00DD50BD" w:rsidRDefault="00DD50BD" w:rsidP="00DD50BD">
            <w:pPr>
              <w:spacing w:after="0"/>
              <w:rPr>
                <w:sz w:val="18"/>
              </w:rPr>
            </w:pPr>
            <w:r>
              <w:rPr>
                <w:sz w:val="18"/>
              </w:rPr>
              <w:t>0.09/0.33/0.05</w:t>
            </w:r>
          </w:p>
        </w:tc>
        <w:tc>
          <w:tcPr>
            <w:tcW w:w="2410" w:type="dxa"/>
            <w:tcBorders>
              <w:top w:val="nil"/>
              <w:left w:val="nil"/>
              <w:right w:val="nil"/>
            </w:tcBorders>
            <w:vAlign w:val="center"/>
          </w:tcPr>
          <w:p w14:paraId="211706EB" w14:textId="61568B12" w:rsidR="00DD50BD" w:rsidRDefault="003F73BD" w:rsidP="003F73BD">
            <w:pPr>
              <w:spacing w:after="0"/>
              <w:rPr>
                <w:sz w:val="18"/>
              </w:rPr>
            </w:pPr>
            <w:r>
              <w:rPr>
                <w:sz w:val="18"/>
              </w:rPr>
              <w:t>1.47/0.39/0.03</w:t>
            </w:r>
          </w:p>
        </w:tc>
        <w:tc>
          <w:tcPr>
            <w:tcW w:w="1375" w:type="dxa"/>
            <w:tcBorders>
              <w:top w:val="nil"/>
              <w:left w:val="nil"/>
              <w:right w:val="nil"/>
            </w:tcBorders>
            <w:vAlign w:val="center"/>
          </w:tcPr>
          <w:p w14:paraId="0B71304E" w14:textId="085A779E" w:rsidR="00DD50BD" w:rsidRDefault="00DD50BD" w:rsidP="00DD50BD">
            <w:pPr>
              <w:spacing w:after="0"/>
              <w:jc w:val="center"/>
              <w:rPr>
                <w:sz w:val="18"/>
              </w:rPr>
            </w:pPr>
            <w:r>
              <w:rPr>
                <w:sz w:val="18"/>
              </w:rPr>
              <w:t>10</w:t>
            </w:r>
          </w:p>
        </w:tc>
      </w:tr>
    </w:tbl>
    <w:p w14:paraId="059A68D5" w14:textId="40089DCB" w:rsidR="00E644A1" w:rsidRDefault="00E644A1" w:rsidP="00E644A1">
      <w:pPr>
        <w:rPr>
          <w:sz w:val="20"/>
        </w:rPr>
      </w:pPr>
    </w:p>
    <w:p w14:paraId="259A527C" w14:textId="77777777" w:rsidR="00BB1495" w:rsidRPr="00BB1495" w:rsidRDefault="00BB1495" w:rsidP="00E644A1">
      <w:pPr>
        <w:rPr>
          <w:sz w:val="20"/>
        </w:rPr>
      </w:pPr>
    </w:p>
    <w:p w14:paraId="1D6499F4" w14:textId="4A103710" w:rsidR="00A646ED" w:rsidRPr="00E644A1" w:rsidRDefault="00A646ED" w:rsidP="00E644A1">
      <w:pPr>
        <w:rPr>
          <w:b/>
          <w:lang w:val="en-GB"/>
        </w:rPr>
      </w:pPr>
      <w:r w:rsidRPr="00E644A1">
        <w:rPr>
          <w:b/>
          <w:lang w:val="en-GB"/>
        </w:rPr>
        <w:t>Comparison of APAR predictions: M</w:t>
      </w:r>
      <w:r w:rsidR="0066718A">
        <w:rPr>
          <w:b/>
          <w:lang w:val="en-GB"/>
        </w:rPr>
        <w:t>AESTRA</w:t>
      </w:r>
      <w:r w:rsidRPr="00E644A1">
        <w:rPr>
          <w:b/>
          <w:lang w:val="en-GB"/>
        </w:rPr>
        <w:t xml:space="preserve"> v</w:t>
      </w:r>
      <w:r w:rsidR="0066718A">
        <w:rPr>
          <w:b/>
          <w:lang w:val="en-GB"/>
        </w:rPr>
        <w:t>ersus</w:t>
      </w:r>
      <w:r w:rsidRPr="00E644A1">
        <w:rPr>
          <w:b/>
          <w:lang w:val="en-GB"/>
        </w:rPr>
        <w:t xml:space="preserve"> hemispherical photos</w:t>
      </w:r>
      <w:r w:rsidR="00FF3134" w:rsidRPr="00E644A1">
        <w:rPr>
          <w:b/>
          <w:lang w:val="en-GB"/>
        </w:rPr>
        <w:t xml:space="preserve"> </w:t>
      </w:r>
    </w:p>
    <w:p w14:paraId="0ED7A932" w14:textId="076A380B" w:rsidR="001A16D4" w:rsidRPr="00BB1495" w:rsidRDefault="00C531FB" w:rsidP="00BB1495">
      <w:pPr>
        <w:spacing w:after="0"/>
        <w:rPr>
          <w:rFonts w:cstheme="minorHAnsi"/>
          <w:sz w:val="20"/>
          <w:lang w:val="en-GB"/>
        </w:rPr>
      </w:pPr>
      <w:r w:rsidRPr="00BB1495">
        <w:rPr>
          <w:rFonts w:cstheme="minorHAnsi"/>
          <w:sz w:val="20"/>
          <w:lang w:val="en-GB"/>
        </w:rPr>
        <w:t xml:space="preserve">The APAR predictions from </w:t>
      </w:r>
      <w:r w:rsidR="0066718A" w:rsidRPr="00DC783C">
        <w:rPr>
          <w:sz w:val="20"/>
          <w:lang w:val="en-GB"/>
        </w:rPr>
        <w:t xml:space="preserve">MAESTRA </w:t>
      </w:r>
      <w:r w:rsidRPr="00BB1495">
        <w:rPr>
          <w:rFonts w:cstheme="minorHAnsi"/>
          <w:sz w:val="20"/>
          <w:lang w:val="en-GB"/>
        </w:rPr>
        <w:t>were validated using predictions obtained by analysing hemispherical photos. Hemispherical photos were taken</w:t>
      </w:r>
      <w:r w:rsidR="00EC7AFF" w:rsidRPr="00BB1495">
        <w:rPr>
          <w:rFonts w:cstheme="minorHAnsi"/>
          <w:sz w:val="20"/>
          <w:lang w:val="en-GB"/>
        </w:rPr>
        <w:t xml:space="preserve"> during the twilight phases</w:t>
      </w:r>
      <w:r w:rsidRPr="00BB1495">
        <w:rPr>
          <w:rFonts w:cstheme="minorHAnsi"/>
          <w:sz w:val="20"/>
          <w:lang w:val="en-GB"/>
        </w:rPr>
        <w:t xml:space="preserve"> </w:t>
      </w:r>
      <w:r w:rsidR="00E26398" w:rsidRPr="00BB1495">
        <w:rPr>
          <w:rFonts w:cstheme="minorHAnsi"/>
          <w:sz w:val="20"/>
          <w:lang w:val="en-GB"/>
        </w:rPr>
        <w:t>either before sunrise or after sunset since direct sunlight on hemispherical images will cause measurement errors.</w:t>
      </w:r>
      <w:r w:rsidR="00DF080A" w:rsidRPr="00BB1495">
        <w:rPr>
          <w:rFonts w:cstheme="minorHAnsi"/>
          <w:sz w:val="20"/>
          <w:lang w:val="en-GB"/>
        </w:rPr>
        <w:t xml:space="preserve"> The Nikon Coolpix 8400 digital</w:t>
      </w:r>
      <w:r w:rsidR="008B2508" w:rsidRPr="00BB1495">
        <w:rPr>
          <w:rFonts w:cstheme="minorHAnsi"/>
          <w:sz w:val="20"/>
          <w:lang w:val="en-GB"/>
        </w:rPr>
        <w:t xml:space="preserve"> camera with the Nikon FC-E9 46 </w:t>
      </w:r>
      <w:r w:rsidR="00DF080A" w:rsidRPr="00BB1495">
        <w:rPr>
          <w:rFonts w:cstheme="minorHAnsi"/>
          <w:sz w:val="20"/>
          <w:lang w:val="en-GB"/>
        </w:rPr>
        <w:t>mm fisheye lens was used for this purpose. The camera was fixed in a self-level</w:t>
      </w:r>
      <w:r w:rsidR="00E264B1" w:rsidRPr="00BB1495">
        <w:rPr>
          <w:rFonts w:cstheme="minorHAnsi"/>
          <w:sz w:val="20"/>
          <w:lang w:val="en-GB"/>
        </w:rPr>
        <w:t>l</w:t>
      </w:r>
      <w:r w:rsidR="00DF080A" w:rsidRPr="00BB1495">
        <w:rPr>
          <w:rFonts w:cstheme="minorHAnsi"/>
          <w:sz w:val="20"/>
          <w:lang w:val="en-GB"/>
        </w:rPr>
        <w:t>ing mount on a tripod and operated by a remote shutter release. The tripod was positioned so that the lens was at a height of 130</w:t>
      </w:r>
      <w:r w:rsidR="008B2508" w:rsidRPr="00BB1495">
        <w:rPr>
          <w:rFonts w:cstheme="minorHAnsi"/>
          <w:sz w:val="20"/>
          <w:lang w:val="en-GB"/>
        </w:rPr>
        <w:t> </w:t>
      </w:r>
      <w:r w:rsidR="00DF080A" w:rsidRPr="00BB1495">
        <w:rPr>
          <w:rFonts w:cstheme="minorHAnsi"/>
          <w:sz w:val="20"/>
          <w:lang w:val="en-GB"/>
        </w:rPr>
        <w:t>cm. The magnetic north of each viewpoint from the camera was captured by a red light at the edge of the image. The camera was placed in each plot in all four corners and the cent</w:t>
      </w:r>
      <w:r w:rsidR="005F495D" w:rsidRPr="00BB1495">
        <w:rPr>
          <w:rFonts w:cstheme="minorHAnsi"/>
          <w:sz w:val="20"/>
          <w:lang w:val="en-GB"/>
        </w:rPr>
        <w:t>re</w:t>
      </w:r>
      <w:r w:rsidR="00DF080A" w:rsidRPr="00BB1495">
        <w:rPr>
          <w:rFonts w:cstheme="minorHAnsi"/>
          <w:sz w:val="20"/>
          <w:lang w:val="en-GB"/>
        </w:rPr>
        <w:t xml:space="preserve">, and at least four images were taken per camera position. To minimize excessive capture of non-photosynthetically active material, the camera was placed </w:t>
      </w:r>
      <w:r w:rsidR="008B2508" w:rsidRPr="00BB1495">
        <w:rPr>
          <w:rFonts w:cstheme="minorHAnsi"/>
          <w:sz w:val="20"/>
          <w:lang w:val="en-GB"/>
        </w:rPr>
        <w:t>±</w:t>
      </w:r>
      <w:r w:rsidR="00DF080A" w:rsidRPr="00BB1495">
        <w:rPr>
          <w:rFonts w:cstheme="minorHAnsi"/>
          <w:sz w:val="20"/>
          <w:lang w:val="en-GB"/>
        </w:rPr>
        <w:t xml:space="preserve"> 50</w:t>
      </w:r>
      <w:r w:rsidR="008B2508" w:rsidRPr="00BB1495">
        <w:rPr>
          <w:rFonts w:cstheme="minorHAnsi"/>
          <w:sz w:val="20"/>
          <w:lang w:val="en-GB"/>
        </w:rPr>
        <w:t> </w:t>
      </w:r>
      <w:r w:rsidR="00DF080A" w:rsidRPr="00BB1495">
        <w:rPr>
          <w:rFonts w:cstheme="minorHAnsi"/>
          <w:sz w:val="20"/>
          <w:lang w:val="en-GB"/>
        </w:rPr>
        <w:t>cm from the nearest tree trunk.</w:t>
      </w:r>
      <w:r w:rsidR="001A16D4" w:rsidRPr="00BB1495">
        <w:rPr>
          <w:rFonts w:cstheme="minorHAnsi"/>
          <w:sz w:val="20"/>
          <w:lang w:val="en-GB"/>
        </w:rPr>
        <w:t xml:space="preserve"> The hemispherical photographs were </w:t>
      </w:r>
      <w:proofErr w:type="spellStart"/>
      <w:r w:rsidR="001A16D4" w:rsidRPr="00BB1495">
        <w:rPr>
          <w:rFonts w:cstheme="minorHAnsi"/>
          <w:sz w:val="20"/>
          <w:lang w:val="en-GB"/>
        </w:rPr>
        <w:t>analyzed</w:t>
      </w:r>
      <w:proofErr w:type="spellEnd"/>
      <w:r w:rsidR="001A16D4" w:rsidRPr="00BB1495">
        <w:rPr>
          <w:rFonts w:cstheme="minorHAnsi"/>
          <w:sz w:val="20"/>
          <w:lang w:val="en-GB"/>
        </w:rPr>
        <w:t xml:space="preserve"> using </w:t>
      </w:r>
      <w:r w:rsidR="001A16D4" w:rsidRPr="00BB1495">
        <w:rPr>
          <w:rFonts w:cstheme="minorHAnsi"/>
          <w:sz w:val="20"/>
          <w:lang w:val="en-GB"/>
        </w:rPr>
        <w:lastRenderedPageBreak/>
        <w:t xml:space="preserve">the </w:t>
      </w:r>
      <w:proofErr w:type="spellStart"/>
      <w:r w:rsidR="001A16D4" w:rsidRPr="00BB1495">
        <w:rPr>
          <w:rFonts w:cstheme="minorHAnsi"/>
          <w:sz w:val="20"/>
          <w:lang w:val="en-GB"/>
        </w:rPr>
        <w:t>Hemisfer</w:t>
      </w:r>
      <w:proofErr w:type="spellEnd"/>
      <w:r w:rsidR="001A16D4" w:rsidRPr="00BB1495">
        <w:rPr>
          <w:rFonts w:cstheme="minorHAnsi"/>
          <w:sz w:val="20"/>
          <w:lang w:val="en-GB"/>
        </w:rPr>
        <w:t xml:space="preserve"> program (WSL, </w:t>
      </w:r>
      <w:proofErr w:type="spellStart"/>
      <w:r w:rsidR="001A16D4" w:rsidRPr="00BB1495">
        <w:rPr>
          <w:rFonts w:cstheme="minorHAnsi"/>
          <w:sz w:val="20"/>
          <w:lang w:val="en-GB"/>
        </w:rPr>
        <w:t>Birmensdorf</w:t>
      </w:r>
      <w:proofErr w:type="spellEnd"/>
      <w:r w:rsidR="001A16D4" w:rsidRPr="00BB1495">
        <w:rPr>
          <w:rFonts w:cstheme="minorHAnsi"/>
          <w:sz w:val="20"/>
          <w:lang w:val="en-GB"/>
        </w:rPr>
        <w:t xml:space="preserve">, Switzerland; </w:t>
      </w:r>
      <w:r w:rsidR="007E2A59" w:rsidRPr="007E2A59">
        <w:rPr>
          <w:rFonts w:cstheme="minorHAnsi"/>
          <w:noProof/>
          <w:sz w:val="20"/>
          <w:lang w:val="en-GB"/>
        </w:rPr>
        <w:t>(Schleppi et al. 2007)</w:t>
      </w:r>
      <w:r w:rsidR="005F495D" w:rsidRPr="00BB1495">
        <w:rPr>
          <w:rFonts w:cstheme="minorHAnsi"/>
          <w:sz w:val="20"/>
          <w:lang w:val="en-GB"/>
        </w:rPr>
        <w:t>)</w:t>
      </w:r>
      <w:r w:rsidR="001A16D4" w:rsidRPr="00BB1495">
        <w:rPr>
          <w:rFonts w:cstheme="minorHAnsi"/>
          <w:sz w:val="20"/>
          <w:lang w:val="en-GB"/>
        </w:rPr>
        <w:t xml:space="preserve"> and dividing the images into six rings, each with a width of 14°. The outermost ring, which is closest to the horizon, was excluded from the analyses to reduce the effects of the understory or hillsides. The threshold for setting the contrast between vegetation and sky was determined by </w:t>
      </w:r>
      <w:proofErr w:type="spellStart"/>
      <w:r w:rsidR="001A16D4" w:rsidRPr="00BB1495">
        <w:rPr>
          <w:rFonts w:cstheme="minorHAnsi"/>
          <w:sz w:val="20"/>
          <w:lang w:val="en-GB"/>
        </w:rPr>
        <w:t>Hemisfer</w:t>
      </w:r>
      <w:proofErr w:type="spellEnd"/>
      <w:r w:rsidR="001A16D4" w:rsidRPr="00BB1495">
        <w:rPr>
          <w:rFonts w:cstheme="minorHAnsi"/>
          <w:sz w:val="20"/>
          <w:lang w:val="en-GB"/>
        </w:rPr>
        <w:t xml:space="preserve"> using the method</w:t>
      </w:r>
      <w:r w:rsidR="003C33DE" w:rsidRPr="00BB1495">
        <w:rPr>
          <w:rFonts w:cstheme="minorHAnsi"/>
          <w:sz w:val="20"/>
          <w:lang w:val="en-GB"/>
        </w:rPr>
        <w:t xml:space="preserve"> </w:t>
      </w:r>
      <w:bookmarkStart w:id="1" w:name="_GoBack"/>
      <w:r w:rsidR="003C33DE" w:rsidRPr="00BB1495">
        <w:rPr>
          <w:rFonts w:cstheme="minorHAnsi"/>
          <w:sz w:val="20"/>
          <w:lang w:val="en-GB"/>
        </w:rPr>
        <w:t xml:space="preserve">of </w:t>
      </w:r>
      <w:r w:rsidR="0046463F" w:rsidRPr="00BB1495">
        <w:rPr>
          <w:rFonts w:cstheme="minorHAnsi"/>
          <w:noProof/>
          <w:sz w:val="20"/>
          <w:lang w:val="en-GB"/>
        </w:rPr>
        <w:t xml:space="preserve">Nobis and Hunziker </w:t>
      </w:r>
      <w:r w:rsidR="00E264B1" w:rsidRPr="00BB1495">
        <w:rPr>
          <w:rFonts w:cstheme="minorHAnsi"/>
          <w:noProof/>
          <w:sz w:val="20"/>
          <w:lang w:val="en-GB"/>
        </w:rPr>
        <w:t>(</w:t>
      </w:r>
      <w:r w:rsidR="0046463F" w:rsidRPr="00BB1495">
        <w:rPr>
          <w:rFonts w:cstheme="minorHAnsi"/>
          <w:noProof/>
          <w:sz w:val="20"/>
          <w:lang w:val="en-GB"/>
        </w:rPr>
        <w:t>2005)</w:t>
      </w:r>
      <w:r w:rsidR="001A16D4" w:rsidRPr="00BB1495">
        <w:rPr>
          <w:rFonts w:cstheme="minorHAnsi"/>
          <w:sz w:val="20"/>
          <w:lang w:val="en-GB"/>
        </w:rPr>
        <w:t>.</w:t>
      </w:r>
    </w:p>
    <w:bookmarkEnd w:id="1"/>
    <w:p w14:paraId="3772E04F" w14:textId="45740459" w:rsidR="00A646ED" w:rsidRPr="00BB1495" w:rsidRDefault="00A646ED" w:rsidP="00BB1495">
      <w:pPr>
        <w:spacing w:after="0"/>
        <w:rPr>
          <w:rFonts w:cstheme="minorHAnsi"/>
          <w:sz w:val="20"/>
          <w:lang w:val="en-GB"/>
        </w:rPr>
      </w:pPr>
    </w:p>
    <w:p w14:paraId="38923026" w14:textId="59D05C51" w:rsidR="00870BD2" w:rsidRDefault="00870BD2" w:rsidP="00BB1495">
      <w:pPr>
        <w:spacing w:after="0"/>
        <w:rPr>
          <w:rFonts w:cstheme="minorHAnsi"/>
          <w:sz w:val="20"/>
          <w:lang w:val="en-GB"/>
        </w:rPr>
      </w:pPr>
      <w:r w:rsidRPr="00BB1495">
        <w:rPr>
          <w:rFonts w:cstheme="minorHAnsi"/>
          <w:sz w:val="20"/>
          <w:lang w:val="en-GB"/>
        </w:rPr>
        <w:t xml:space="preserve">The photos were analysed from </w:t>
      </w:r>
      <w:r w:rsidR="00B6585A">
        <w:rPr>
          <w:rFonts w:cstheme="minorHAnsi"/>
          <w:sz w:val="20"/>
          <w:lang w:val="en-GB"/>
        </w:rPr>
        <w:t xml:space="preserve">the </w:t>
      </w:r>
      <w:r w:rsidRPr="00BB1495">
        <w:rPr>
          <w:rFonts w:cstheme="minorHAnsi"/>
          <w:sz w:val="20"/>
          <w:lang w:val="en-GB"/>
        </w:rPr>
        <w:t xml:space="preserve">Julian day when the </w:t>
      </w:r>
      <w:r w:rsidRPr="00BB1495">
        <w:rPr>
          <w:rFonts w:cstheme="minorHAnsi"/>
          <w:i/>
          <w:sz w:val="20"/>
          <w:lang w:val="en-GB"/>
        </w:rPr>
        <w:t>F. sylvatica</w:t>
      </w:r>
      <w:r w:rsidRPr="00BB1495">
        <w:rPr>
          <w:rFonts w:cstheme="minorHAnsi"/>
          <w:sz w:val="20"/>
          <w:lang w:val="en-GB"/>
        </w:rPr>
        <w:t xml:space="preserve"> leaves began absorbing PAR until </w:t>
      </w:r>
      <w:r w:rsidR="00B6585A">
        <w:rPr>
          <w:rFonts w:cstheme="minorHAnsi"/>
          <w:sz w:val="20"/>
          <w:lang w:val="en-GB"/>
        </w:rPr>
        <w:t xml:space="preserve">the </w:t>
      </w:r>
      <w:r w:rsidRPr="00BB1495">
        <w:rPr>
          <w:rFonts w:cstheme="minorHAnsi"/>
          <w:sz w:val="20"/>
          <w:lang w:val="en-GB"/>
        </w:rPr>
        <w:t xml:space="preserve">Julian day when they stopped absorbing PAR </w:t>
      </w:r>
      <w:r w:rsidR="00F516F2" w:rsidRPr="00BB1495">
        <w:rPr>
          <w:rFonts w:cstheme="minorHAnsi"/>
          <w:sz w:val="20"/>
          <w:lang w:val="en-GB"/>
        </w:rPr>
        <w:t>as indicated in Table A</w:t>
      </w:r>
      <w:r w:rsidR="005F1F85" w:rsidRPr="00BB1495">
        <w:rPr>
          <w:rFonts w:cstheme="minorHAnsi"/>
          <w:sz w:val="20"/>
          <w:lang w:val="en-GB"/>
        </w:rPr>
        <w:t>4</w:t>
      </w:r>
      <w:r w:rsidR="00F516F2" w:rsidRPr="00BB1495">
        <w:rPr>
          <w:rFonts w:cstheme="minorHAnsi"/>
          <w:sz w:val="20"/>
          <w:lang w:val="en-GB"/>
        </w:rPr>
        <w:t xml:space="preserve">. </w:t>
      </w:r>
      <w:r w:rsidRPr="00BB1495">
        <w:rPr>
          <w:rFonts w:cstheme="minorHAnsi"/>
          <w:sz w:val="20"/>
          <w:lang w:val="en-GB"/>
        </w:rPr>
        <w:t xml:space="preserve">The total proportion of PAR (direct and diffuse) that was absorbed by the canopy was output from </w:t>
      </w:r>
      <w:proofErr w:type="spellStart"/>
      <w:r w:rsidRPr="00BB1495">
        <w:rPr>
          <w:rFonts w:cstheme="minorHAnsi"/>
          <w:sz w:val="20"/>
          <w:lang w:val="en-GB"/>
        </w:rPr>
        <w:t>Hemisfer</w:t>
      </w:r>
      <w:proofErr w:type="spellEnd"/>
      <w:r w:rsidRPr="00BB1495">
        <w:rPr>
          <w:rFonts w:cstheme="minorHAnsi"/>
          <w:sz w:val="20"/>
          <w:lang w:val="en-GB"/>
        </w:rPr>
        <w:t xml:space="preserve"> as the global light index (also called gap light index, GLI). The mean GLI from each plot was calculated and converted to APAR for the whole summer, the whole year and the difference between them as </w:t>
      </w:r>
      <w:r w:rsidR="00101B26" w:rsidRPr="00BB1495">
        <w:rPr>
          <w:rFonts w:cstheme="minorHAnsi"/>
          <w:sz w:val="20"/>
          <w:lang w:val="en-GB"/>
        </w:rPr>
        <w:t xml:space="preserve">the </w:t>
      </w:r>
      <w:r w:rsidRPr="00BB1495">
        <w:rPr>
          <w:rFonts w:cstheme="minorHAnsi"/>
          <w:sz w:val="20"/>
          <w:lang w:val="en-GB"/>
        </w:rPr>
        <w:t>winter period</w:t>
      </w:r>
      <w:r w:rsidR="00AE03DF" w:rsidRPr="00BB1495">
        <w:rPr>
          <w:rFonts w:cstheme="minorHAnsi"/>
          <w:sz w:val="20"/>
          <w:lang w:val="en-GB"/>
        </w:rPr>
        <w:t>,</w:t>
      </w:r>
      <w:r w:rsidRPr="00BB1495">
        <w:rPr>
          <w:rFonts w:cstheme="minorHAnsi"/>
          <w:sz w:val="20"/>
          <w:lang w:val="en-GB"/>
        </w:rPr>
        <w:t xml:space="preserve"> by multiplying the PAR during the given period by 1</w:t>
      </w:r>
      <w:r w:rsidR="008B2508" w:rsidRPr="00BB1495">
        <w:rPr>
          <w:rFonts w:cstheme="minorHAnsi"/>
          <w:sz w:val="20"/>
          <w:lang w:val="en-GB"/>
        </w:rPr>
        <w:t> – </w:t>
      </w:r>
      <w:r w:rsidRPr="00BB1495">
        <w:rPr>
          <w:rFonts w:cstheme="minorHAnsi"/>
          <w:sz w:val="20"/>
          <w:lang w:val="en-GB"/>
        </w:rPr>
        <w:t xml:space="preserve">GLI. </w:t>
      </w:r>
      <w:r w:rsidR="00DC1B3C" w:rsidRPr="00BB1495">
        <w:rPr>
          <w:rFonts w:cstheme="minorHAnsi"/>
          <w:sz w:val="20"/>
          <w:lang w:val="en-GB"/>
        </w:rPr>
        <w:t xml:space="preserve">We performed this conversion for PAR values from 3 years (2014-2016) at these sites. </w:t>
      </w:r>
      <w:r w:rsidRPr="00BB1495">
        <w:rPr>
          <w:rFonts w:cstheme="minorHAnsi"/>
          <w:sz w:val="20"/>
          <w:lang w:val="en-GB"/>
        </w:rPr>
        <w:t>This APAR (APAR</w:t>
      </w:r>
      <w:r w:rsidRPr="00BB1495">
        <w:rPr>
          <w:rFonts w:cstheme="minorHAnsi"/>
          <w:sz w:val="20"/>
          <w:vertAlign w:val="subscript"/>
          <w:lang w:val="en-GB"/>
        </w:rPr>
        <w:t>H</w:t>
      </w:r>
      <w:r w:rsidRPr="00BB1495">
        <w:rPr>
          <w:rFonts w:cstheme="minorHAnsi"/>
          <w:sz w:val="20"/>
          <w:lang w:val="en-GB"/>
        </w:rPr>
        <w:t xml:space="preserve">) was compared with the APAR predicted using </w:t>
      </w:r>
      <w:r w:rsidR="0066718A" w:rsidRPr="00DC783C">
        <w:rPr>
          <w:sz w:val="20"/>
          <w:lang w:val="en-GB"/>
        </w:rPr>
        <w:t xml:space="preserve">MAESTRA </w:t>
      </w:r>
      <w:r w:rsidRPr="00BB1495">
        <w:rPr>
          <w:rFonts w:cstheme="minorHAnsi"/>
          <w:sz w:val="20"/>
          <w:lang w:val="en-GB"/>
        </w:rPr>
        <w:t>over the same period (APAR</w:t>
      </w:r>
      <w:r w:rsidRPr="00BB1495">
        <w:rPr>
          <w:rFonts w:cstheme="minorHAnsi"/>
          <w:sz w:val="20"/>
          <w:vertAlign w:val="subscript"/>
          <w:lang w:val="en-GB"/>
        </w:rPr>
        <w:t>M</w:t>
      </w:r>
      <w:r w:rsidRPr="00BB1495">
        <w:rPr>
          <w:rFonts w:cstheme="minorHAnsi"/>
          <w:sz w:val="20"/>
          <w:lang w:val="en-GB"/>
        </w:rPr>
        <w:t>).</w:t>
      </w:r>
    </w:p>
    <w:p w14:paraId="388E62D4" w14:textId="77777777" w:rsidR="00103B4E" w:rsidRPr="00BB1495" w:rsidRDefault="00103B4E" w:rsidP="00BB1495">
      <w:pPr>
        <w:spacing w:after="0"/>
        <w:rPr>
          <w:rFonts w:cstheme="minorHAnsi"/>
          <w:sz w:val="20"/>
          <w:lang w:val="en-GB"/>
        </w:rPr>
      </w:pPr>
    </w:p>
    <w:p w14:paraId="11460CBD" w14:textId="5886A106" w:rsidR="00F516F2" w:rsidRPr="00BB1495" w:rsidRDefault="00D115F2" w:rsidP="00C72535">
      <w:pPr>
        <w:spacing w:after="0" w:line="240" w:lineRule="auto"/>
        <w:rPr>
          <w:rFonts w:cstheme="minorHAnsi"/>
          <w:sz w:val="18"/>
          <w:szCs w:val="20"/>
          <w:lang w:val="en-GB"/>
        </w:rPr>
      </w:pPr>
      <w:r w:rsidRPr="00BB1495">
        <w:rPr>
          <w:rFonts w:cstheme="minorHAnsi"/>
          <w:b/>
          <w:sz w:val="18"/>
          <w:szCs w:val="20"/>
          <w:lang w:val="en-GB"/>
        </w:rPr>
        <w:t>Table A4</w:t>
      </w:r>
      <w:r w:rsidR="00F516F2" w:rsidRPr="00BB1495">
        <w:rPr>
          <w:rFonts w:cstheme="minorHAnsi"/>
          <w:sz w:val="18"/>
          <w:szCs w:val="20"/>
          <w:lang w:val="en-GB"/>
        </w:rPr>
        <w:t xml:space="preserve"> </w:t>
      </w:r>
      <w:r w:rsidR="00F516F2" w:rsidRPr="00BB1495">
        <w:rPr>
          <w:rFonts w:cstheme="minorHAnsi"/>
          <w:sz w:val="18"/>
          <w:szCs w:val="20"/>
        </w:rPr>
        <w:t>DOY (Day of the year) are the Julian days of the year that define the growing season</w:t>
      </w:r>
      <w:r w:rsidR="00C72535" w:rsidRPr="00BB1495">
        <w:rPr>
          <w:rFonts w:cstheme="minorHAnsi"/>
          <w:sz w:val="18"/>
          <w:szCs w:val="20"/>
        </w:rPr>
        <w:t xml:space="preserve"> (obtained from local foresters)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639"/>
        <w:gridCol w:w="1559"/>
      </w:tblGrid>
      <w:tr w:rsidR="009176CB" w14:paraId="5E8A05CB" w14:textId="77777777" w:rsidTr="00F516F2">
        <w:tc>
          <w:tcPr>
            <w:tcW w:w="2184" w:type="dxa"/>
            <w:tcBorders>
              <w:top w:val="single" w:sz="4" w:space="0" w:color="auto"/>
              <w:bottom w:val="single" w:sz="4" w:space="0" w:color="auto"/>
            </w:tcBorders>
          </w:tcPr>
          <w:p w14:paraId="4308A7D3" w14:textId="3D3DABCE" w:rsidR="009176CB" w:rsidRPr="00BB1495" w:rsidRDefault="009176CB" w:rsidP="009176CB">
            <w:pPr>
              <w:rPr>
                <w:rFonts w:cstheme="minorHAnsi"/>
                <w:sz w:val="18"/>
                <w:szCs w:val="20"/>
                <w:lang w:val="en-GB"/>
              </w:rPr>
            </w:pPr>
            <w:r w:rsidRPr="00BB1495">
              <w:rPr>
                <w:sz w:val="18"/>
                <w:szCs w:val="20"/>
                <w:lang w:val="en-GB"/>
              </w:rPr>
              <w:t>Experimental location</w:t>
            </w:r>
          </w:p>
        </w:tc>
        <w:tc>
          <w:tcPr>
            <w:tcW w:w="1639" w:type="dxa"/>
            <w:tcBorders>
              <w:top w:val="single" w:sz="4" w:space="0" w:color="auto"/>
              <w:bottom w:val="single" w:sz="4" w:space="0" w:color="auto"/>
            </w:tcBorders>
          </w:tcPr>
          <w:p w14:paraId="3E1B151B" w14:textId="2A00ECD8" w:rsidR="009176CB" w:rsidRPr="00BB1495" w:rsidRDefault="00B6585A" w:rsidP="009176CB">
            <w:pPr>
              <w:rPr>
                <w:rFonts w:cstheme="minorHAnsi"/>
                <w:sz w:val="18"/>
                <w:szCs w:val="20"/>
                <w:lang w:val="en-GB"/>
              </w:rPr>
            </w:pPr>
            <w:r>
              <w:rPr>
                <w:rFonts w:eastAsia="Times New Roman" w:cs="Times New Roman"/>
                <w:sz w:val="18"/>
                <w:szCs w:val="20"/>
                <w:lang w:val="en-US" w:eastAsia="de-DE"/>
              </w:rPr>
              <w:t>Julian day</w:t>
            </w:r>
            <w:r w:rsidRPr="00BB1495">
              <w:rPr>
                <w:rFonts w:eastAsia="Times New Roman" w:cs="Times New Roman"/>
                <w:sz w:val="18"/>
                <w:szCs w:val="20"/>
                <w:lang w:val="en-US" w:eastAsia="de-DE"/>
              </w:rPr>
              <w:t xml:space="preserve"> </w:t>
            </w:r>
            <w:r w:rsidR="009176CB" w:rsidRPr="00BB1495">
              <w:rPr>
                <w:rFonts w:eastAsia="Times New Roman" w:cs="Times New Roman"/>
                <w:sz w:val="18"/>
                <w:szCs w:val="20"/>
                <w:lang w:val="en-US" w:eastAsia="de-DE"/>
              </w:rPr>
              <w:t>leaves begin absorbing PAR</w:t>
            </w:r>
          </w:p>
        </w:tc>
        <w:tc>
          <w:tcPr>
            <w:tcW w:w="1559" w:type="dxa"/>
            <w:tcBorders>
              <w:top w:val="single" w:sz="4" w:space="0" w:color="auto"/>
              <w:bottom w:val="single" w:sz="4" w:space="0" w:color="auto"/>
            </w:tcBorders>
          </w:tcPr>
          <w:p w14:paraId="30058347" w14:textId="01E64A39" w:rsidR="009176CB" w:rsidRPr="00BB1495" w:rsidRDefault="00B6585A" w:rsidP="009176CB">
            <w:pPr>
              <w:rPr>
                <w:rFonts w:cstheme="minorHAnsi"/>
                <w:sz w:val="18"/>
                <w:szCs w:val="20"/>
                <w:lang w:val="en-GB"/>
              </w:rPr>
            </w:pPr>
            <w:r>
              <w:rPr>
                <w:rFonts w:eastAsia="Times New Roman" w:cs="Times New Roman"/>
                <w:sz w:val="18"/>
                <w:szCs w:val="20"/>
                <w:lang w:val="en-US" w:eastAsia="de-DE"/>
              </w:rPr>
              <w:t>Julian day</w:t>
            </w:r>
            <w:r w:rsidRPr="00BB1495">
              <w:rPr>
                <w:rFonts w:eastAsia="Times New Roman" w:cs="Times New Roman"/>
                <w:sz w:val="18"/>
                <w:szCs w:val="20"/>
                <w:lang w:val="en-US" w:eastAsia="de-DE"/>
              </w:rPr>
              <w:t xml:space="preserve"> </w:t>
            </w:r>
            <w:r w:rsidR="009176CB" w:rsidRPr="00BB1495">
              <w:rPr>
                <w:rFonts w:eastAsia="Times New Roman" w:cs="Times New Roman"/>
                <w:sz w:val="18"/>
                <w:szCs w:val="20"/>
                <w:lang w:val="en-US" w:eastAsia="de-DE"/>
              </w:rPr>
              <w:t>leaves stop absorbing PAR</w:t>
            </w:r>
          </w:p>
        </w:tc>
      </w:tr>
      <w:tr w:rsidR="009176CB" w14:paraId="6E8504B9" w14:textId="77777777" w:rsidTr="00F516F2">
        <w:tc>
          <w:tcPr>
            <w:tcW w:w="2184" w:type="dxa"/>
            <w:tcBorders>
              <w:top w:val="single" w:sz="4" w:space="0" w:color="auto"/>
            </w:tcBorders>
          </w:tcPr>
          <w:p w14:paraId="0D50DC18" w14:textId="01F4D249" w:rsidR="009176CB" w:rsidRPr="00BB1495" w:rsidRDefault="009176CB" w:rsidP="009176CB">
            <w:pPr>
              <w:rPr>
                <w:rFonts w:cstheme="minorHAnsi"/>
                <w:sz w:val="18"/>
                <w:szCs w:val="20"/>
                <w:lang w:val="en-GB"/>
              </w:rPr>
            </w:pPr>
            <w:proofErr w:type="spellStart"/>
            <w:r w:rsidRPr="00BB1495">
              <w:rPr>
                <w:sz w:val="18"/>
                <w:szCs w:val="20"/>
                <w:lang w:val="en-GB"/>
              </w:rPr>
              <w:t>Gramschatzer</w:t>
            </w:r>
            <w:proofErr w:type="spellEnd"/>
            <w:r w:rsidRPr="00BB1495">
              <w:rPr>
                <w:sz w:val="18"/>
                <w:szCs w:val="20"/>
                <w:lang w:val="en-GB"/>
              </w:rPr>
              <w:t xml:space="preserve"> Wald</w:t>
            </w:r>
          </w:p>
        </w:tc>
        <w:tc>
          <w:tcPr>
            <w:tcW w:w="1639" w:type="dxa"/>
            <w:tcBorders>
              <w:top w:val="single" w:sz="4" w:space="0" w:color="auto"/>
            </w:tcBorders>
          </w:tcPr>
          <w:p w14:paraId="7218400F" w14:textId="58EB21D8" w:rsidR="009176CB" w:rsidRPr="00BB1495" w:rsidRDefault="009176CB" w:rsidP="009176CB">
            <w:pPr>
              <w:rPr>
                <w:rFonts w:cstheme="minorHAnsi"/>
                <w:sz w:val="18"/>
                <w:szCs w:val="20"/>
                <w:lang w:val="en-GB"/>
              </w:rPr>
            </w:pPr>
            <w:r w:rsidRPr="00BB1495">
              <w:rPr>
                <w:rFonts w:cstheme="minorHAnsi"/>
                <w:sz w:val="18"/>
                <w:szCs w:val="20"/>
                <w:lang w:val="en-GB"/>
              </w:rPr>
              <w:t>111</w:t>
            </w:r>
          </w:p>
        </w:tc>
        <w:tc>
          <w:tcPr>
            <w:tcW w:w="1559" w:type="dxa"/>
            <w:tcBorders>
              <w:top w:val="single" w:sz="4" w:space="0" w:color="auto"/>
            </w:tcBorders>
          </w:tcPr>
          <w:p w14:paraId="275E7A42" w14:textId="0BD5F831" w:rsidR="009176CB" w:rsidRPr="00BB1495" w:rsidRDefault="009176CB" w:rsidP="009176CB">
            <w:pPr>
              <w:rPr>
                <w:rFonts w:cstheme="minorHAnsi"/>
                <w:sz w:val="18"/>
                <w:szCs w:val="20"/>
                <w:lang w:val="en-GB"/>
              </w:rPr>
            </w:pPr>
            <w:r w:rsidRPr="00BB1495">
              <w:rPr>
                <w:rFonts w:cstheme="minorHAnsi"/>
                <w:sz w:val="18"/>
                <w:szCs w:val="20"/>
                <w:lang w:val="en-GB"/>
              </w:rPr>
              <w:t>303</w:t>
            </w:r>
          </w:p>
        </w:tc>
      </w:tr>
      <w:tr w:rsidR="009176CB" w14:paraId="490641DA" w14:textId="77777777" w:rsidTr="00F516F2">
        <w:tc>
          <w:tcPr>
            <w:tcW w:w="2184" w:type="dxa"/>
          </w:tcPr>
          <w:p w14:paraId="7CAF4FA1" w14:textId="2833E2D5" w:rsidR="009176CB" w:rsidRPr="00BB1495" w:rsidRDefault="009176CB" w:rsidP="009176CB">
            <w:pPr>
              <w:rPr>
                <w:rFonts w:cstheme="minorHAnsi"/>
                <w:sz w:val="18"/>
                <w:szCs w:val="20"/>
                <w:lang w:val="en-GB"/>
              </w:rPr>
            </w:pPr>
            <w:proofErr w:type="spellStart"/>
            <w:r w:rsidRPr="00BB1495">
              <w:rPr>
                <w:sz w:val="18"/>
                <w:szCs w:val="20"/>
                <w:lang w:val="en-GB"/>
              </w:rPr>
              <w:t>Hirschwald</w:t>
            </w:r>
            <w:proofErr w:type="spellEnd"/>
          </w:p>
        </w:tc>
        <w:tc>
          <w:tcPr>
            <w:tcW w:w="1639" w:type="dxa"/>
          </w:tcPr>
          <w:p w14:paraId="6C8ECCCB" w14:textId="37852CBC" w:rsidR="009176CB" w:rsidRPr="00BB1495" w:rsidRDefault="009176CB" w:rsidP="009176CB">
            <w:pPr>
              <w:rPr>
                <w:rFonts w:cstheme="minorHAnsi"/>
                <w:sz w:val="18"/>
                <w:szCs w:val="20"/>
                <w:lang w:val="en-GB"/>
              </w:rPr>
            </w:pPr>
            <w:r w:rsidRPr="00BB1495">
              <w:rPr>
                <w:rFonts w:cstheme="minorHAnsi"/>
                <w:sz w:val="18"/>
                <w:szCs w:val="20"/>
                <w:lang w:val="en-GB"/>
              </w:rPr>
              <w:t>111</w:t>
            </w:r>
          </w:p>
        </w:tc>
        <w:tc>
          <w:tcPr>
            <w:tcW w:w="1559" w:type="dxa"/>
          </w:tcPr>
          <w:p w14:paraId="3D538AF2" w14:textId="0CDA9100" w:rsidR="009176CB" w:rsidRPr="00BB1495" w:rsidRDefault="009176CB" w:rsidP="009176CB">
            <w:pPr>
              <w:rPr>
                <w:rFonts w:cstheme="minorHAnsi"/>
                <w:sz w:val="18"/>
                <w:szCs w:val="20"/>
                <w:lang w:val="en-GB"/>
              </w:rPr>
            </w:pPr>
            <w:r w:rsidRPr="00BB1495">
              <w:rPr>
                <w:rFonts w:cstheme="minorHAnsi"/>
                <w:sz w:val="18"/>
                <w:szCs w:val="20"/>
                <w:lang w:val="en-GB"/>
              </w:rPr>
              <w:t>303</w:t>
            </w:r>
          </w:p>
        </w:tc>
      </w:tr>
      <w:tr w:rsidR="009176CB" w14:paraId="3AD29521" w14:textId="77777777" w:rsidTr="00F516F2">
        <w:tc>
          <w:tcPr>
            <w:tcW w:w="2184" w:type="dxa"/>
          </w:tcPr>
          <w:p w14:paraId="5183038A" w14:textId="6991D494" w:rsidR="009176CB" w:rsidRPr="00BB1495" w:rsidRDefault="009176CB" w:rsidP="009176CB">
            <w:pPr>
              <w:rPr>
                <w:rFonts w:cstheme="minorHAnsi"/>
                <w:sz w:val="18"/>
                <w:szCs w:val="20"/>
                <w:lang w:val="en-GB"/>
              </w:rPr>
            </w:pPr>
            <w:proofErr w:type="spellStart"/>
            <w:r w:rsidRPr="00BB1495">
              <w:rPr>
                <w:sz w:val="18"/>
                <w:szCs w:val="20"/>
                <w:lang w:val="en-GB"/>
              </w:rPr>
              <w:t>Walkertshofen</w:t>
            </w:r>
            <w:proofErr w:type="spellEnd"/>
          </w:p>
        </w:tc>
        <w:tc>
          <w:tcPr>
            <w:tcW w:w="1639" w:type="dxa"/>
          </w:tcPr>
          <w:p w14:paraId="2A2B9DC6" w14:textId="4BA6D8DF" w:rsidR="009176CB" w:rsidRPr="00BB1495" w:rsidRDefault="009176CB" w:rsidP="009176CB">
            <w:pPr>
              <w:rPr>
                <w:rFonts w:cstheme="minorHAnsi"/>
                <w:sz w:val="18"/>
                <w:szCs w:val="20"/>
                <w:lang w:val="en-GB"/>
              </w:rPr>
            </w:pPr>
            <w:r w:rsidRPr="00BB1495">
              <w:rPr>
                <w:rFonts w:cstheme="minorHAnsi"/>
                <w:sz w:val="18"/>
                <w:szCs w:val="20"/>
                <w:lang w:val="en-GB"/>
              </w:rPr>
              <w:t>119</w:t>
            </w:r>
          </w:p>
        </w:tc>
        <w:tc>
          <w:tcPr>
            <w:tcW w:w="1559" w:type="dxa"/>
          </w:tcPr>
          <w:p w14:paraId="66508A32" w14:textId="456E0867" w:rsidR="009176CB" w:rsidRPr="00BB1495" w:rsidRDefault="009176CB" w:rsidP="009176CB">
            <w:pPr>
              <w:rPr>
                <w:rFonts w:cstheme="minorHAnsi"/>
                <w:sz w:val="18"/>
                <w:szCs w:val="20"/>
                <w:lang w:val="en-GB"/>
              </w:rPr>
            </w:pPr>
            <w:r w:rsidRPr="00BB1495">
              <w:rPr>
                <w:rFonts w:cstheme="minorHAnsi"/>
                <w:sz w:val="18"/>
                <w:szCs w:val="20"/>
                <w:lang w:val="en-GB"/>
              </w:rPr>
              <w:t>294</w:t>
            </w:r>
          </w:p>
        </w:tc>
      </w:tr>
    </w:tbl>
    <w:p w14:paraId="4D141928" w14:textId="3B501BB0" w:rsidR="00A646ED" w:rsidRPr="00BB1495" w:rsidRDefault="00A646ED" w:rsidP="00A646ED">
      <w:pPr>
        <w:rPr>
          <w:rFonts w:cstheme="minorHAnsi"/>
          <w:sz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646ED" w14:paraId="3D62FCA7" w14:textId="77777777" w:rsidTr="00C27D23">
        <w:tc>
          <w:tcPr>
            <w:tcW w:w="9062" w:type="dxa"/>
          </w:tcPr>
          <w:p w14:paraId="1715E0EF" w14:textId="77777777" w:rsidR="00A646ED" w:rsidRDefault="00A646ED" w:rsidP="00F046F6">
            <w:pPr>
              <w:jc w:val="center"/>
            </w:pPr>
            <w:r>
              <w:rPr>
                <w:noProof/>
                <w:lang w:val="en-IN" w:eastAsia="en-IN"/>
              </w:rPr>
              <w:drawing>
                <wp:inline distT="0" distB="0" distL="0" distR="0" wp14:anchorId="6E27C6B2" wp14:editId="06FE9FD1">
                  <wp:extent cx="4587903" cy="4587903"/>
                  <wp:effectExtent l="0" t="0" r="317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plot01.tiff"/>
                          <pic:cNvPicPr/>
                        </pic:nvPicPr>
                        <pic:blipFill>
                          <a:blip r:embed="rId8">
                            <a:extLst>
                              <a:ext uri="{28A0092B-C50C-407E-A947-70E740481C1C}">
                                <a14:useLocalDpi xmlns:a14="http://schemas.microsoft.com/office/drawing/2010/main" val="0"/>
                              </a:ext>
                            </a:extLst>
                          </a:blip>
                          <a:stretch>
                            <a:fillRect/>
                          </a:stretch>
                        </pic:blipFill>
                        <pic:spPr>
                          <a:xfrm>
                            <a:off x="0" y="0"/>
                            <a:ext cx="4591199" cy="4591199"/>
                          </a:xfrm>
                          <a:prstGeom prst="rect">
                            <a:avLst/>
                          </a:prstGeom>
                        </pic:spPr>
                      </pic:pic>
                    </a:graphicData>
                  </a:graphic>
                </wp:inline>
              </w:drawing>
            </w:r>
          </w:p>
        </w:tc>
      </w:tr>
    </w:tbl>
    <w:p w14:paraId="2183FE56" w14:textId="29726645" w:rsidR="00146125" w:rsidRPr="00BB1495" w:rsidRDefault="00C27D23" w:rsidP="00475E7C">
      <w:pPr>
        <w:spacing w:after="0" w:line="240" w:lineRule="auto"/>
        <w:rPr>
          <w:rFonts w:cstheme="minorHAnsi"/>
          <w:sz w:val="18"/>
          <w:lang w:val="en-GB"/>
        </w:rPr>
      </w:pPr>
      <w:r w:rsidRPr="00BB1495">
        <w:rPr>
          <w:rFonts w:cstheme="minorHAnsi"/>
          <w:b/>
          <w:sz w:val="18"/>
          <w:lang w:val="en-GB"/>
        </w:rPr>
        <w:t>Fig</w:t>
      </w:r>
      <w:r w:rsidR="00940909" w:rsidRPr="00BB1495">
        <w:rPr>
          <w:rFonts w:cstheme="minorHAnsi"/>
          <w:b/>
          <w:sz w:val="18"/>
          <w:lang w:val="en-GB"/>
        </w:rPr>
        <w:t>.</w:t>
      </w:r>
      <w:r w:rsidRPr="00BB1495">
        <w:rPr>
          <w:rFonts w:cstheme="minorHAnsi"/>
          <w:b/>
          <w:sz w:val="18"/>
          <w:lang w:val="en-GB"/>
        </w:rPr>
        <w:t xml:space="preserve"> A1</w:t>
      </w:r>
      <w:r w:rsidR="00146125" w:rsidRPr="00BB1495">
        <w:rPr>
          <w:rFonts w:cstheme="minorHAnsi"/>
          <w:sz w:val="18"/>
          <w:lang w:val="en-GB"/>
        </w:rPr>
        <w:t xml:space="preserve"> The relationship between the APAR predicted using M</w:t>
      </w:r>
      <w:r w:rsidR="0066718A">
        <w:rPr>
          <w:rFonts w:cstheme="minorHAnsi"/>
          <w:sz w:val="18"/>
          <w:lang w:val="en-GB"/>
        </w:rPr>
        <w:t>AESTRA</w:t>
      </w:r>
      <w:r w:rsidR="00146125" w:rsidRPr="00BB1495">
        <w:rPr>
          <w:rFonts w:cstheme="minorHAnsi"/>
          <w:sz w:val="18"/>
          <w:lang w:val="en-GB"/>
        </w:rPr>
        <w:t xml:space="preserve"> (APAR</w:t>
      </w:r>
      <w:r w:rsidR="00146125" w:rsidRPr="00BB1495">
        <w:rPr>
          <w:rFonts w:cstheme="minorHAnsi"/>
          <w:sz w:val="18"/>
          <w:vertAlign w:val="subscript"/>
          <w:lang w:val="en-GB"/>
        </w:rPr>
        <w:t>M</w:t>
      </w:r>
      <w:r w:rsidR="00146125" w:rsidRPr="00BB1495">
        <w:rPr>
          <w:rFonts w:cstheme="minorHAnsi"/>
          <w:sz w:val="18"/>
          <w:lang w:val="en-GB"/>
        </w:rPr>
        <w:t>) and the APAR predicted using hemispherical photos (APAR</w:t>
      </w:r>
      <w:r w:rsidR="00146125" w:rsidRPr="00BB1495">
        <w:rPr>
          <w:rFonts w:cstheme="minorHAnsi"/>
          <w:sz w:val="18"/>
          <w:vertAlign w:val="subscript"/>
          <w:lang w:val="en-GB"/>
        </w:rPr>
        <w:t>H</w:t>
      </w:r>
      <w:r w:rsidR="00146125" w:rsidRPr="00BB1495">
        <w:rPr>
          <w:rFonts w:cstheme="minorHAnsi"/>
          <w:sz w:val="18"/>
          <w:lang w:val="en-GB"/>
        </w:rPr>
        <w:t xml:space="preserve">). </w:t>
      </w:r>
      <w:r w:rsidR="00101B26" w:rsidRPr="00BB1495">
        <w:rPr>
          <w:rFonts w:cstheme="minorHAnsi"/>
          <w:sz w:val="18"/>
          <w:lang w:val="en-GB"/>
        </w:rPr>
        <w:t xml:space="preserve">The inset </w:t>
      </w:r>
      <w:r w:rsidR="00146125" w:rsidRPr="00BB1495">
        <w:rPr>
          <w:rFonts w:cstheme="minorHAnsi"/>
          <w:sz w:val="18"/>
          <w:lang w:val="en-GB"/>
        </w:rPr>
        <w:t>plot shows the approximate positioning of hemispherical photos (</w:t>
      </w:r>
      <w:r w:rsidR="00146125" w:rsidRPr="00BB1495">
        <w:rPr>
          <w:rFonts w:cstheme="minorHAnsi"/>
          <w:sz w:val="18"/>
        </w:rPr>
        <w:sym w:font="Symbol" w:char="F0B4"/>
      </w:r>
      <w:r w:rsidR="00146125" w:rsidRPr="00BB1495">
        <w:rPr>
          <w:rFonts w:cstheme="minorHAnsi"/>
          <w:sz w:val="18"/>
          <w:lang w:val="en-GB"/>
        </w:rPr>
        <w:t>) within a plot. The solid line is a 1:1 line and the dotted line is fitted to the data and forced through the origin.</w:t>
      </w:r>
    </w:p>
    <w:p w14:paraId="490DA192" w14:textId="77777777" w:rsidR="00BB1495" w:rsidRPr="00BB1495" w:rsidRDefault="00BB1495" w:rsidP="00475E7C">
      <w:pPr>
        <w:spacing w:after="0" w:line="240" w:lineRule="auto"/>
        <w:rPr>
          <w:rFonts w:cs="Times New Roman"/>
          <w:sz w:val="20"/>
          <w:lang w:val="en-GB"/>
        </w:rPr>
      </w:pPr>
    </w:p>
    <w:p w14:paraId="1C9801AA" w14:textId="24CA2C8D" w:rsidR="00475E7C" w:rsidRPr="00BB1495" w:rsidRDefault="00475E7C" w:rsidP="00BB1495">
      <w:pPr>
        <w:spacing w:after="0"/>
        <w:rPr>
          <w:rFonts w:cstheme="minorHAnsi"/>
          <w:sz w:val="20"/>
          <w:lang w:val="en-GB"/>
        </w:rPr>
      </w:pPr>
      <w:r w:rsidRPr="00BB1495">
        <w:rPr>
          <w:rFonts w:cs="Times New Roman"/>
          <w:sz w:val="20"/>
          <w:lang w:val="en-GB"/>
        </w:rPr>
        <w:t>The APAR</w:t>
      </w:r>
      <w:r w:rsidRPr="00BB1495">
        <w:rPr>
          <w:rFonts w:cs="Times New Roman"/>
          <w:sz w:val="20"/>
          <w:vertAlign w:val="subscript"/>
          <w:lang w:val="en-GB"/>
        </w:rPr>
        <w:t>H</w:t>
      </w:r>
      <w:r w:rsidRPr="00BB1495">
        <w:rPr>
          <w:rFonts w:cs="Times New Roman"/>
          <w:sz w:val="20"/>
          <w:lang w:val="en-GB"/>
        </w:rPr>
        <w:t xml:space="preserve"> and APAR</w:t>
      </w:r>
      <w:r w:rsidRPr="00BB1495">
        <w:rPr>
          <w:rFonts w:cs="Times New Roman"/>
          <w:sz w:val="20"/>
          <w:vertAlign w:val="subscript"/>
          <w:lang w:val="en-GB"/>
        </w:rPr>
        <w:t>M</w:t>
      </w:r>
      <w:r w:rsidRPr="00BB1495">
        <w:rPr>
          <w:rFonts w:cs="Times New Roman"/>
          <w:sz w:val="20"/>
          <w:lang w:val="en-GB"/>
        </w:rPr>
        <w:t xml:space="preserve"> were correlated (R</w:t>
      </w:r>
      <w:r w:rsidRPr="00BB1495">
        <w:rPr>
          <w:rFonts w:cs="Times New Roman"/>
          <w:sz w:val="20"/>
          <w:vertAlign w:val="superscript"/>
          <w:lang w:val="en-GB"/>
        </w:rPr>
        <w:t>2</w:t>
      </w:r>
      <w:r w:rsidR="0054463A" w:rsidRPr="00BB1495">
        <w:rPr>
          <w:rFonts w:cs="Times New Roman"/>
          <w:sz w:val="20"/>
          <w:lang w:val="en-GB"/>
        </w:rPr>
        <w:t> = </w:t>
      </w:r>
      <w:r w:rsidRPr="00BB1495">
        <w:rPr>
          <w:rFonts w:cs="Times New Roman"/>
          <w:sz w:val="20"/>
          <w:lang w:val="en-GB"/>
        </w:rPr>
        <w:t xml:space="preserve">0.91). The slope of a line fitted to these data and forced through the origin (dashed line) had a slope of 0.9320, indicating an average underestimation by </w:t>
      </w:r>
      <w:r w:rsidR="0066718A" w:rsidRPr="00DC783C">
        <w:rPr>
          <w:sz w:val="20"/>
          <w:lang w:val="en-GB"/>
        </w:rPr>
        <w:t xml:space="preserve">MAESTRA </w:t>
      </w:r>
      <w:r w:rsidRPr="00BB1495">
        <w:rPr>
          <w:rFonts w:cs="Times New Roman"/>
          <w:sz w:val="20"/>
          <w:lang w:val="en-GB"/>
        </w:rPr>
        <w:t>of 6.796</w:t>
      </w:r>
      <w:r w:rsidR="0054463A" w:rsidRPr="00BB1495">
        <w:rPr>
          <w:rFonts w:cs="Times New Roman"/>
          <w:sz w:val="20"/>
          <w:lang w:val="en-GB"/>
        </w:rPr>
        <w:t> </w:t>
      </w:r>
      <w:r w:rsidRPr="00BB1495">
        <w:rPr>
          <w:rFonts w:cs="Times New Roman"/>
          <w:sz w:val="20"/>
          <w:lang w:val="en-GB"/>
        </w:rPr>
        <w:t xml:space="preserve">%. </w:t>
      </w:r>
    </w:p>
    <w:p w14:paraId="5005574A" w14:textId="3E97A88F" w:rsidR="00475E7C" w:rsidRPr="00BB1495" w:rsidRDefault="00475E7C" w:rsidP="00BB1495">
      <w:pPr>
        <w:spacing w:after="0"/>
        <w:rPr>
          <w:rFonts w:cstheme="minorHAnsi"/>
          <w:sz w:val="20"/>
          <w:lang w:val="en-GB"/>
        </w:rPr>
      </w:pPr>
    </w:p>
    <w:p w14:paraId="5D2435B0" w14:textId="1B261DFC" w:rsidR="005D24C3" w:rsidRDefault="00E644A1" w:rsidP="00475E7C">
      <w:pPr>
        <w:spacing w:after="0" w:line="240" w:lineRule="auto"/>
        <w:rPr>
          <w:rFonts w:cstheme="minorHAnsi"/>
          <w:b/>
          <w:lang w:val="en-GB"/>
        </w:rPr>
      </w:pPr>
      <w:r w:rsidRPr="00E644A1">
        <w:rPr>
          <w:rFonts w:cstheme="minorHAnsi"/>
          <w:b/>
          <w:lang w:val="en-GB"/>
        </w:rPr>
        <w:t>Tree-level relationships</w:t>
      </w:r>
      <w:r>
        <w:rPr>
          <w:rFonts w:cstheme="minorHAnsi"/>
          <w:b/>
          <w:lang w:val="en-GB"/>
        </w:rPr>
        <w:t xml:space="preserve"> </w:t>
      </w:r>
    </w:p>
    <w:p w14:paraId="20590B90" w14:textId="77777777" w:rsidR="00E644A1" w:rsidRPr="009D0786" w:rsidRDefault="00E644A1" w:rsidP="00475E7C">
      <w:pPr>
        <w:spacing w:after="0" w:line="240" w:lineRule="auto"/>
        <w:rPr>
          <w:rFonts w:cstheme="minorHAnsi"/>
          <w:sz w:val="20"/>
          <w:lang w:val="en-GB"/>
        </w:rPr>
      </w:pPr>
    </w:p>
    <w:p w14:paraId="6FF96030" w14:textId="3FF8D732" w:rsidR="00592BC4" w:rsidRDefault="005D24C3" w:rsidP="005D24C3">
      <w:pPr>
        <w:rPr>
          <w:rFonts w:cstheme="minorHAnsi"/>
          <w:color w:val="000000"/>
          <w:sz w:val="20"/>
          <w:lang w:val="en-GB"/>
        </w:rPr>
      </w:pPr>
      <w:r w:rsidRPr="009D0786">
        <w:rPr>
          <w:rFonts w:cstheme="minorHAnsi"/>
          <w:b/>
          <w:color w:val="000000"/>
          <w:sz w:val="20"/>
          <w:lang w:val="en-GB"/>
        </w:rPr>
        <w:t>Equation A4</w:t>
      </w:r>
      <w:r w:rsidRPr="009D0786">
        <w:rPr>
          <w:rFonts w:cstheme="minorHAnsi"/>
          <w:color w:val="000000"/>
          <w:sz w:val="20"/>
          <w:lang w:val="en-GB"/>
        </w:rPr>
        <w:t xml:space="preserve"> was used to examine the mixing effect (</w:t>
      </w:r>
      <w:r w:rsidRPr="009D0786">
        <w:rPr>
          <w:rFonts w:cstheme="minorHAnsi"/>
          <w:i/>
          <w:color w:val="000000"/>
          <w:sz w:val="20"/>
          <w:lang w:val="en-GB"/>
        </w:rPr>
        <w:t>M</w:t>
      </w:r>
      <w:r w:rsidRPr="009D0786">
        <w:rPr>
          <w:rFonts w:cstheme="minorHAnsi"/>
          <w:color w:val="000000"/>
          <w:sz w:val="20"/>
          <w:lang w:val="en-GB"/>
        </w:rPr>
        <w:t xml:space="preserve">) on the relationship between individual tree </w:t>
      </w:r>
      <w:r w:rsidRPr="009D0786">
        <w:rPr>
          <w:rFonts w:cstheme="minorHAnsi"/>
          <w:i/>
          <w:color w:val="000000"/>
          <w:sz w:val="20"/>
          <w:lang w:val="en-GB"/>
        </w:rPr>
        <w:t>APAR</w:t>
      </w:r>
      <w:r w:rsidRPr="009D0786">
        <w:rPr>
          <w:rFonts w:cstheme="minorHAnsi"/>
          <w:color w:val="000000"/>
          <w:sz w:val="20"/>
          <w:lang w:val="en-GB"/>
        </w:rPr>
        <w:t xml:space="preserve"> and leaf area (</w:t>
      </w:r>
      <w:r w:rsidRPr="009D0786">
        <w:rPr>
          <w:rFonts w:cstheme="minorHAnsi"/>
          <w:i/>
          <w:color w:val="000000"/>
          <w:sz w:val="20"/>
          <w:lang w:val="en-GB"/>
        </w:rPr>
        <w:t>la</w:t>
      </w:r>
      <w:r w:rsidRPr="009D0786">
        <w:rPr>
          <w:rFonts w:cstheme="minorHAnsi"/>
          <w:color w:val="000000"/>
          <w:sz w:val="20"/>
          <w:lang w:val="en-GB"/>
        </w:rPr>
        <w:t>), the horizontal component plot leaf area index (</w:t>
      </w:r>
      <w:r w:rsidRPr="009D0786">
        <w:rPr>
          <w:rFonts w:cstheme="minorHAnsi"/>
          <w:i/>
          <w:color w:val="000000"/>
          <w:sz w:val="20"/>
          <w:lang w:val="en-GB"/>
        </w:rPr>
        <w:t>LAI</w:t>
      </w:r>
      <w:r w:rsidRPr="009D0786">
        <w:rPr>
          <w:rFonts w:cstheme="minorHAnsi"/>
          <w:color w:val="000000"/>
          <w:sz w:val="20"/>
          <w:lang w:val="en-GB"/>
        </w:rPr>
        <w:t>) and the vertical component relative height (</w:t>
      </w:r>
      <w:r w:rsidRPr="009D0786">
        <w:rPr>
          <w:rFonts w:cstheme="minorHAnsi"/>
          <w:i/>
          <w:color w:val="000000"/>
          <w:sz w:val="20"/>
          <w:lang w:val="en-GB"/>
        </w:rPr>
        <w:t>rh</w:t>
      </w:r>
      <w:r w:rsidR="0054463A" w:rsidRPr="009D0786">
        <w:rPr>
          <w:rFonts w:cstheme="minorHAnsi"/>
          <w:color w:val="000000"/>
          <w:sz w:val="20"/>
          <w:lang w:val="en-GB"/>
        </w:rPr>
        <w:t>). The leaf area index (m² </w:t>
      </w:r>
      <w:r w:rsidRPr="009D0786">
        <w:rPr>
          <w:rFonts w:cstheme="minorHAnsi"/>
          <w:color w:val="000000"/>
          <w:sz w:val="20"/>
          <w:lang w:val="en-GB"/>
        </w:rPr>
        <w:t>m</w:t>
      </w:r>
      <w:r w:rsidRPr="009D0786">
        <w:rPr>
          <w:rFonts w:cstheme="minorHAnsi"/>
          <w:color w:val="000000"/>
          <w:sz w:val="20"/>
          <w:vertAlign w:val="superscript"/>
          <w:lang w:val="en-GB"/>
        </w:rPr>
        <w:t>-2</w:t>
      </w:r>
      <w:r w:rsidRPr="009D0786">
        <w:rPr>
          <w:rFonts w:cstheme="minorHAnsi"/>
          <w:color w:val="000000"/>
          <w:sz w:val="20"/>
          <w:lang w:val="en-GB"/>
        </w:rPr>
        <w:t>) is the leaf area divided by the plot area. Relative height (m) is the height of the target tree divided by the mean height of all trees in the plot. All non</w:t>
      </w:r>
      <w:r w:rsidR="0054463A" w:rsidRPr="009D0786">
        <w:rPr>
          <w:rFonts w:cstheme="minorHAnsi"/>
          <w:color w:val="000000"/>
          <w:sz w:val="20"/>
          <w:lang w:val="en-GB"/>
        </w:rPr>
        <w:t>-significant (P &gt; </w:t>
      </w:r>
      <w:r w:rsidRPr="009D0786">
        <w:rPr>
          <w:rFonts w:cstheme="minorHAnsi"/>
          <w:color w:val="000000"/>
          <w:sz w:val="20"/>
          <w:lang w:val="en-GB"/>
        </w:rPr>
        <w:t xml:space="preserve">0.05) fixed effect predictors for a given species were removed in order of decreasing </w:t>
      </w:r>
      <w:r w:rsidR="00101B26" w:rsidRPr="009D0786">
        <w:rPr>
          <w:rFonts w:cstheme="minorHAnsi"/>
          <w:color w:val="000000"/>
          <w:sz w:val="20"/>
          <w:lang w:val="en-GB"/>
        </w:rPr>
        <w:t xml:space="preserve">the </w:t>
      </w:r>
      <w:r w:rsidRPr="009D0786">
        <w:rPr>
          <w:rFonts w:cstheme="minorHAnsi"/>
          <w:color w:val="000000"/>
          <w:sz w:val="20"/>
          <w:lang w:val="en-GB"/>
        </w:rPr>
        <w:t>P-value.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592BC4" w14:paraId="0ADE9BA0" w14:textId="77777777" w:rsidTr="00592BC4">
        <w:tc>
          <w:tcPr>
            <w:tcW w:w="8500" w:type="dxa"/>
          </w:tcPr>
          <w:p w14:paraId="70DD023F" w14:textId="3921D9D1" w:rsidR="00592BC4" w:rsidRDefault="00592BC4" w:rsidP="005D24C3">
            <w:pPr>
              <w:rPr>
                <w:rFonts w:cstheme="minorHAnsi"/>
                <w:color w:val="000000"/>
                <w:sz w:val="20"/>
                <w:lang w:val="en-GB"/>
              </w:rPr>
            </w:pPr>
            <m:oMathPara>
              <m:oMath>
                <m:r>
                  <m:rPr>
                    <m:sty m:val="p"/>
                  </m:rPr>
                  <w:rPr>
                    <w:rFonts w:ascii="Cambria Math" w:hAnsi="Cambria Math"/>
                    <w:sz w:val="20"/>
                    <w:szCs w:val="20"/>
                    <w:lang w:val="pt-PT"/>
                  </w:rPr>
                  <m:t>ln⁡(</m:t>
                </m:r>
                <m:r>
                  <w:rPr>
                    <w:rFonts w:ascii="Cambria Math" w:hAnsi="Cambria Math"/>
                    <w:sz w:val="20"/>
                    <w:szCs w:val="20"/>
                    <w:lang w:val="en-GB"/>
                  </w:rPr>
                  <m:t>APAR</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0</m:t>
                    </m:r>
                  </m:sub>
                </m:sSub>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1</m:t>
                    </m:r>
                  </m:sub>
                </m:sSub>
                <m:r>
                  <m:rPr>
                    <m:sty m:val="p"/>
                  </m:rPr>
                  <w:rPr>
                    <w:rFonts w:ascii="Cambria Math" w:hAnsi="Cambria Math"/>
                    <w:sz w:val="20"/>
                    <w:szCs w:val="20"/>
                    <w:lang w:val="pt-PT"/>
                  </w:rPr>
                  <m:t>ln⁡</m:t>
                </m:r>
                <m:r>
                  <w:rPr>
                    <w:rFonts w:ascii="Cambria Math" w:hAnsi="Cambria Math"/>
                    <w:sz w:val="20"/>
                    <w:szCs w:val="20"/>
                    <w:lang w:val="pt-PT"/>
                  </w:rPr>
                  <m:t>(</m:t>
                </m:r>
                <m:r>
                  <w:rPr>
                    <w:rFonts w:ascii="Cambria Math" w:hAnsi="Cambria Math"/>
                    <w:sz w:val="20"/>
                    <w:szCs w:val="20"/>
                    <w:lang w:val="en-GB"/>
                  </w:rPr>
                  <m:t>la</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2</m:t>
                    </m:r>
                  </m:sub>
                </m:sSub>
                <m:r>
                  <w:rPr>
                    <w:rFonts w:ascii="Cambria Math" w:hAnsi="Cambria Math"/>
                    <w:sz w:val="20"/>
                    <w:szCs w:val="20"/>
                    <w:lang w:val="en-GB"/>
                  </w:rPr>
                  <m:t>r</m:t>
                </m:r>
                <m:r>
                  <w:rPr>
                    <w:rFonts w:ascii="Cambria Math" w:hAnsi="Cambria Math"/>
                    <w:sz w:val="20"/>
                    <w:szCs w:val="20"/>
                    <w:lang w:val="pt-PT"/>
                  </w:rPr>
                  <m:t>h+</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3</m:t>
                    </m:r>
                  </m:sub>
                </m:sSub>
                <m:r>
                  <w:rPr>
                    <w:rFonts w:ascii="Cambria Math" w:hAnsi="Cambria Math"/>
                    <w:sz w:val="20"/>
                    <w:szCs w:val="20"/>
                    <w:lang w:val="en-GB"/>
                  </w:rPr>
                  <m:t>LAI</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4</m:t>
                    </m:r>
                  </m:sub>
                </m:sSub>
                <m:r>
                  <w:rPr>
                    <w:rFonts w:ascii="Cambria Math" w:hAnsi="Cambria Math"/>
                    <w:sz w:val="20"/>
                    <w:szCs w:val="20"/>
                    <w:lang w:val="en-GB"/>
                  </w:rPr>
                  <m:t>M</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5</m:t>
                    </m:r>
                  </m:sub>
                </m:sSub>
                <m:r>
                  <m:rPr>
                    <m:sty m:val="p"/>
                  </m:rPr>
                  <w:rPr>
                    <w:rFonts w:ascii="Cambria Math" w:hAnsi="Cambria Math"/>
                    <w:sz w:val="20"/>
                    <w:szCs w:val="20"/>
                    <w:lang w:val="pt-PT"/>
                  </w:rPr>
                  <m:t>ln⁡</m:t>
                </m:r>
                <m:r>
                  <w:rPr>
                    <w:rFonts w:ascii="Cambria Math" w:hAnsi="Cambria Math"/>
                    <w:sz w:val="20"/>
                    <w:szCs w:val="20"/>
                    <w:lang w:val="pt-PT"/>
                  </w:rPr>
                  <m:t>(</m:t>
                </m:r>
                <m:r>
                  <w:rPr>
                    <w:rFonts w:ascii="Cambria Math" w:hAnsi="Cambria Math"/>
                    <w:sz w:val="20"/>
                    <w:szCs w:val="20"/>
                    <w:lang w:val="en-GB"/>
                  </w:rPr>
                  <m:t>la</m:t>
                </m:r>
                <m:r>
                  <w:rPr>
                    <w:rFonts w:ascii="Cambria Math" w:hAnsi="Cambria Math"/>
                    <w:sz w:val="20"/>
                    <w:szCs w:val="20"/>
                    <w:lang w:val="pt-PT"/>
                  </w:rPr>
                  <m:t>)×</m:t>
                </m:r>
                <m:r>
                  <w:rPr>
                    <w:rFonts w:ascii="Cambria Math" w:hAnsi="Cambria Math"/>
                    <w:sz w:val="20"/>
                    <w:szCs w:val="20"/>
                    <w:lang w:val="en-GB"/>
                  </w:rPr>
                  <m:t>M</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6</m:t>
                    </m:r>
                  </m:sub>
                </m:sSub>
                <m:r>
                  <w:rPr>
                    <w:rFonts w:ascii="Cambria Math" w:hAnsi="Cambria Math"/>
                    <w:sz w:val="20"/>
                    <w:szCs w:val="20"/>
                    <w:lang w:val="en-GB"/>
                  </w:rPr>
                  <m:t>r</m:t>
                </m:r>
                <m:r>
                  <w:rPr>
                    <w:rFonts w:ascii="Cambria Math" w:hAnsi="Cambria Math"/>
                    <w:sz w:val="20"/>
                    <w:szCs w:val="20"/>
                    <w:lang w:val="pt-PT"/>
                  </w:rPr>
                  <m:t>h×</m:t>
                </m:r>
                <m:r>
                  <w:rPr>
                    <w:rFonts w:ascii="Cambria Math" w:hAnsi="Cambria Math"/>
                    <w:sz w:val="20"/>
                    <w:szCs w:val="20"/>
                    <w:lang w:val="en-GB"/>
                  </w:rPr>
                  <m:t>M</m:t>
                </m:r>
                <m:r>
                  <w:rPr>
                    <w:rFonts w:ascii="Cambria Math" w:hAnsi="Cambria Math"/>
                    <w:sz w:val="20"/>
                    <w:szCs w:val="20"/>
                    <w:lang w:val="pt-PT"/>
                  </w:rPr>
                  <m:t>+</m:t>
                </m:r>
                <m:sSub>
                  <m:sSubPr>
                    <m:ctrlPr>
                      <w:rPr>
                        <w:rFonts w:ascii="Cambria Math" w:hAnsi="Cambria Math"/>
                        <w:i/>
                        <w:sz w:val="20"/>
                        <w:szCs w:val="20"/>
                        <w:lang w:val="en-GB"/>
                      </w:rPr>
                    </m:ctrlPr>
                  </m:sSubPr>
                  <m:e>
                    <m:r>
                      <w:rPr>
                        <w:rFonts w:ascii="Cambria Math" w:hAnsi="Cambria Math"/>
                        <w:sz w:val="20"/>
                        <w:szCs w:val="20"/>
                        <w:lang w:val="en-GB"/>
                      </w:rPr>
                      <m:t>β</m:t>
                    </m:r>
                  </m:e>
                  <m:sub>
                    <m:r>
                      <w:rPr>
                        <w:rFonts w:ascii="Cambria Math" w:hAnsi="Cambria Math"/>
                        <w:sz w:val="20"/>
                        <w:szCs w:val="20"/>
                        <w:lang w:val="pt-PT"/>
                      </w:rPr>
                      <m:t>7</m:t>
                    </m:r>
                  </m:sub>
                </m:sSub>
                <m:r>
                  <w:rPr>
                    <w:rFonts w:ascii="Cambria Math" w:hAnsi="Cambria Math"/>
                    <w:sz w:val="20"/>
                    <w:szCs w:val="20"/>
                    <w:lang w:val="en-GB"/>
                  </w:rPr>
                  <m:t>LAI</m:t>
                </m:r>
                <m:r>
                  <w:rPr>
                    <w:rFonts w:ascii="Cambria Math" w:hAnsi="Cambria Math"/>
                    <w:sz w:val="20"/>
                    <w:szCs w:val="20"/>
                    <w:lang w:val="pt-PT"/>
                  </w:rPr>
                  <m:t>×</m:t>
                </m:r>
                <m:r>
                  <w:rPr>
                    <w:rFonts w:ascii="Cambria Math" w:hAnsi="Cambria Math"/>
                    <w:sz w:val="20"/>
                    <w:szCs w:val="20"/>
                    <w:lang w:val="en-GB"/>
                  </w:rPr>
                  <m:t>M</m:t>
                </m:r>
                <m:r>
                  <w:rPr>
                    <w:rFonts w:ascii="Cambria Math" w:hAnsi="Cambria Math"/>
                    <w:sz w:val="20"/>
                    <w:szCs w:val="20"/>
                    <w:lang w:val="pt-PT"/>
                  </w:rPr>
                  <m:t>+</m:t>
                </m:r>
                <m:r>
                  <w:rPr>
                    <w:rFonts w:ascii="Cambria Math" w:hAnsi="Cambria Math"/>
                    <w:sz w:val="20"/>
                    <w:szCs w:val="20"/>
                    <w:lang w:val="en-GB"/>
                  </w:rPr>
                  <m:t>ε</m:t>
                </m:r>
              </m:oMath>
            </m:oMathPara>
          </w:p>
        </w:tc>
        <w:tc>
          <w:tcPr>
            <w:tcW w:w="562" w:type="dxa"/>
          </w:tcPr>
          <w:p w14:paraId="69AC1CED" w14:textId="4A9EA1C0" w:rsidR="00592BC4" w:rsidRDefault="00592BC4" w:rsidP="005D24C3">
            <w:pPr>
              <w:rPr>
                <w:rFonts w:cstheme="minorHAnsi"/>
                <w:color w:val="000000"/>
                <w:sz w:val="20"/>
                <w:lang w:val="en-GB"/>
              </w:rPr>
            </w:pPr>
            <w:r>
              <w:rPr>
                <w:rFonts w:cstheme="minorHAnsi"/>
                <w:color w:val="000000"/>
                <w:sz w:val="20"/>
                <w:lang w:val="en-GB"/>
              </w:rPr>
              <w:t>(A4)</w:t>
            </w:r>
          </w:p>
        </w:tc>
      </w:tr>
    </w:tbl>
    <w:p w14:paraId="1D0907C6" w14:textId="77777777" w:rsidR="009D0786" w:rsidRPr="00592BC4" w:rsidRDefault="009D0786" w:rsidP="005D24C3">
      <w:pPr>
        <w:rPr>
          <w:sz w:val="20"/>
          <w:lang w:val="en-GB"/>
        </w:rPr>
      </w:pPr>
    </w:p>
    <w:p w14:paraId="1FED71B3" w14:textId="3C7985A6" w:rsidR="005D24C3" w:rsidRPr="009D0786" w:rsidRDefault="005D24C3" w:rsidP="005D24C3">
      <w:pPr>
        <w:rPr>
          <w:sz w:val="18"/>
        </w:rPr>
      </w:pPr>
      <w:r w:rsidRPr="009D0786">
        <w:rPr>
          <w:b/>
          <w:sz w:val="18"/>
          <w:lang w:val="en-GB"/>
        </w:rPr>
        <w:t>Table A</w:t>
      </w:r>
      <w:r w:rsidR="00940909" w:rsidRPr="009D0786">
        <w:rPr>
          <w:b/>
          <w:sz w:val="18"/>
          <w:lang w:val="en-GB"/>
        </w:rPr>
        <w:t>5</w:t>
      </w:r>
      <w:r w:rsidRPr="009D0786">
        <w:rPr>
          <w:sz w:val="18"/>
          <w:lang w:val="en-GB"/>
        </w:rPr>
        <w:t xml:space="preserve"> Parameter estimates (with their standard errors) and random effects for models describing the (ln) of the absorbed PAR by individual trees of </w:t>
      </w:r>
      <w:r w:rsidRPr="009D0786">
        <w:rPr>
          <w:rFonts w:cstheme="minorHAnsi"/>
          <w:i/>
          <w:color w:val="000000"/>
          <w:sz w:val="18"/>
          <w:lang w:val="en-GB"/>
        </w:rPr>
        <w:t>P. menziesii</w:t>
      </w:r>
      <w:r w:rsidRPr="009D0786">
        <w:rPr>
          <w:rFonts w:cstheme="minorHAnsi"/>
          <w:color w:val="000000"/>
          <w:sz w:val="18"/>
          <w:lang w:val="en-GB"/>
        </w:rPr>
        <w:t xml:space="preserve"> and </w:t>
      </w:r>
      <w:r w:rsidRPr="009D0786">
        <w:rPr>
          <w:rFonts w:cstheme="minorHAnsi"/>
          <w:i/>
          <w:color w:val="000000"/>
          <w:sz w:val="18"/>
          <w:lang w:val="en-GB"/>
        </w:rPr>
        <w:t xml:space="preserve">F. sylvatica </w:t>
      </w:r>
      <w:r w:rsidRPr="009D0786">
        <w:rPr>
          <w:rFonts w:cstheme="minorHAnsi"/>
          <w:color w:val="000000"/>
          <w:sz w:val="18"/>
          <w:lang w:val="en-GB"/>
        </w:rPr>
        <w:t xml:space="preserve">based on </w:t>
      </w:r>
      <w:r w:rsidRPr="009D0786">
        <w:rPr>
          <w:rFonts w:cstheme="minorHAnsi"/>
          <w:b/>
          <w:color w:val="000000"/>
          <w:sz w:val="18"/>
          <w:lang w:val="en-GB"/>
        </w:rPr>
        <w:t>Equation A1.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D24C3" w14:paraId="22AD7846" w14:textId="77777777" w:rsidTr="005D24C3">
        <w:tc>
          <w:tcPr>
            <w:tcW w:w="9062" w:type="dxa"/>
          </w:tcPr>
          <w:tbl>
            <w:tblPr>
              <w:tblpPr w:leftFromText="180" w:rightFromText="180" w:vertAnchor="text" w:horzAnchor="margin" w:tblpXSpec="center" w:tblpY="105"/>
              <w:tblOverlap w:val="never"/>
              <w:tblW w:w="5245" w:type="dxa"/>
              <w:tblLook w:val="04A0" w:firstRow="1" w:lastRow="0" w:firstColumn="1" w:lastColumn="0" w:noHBand="0" w:noVBand="1"/>
            </w:tblPr>
            <w:tblGrid>
              <w:gridCol w:w="1093"/>
              <w:gridCol w:w="280"/>
              <w:gridCol w:w="2029"/>
              <w:gridCol w:w="1843"/>
            </w:tblGrid>
            <w:tr w:rsidR="005D24C3" w:rsidRPr="009D0786" w14:paraId="04EC9A03" w14:textId="77777777" w:rsidTr="009B6CA9">
              <w:trPr>
                <w:trHeight w:val="472"/>
              </w:trPr>
              <w:tc>
                <w:tcPr>
                  <w:tcW w:w="5245" w:type="dxa"/>
                  <w:gridSpan w:val="4"/>
                  <w:tcBorders>
                    <w:top w:val="single" w:sz="8" w:space="0" w:color="auto"/>
                    <w:left w:val="nil"/>
                    <w:bottom w:val="nil"/>
                    <w:right w:val="nil"/>
                  </w:tcBorders>
                  <w:shd w:val="clear" w:color="auto" w:fill="auto"/>
                  <w:noWrap/>
                  <w:vAlign w:val="center"/>
                  <w:hideMark/>
                </w:tcPr>
                <w:p w14:paraId="732F9ED1" w14:textId="1F05DEF8" w:rsidR="005D24C3" w:rsidRPr="009D0786" w:rsidRDefault="003F69D2" w:rsidP="005D24C3">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 xml:space="preserve">Effects of stand structure (LA </w:t>
                  </w:r>
                  <w:r w:rsidR="005D24C3" w:rsidRPr="009D0786">
                    <w:rPr>
                      <w:rFonts w:ascii="Calibri" w:eastAsia="Times New Roman" w:hAnsi="Calibri" w:cs="Times New Roman"/>
                      <w:color w:val="000000"/>
                      <w:sz w:val="20"/>
                      <w:szCs w:val="20"/>
                      <w:lang w:val="en-GB" w:eastAsia="de-DE"/>
                    </w:rPr>
                    <w:t>or rh)</w:t>
                  </w:r>
                </w:p>
              </w:tc>
            </w:tr>
            <w:tr w:rsidR="005D24C3" w:rsidRPr="009D0786" w14:paraId="21346EB0" w14:textId="77777777" w:rsidTr="009B6CA9">
              <w:trPr>
                <w:trHeight w:val="272"/>
              </w:trPr>
              <w:tc>
                <w:tcPr>
                  <w:tcW w:w="1093" w:type="dxa"/>
                  <w:tcBorders>
                    <w:top w:val="nil"/>
                    <w:left w:val="nil"/>
                    <w:bottom w:val="nil"/>
                    <w:right w:val="nil"/>
                  </w:tcBorders>
                  <w:shd w:val="clear" w:color="auto" w:fill="auto"/>
                  <w:noWrap/>
                  <w:vAlign w:val="center"/>
                  <w:hideMark/>
                </w:tcPr>
                <w:p w14:paraId="03DD0FBA"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Equation</w:t>
                  </w:r>
                </w:p>
              </w:tc>
              <w:tc>
                <w:tcPr>
                  <w:tcW w:w="280" w:type="dxa"/>
                  <w:tcBorders>
                    <w:top w:val="nil"/>
                    <w:left w:val="nil"/>
                    <w:bottom w:val="nil"/>
                    <w:right w:val="nil"/>
                  </w:tcBorders>
                  <w:shd w:val="clear" w:color="auto" w:fill="auto"/>
                  <w:noWrap/>
                  <w:vAlign w:val="center"/>
                  <w:hideMark/>
                </w:tcPr>
                <w:p w14:paraId="52B1139B"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single" w:sz="8" w:space="0" w:color="auto"/>
                    <w:right w:val="nil"/>
                  </w:tcBorders>
                  <w:shd w:val="clear" w:color="auto" w:fill="auto"/>
                  <w:noWrap/>
                  <w:vAlign w:val="center"/>
                  <w:hideMark/>
                </w:tcPr>
                <w:p w14:paraId="6E4A149F"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1</w:t>
                  </w:r>
                </w:p>
              </w:tc>
              <w:tc>
                <w:tcPr>
                  <w:tcW w:w="1843" w:type="dxa"/>
                  <w:tcBorders>
                    <w:top w:val="nil"/>
                    <w:left w:val="nil"/>
                    <w:bottom w:val="single" w:sz="8" w:space="0" w:color="auto"/>
                    <w:right w:val="nil"/>
                  </w:tcBorders>
                  <w:shd w:val="clear" w:color="auto" w:fill="auto"/>
                  <w:noWrap/>
                  <w:vAlign w:val="center"/>
                  <w:hideMark/>
                </w:tcPr>
                <w:p w14:paraId="2B060682"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1</w:t>
                  </w:r>
                </w:p>
              </w:tc>
            </w:tr>
            <w:tr w:rsidR="005D24C3" w:rsidRPr="009D0786" w14:paraId="13671B16" w14:textId="77777777" w:rsidTr="009B6CA9">
              <w:trPr>
                <w:trHeight w:val="260"/>
              </w:trPr>
              <w:tc>
                <w:tcPr>
                  <w:tcW w:w="1093" w:type="dxa"/>
                  <w:tcBorders>
                    <w:top w:val="nil"/>
                    <w:left w:val="nil"/>
                    <w:bottom w:val="nil"/>
                    <w:right w:val="nil"/>
                  </w:tcBorders>
                  <w:shd w:val="clear" w:color="auto" w:fill="auto"/>
                  <w:noWrap/>
                  <w:vAlign w:val="center"/>
                  <w:hideMark/>
                </w:tcPr>
                <w:p w14:paraId="73871805"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Species</w:t>
                  </w:r>
                </w:p>
              </w:tc>
              <w:tc>
                <w:tcPr>
                  <w:tcW w:w="280" w:type="dxa"/>
                  <w:tcBorders>
                    <w:top w:val="nil"/>
                    <w:left w:val="nil"/>
                    <w:bottom w:val="nil"/>
                    <w:right w:val="nil"/>
                  </w:tcBorders>
                  <w:shd w:val="clear" w:color="auto" w:fill="auto"/>
                  <w:noWrap/>
                  <w:vAlign w:val="center"/>
                  <w:hideMark/>
                </w:tcPr>
                <w:p w14:paraId="20B17FF7"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5486DBDB" w14:textId="77777777" w:rsidR="005D24C3" w:rsidRPr="009D0786" w:rsidRDefault="005D24C3" w:rsidP="009B6CA9">
                  <w:pPr>
                    <w:spacing w:after="0" w:line="240" w:lineRule="auto"/>
                    <w:jc w:val="center"/>
                    <w:rPr>
                      <w:rFonts w:ascii="Calibri" w:eastAsia="Times New Roman" w:hAnsi="Calibri" w:cs="Times New Roman"/>
                      <w:i/>
                      <w:iCs/>
                      <w:color w:val="000000"/>
                      <w:sz w:val="20"/>
                      <w:szCs w:val="20"/>
                      <w:lang w:val="en-US"/>
                    </w:rPr>
                  </w:pPr>
                  <w:r w:rsidRPr="009D0786">
                    <w:rPr>
                      <w:rFonts w:ascii="Calibri" w:eastAsia="Times New Roman" w:hAnsi="Calibri" w:cs="Times New Roman"/>
                      <w:i/>
                      <w:iCs/>
                      <w:color w:val="000000"/>
                      <w:sz w:val="20"/>
                      <w:szCs w:val="20"/>
                      <w:lang w:val="en-GB" w:eastAsia="de-DE"/>
                    </w:rPr>
                    <w:t>P. menziesii</w:t>
                  </w:r>
                </w:p>
              </w:tc>
              <w:tc>
                <w:tcPr>
                  <w:tcW w:w="1843" w:type="dxa"/>
                  <w:tcBorders>
                    <w:top w:val="nil"/>
                    <w:left w:val="nil"/>
                    <w:bottom w:val="nil"/>
                    <w:right w:val="nil"/>
                  </w:tcBorders>
                  <w:shd w:val="clear" w:color="auto" w:fill="auto"/>
                  <w:noWrap/>
                  <w:vAlign w:val="center"/>
                  <w:hideMark/>
                </w:tcPr>
                <w:p w14:paraId="54AD3214" w14:textId="77777777" w:rsidR="005D24C3" w:rsidRPr="009D0786" w:rsidRDefault="005D24C3" w:rsidP="009B6CA9">
                  <w:pPr>
                    <w:spacing w:after="0" w:line="240" w:lineRule="auto"/>
                    <w:jc w:val="center"/>
                    <w:rPr>
                      <w:rFonts w:ascii="Calibri" w:eastAsia="Times New Roman" w:hAnsi="Calibri" w:cs="Times New Roman"/>
                      <w:i/>
                      <w:iCs/>
                      <w:color w:val="000000"/>
                      <w:sz w:val="20"/>
                      <w:szCs w:val="20"/>
                      <w:lang w:val="en-US"/>
                    </w:rPr>
                  </w:pPr>
                  <w:r w:rsidRPr="009D0786">
                    <w:rPr>
                      <w:rFonts w:ascii="Calibri" w:eastAsia="Times New Roman" w:hAnsi="Calibri" w:cs="Times New Roman"/>
                      <w:i/>
                      <w:iCs/>
                      <w:color w:val="000000"/>
                      <w:sz w:val="20"/>
                      <w:szCs w:val="20"/>
                      <w:lang w:val="en-GB" w:eastAsia="de-DE"/>
                    </w:rPr>
                    <w:t>F. sylvatica</w:t>
                  </w:r>
                </w:p>
              </w:tc>
            </w:tr>
            <w:tr w:rsidR="005D24C3" w:rsidRPr="009D0786" w14:paraId="5F75B4F3" w14:textId="77777777" w:rsidTr="009B6CA9">
              <w:trPr>
                <w:trHeight w:val="260"/>
              </w:trPr>
              <w:tc>
                <w:tcPr>
                  <w:tcW w:w="1093" w:type="dxa"/>
                  <w:tcBorders>
                    <w:top w:val="nil"/>
                    <w:left w:val="nil"/>
                    <w:bottom w:val="nil"/>
                    <w:right w:val="nil"/>
                  </w:tcBorders>
                  <w:shd w:val="clear" w:color="auto" w:fill="auto"/>
                  <w:noWrap/>
                  <w:vAlign w:val="center"/>
                  <w:hideMark/>
                </w:tcPr>
                <w:p w14:paraId="7586CB18"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Intercept</w:t>
                  </w:r>
                </w:p>
              </w:tc>
              <w:tc>
                <w:tcPr>
                  <w:tcW w:w="280" w:type="dxa"/>
                  <w:tcBorders>
                    <w:top w:val="nil"/>
                    <w:left w:val="nil"/>
                    <w:bottom w:val="nil"/>
                    <w:right w:val="nil"/>
                  </w:tcBorders>
                  <w:shd w:val="clear" w:color="auto" w:fill="auto"/>
                  <w:noWrap/>
                  <w:vAlign w:val="center"/>
                  <w:hideMark/>
                </w:tcPr>
                <w:p w14:paraId="4F2A4916"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2442A417"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GB"/>
                    </w:rPr>
                  </w:pPr>
                  <w:r w:rsidRPr="009D0786">
                    <w:rPr>
                      <w:rFonts w:ascii="Calibri" w:eastAsia="Times New Roman" w:hAnsi="Calibri" w:cs="Times New Roman"/>
                      <w:color w:val="000000"/>
                      <w:sz w:val="20"/>
                      <w:szCs w:val="20"/>
                      <w:lang w:val="en-GB"/>
                    </w:rPr>
                    <w:t>-3.09 (0.39)</w:t>
                  </w:r>
                </w:p>
              </w:tc>
              <w:tc>
                <w:tcPr>
                  <w:tcW w:w="1843" w:type="dxa"/>
                  <w:tcBorders>
                    <w:top w:val="nil"/>
                    <w:left w:val="nil"/>
                    <w:bottom w:val="nil"/>
                    <w:right w:val="nil"/>
                  </w:tcBorders>
                  <w:shd w:val="clear" w:color="auto" w:fill="auto"/>
                  <w:noWrap/>
                  <w:vAlign w:val="center"/>
                  <w:hideMark/>
                </w:tcPr>
                <w:p w14:paraId="2B9DCAB1"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n-GB" w:eastAsia="de-DE"/>
                    </w:rPr>
                    <w:t xml:space="preserve">-2.43 </w:t>
                  </w:r>
                  <w:r w:rsidRPr="009D0786">
                    <w:rPr>
                      <w:rFonts w:ascii="Calibri" w:eastAsia="Times New Roman" w:hAnsi="Calibri" w:cs="Times New Roman"/>
                      <w:color w:val="000000"/>
                      <w:sz w:val="20"/>
                      <w:szCs w:val="20"/>
                      <w:lang w:val="es-ES" w:eastAsia="de-DE"/>
                    </w:rPr>
                    <w:t>(0.16)</w:t>
                  </w:r>
                </w:p>
              </w:tc>
            </w:tr>
            <w:tr w:rsidR="005D24C3" w:rsidRPr="009D0786" w14:paraId="0A1D20CE" w14:textId="77777777" w:rsidTr="009B6CA9">
              <w:trPr>
                <w:trHeight w:val="260"/>
              </w:trPr>
              <w:tc>
                <w:tcPr>
                  <w:tcW w:w="1093" w:type="dxa"/>
                  <w:tcBorders>
                    <w:top w:val="nil"/>
                    <w:left w:val="nil"/>
                    <w:bottom w:val="nil"/>
                    <w:right w:val="nil"/>
                  </w:tcBorders>
                  <w:shd w:val="clear" w:color="auto" w:fill="auto"/>
                  <w:noWrap/>
                  <w:vAlign w:val="center"/>
                  <w:hideMark/>
                </w:tcPr>
                <w:p w14:paraId="41ABC783"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ln(</w:t>
                  </w:r>
                  <w:r w:rsidRPr="009D0786">
                    <w:rPr>
                      <w:rFonts w:ascii="Calibri" w:eastAsia="Times New Roman" w:hAnsi="Calibri" w:cs="Times New Roman"/>
                      <w:i/>
                      <w:iCs/>
                      <w:color w:val="000000"/>
                      <w:sz w:val="20"/>
                      <w:szCs w:val="20"/>
                      <w:lang w:val="es-ES" w:eastAsia="de-DE"/>
                    </w:rPr>
                    <w:t>la</w:t>
                  </w:r>
                  <w:r w:rsidRPr="009D0786">
                    <w:rPr>
                      <w:rFonts w:ascii="Calibri" w:eastAsia="Times New Roman" w:hAnsi="Calibri" w:cs="Times New Roman"/>
                      <w:color w:val="000000"/>
                      <w:sz w:val="20"/>
                      <w:szCs w:val="20"/>
                      <w:lang w:val="es-ES" w:eastAsia="de-DE"/>
                    </w:rPr>
                    <w:t>)</w:t>
                  </w:r>
                </w:p>
              </w:tc>
              <w:tc>
                <w:tcPr>
                  <w:tcW w:w="280" w:type="dxa"/>
                  <w:tcBorders>
                    <w:top w:val="nil"/>
                    <w:left w:val="nil"/>
                    <w:bottom w:val="nil"/>
                    <w:right w:val="nil"/>
                  </w:tcBorders>
                  <w:shd w:val="clear" w:color="auto" w:fill="auto"/>
                  <w:noWrap/>
                  <w:vAlign w:val="center"/>
                  <w:hideMark/>
                </w:tcPr>
                <w:p w14:paraId="7611C261"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p>
              </w:tc>
              <w:tc>
                <w:tcPr>
                  <w:tcW w:w="2029" w:type="dxa"/>
                  <w:tcBorders>
                    <w:top w:val="nil"/>
                    <w:left w:val="nil"/>
                    <w:bottom w:val="nil"/>
                    <w:right w:val="nil"/>
                  </w:tcBorders>
                  <w:shd w:val="clear" w:color="auto" w:fill="auto"/>
                  <w:noWrap/>
                  <w:vAlign w:val="center"/>
                  <w:hideMark/>
                </w:tcPr>
                <w:p w14:paraId="225B029E"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rPr>
                    <w:t>1.00 (0.12)</w:t>
                  </w:r>
                </w:p>
              </w:tc>
              <w:tc>
                <w:tcPr>
                  <w:tcW w:w="1843" w:type="dxa"/>
                  <w:tcBorders>
                    <w:top w:val="nil"/>
                    <w:left w:val="nil"/>
                    <w:bottom w:val="nil"/>
                    <w:right w:val="nil"/>
                  </w:tcBorders>
                  <w:shd w:val="clear" w:color="auto" w:fill="auto"/>
                  <w:noWrap/>
                  <w:vAlign w:val="center"/>
                  <w:hideMark/>
                </w:tcPr>
                <w:p w14:paraId="18803926"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0.94 (0.06)</w:t>
                  </w:r>
                </w:p>
              </w:tc>
            </w:tr>
            <w:tr w:rsidR="005D24C3" w:rsidRPr="009D0786" w14:paraId="594AE6AB" w14:textId="77777777" w:rsidTr="009B6CA9">
              <w:trPr>
                <w:trHeight w:val="260"/>
              </w:trPr>
              <w:tc>
                <w:tcPr>
                  <w:tcW w:w="1093" w:type="dxa"/>
                  <w:tcBorders>
                    <w:top w:val="nil"/>
                    <w:left w:val="nil"/>
                    <w:bottom w:val="nil"/>
                    <w:right w:val="nil"/>
                  </w:tcBorders>
                  <w:shd w:val="clear" w:color="auto" w:fill="auto"/>
                  <w:noWrap/>
                  <w:vAlign w:val="center"/>
                  <w:hideMark/>
                </w:tcPr>
                <w:p w14:paraId="1A802294"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M</w:t>
                  </w:r>
                </w:p>
              </w:tc>
              <w:tc>
                <w:tcPr>
                  <w:tcW w:w="280" w:type="dxa"/>
                  <w:tcBorders>
                    <w:top w:val="nil"/>
                    <w:left w:val="nil"/>
                    <w:bottom w:val="nil"/>
                    <w:right w:val="nil"/>
                  </w:tcBorders>
                  <w:shd w:val="clear" w:color="auto" w:fill="auto"/>
                  <w:noWrap/>
                  <w:vAlign w:val="center"/>
                  <w:hideMark/>
                </w:tcPr>
                <w:p w14:paraId="40BB53E5"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p>
              </w:tc>
              <w:tc>
                <w:tcPr>
                  <w:tcW w:w="2029" w:type="dxa"/>
                  <w:tcBorders>
                    <w:top w:val="nil"/>
                    <w:left w:val="nil"/>
                    <w:bottom w:val="nil"/>
                    <w:right w:val="nil"/>
                  </w:tcBorders>
                  <w:shd w:val="clear" w:color="auto" w:fill="auto"/>
                  <w:noWrap/>
                  <w:vAlign w:val="center"/>
                  <w:hideMark/>
                </w:tcPr>
                <w:p w14:paraId="6D8E40A5"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rPr>
                    <w:t>-0.78 (0.42)</w:t>
                  </w:r>
                </w:p>
              </w:tc>
              <w:tc>
                <w:tcPr>
                  <w:tcW w:w="1843" w:type="dxa"/>
                  <w:tcBorders>
                    <w:top w:val="nil"/>
                    <w:left w:val="nil"/>
                    <w:bottom w:val="nil"/>
                    <w:right w:val="nil"/>
                  </w:tcBorders>
                  <w:shd w:val="clear" w:color="auto" w:fill="auto"/>
                  <w:noWrap/>
                  <w:vAlign w:val="center"/>
                  <w:hideMark/>
                </w:tcPr>
                <w:p w14:paraId="0552EC96"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p>
              </w:tc>
            </w:tr>
            <w:tr w:rsidR="005D24C3" w:rsidRPr="009D0786" w14:paraId="18852FB8" w14:textId="77777777" w:rsidTr="009B6CA9">
              <w:trPr>
                <w:trHeight w:val="260"/>
              </w:trPr>
              <w:tc>
                <w:tcPr>
                  <w:tcW w:w="1093" w:type="dxa"/>
                  <w:tcBorders>
                    <w:top w:val="nil"/>
                    <w:left w:val="nil"/>
                    <w:bottom w:val="nil"/>
                    <w:right w:val="nil"/>
                  </w:tcBorders>
                  <w:shd w:val="clear" w:color="auto" w:fill="auto"/>
                  <w:noWrap/>
                  <w:vAlign w:val="center"/>
                  <w:hideMark/>
                </w:tcPr>
                <w:p w14:paraId="29802675" w14:textId="0E331CEF" w:rsidR="005D24C3" w:rsidRPr="009D0786" w:rsidRDefault="005D24C3" w:rsidP="009B6CA9">
                  <w:pPr>
                    <w:spacing w:after="0" w:line="240" w:lineRule="auto"/>
                    <w:jc w:val="center"/>
                    <w:rPr>
                      <w:rFonts w:ascii="Calibri" w:eastAsia="Times New Roman" w:hAnsi="Calibri" w:cs="Times New Roman"/>
                      <w:i/>
                      <w:iCs/>
                      <w:color w:val="000000"/>
                      <w:sz w:val="20"/>
                      <w:szCs w:val="20"/>
                      <w:lang w:val="es-ES"/>
                    </w:rPr>
                  </w:pPr>
                  <w:r w:rsidRPr="009D0786">
                    <w:rPr>
                      <w:rFonts w:ascii="Calibri" w:eastAsia="Times New Roman" w:hAnsi="Calibri" w:cs="Times New Roman"/>
                      <w:i/>
                      <w:iCs/>
                      <w:color w:val="000000"/>
                      <w:sz w:val="20"/>
                      <w:szCs w:val="20"/>
                      <w:lang w:val="es-ES" w:eastAsia="de-DE"/>
                    </w:rPr>
                    <w:t>rh</w:t>
                  </w:r>
                </w:p>
              </w:tc>
              <w:tc>
                <w:tcPr>
                  <w:tcW w:w="280" w:type="dxa"/>
                  <w:tcBorders>
                    <w:top w:val="nil"/>
                    <w:left w:val="nil"/>
                    <w:bottom w:val="nil"/>
                    <w:right w:val="nil"/>
                  </w:tcBorders>
                  <w:shd w:val="clear" w:color="auto" w:fill="auto"/>
                  <w:noWrap/>
                  <w:vAlign w:val="center"/>
                  <w:hideMark/>
                </w:tcPr>
                <w:p w14:paraId="34502568" w14:textId="77777777" w:rsidR="005D24C3" w:rsidRPr="009D0786" w:rsidRDefault="005D24C3" w:rsidP="009B6CA9">
                  <w:pPr>
                    <w:spacing w:after="0" w:line="240" w:lineRule="auto"/>
                    <w:jc w:val="center"/>
                    <w:rPr>
                      <w:rFonts w:ascii="Calibri" w:eastAsia="Times New Roman" w:hAnsi="Calibri" w:cs="Times New Roman"/>
                      <w:i/>
                      <w:iCs/>
                      <w:color w:val="000000"/>
                      <w:sz w:val="20"/>
                      <w:szCs w:val="20"/>
                      <w:lang w:val="es-ES"/>
                    </w:rPr>
                  </w:pPr>
                </w:p>
              </w:tc>
              <w:tc>
                <w:tcPr>
                  <w:tcW w:w="2029" w:type="dxa"/>
                  <w:tcBorders>
                    <w:top w:val="nil"/>
                    <w:left w:val="nil"/>
                    <w:bottom w:val="nil"/>
                    <w:right w:val="nil"/>
                  </w:tcBorders>
                  <w:shd w:val="clear" w:color="auto" w:fill="auto"/>
                  <w:noWrap/>
                  <w:vAlign w:val="center"/>
                  <w:hideMark/>
                </w:tcPr>
                <w:p w14:paraId="01B7C487"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rPr>
                    <w:t>1.08 (0.36)</w:t>
                  </w:r>
                </w:p>
              </w:tc>
              <w:tc>
                <w:tcPr>
                  <w:tcW w:w="1843" w:type="dxa"/>
                  <w:tcBorders>
                    <w:top w:val="nil"/>
                    <w:left w:val="nil"/>
                    <w:bottom w:val="nil"/>
                    <w:right w:val="nil"/>
                  </w:tcBorders>
                  <w:shd w:val="clear" w:color="auto" w:fill="auto"/>
                  <w:noWrap/>
                  <w:vAlign w:val="center"/>
                  <w:hideMark/>
                </w:tcPr>
                <w:p w14:paraId="01FB15EF"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0.78 (0.26)</w:t>
                  </w:r>
                </w:p>
              </w:tc>
            </w:tr>
            <w:tr w:rsidR="005D24C3" w:rsidRPr="009D0786" w14:paraId="1DFBC0A6" w14:textId="77777777" w:rsidTr="009B6CA9">
              <w:trPr>
                <w:trHeight w:val="260"/>
              </w:trPr>
              <w:tc>
                <w:tcPr>
                  <w:tcW w:w="1093" w:type="dxa"/>
                  <w:tcBorders>
                    <w:top w:val="nil"/>
                    <w:left w:val="nil"/>
                    <w:bottom w:val="nil"/>
                    <w:right w:val="nil"/>
                  </w:tcBorders>
                  <w:shd w:val="clear" w:color="auto" w:fill="auto"/>
                  <w:noWrap/>
                  <w:vAlign w:val="center"/>
                  <w:hideMark/>
                </w:tcPr>
                <w:p w14:paraId="488471AB"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LAI</w:t>
                  </w:r>
                </w:p>
              </w:tc>
              <w:tc>
                <w:tcPr>
                  <w:tcW w:w="280" w:type="dxa"/>
                  <w:tcBorders>
                    <w:top w:val="nil"/>
                    <w:left w:val="nil"/>
                    <w:bottom w:val="nil"/>
                    <w:right w:val="nil"/>
                  </w:tcBorders>
                  <w:shd w:val="clear" w:color="auto" w:fill="auto"/>
                  <w:noWrap/>
                  <w:vAlign w:val="center"/>
                  <w:hideMark/>
                </w:tcPr>
                <w:p w14:paraId="1C097872"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p>
              </w:tc>
              <w:tc>
                <w:tcPr>
                  <w:tcW w:w="2029" w:type="dxa"/>
                  <w:tcBorders>
                    <w:top w:val="nil"/>
                    <w:left w:val="nil"/>
                    <w:bottom w:val="nil"/>
                    <w:right w:val="nil"/>
                  </w:tcBorders>
                  <w:shd w:val="clear" w:color="auto" w:fill="auto"/>
                  <w:noWrap/>
                  <w:vAlign w:val="center"/>
                  <w:hideMark/>
                </w:tcPr>
                <w:p w14:paraId="325E6E14" w14:textId="77777777" w:rsidR="005D24C3" w:rsidRPr="009D0786" w:rsidRDefault="005D24C3" w:rsidP="009B6CA9">
                  <w:pPr>
                    <w:spacing w:after="0" w:line="240" w:lineRule="auto"/>
                    <w:jc w:val="center"/>
                    <w:rPr>
                      <w:rFonts w:eastAsia="Times New Roman" w:cstheme="minorHAnsi"/>
                      <w:sz w:val="20"/>
                      <w:szCs w:val="20"/>
                      <w:lang w:val="es-ES"/>
                    </w:rPr>
                  </w:pPr>
                </w:p>
              </w:tc>
              <w:tc>
                <w:tcPr>
                  <w:tcW w:w="1843" w:type="dxa"/>
                  <w:tcBorders>
                    <w:top w:val="nil"/>
                    <w:left w:val="nil"/>
                    <w:bottom w:val="nil"/>
                    <w:right w:val="nil"/>
                  </w:tcBorders>
                  <w:shd w:val="clear" w:color="auto" w:fill="auto"/>
                  <w:noWrap/>
                  <w:vAlign w:val="center"/>
                  <w:hideMark/>
                </w:tcPr>
                <w:p w14:paraId="6BB1C5BC" w14:textId="77777777" w:rsidR="005D24C3" w:rsidRPr="009D0786" w:rsidRDefault="005D24C3" w:rsidP="009B6CA9">
                  <w:pPr>
                    <w:spacing w:after="0" w:line="240" w:lineRule="auto"/>
                    <w:rPr>
                      <w:rFonts w:ascii="Times New Roman" w:eastAsia="Times New Roman" w:hAnsi="Times New Roman" w:cs="Times New Roman"/>
                      <w:sz w:val="20"/>
                      <w:szCs w:val="20"/>
                      <w:lang w:val="es-ES"/>
                    </w:rPr>
                  </w:pPr>
                </w:p>
              </w:tc>
            </w:tr>
            <w:tr w:rsidR="005D24C3" w:rsidRPr="009D0786" w14:paraId="32FC35F2" w14:textId="77777777" w:rsidTr="009B6CA9">
              <w:trPr>
                <w:trHeight w:val="260"/>
              </w:trPr>
              <w:tc>
                <w:tcPr>
                  <w:tcW w:w="1093" w:type="dxa"/>
                  <w:tcBorders>
                    <w:top w:val="nil"/>
                    <w:left w:val="nil"/>
                    <w:bottom w:val="nil"/>
                    <w:right w:val="nil"/>
                  </w:tcBorders>
                  <w:shd w:val="clear" w:color="auto" w:fill="auto"/>
                  <w:noWrap/>
                  <w:vAlign w:val="center"/>
                  <w:hideMark/>
                </w:tcPr>
                <w:p w14:paraId="5E1A63D0" w14:textId="1F9FA9C3"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r w:rsidRPr="009D0786">
                    <w:rPr>
                      <w:rFonts w:ascii="Calibri" w:eastAsia="Times New Roman" w:hAnsi="Calibri" w:cs="Times New Roman"/>
                      <w:color w:val="000000"/>
                      <w:sz w:val="20"/>
                      <w:szCs w:val="20"/>
                      <w:lang w:val="es-ES" w:eastAsia="de-DE"/>
                    </w:rPr>
                    <w:t>ln(</w:t>
                  </w:r>
                  <w:r w:rsidRPr="009D0786">
                    <w:rPr>
                      <w:rFonts w:ascii="Calibri" w:eastAsia="Times New Roman" w:hAnsi="Calibri" w:cs="Times New Roman"/>
                      <w:i/>
                      <w:iCs/>
                      <w:color w:val="000000"/>
                      <w:sz w:val="20"/>
                      <w:szCs w:val="20"/>
                      <w:lang w:val="es-ES" w:eastAsia="de-DE"/>
                    </w:rPr>
                    <w:t>la</w:t>
                  </w:r>
                  <w:r w:rsidR="002B048B">
                    <w:rPr>
                      <w:rFonts w:ascii="Calibri" w:eastAsia="Times New Roman" w:hAnsi="Calibri" w:cs="Times New Roman"/>
                      <w:color w:val="000000"/>
                      <w:sz w:val="20"/>
                      <w:szCs w:val="20"/>
                      <w:lang w:val="es-ES" w:eastAsia="de-DE"/>
                    </w:rPr>
                    <w:t>) ×</w:t>
                  </w:r>
                  <w:r w:rsidRPr="009D0786">
                    <w:rPr>
                      <w:rFonts w:ascii="Calibri" w:eastAsia="Times New Roman" w:hAnsi="Calibri" w:cs="Times New Roman"/>
                      <w:color w:val="000000"/>
                      <w:sz w:val="20"/>
                      <w:szCs w:val="20"/>
                      <w:lang w:val="es-ES" w:eastAsia="de-DE"/>
                    </w:rPr>
                    <w:t xml:space="preserve"> M</w:t>
                  </w:r>
                </w:p>
              </w:tc>
              <w:tc>
                <w:tcPr>
                  <w:tcW w:w="280" w:type="dxa"/>
                  <w:tcBorders>
                    <w:top w:val="nil"/>
                    <w:left w:val="nil"/>
                    <w:bottom w:val="nil"/>
                    <w:right w:val="nil"/>
                  </w:tcBorders>
                  <w:shd w:val="clear" w:color="auto" w:fill="auto"/>
                  <w:noWrap/>
                  <w:vAlign w:val="center"/>
                  <w:hideMark/>
                </w:tcPr>
                <w:p w14:paraId="357415A7"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s-ES"/>
                    </w:rPr>
                  </w:pPr>
                </w:p>
              </w:tc>
              <w:tc>
                <w:tcPr>
                  <w:tcW w:w="2029" w:type="dxa"/>
                  <w:tcBorders>
                    <w:top w:val="nil"/>
                    <w:left w:val="nil"/>
                    <w:bottom w:val="nil"/>
                    <w:right w:val="nil"/>
                  </w:tcBorders>
                  <w:shd w:val="clear" w:color="auto" w:fill="auto"/>
                  <w:noWrap/>
                  <w:vAlign w:val="center"/>
                  <w:hideMark/>
                </w:tcPr>
                <w:p w14:paraId="416F8182" w14:textId="77777777" w:rsidR="005D24C3" w:rsidRPr="009D0786" w:rsidRDefault="005D24C3" w:rsidP="009B6CA9">
                  <w:pPr>
                    <w:spacing w:after="0" w:line="240" w:lineRule="auto"/>
                    <w:jc w:val="center"/>
                    <w:rPr>
                      <w:rFonts w:eastAsia="Times New Roman" w:cstheme="minorHAnsi"/>
                      <w:color w:val="000000"/>
                      <w:sz w:val="20"/>
                      <w:szCs w:val="20"/>
                      <w:lang w:val="en-US"/>
                    </w:rPr>
                  </w:pPr>
                  <w:r w:rsidRPr="009D0786">
                    <w:rPr>
                      <w:rFonts w:eastAsia="Times New Roman" w:cstheme="minorHAnsi"/>
                      <w:color w:val="000000"/>
                      <w:sz w:val="20"/>
                      <w:szCs w:val="20"/>
                      <w:lang w:val="en-US"/>
                    </w:rPr>
                    <w:t>0.20 (0.09)</w:t>
                  </w:r>
                </w:p>
              </w:tc>
              <w:tc>
                <w:tcPr>
                  <w:tcW w:w="1843" w:type="dxa"/>
                  <w:tcBorders>
                    <w:top w:val="nil"/>
                    <w:left w:val="nil"/>
                    <w:bottom w:val="nil"/>
                    <w:right w:val="nil"/>
                  </w:tcBorders>
                  <w:shd w:val="clear" w:color="auto" w:fill="auto"/>
                  <w:noWrap/>
                  <w:vAlign w:val="center"/>
                  <w:hideMark/>
                </w:tcPr>
                <w:p w14:paraId="6DC829E5"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r>
            <w:tr w:rsidR="005D24C3" w:rsidRPr="009D0786" w14:paraId="3AADC271" w14:textId="77777777" w:rsidTr="009B6CA9">
              <w:trPr>
                <w:trHeight w:val="260"/>
              </w:trPr>
              <w:tc>
                <w:tcPr>
                  <w:tcW w:w="1093" w:type="dxa"/>
                  <w:tcBorders>
                    <w:top w:val="nil"/>
                    <w:left w:val="nil"/>
                    <w:bottom w:val="nil"/>
                    <w:right w:val="nil"/>
                  </w:tcBorders>
                  <w:shd w:val="clear" w:color="auto" w:fill="auto"/>
                  <w:noWrap/>
                  <w:vAlign w:val="center"/>
                  <w:hideMark/>
                </w:tcPr>
                <w:p w14:paraId="10AE5338" w14:textId="7E9D2BE7" w:rsidR="005D24C3" w:rsidRPr="009D0786" w:rsidRDefault="005D24C3" w:rsidP="009B6CA9">
                  <w:pPr>
                    <w:spacing w:after="0" w:line="240" w:lineRule="auto"/>
                    <w:jc w:val="center"/>
                    <w:rPr>
                      <w:rFonts w:ascii="Calibri" w:eastAsia="Times New Roman" w:hAnsi="Calibri" w:cs="Times New Roman"/>
                      <w:i/>
                      <w:iCs/>
                      <w:color w:val="000000"/>
                      <w:sz w:val="20"/>
                      <w:szCs w:val="20"/>
                      <w:lang w:val="en-US"/>
                    </w:rPr>
                  </w:pPr>
                  <w:r w:rsidRPr="009D0786">
                    <w:rPr>
                      <w:rFonts w:ascii="Calibri" w:eastAsia="Times New Roman" w:hAnsi="Calibri" w:cs="Times New Roman"/>
                      <w:i/>
                      <w:iCs/>
                      <w:color w:val="000000"/>
                      <w:sz w:val="20"/>
                      <w:szCs w:val="20"/>
                      <w:lang w:val="en-GB" w:eastAsia="de-DE"/>
                    </w:rPr>
                    <w:t>rh</w:t>
                  </w:r>
                  <w:r w:rsidRPr="009D0786">
                    <w:rPr>
                      <w:rFonts w:ascii="Calibri" w:eastAsia="Times New Roman" w:hAnsi="Calibri" w:cs="Times New Roman"/>
                      <w:color w:val="000000"/>
                      <w:sz w:val="20"/>
                      <w:szCs w:val="20"/>
                      <w:lang w:val="en-GB" w:eastAsia="de-DE"/>
                    </w:rPr>
                    <w:t xml:space="preserve"> </w:t>
                  </w:r>
                  <w:r w:rsidR="002B048B">
                    <w:rPr>
                      <w:rFonts w:ascii="Calibri" w:eastAsia="Times New Roman" w:hAnsi="Calibri" w:cs="Times New Roman"/>
                      <w:color w:val="000000"/>
                      <w:sz w:val="20"/>
                      <w:szCs w:val="20"/>
                      <w:lang w:val="es-ES" w:eastAsia="de-DE"/>
                    </w:rPr>
                    <w:t>×</w:t>
                  </w:r>
                  <w:r w:rsidRPr="009D0786">
                    <w:rPr>
                      <w:rFonts w:ascii="Calibri" w:eastAsia="Times New Roman" w:hAnsi="Calibri" w:cs="Times New Roman"/>
                      <w:color w:val="000000"/>
                      <w:sz w:val="20"/>
                      <w:szCs w:val="20"/>
                      <w:lang w:val="en-GB" w:eastAsia="de-DE"/>
                    </w:rPr>
                    <w:t xml:space="preserve"> M</w:t>
                  </w:r>
                </w:p>
              </w:tc>
              <w:tc>
                <w:tcPr>
                  <w:tcW w:w="280" w:type="dxa"/>
                  <w:tcBorders>
                    <w:top w:val="nil"/>
                    <w:left w:val="nil"/>
                    <w:bottom w:val="nil"/>
                    <w:right w:val="nil"/>
                  </w:tcBorders>
                  <w:shd w:val="clear" w:color="auto" w:fill="auto"/>
                  <w:noWrap/>
                  <w:vAlign w:val="center"/>
                  <w:hideMark/>
                </w:tcPr>
                <w:p w14:paraId="0ABB37B4" w14:textId="77777777" w:rsidR="005D24C3" w:rsidRPr="009D0786" w:rsidRDefault="005D24C3" w:rsidP="009B6CA9">
                  <w:pPr>
                    <w:spacing w:after="0" w:line="240" w:lineRule="auto"/>
                    <w:jc w:val="center"/>
                    <w:rPr>
                      <w:rFonts w:ascii="Calibri" w:eastAsia="Times New Roman" w:hAnsi="Calibri" w:cs="Times New Roman"/>
                      <w:i/>
                      <w:iCs/>
                      <w:color w:val="000000"/>
                      <w:sz w:val="20"/>
                      <w:szCs w:val="20"/>
                      <w:lang w:val="en-US"/>
                    </w:rPr>
                  </w:pPr>
                </w:p>
              </w:tc>
              <w:tc>
                <w:tcPr>
                  <w:tcW w:w="2029" w:type="dxa"/>
                  <w:tcBorders>
                    <w:top w:val="nil"/>
                    <w:left w:val="nil"/>
                    <w:bottom w:val="nil"/>
                    <w:right w:val="nil"/>
                  </w:tcBorders>
                  <w:shd w:val="clear" w:color="auto" w:fill="auto"/>
                  <w:noWrap/>
                  <w:vAlign w:val="center"/>
                  <w:hideMark/>
                </w:tcPr>
                <w:p w14:paraId="4B54BC3F" w14:textId="77777777" w:rsidR="005D24C3" w:rsidRPr="009D0786" w:rsidRDefault="005D24C3" w:rsidP="009B6CA9">
                  <w:pPr>
                    <w:spacing w:after="0" w:line="240" w:lineRule="auto"/>
                    <w:jc w:val="center"/>
                    <w:rPr>
                      <w:rFonts w:eastAsia="Times New Roman" w:cstheme="minorHAnsi"/>
                      <w:sz w:val="20"/>
                      <w:szCs w:val="20"/>
                      <w:lang w:val="en-US"/>
                    </w:rPr>
                  </w:pPr>
                </w:p>
              </w:tc>
              <w:tc>
                <w:tcPr>
                  <w:tcW w:w="1843" w:type="dxa"/>
                  <w:tcBorders>
                    <w:top w:val="nil"/>
                    <w:left w:val="nil"/>
                    <w:bottom w:val="nil"/>
                    <w:right w:val="nil"/>
                  </w:tcBorders>
                  <w:shd w:val="clear" w:color="auto" w:fill="auto"/>
                  <w:noWrap/>
                  <w:vAlign w:val="center"/>
                  <w:hideMark/>
                </w:tcPr>
                <w:p w14:paraId="0CC69E26" w14:textId="77777777" w:rsidR="005D24C3" w:rsidRPr="009D0786" w:rsidRDefault="005D24C3" w:rsidP="009B6CA9">
                  <w:pPr>
                    <w:spacing w:after="0" w:line="240" w:lineRule="auto"/>
                    <w:jc w:val="center"/>
                    <w:rPr>
                      <w:rFonts w:ascii="Times New Roman" w:eastAsia="Times New Roman" w:hAnsi="Times New Roman" w:cs="Times New Roman"/>
                      <w:sz w:val="20"/>
                      <w:szCs w:val="20"/>
                      <w:lang w:val="en-US"/>
                    </w:rPr>
                  </w:pPr>
                </w:p>
              </w:tc>
            </w:tr>
            <w:tr w:rsidR="005D24C3" w:rsidRPr="009D0786" w14:paraId="655CEF71" w14:textId="77777777" w:rsidTr="009B6CA9">
              <w:trPr>
                <w:trHeight w:val="260"/>
              </w:trPr>
              <w:tc>
                <w:tcPr>
                  <w:tcW w:w="1093" w:type="dxa"/>
                  <w:tcBorders>
                    <w:top w:val="nil"/>
                    <w:left w:val="nil"/>
                    <w:bottom w:val="nil"/>
                    <w:right w:val="nil"/>
                  </w:tcBorders>
                  <w:shd w:val="clear" w:color="auto" w:fill="auto"/>
                  <w:noWrap/>
                  <w:vAlign w:val="center"/>
                  <w:hideMark/>
                </w:tcPr>
                <w:p w14:paraId="37092A17" w14:textId="0EC27369" w:rsidR="005D24C3" w:rsidRPr="009D0786" w:rsidRDefault="005D24C3" w:rsidP="002B048B">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 xml:space="preserve">LAI </w:t>
                  </w:r>
                  <w:r w:rsidR="002B048B">
                    <w:rPr>
                      <w:rFonts w:ascii="Calibri" w:eastAsia="Times New Roman" w:hAnsi="Calibri" w:cs="Times New Roman"/>
                      <w:color w:val="000000"/>
                      <w:sz w:val="20"/>
                      <w:szCs w:val="20"/>
                      <w:lang w:val="es-ES" w:eastAsia="de-DE"/>
                    </w:rPr>
                    <w:t>×</w:t>
                  </w:r>
                  <w:r w:rsidRPr="009D0786">
                    <w:rPr>
                      <w:rFonts w:ascii="Calibri" w:eastAsia="Times New Roman" w:hAnsi="Calibri" w:cs="Times New Roman"/>
                      <w:color w:val="000000"/>
                      <w:sz w:val="20"/>
                      <w:szCs w:val="20"/>
                      <w:lang w:val="en-GB" w:eastAsia="de-DE"/>
                    </w:rPr>
                    <w:t xml:space="preserve"> M</w:t>
                  </w:r>
                </w:p>
              </w:tc>
              <w:tc>
                <w:tcPr>
                  <w:tcW w:w="280" w:type="dxa"/>
                  <w:tcBorders>
                    <w:top w:val="nil"/>
                    <w:left w:val="nil"/>
                    <w:bottom w:val="nil"/>
                    <w:right w:val="nil"/>
                  </w:tcBorders>
                  <w:shd w:val="clear" w:color="auto" w:fill="auto"/>
                  <w:noWrap/>
                  <w:vAlign w:val="center"/>
                  <w:hideMark/>
                </w:tcPr>
                <w:p w14:paraId="75A0814E"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298D7C15" w14:textId="77777777" w:rsidR="005D24C3" w:rsidRPr="009D0786" w:rsidRDefault="005D24C3" w:rsidP="009B6CA9">
                  <w:pPr>
                    <w:spacing w:after="0" w:line="240" w:lineRule="auto"/>
                    <w:jc w:val="center"/>
                    <w:rPr>
                      <w:rFonts w:eastAsia="Times New Roman" w:cstheme="minorHAnsi"/>
                      <w:sz w:val="20"/>
                      <w:szCs w:val="20"/>
                      <w:lang w:val="en-US"/>
                    </w:rPr>
                  </w:pPr>
                </w:p>
              </w:tc>
              <w:tc>
                <w:tcPr>
                  <w:tcW w:w="1843" w:type="dxa"/>
                  <w:tcBorders>
                    <w:top w:val="nil"/>
                    <w:left w:val="nil"/>
                    <w:bottom w:val="nil"/>
                    <w:right w:val="nil"/>
                  </w:tcBorders>
                  <w:shd w:val="clear" w:color="auto" w:fill="auto"/>
                  <w:noWrap/>
                  <w:vAlign w:val="center"/>
                  <w:hideMark/>
                </w:tcPr>
                <w:p w14:paraId="33DDF717" w14:textId="77777777" w:rsidR="005D24C3" w:rsidRPr="009D0786" w:rsidRDefault="005D24C3" w:rsidP="009B6CA9">
                  <w:pPr>
                    <w:spacing w:after="0" w:line="240" w:lineRule="auto"/>
                    <w:rPr>
                      <w:rFonts w:ascii="Times New Roman" w:eastAsia="Times New Roman" w:hAnsi="Times New Roman" w:cs="Times New Roman"/>
                      <w:sz w:val="20"/>
                      <w:szCs w:val="20"/>
                      <w:lang w:val="en-US"/>
                    </w:rPr>
                  </w:pPr>
                </w:p>
              </w:tc>
            </w:tr>
            <w:tr w:rsidR="005D24C3" w:rsidRPr="009D0786" w14:paraId="751F7CF3" w14:textId="77777777" w:rsidTr="009B6CA9">
              <w:trPr>
                <w:trHeight w:val="260"/>
              </w:trPr>
              <w:tc>
                <w:tcPr>
                  <w:tcW w:w="1093" w:type="dxa"/>
                  <w:tcBorders>
                    <w:top w:val="nil"/>
                    <w:left w:val="nil"/>
                    <w:bottom w:val="nil"/>
                    <w:right w:val="nil"/>
                  </w:tcBorders>
                  <w:shd w:val="clear" w:color="auto" w:fill="auto"/>
                  <w:noWrap/>
                  <w:vAlign w:val="center"/>
                  <w:hideMark/>
                </w:tcPr>
                <w:p w14:paraId="395AA3D5" w14:textId="77777777" w:rsidR="005D24C3" w:rsidRPr="009D0786" w:rsidRDefault="005D24C3" w:rsidP="009B6CA9">
                  <w:pPr>
                    <w:spacing w:after="0" w:line="240" w:lineRule="auto"/>
                    <w:rPr>
                      <w:rFonts w:ascii="Times New Roman" w:eastAsia="Times New Roman" w:hAnsi="Times New Roman" w:cs="Times New Roman"/>
                      <w:sz w:val="20"/>
                      <w:szCs w:val="20"/>
                      <w:lang w:val="en-US"/>
                    </w:rPr>
                  </w:pPr>
                </w:p>
              </w:tc>
              <w:tc>
                <w:tcPr>
                  <w:tcW w:w="280" w:type="dxa"/>
                  <w:tcBorders>
                    <w:top w:val="nil"/>
                    <w:left w:val="nil"/>
                    <w:bottom w:val="nil"/>
                    <w:right w:val="nil"/>
                  </w:tcBorders>
                  <w:shd w:val="clear" w:color="auto" w:fill="auto"/>
                  <w:noWrap/>
                  <w:vAlign w:val="center"/>
                  <w:hideMark/>
                </w:tcPr>
                <w:p w14:paraId="654BFDCA" w14:textId="77777777" w:rsidR="005D24C3" w:rsidRPr="009D0786" w:rsidRDefault="005D24C3" w:rsidP="009B6CA9">
                  <w:pPr>
                    <w:spacing w:after="0" w:line="240" w:lineRule="auto"/>
                    <w:jc w:val="center"/>
                    <w:rPr>
                      <w:rFonts w:ascii="Times New Roman" w:eastAsia="Times New Roman" w:hAnsi="Times New Roman" w:cs="Times New Roman"/>
                      <w:sz w:val="20"/>
                      <w:szCs w:val="20"/>
                      <w:lang w:val="en-US"/>
                    </w:rPr>
                  </w:pPr>
                </w:p>
              </w:tc>
              <w:tc>
                <w:tcPr>
                  <w:tcW w:w="2029" w:type="dxa"/>
                  <w:tcBorders>
                    <w:top w:val="nil"/>
                    <w:left w:val="nil"/>
                    <w:bottom w:val="nil"/>
                    <w:right w:val="nil"/>
                  </w:tcBorders>
                  <w:shd w:val="clear" w:color="auto" w:fill="auto"/>
                  <w:noWrap/>
                  <w:vAlign w:val="center"/>
                  <w:hideMark/>
                </w:tcPr>
                <w:p w14:paraId="2F541F4D" w14:textId="77777777" w:rsidR="005D24C3" w:rsidRPr="009D0786" w:rsidRDefault="005D24C3" w:rsidP="009B6CA9">
                  <w:pPr>
                    <w:spacing w:after="0" w:line="240" w:lineRule="auto"/>
                    <w:jc w:val="center"/>
                    <w:rPr>
                      <w:rFonts w:eastAsia="Times New Roman" w:cstheme="minorHAnsi"/>
                      <w:sz w:val="20"/>
                      <w:szCs w:val="20"/>
                      <w:lang w:val="en-US"/>
                    </w:rPr>
                  </w:pPr>
                </w:p>
              </w:tc>
              <w:tc>
                <w:tcPr>
                  <w:tcW w:w="1843" w:type="dxa"/>
                  <w:tcBorders>
                    <w:top w:val="nil"/>
                    <w:left w:val="nil"/>
                    <w:bottom w:val="nil"/>
                    <w:right w:val="nil"/>
                  </w:tcBorders>
                  <w:shd w:val="clear" w:color="auto" w:fill="auto"/>
                  <w:noWrap/>
                  <w:vAlign w:val="center"/>
                  <w:hideMark/>
                </w:tcPr>
                <w:p w14:paraId="49419C8C" w14:textId="77777777" w:rsidR="005D24C3" w:rsidRPr="009D0786" w:rsidRDefault="005D24C3" w:rsidP="009B6CA9">
                  <w:pPr>
                    <w:spacing w:after="0" w:line="240" w:lineRule="auto"/>
                    <w:jc w:val="center"/>
                    <w:rPr>
                      <w:rFonts w:ascii="Times New Roman" w:eastAsia="Times New Roman" w:hAnsi="Times New Roman" w:cs="Times New Roman"/>
                      <w:sz w:val="20"/>
                      <w:szCs w:val="20"/>
                      <w:lang w:val="en-US"/>
                    </w:rPr>
                  </w:pPr>
                </w:p>
              </w:tc>
            </w:tr>
            <w:tr w:rsidR="005D24C3" w:rsidRPr="009D0786" w14:paraId="36BA7D66" w14:textId="77777777" w:rsidTr="009B6CA9">
              <w:trPr>
                <w:trHeight w:val="260"/>
              </w:trPr>
              <w:tc>
                <w:tcPr>
                  <w:tcW w:w="1093" w:type="dxa"/>
                  <w:tcBorders>
                    <w:top w:val="nil"/>
                    <w:left w:val="nil"/>
                    <w:bottom w:val="nil"/>
                    <w:right w:val="nil"/>
                  </w:tcBorders>
                  <w:shd w:val="clear" w:color="auto" w:fill="auto"/>
                  <w:noWrap/>
                  <w:vAlign w:val="center"/>
                  <w:hideMark/>
                </w:tcPr>
                <w:p w14:paraId="54096B2A"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n</w:t>
                  </w:r>
                </w:p>
              </w:tc>
              <w:tc>
                <w:tcPr>
                  <w:tcW w:w="280" w:type="dxa"/>
                  <w:tcBorders>
                    <w:top w:val="nil"/>
                    <w:left w:val="nil"/>
                    <w:bottom w:val="nil"/>
                    <w:right w:val="nil"/>
                  </w:tcBorders>
                  <w:shd w:val="clear" w:color="auto" w:fill="auto"/>
                  <w:noWrap/>
                  <w:vAlign w:val="center"/>
                  <w:hideMark/>
                </w:tcPr>
                <w:p w14:paraId="086111E3"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0EF7ECF6"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132</w:t>
                  </w:r>
                </w:p>
              </w:tc>
              <w:tc>
                <w:tcPr>
                  <w:tcW w:w="1843" w:type="dxa"/>
                  <w:tcBorders>
                    <w:top w:val="nil"/>
                    <w:left w:val="nil"/>
                    <w:bottom w:val="nil"/>
                    <w:right w:val="nil"/>
                  </w:tcBorders>
                  <w:shd w:val="clear" w:color="auto" w:fill="auto"/>
                  <w:noWrap/>
                  <w:vAlign w:val="center"/>
                  <w:hideMark/>
                </w:tcPr>
                <w:p w14:paraId="584A5562"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239</w:t>
                  </w:r>
                </w:p>
              </w:tc>
            </w:tr>
            <w:tr w:rsidR="005D24C3" w:rsidRPr="009D0786" w14:paraId="04F99AF4" w14:textId="77777777" w:rsidTr="009B6CA9">
              <w:trPr>
                <w:trHeight w:val="294"/>
              </w:trPr>
              <w:tc>
                <w:tcPr>
                  <w:tcW w:w="1093" w:type="dxa"/>
                  <w:tcBorders>
                    <w:top w:val="nil"/>
                    <w:left w:val="nil"/>
                    <w:bottom w:val="single" w:sz="8" w:space="0" w:color="auto"/>
                    <w:right w:val="nil"/>
                  </w:tcBorders>
                  <w:shd w:val="clear" w:color="auto" w:fill="auto"/>
                  <w:noWrap/>
                  <w:vAlign w:val="center"/>
                  <w:hideMark/>
                </w:tcPr>
                <w:p w14:paraId="2B698201"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roofErr w:type="spellStart"/>
                  <w:r w:rsidRPr="009D0786">
                    <w:rPr>
                      <w:rFonts w:ascii="Calibri" w:eastAsia="Times New Roman" w:hAnsi="Calibri" w:cs="Times New Roman"/>
                      <w:color w:val="000000"/>
                      <w:sz w:val="20"/>
                      <w:szCs w:val="20"/>
                      <w:lang w:val="en-GB"/>
                    </w:rPr>
                    <w:t>ε</w:t>
                  </w:r>
                  <w:r w:rsidRPr="009D0786">
                    <w:rPr>
                      <w:rFonts w:ascii="Calibri" w:eastAsia="Times New Roman" w:hAnsi="Calibri" w:cs="Times New Roman"/>
                      <w:color w:val="000000"/>
                      <w:sz w:val="20"/>
                      <w:szCs w:val="20"/>
                      <w:vertAlign w:val="subscript"/>
                      <w:lang w:val="en-GB"/>
                    </w:rPr>
                    <w:t>tij</w:t>
                  </w:r>
                  <w:proofErr w:type="spellEnd"/>
                </w:p>
              </w:tc>
              <w:tc>
                <w:tcPr>
                  <w:tcW w:w="280" w:type="dxa"/>
                  <w:tcBorders>
                    <w:top w:val="nil"/>
                    <w:left w:val="nil"/>
                    <w:bottom w:val="single" w:sz="8" w:space="0" w:color="auto"/>
                    <w:right w:val="nil"/>
                  </w:tcBorders>
                  <w:shd w:val="clear" w:color="auto" w:fill="auto"/>
                  <w:noWrap/>
                  <w:vAlign w:val="center"/>
                  <w:hideMark/>
                </w:tcPr>
                <w:p w14:paraId="09AD32F0" w14:textId="77777777" w:rsidR="005D24C3" w:rsidRPr="009D0786" w:rsidRDefault="005D24C3" w:rsidP="009B6CA9">
                  <w:pPr>
                    <w:spacing w:after="0" w:line="240" w:lineRule="auto"/>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US"/>
                    </w:rPr>
                    <w:t> </w:t>
                  </w:r>
                </w:p>
              </w:tc>
              <w:tc>
                <w:tcPr>
                  <w:tcW w:w="2029" w:type="dxa"/>
                  <w:tcBorders>
                    <w:top w:val="nil"/>
                    <w:left w:val="nil"/>
                    <w:bottom w:val="single" w:sz="8" w:space="0" w:color="auto"/>
                    <w:right w:val="nil"/>
                  </w:tcBorders>
                  <w:shd w:val="clear" w:color="auto" w:fill="auto"/>
                  <w:noWrap/>
                  <w:vAlign w:val="center"/>
                  <w:hideMark/>
                </w:tcPr>
                <w:p w14:paraId="5487DB1B"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US"/>
                    </w:rPr>
                    <w:t>0.09</w:t>
                  </w:r>
                </w:p>
              </w:tc>
              <w:tc>
                <w:tcPr>
                  <w:tcW w:w="1843" w:type="dxa"/>
                  <w:tcBorders>
                    <w:top w:val="nil"/>
                    <w:left w:val="nil"/>
                    <w:bottom w:val="single" w:sz="8" w:space="0" w:color="auto"/>
                    <w:right w:val="nil"/>
                  </w:tcBorders>
                  <w:shd w:val="clear" w:color="auto" w:fill="auto"/>
                  <w:noWrap/>
                  <w:vAlign w:val="center"/>
                  <w:hideMark/>
                </w:tcPr>
                <w:p w14:paraId="7AED844E"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0.14</w:t>
                  </w:r>
                </w:p>
              </w:tc>
            </w:tr>
            <w:tr w:rsidR="005D24C3" w:rsidRPr="009D0786" w14:paraId="5E148D17" w14:textId="77777777" w:rsidTr="009B6CA9">
              <w:trPr>
                <w:trHeight w:val="294"/>
              </w:trPr>
              <w:tc>
                <w:tcPr>
                  <w:tcW w:w="5245" w:type="dxa"/>
                  <w:gridSpan w:val="4"/>
                  <w:tcBorders>
                    <w:top w:val="nil"/>
                    <w:left w:val="nil"/>
                    <w:bottom w:val="single" w:sz="8" w:space="0" w:color="auto"/>
                    <w:right w:val="nil"/>
                  </w:tcBorders>
                  <w:shd w:val="clear" w:color="auto" w:fill="auto"/>
                  <w:noWrap/>
                  <w:vAlign w:val="center"/>
                </w:tcPr>
                <w:p w14:paraId="76BA246E"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GB" w:eastAsia="de-DE"/>
                    </w:rPr>
                  </w:pPr>
                  <w:r w:rsidRPr="009D0786">
                    <w:rPr>
                      <w:rFonts w:ascii="Calibri" w:eastAsia="Times New Roman" w:hAnsi="Calibri" w:cs="Times New Roman"/>
                      <w:color w:val="000000"/>
                      <w:sz w:val="20"/>
                      <w:szCs w:val="20"/>
                      <w:lang w:val="en-GB" w:eastAsia="de-DE"/>
                    </w:rPr>
                    <w:t>Standard deviations (</w:t>
                  </w:r>
                  <w:proofErr w:type="spellStart"/>
                  <w:r w:rsidRPr="009D0786">
                    <w:rPr>
                      <w:rFonts w:ascii="Calibri" w:eastAsia="Times New Roman" w:hAnsi="Calibri" w:cs="Times New Roman"/>
                      <w:color w:val="000000"/>
                      <w:sz w:val="20"/>
                      <w:szCs w:val="20"/>
                      <w:lang w:val="en-GB" w:eastAsia="de-DE"/>
                    </w:rPr>
                    <w:t>sd</w:t>
                  </w:r>
                  <w:proofErr w:type="spellEnd"/>
                  <w:r w:rsidRPr="009D0786">
                    <w:rPr>
                      <w:rFonts w:ascii="Calibri" w:eastAsia="Times New Roman" w:hAnsi="Calibri" w:cs="Times New Roman"/>
                      <w:color w:val="000000"/>
                      <w:sz w:val="20"/>
                      <w:szCs w:val="20"/>
                      <w:lang w:val="en-GB" w:eastAsia="de-DE"/>
                    </w:rPr>
                    <w:t>) for random effects (</w:t>
                  </w:r>
                  <w:proofErr w:type="spellStart"/>
                  <w:r w:rsidRPr="009D0786">
                    <w:rPr>
                      <w:rFonts w:ascii="Calibri" w:eastAsia="Times New Roman" w:hAnsi="Calibri" w:cs="Times New Roman"/>
                      <w:color w:val="000000"/>
                      <w:sz w:val="20"/>
                      <w:szCs w:val="20"/>
                      <w:lang w:val="en-GB" w:eastAsia="de-DE"/>
                    </w:rPr>
                    <w:t>sd</w:t>
                  </w:r>
                  <w:r w:rsidRPr="009D0786">
                    <w:rPr>
                      <w:rFonts w:ascii="Calibri" w:eastAsia="Times New Roman" w:hAnsi="Calibri" w:cs="Times New Roman"/>
                      <w:color w:val="000000"/>
                      <w:sz w:val="20"/>
                      <w:szCs w:val="20"/>
                      <w:vertAlign w:val="subscript"/>
                      <w:lang w:val="en-GB" w:eastAsia="de-DE"/>
                    </w:rPr>
                    <w:t>i</w:t>
                  </w:r>
                  <w:proofErr w:type="spellEnd"/>
                  <w:r w:rsidRPr="009D0786">
                    <w:rPr>
                      <w:rFonts w:ascii="Calibri" w:eastAsia="Times New Roman" w:hAnsi="Calibri" w:cs="Times New Roman"/>
                      <w:color w:val="000000"/>
                      <w:sz w:val="20"/>
                      <w:szCs w:val="20"/>
                      <w:lang w:val="en-GB" w:eastAsia="de-DE"/>
                    </w:rPr>
                    <w:t>/</w:t>
                  </w:r>
                  <w:proofErr w:type="spellStart"/>
                  <w:r w:rsidRPr="009D0786">
                    <w:rPr>
                      <w:rFonts w:ascii="Calibri" w:eastAsia="Times New Roman" w:hAnsi="Calibri" w:cs="Times New Roman"/>
                      <w:color w:val="000000"/>
                      <w:sz w:val="20"/>
                      <w:szCs w:val="20"/>
                      <w:lang w:val="en-GB" w:eastAsia="de-DE"/>
                    </w:rPr>
                    <w:t>sd</w:t>
                  </w:r>
                  <w:r w:rsidRPr="009D0786">
                    <w:rPr>
                      <w:rFonts w:ascii="Calibri" w:eastAsia="Times New Roman" w:hAnsi="Calibri" w:cs="Times New Roman"/>
                      <w:color w:val="000000"/>
                      <w:sz w:val="20"/>
                      <w:szCs w:val="20"/>
                      <w:vertAlign w:val="subscript"/>
                      <w:lang w:val="en-GB" w:eastAsia="de-DE"/>
                    </w:rPr>
                    <w:t>ij</w:t>
                  </w:r>
                  <w:proofErr w:type="spellEnd"/>
                  <w:r w:rsidRPr="009D0786">
                    <w:rPr>
                      <w:rFonts w:ascii="Calibri" w:eastAsia="Times New Roman" w:hAnsi="Calibri" w:cs="Times New Roman"/>
                      <w:color w:val="000000"/>
                      <w:sz w:val="20"/>
                      <w:szCs w:val="20"/>
                      <w:lang w:val="en-GB" w:eastAsia="de-DE"/>
                    </w:rPr>
                    <w:t>)</w:t>
                  </w:r>
                </w:p>
              </w:tc>
            </w:tr>
            <w:tr w:rsidR="005D24C3" w:rsidRPr="009D0786" w14:paraId="2BB13B77" w14:textId="77777777" w:rsidTr="009B6CA9">
              <w:trPr>
                <w:trHeight w:val="260"/>
              </w:trPr>
              <w:tc>
                <w:tcPr>
                  <w:tcW w:w="1093" w:type="dxa"/>
                  <w:tcBorders>
                    <w:top w:val="nil"/>
                    <w:left w:val="nil"/>
                    <w:bottom w:val="nil"/>
                    <w:right w:val="nil"/>
                  </w:tcBorders>
                  <w:shd w:val="clear" w:color="auto" w:fill="auto"/>
                  <w:noWrap/>
                  <w:vAlign w:val="center"/>
                  <w:hideMark/>
                </w:tcPr>
                <w:p w14:paraId="55759262"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Estimate</w:t>
                  </w:r>
                </w:p>
              </w:tc>
              <w:tc>
                <w:tcPr>
                  <w:tcW w:w="280" w:type="dxa"/>
                  <w:tcBorders>
                    <w:top w:val="nil"/>
                    <w:left w:val="nil"/>
                    <w:bottom w:val="nil"/>
                    <w:right w:val="nil"/>
                  </w:tcBorders>
                  <w:shd w:val="clear" w:color="auto" w:fill="auto"/>
                  <w:noWrap/>
                  <w:vAlign w:val="center"/>
                  <w:hideMark/>
                </w:tcPr>
                <w:p w14:paraId="1A7D8A14"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5D26D7E3"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0.30 / 0.23</w:t>
                  </w:r>
                </w:p>
              </w:tc>
              <w:tc>
                <w:tcPr>
                  <w:tcW w:w="1843" w:type="dxa"/>
                  <w:tcBorders>
                    <w:top w:val="nil"/>
                    <w:left w:val="nil"/>
                    <w:bottom w:val="nil"/>
                    <w:right w:val="nil"/>
                  </w:tcBorders>
                  <w:shd w:val="clear" w:color="auto" w:fill="auto"/>
                  <w:noWrap/>
                  <w:vAlign w:val="center"/>
                </w:tcPr>
                <w:p w14:paraId="36350944"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0.37 / 0.20</w:t>
                  </w:r>
                </w:p>
              </w:tc>
            </w:tr>
            <w:tr w:rsidR="005D24C3" w:rsidRPr="009D0786" w14:paraId="1758A1C4" w14:textId="77777777" w:rsidTr="009B6CA9">
              <w:trPr>
                <w:trHeight w:val="260"/>
              </w:trPr>
              <w:tc>
                <w:tcPr>
                  <w:tcW w:w="1093" w:type="dxa"/>
                  <w:tcBorders>
                    <w:top w:val="nil"/>
                    <w:left w:val="nil"/>
                    <w:bottom w:val="nil"/>
                    <w:right w:val="nil"/>
                  </w:tcBorders>
                  <w:shd w:val="clear" w:color="auto" w:fill="auto"/>
                  <w:noWrap/>
                  <w:vAlign w:val="center"/>
                  <w:hideMark/>
                </w:tcPr>
                <w:p w14:paraId="4942FBD4"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Lower</w:t>
                  </w:r>
                </w:p>
              </w:tc>
              <w:tc>
                <w:tcPr>
                  <w:tcW w:w="280" w:type="dxa"/>
                  <w:tcBorders>
                    <w:top w:val="nil"/>
                    <w:left w:val="nil"/>
                    <w:bottom w:val="nil"/>
                    <w:right w:val="nil"/>
                  </w:tcBorders>
                  <w:shd w:val="clear" w:color="auto" w:fill="auto"/>
                  <w:noWrap/>
                  <w:vAlign w:val="center"/>
                  <w:hideMark/>
                </w:tcPr>
                <w:p w14:paraId="29C3C551"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p>
              </w:tc>
              <w:tc>
                <w:tcPr>
                  <w:tcW w:w="2029" w:type="dxa"/>
                  <w:tcBorders>
                    <w:top w:val="nil"/>
                    <w:left w:val="nil"/>
                    <w:bottom w:val="nil"/>
                    <w:right w:val="nil"/>
                  </w:tcBorders>
                  <w:shd w:val="clear" w:color="auto" w:fill="auto"/>
                  <w:noWrap/>
                  <w:vAlign w:val="center"/>
                  <w:hideMark/>
                </w:tcPr>
                <w:p w14:paraId="56756AF9"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0.26 / 0.08</w:t>
                  </w:r>
                </w:p>
              </w:tc>
              <w:tc>
                <w:tcPr>
                  <w:tcW w:w="1843" w:type="dxa"/>
                  <w:tcBorders>
                    <w:top w:val="nil"/>
                    <w:left w:val="nil"/>
                    <w:bottom w:val="nil"/>
                    <w:right w:val="nil"/>
                  </w:tcBorders>
                  <w:shd w:val="clear" w:color="auto" w:fill="auto"/>
                  <w:noWrap/>
                  <w:vAlign w:val="center"/>
                </w:tcPr>
                <w:p w14:paraId="7195B549"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0.34 / 0.07</w:t>
                  </w:r>
                </w:p>
              </w:tc>
            </w:tr>
            <w:tr w:rsidR="005D24C3" w:rsidRPr="009D0786" w14:paraId="31E65CF1" w14:textId="77777777" w:rsidTr="009B6CA9">
              <w:trPr>
                <w:trHeight w:val="272"/>
              </w:trPr>
              <w:tc>
                <w:tcPr>
                  <w:tcW w:w="1093" w:type="dxa"/>
                  <w:tcBorders>
                    <w:top w:val="nil"/>
                    <w:left w:val="nil"/>
                    <w:bottom w:val="single" w:sz="8" w:space="0" w:color="auto"/>
                    <w:right w:val="nil"/>
                  </w:tcBorders>
                  <w:shd w:val="clear" w:color="auto" w:fill="auto"/>
                  <w:noWrap/>
                  <w:vAlign w:val="center"/>
                  <w:hideMark/>
                </w:tcPr>
                <w:p w14:paraId="3E429393"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Upper</w:t>
                  </w:r>
                </w:p>
              </w:tc>
              <w:tc>
                <w:tcPr>
                  <w:tcW w:w="280" w:type="dxa"/>
                  <w:tcBorders>
                    <w:top w:val="nil"/>
                    <w:left w:val="nil"/>
                    <w:bottom w:val="single" w:sz="8" w:space="0" w:color="auto"/>
                    <w:right w:val="nil"/>
                  </w:tcBorders>
                  <w:shd w:val="clear" w:color="auto" w:fill="auto"/>
                  <w:noWrap/>
                  <w:vAlign w:val="center"/>
                  <w:hideMark/>
                </w:tcPr>
                <w:p w14:paraId="1B245129" w14:textId="77777777" w:rsidR="005D24C3" w:rsidRPr="009D0786" w:rsidRDefault="005D24C3" w:rsidP="009B6CA9">
                  <w:pPr>
                    <w:spacing w:after="0" w:line="240" w:lineRule="auto"/>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US"/>
                    </w:rPr>
                    <w:t> </w:t>
                  </w:r>
                </w:p>
              </w:tc>
              <w:tc>
                <w:tcPr>
                  <w:tcW w:w="2029" w:type="dxa"/>
                  <w:tcBorders>
                    <w:top w:val="nil"/>
                    <w:left w:val="nil"/>
                    <w:bottom w:val="single" w:sz="8" w:space="0" w:color="auto"/>
                    <w:right w:val="nil"/>
                  </w:tcBorders>
                  <w:shd w:val="clear" w:color="auto" w:fill="auto"/>
                  <w:noWrap/>
                  <w:vAlign w:val="center"/>
                  <w:hideMark/>
                </w:tcPr>
                <w:p w14:paraId="5B4A54CE"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0.34. / 0.65</w:t>
                  </w:r>
                </w:p>
              </w:tc>
              <w:tc>
                <w:tcPr>
                  <w:tcW w:w="1843" w:type="dxa"/>
                  <w:tcBorders>
                    <w:top w:val="nil"/>
                    <w:left w:val="nil"/>
                    <w:bottom w:val="single" w:sz="8" w:space="0" w:color="auto"/>
                    <w:right w:val="nil"/>
                  </w:tcBorders>
                  <w:shd w:val="clear" w:color="auto" w:fill="auto"/>
                  <w:noWrap/>
                  <w:vAlign w:val="center"/>
                </w:tcPr>
                <w:p w14:paraId="4DA4448B" w14:textId="77777777" w:rsidR="005D24C3" w:rsidRPr="009D0786" w:rsidRDefault="005D24C3" w:rsidP="009B6CA9">
                  <w:pPr>
                    <w:spacing w:after="0" w:line="240" w:lineRule="auto"/>
                    <w:jc w:val="center"/>
                    <w:rPr>
                      <w:rFonts w:ascii="Calibri" w:eastAsia="Times New Roman" w:hAnsi="Calibri" w:cs="Times New Roman"/>
                      <w:color w:val="000000"/>
                      <w:sz w:val="20"/>
                      <w:szCs w:val="20"/>
                      <w:lang w:val="en-US"/>
                    </w:rPr>
                  </w:pPr>
                  <w:r w:rsidRPr="009D0786">
                    <w:rPr>
                      <w:rFonts w:ascii="Calibri" w:eastAsia="Times New Roman" w:hAnsi="Calibri" w:cs="Times New Roman"/>
                      <w:color w:val="000000"/>
                      <w:sz w:val="20"/>
                      <w:szCs w:val="20"/>
                      <w:lang w:val="en-GB" w:eastAsia="de-DE"/>
                    </w:rPr>
                    <w:t>0.40 / 0.56</w:t>
                  </w:r>
                </w:p>
              </w:tc>
            </w:tr>
          </w:tbl>
          <w:p w14:paraId="6D885839" w14:textId="77777777" w:rsidR="005D24C3" w:rsidRDefault="005D24C3" w:rsidP="009B6CA9"/>
        </w:tc>
      </w:tr>
    </w:tbl>
    <w:p w14:paraId="331B6E35" w14:textId="6FEF7097" w:rsidR="005D24C3" w:rsidRDefault="003F69D2" w:rsidP="00940909">
      <w:pPr>
        <w:rPr>
          <w:rFonts w:cstheme="minorHAnsi"/>
          <w:sz w:val="18"/>
          <w:lang w:val="en-GB"/>
        </w:rPr>
      </w:pPr>
      <w:proofErr w:type="gramStart"/>
      <w:r w:rsidRPr="009D0786">
        <w:rPr>
          <w:i/>
          <w:sz w:val="18"/>
          <w:lang w:val="en-GB"/>
        </w:rPr>
        <w:t>la</w:t>
      </w:r>
      <w:proofErr w:type="gramEnd"/>
      <w:r w:rsidR="0054463A" w:rsidRPr="009D0786">
        <w:rPr>
          <w:i/>
          <w:sz w:val="18"/>
          <w:lang w:val="en-GB"/>
        </w:rPr>
        <w:t> </w:t>
      </w:r>
      <w:r w:rsidR="005D24C3" w:rsidRPr="009D0786">
        <w:rPr>
          <w:sz w:val="18"/>
          <w:lang w:val="en-GB"/>
        </w:rPr>
        <w:t>=</w:t>
      </w:r>
      <w:r w:rsidR="0054463A" w:rsidRPr="009D0786">
        <w:rPr>
          <w:sz w:val="18"/>
          <w:lang w:val="en-GB"/>
        </w:rPr>
        <w:t> </w:t>
      </w:r>
      <w:r w:rsidR="005D24C3" w:rsidRPr="009D0786">
        <w:rPr>
          <w:sz w:val="18"/>
          <w:lang w:val="en-GB"/>
        </w:rPr>
        <w:t xml:space="preserve">individual tree leaf area(m²); </w:t>
      </w:r>
      <w:r w:rsidR="005D24C3" w:rsidRPr="009D0786">
        <w:rPr>
          <w:i/>
          <w:sz w:val="18"/>
          <w:lang w:val="en-GB"/>
        </w:rPr>
        <w:t>rh</w:t>
      </w:r>
      <w:r w:rsidR="0054463A" w:rsidRPr="009D0786">
        <w:rPr>
          <w:i/>
          <w:sz w:val="18"/>
          <w:lang w:val="en-GB"/>
        </w:rPr>
        <w:t> </w:t>
      </w:r>
      <w:r w:rsidR="005D24C3" w:rsidRPr="009D0786">
        <w:rPr>
          <w:sz w:val="18"/>
          <w:lang w:val="en-GB"/>
        </w:rPr>
        <w:t>=</w:t>
      </w:r>
      <w:r w:rsidR="0054463A" w:rsidRPr="009D0786">
        <w:rPr>
          <w:sz w:val="18"/>
          <w:lang w:val="en-GB"/>
        </w:rPr>
        <w:t> </w:t>
      </w:r>
      <w:r w:rsidR="005D24C3" w:rsidRPr="009D0786">
        <w:rPr>
          <w:sz w:val="18"/>
          <w:lang w:val="en-GB"/>
        </w:rPr>
        <w:t>relative height(height of the individual divided by the mean height of the plot); LAI</w:t>
      </w:r>
      <w:r w:rsidR="0054463A" w:rsidRPr="009D0786">
        <w:rPr>
          <w:sz w:val="18"/>
          <w:lang w:val="en-GB"/>
        </w:rPr>
        <w:t> </w:t>
      </w:r>
      <w:r w:rsidR="005D24C3" w:rsidRPr="009D0786">
        <w:rPr>
          <w:sz w:val="18"/>
          <w:lang w:val="en-GB"/>
        </w:rPr>
        <w:t>=</w:t>
      </w:r>
      <w:r w:rsidR="0054463A" w:rsidRPr="009D0786">
        <w:rPr>
          <w:sz w:val="18"/>
          <w:lang w:val="en-GB"/>
        </w:rPr>
        <w:t> </w:t>
      </w:r>
      <w:r w:rsidR="005D24C3" w:rsidRPr="009D0786">
        <w:rPr>
          <w:sz w:val="18"/>
          <w:lang w:val="en-GB"/>
        </w:rPr>
        <w:t>leaf area index(m²</w:t>
      </w:r>
      <w:r w:rsidR="0054463A" w:rsidRPr="009D0786">
        <w:rPr>
          <w:sz w:val="18"/>
          <w:lang w:val="en-GB"/>
        </w:rPr>
        <w:t> </w:t>
      </w:r>
      <w:r w:rsidR="005D24C3" w:rsidRPr="009D0786">
        <w:rPr>
          <w:sz w:val="18"/>
          <w:lang w:val="en-GB"/>
        </w:rPr>
        <w:t>m</w:t>
      </w:r>
      <w:r w:rsidR="005D24C3" w:rsidRPr="009D0786">
        <w:rPr>
          <w:sz w:val="18"/>
          <w:vertAlign w:val="superscript"/>
          <w:lang w:val="en-GB"/>
        </w:rPr>
        <w:t>-2</w:t>
      </w:r>
      <w:r w:rsidR="005D24C3" w:rsidRPr="009D0786">
        <w:rPr>
          <w:sz w:val="18"/>
          <w:lang w:val="en-GB"/>
        </w:rPr>
        <w:t>); M indicates how the intercept or slopes of the model fitted to the mixtures, changes the monocultures; n</w:t>
      </w:r>
      <w:r w:rsidR="0054463A" w:rsidRPr="009D0786">
        <w:rPr>
          <w:sz w:val="18"/>
          <w:lang w:val="en-GB"/>
        </w:rPr>
        <w:t> </w:t>
      </w:r>
      <w:r w:rsidR="005D24C3" w:rsidRPr="009D0786">
        <w:rPr>
          <w:sz w:val="18"/>
          <w:lang w:val="en-GB"/>
        </w:rPr>
        <w:t>=</w:t>
      </w:r>
      <w:r w:rsidR="0054463A" w:rsidRPr="009D0786">
        <w:rPr>
          <w:sz w:val="18"/>
          <w:lang w:val="en-GB"/>
        </w:rPr>
        <w:t> </w:t>
      </w:r>
      <w:r w:rsidR="005D24C3" w:rsidRPr="009D0786">
        <w:rPr>
          <w:sz w:val="18"/>
          <w:lang w:val="en-GB"/>
        </w:rPr>
        <w:t xml:space="preserve">the sample number; </w:t>
      </w:r>
      <w:proofErr w:type="spellStart"/>
      <w:r w:rsidR="005D24C3" w:rsidRPr="009D0786">
        <w:rPr>
          <w:rFonts w:ascii="Calibri" w:eastAsia="Times New Roman" w:hAnsi="Calibri" w:cs="Times New Roman"/>
          <w:color w:val="000000"/>
          <w:sz w:val="18"/>
          <w:lang w:val="en-GB"/>
        </w:rPr>
        <w:t>ε</w:t>
      </w:r>
      <w:r w:rsidR="005D24C3" w:rsidRPr="009D0786">
        <w:rPr>
          <w:rFonts w:ascii="Calibri" w:eastAsia="Times New Roman" w:hAnsi="Calibri" w:cs="Times New Roman"/>
          <w:color w:val="000000"/>
          <w:sz w:val="18"/>
          <w:vertAlign w:val="subscript"/>
          <w:lang w:val="en-GB"/>
        </w:rPr>
        <w:t>tij</w:t>
      </w:r>
      <w:proofErr w:type="spellEnd"/>
      <w:r w:rsidR="0054463A" w:rsidRPr="009D0786">
        <w:rPr>
          <w:rFonts w:ascii="Calibri" w:eastAsia="Times New Roman" w:hAnsi="Calibri" w:cs="Times New Roman"/>
          <w:color w:val="000000"/>
          <w:sz w:val="18"/>
          <w:lang w:val="en-GB"/>
        </w:rPr>
        <w:t> </w:t>
      </w:r>
      <w:r w:rsidRPr="009D0786">
        <w:rPr>
          <w:sz w:val="18"/>
          <w:lang w:val="en-GB"/>
        </w:rPr>
        <w:t>=</w:t>
      </w:r>
      <w:r w:rsidR="0054463A" w:rsidRPr="009D0786">
        <w:rPr>
          <w:sz w:val="18"/>
          <w:lang w:val="en-GB"/>
        </w:rPr>
        <w:t> </w:t>
      </w:r>
      <w:r w:rsidRPr="009D0786">
        <w:rPr>
          <w:sz w:val="18"/>
          <w:lang w:val="en-GB"/>
        </w:rPr>
        <w:t xml:space="preserve">the </w:t>
      </w:r>
      <w:r w:rsidRPr="009D0786">
        <w:rPr>
          <w:rFonts w:cstheme="minorHAnsi"/>
          <w:sz w:val="18"/>
          <w:lang w:val="en-GB"/>
        </w:rPr>
        <w:t>residual variance.</w:t>
      </w:r>
    </w:p>
    <w:p w14:paraId="743B5172" w14:textId="77777777" w:rsidR="0094359D" w:rsidRDefault="0094359D" w:rsidP="00940909">
      <w:pPr>
        <w:rPr>
          <w:rFonts w:cstheme="minorHAnsi"/>
          <w:sz w:val="18"/>
          <w:lang w:val="en-GB"/>
        </w:rPr>
      </w:pPr>
    </w:p>
    <w:p w14:paraId="69B22316" w14:textId="77777777" w:rsidR="0094359D" w:rsidRDefault="0094359D" w:rsidP="00940909">
      <w:pPr>
        <w:rPr>
          <w:rFonts w:cstheme="minorHAnsi"/>
          <w:sz w:val="18"/>
          <w:lang w:val="en-GB"/>
        </w:rPr>
      </w:pPr>
    </w:p>
    <w:p w14:paraId="73B8437D" w14:textId="64DE2741" w:rsidR="0094359D" w:rsidRDefault="0094359D" w:rsidP="00940909">
      <w:pPr>
        <w:rPr>
          <w:rFonts w:cstheme="minorHAnsi"/>
          <w:b/>
          <w:lang w:val="en-GB"/>
        </w:rPr>
      </w:pPr>
      <w:r>
        <w:rPr>
          <w:rFonts w:cstheme="minorHAnsi"/>
          <w:b/>
          <w:lang w:val="en-GB"/>
        </w:rPr>
        <w:t>References</w:t>
      </w:r>
    </w:p>
    <w:p w14:paraId="09E4AFB7" w14:textId="546340F6" w:rsidR="00050BF8" w:rsidRDefault="00050BF8" w:rsidP="008D7AD3">
      <w:pPr>
        <w:ind w:left="567" w:hanging="567"/>
        <w:jc w:val="left"/>
        <w:rPr>
          <w:sz w:val="20"/>
          <w:lang w:val="en-GB"/>
        </w:rPr>
      </w:pPr>
      <w:r w:rsidRPr="00050BF8">
        <w:rPr>
          <w:sz w:val="20"/>
          <w:lang w:val="en-GB"/>
        </w:rPr>
        <w:t xml:space="preserve">Barclay HJ (2001) Distribution of leaf orientations in six conifer species. Can J Bot 79:389–397. </w:t>
      </w:r>
      <w:hyperlink r:id="rId9" w:history="1">
        <w:r w:rsidRPr="00881B03">
          <w:rPr>
            <w:rStyle w:val="Hyperlink"/>
            <w:sz w:val="20"/>
            <w:lang w:val="en-GB"/>
          </w:rPr>
          <w:t>https://doi.org/10.1139/cjb-79-4-389</w:t>
        </w:r>
      </w:hyperlink>
    </w:p>
    <w:p w14:paraId="50BA085C" w14:textId="17509805" w:rsidR="00C97DFC" w:rsidRDefault="00C97DFC" w:rsidP="008D7AD3">
      <w:pPr>
        <w:ind w:left="567" w:hanging="567"/>
        <w:jc w:val="left"/>
        <w:rPr>
          <w:sz w:val="20"/>
          <w:lang w:val="en-GB"/>
        </w:rPr>
      </w:pPr>
      <w:r w:rsidRPr="00C97DFC">
        <w:rPr>
          <w:sz w:val="20"/>
          <w:lang w:val="en-GB"/>
        </w:rPr>
        <w:t xml:space="preserve">Forrester DI, </w:t>
      </w:r>
      <w:proofErr w:type="spellStart"/>
      <w:r w:rsidRPr="00C97DFC">
        <w:rPr>
          <w:sz w:val="20"/>
          <w:lang w:val="en-GB"/>
        </w:rPr>
        <w:t>Tachauer</w:t>
      </w:r>
      <w:proofErr w:type="spellEnd"/>
      <w:r w:rsidRPr="00C97DFC">
        <w:rPr>
          <w:sz w:val="20"/>
          <w:lang w:val="en-GB"/>
        </w:rPr>
        <w:t xml:space="preserve"> IHH, </w:t>
      </w:r>
      <w:proofErr w:type="spellStart"/>
      <w:r w:rsidRPr="00C97DFC">
        <w:rPr>
          <w:sz w:val="20"/>
          <w:lang w:val="en-GB"/>
        </w:rPr>
        <w:t>Annighoefer</w:t>
      </w:r>
      <w:proofErr w:type="spellEnd"/>
      <w:r w:rsidRPr="00C97DFC">
        <w:rPr>
          <w:sz w:val="20"/>
          <w:lang w:val="en-GB"/>
        </w:rPr>
        <w:t xml:space="preserve"> P, </w:t>
      </w:r>
      <w:proofErr w:type="spellStart"/>
      <w:r w:rsidRPr="00C97DFC">
        <w:rPr>
          <w:sz w:val="20"/>
          <w:lang w:val="en-GB"/>
        </w:rPr>
        <w:t>Barbeito</w:t>
      </w:r>
      <w:proofErr w:type="spellEnd"/>
      <w:r w:rsidRPr="00C97DFC">
        <w:rPr>
          <w:sz w:val="20"/>
          <w:lang w:val="en-GB"/>
        </w:rPr>
        <w:t xml:space="preserve"> I, Pretzsch H, Ruiz-Peinado R, Stark H, Vacchiano G, Zlatanov T, Chakraborty T, Saha S, Sileshi GW</w:t>
      </w:r>
      <w:r w:rsidR="00426BB7">
        <w:rPr>
          <w:sz w:val="20"/>
          <w:lang w:val="en-GB"/>
        </w:rPr>
        <w:t xml:space="preserve"> (</w:t>
      </w:r>
      <w:r w:rsidRPr="00C97DFC">
        <w:rPr>
          <w:sz w:val="20"/>
          <w:lang w:val="en-GB"/>
        </w:rPr>
        <w:t>2017</w:t>
      </w:r>
      <w:r w:rsidR="00426BB7">
        <w:rPr>
          <w:sz w:val="20"/>
          <w:lang w:val="en-GB"/>
        </w:rPr>
        <w:t>)</w:t>
      </w:r>
      <w:r w:rsidRPr="00C97DFC">
        <w:rPr>
          <w:sz w:val="20"/>
          <w:lang w:val="en-GB"/>
        </w:rPr>
        <w:t xml:space="preserve"> Generalized biomass and leaf area allometric equations for European tree species incorporating stand structure, tree age and climate. For </w:t>
      </w:r>
      <w:proofErr w:type="spellStart"/>
      <w:r w:rsidRPr="00C97DFC">
        <w:rPr>
          <w:sz w:val="20"/>
          <w:lang w:val="en-GB"/>
        </w:rPr>
        <w:t>Ecol</w:t>
      </w:r>
      <w:proofErr w:type="spellEnd"/>
      <w:r w:rsidR="00426BB7">
        <w:rPr>
          <w:sz w:val="20"/>
          <w:lang w:val="en-GB"/>
        </w:rPr>
        <w:t xml:space="preserve"> </w:t>
      </w:r>
      <w:r w:rsidRPr="00C97DFC">
        <w:rPr>
          <w:sz w:val="20"/>
          <w:lang w:val="en-GB"/>
        </w:rPr>
        <w:t>Manage 396</w:t>
      </w:r>
      <w:r w:rsidR="00426BB7">
        <w:rPr>
          <w:sz w:val="20"/>
          <w:lang w:val="en-GB"/>
        </w:rPr>
        <w:t>:</w:t>
      </w:r>
      <w:r w:rsidRPr="00C97DFC">
        <w:rPr>
          <w:sz w:val="20"/>
          <w:lang w:val="en-GB"/>
        </w:rPr>
        <w:t xml:space="preserve"> 160-175.</w:t>
      </w:r>
    </w:p>
    <w:p w14:paraId="2DD3A317" w14:textId="3AF2B534" w:rsidR="00050BF8" w:rsidRDefault="00050BF8" w:rsidP="008D7AD3">
      <w:pPr>
        <w:ind w:left="567" w:hanging="567"/>
        <w:jc w:val="left"/>
        <w:rPr>
          <w:sz w:val="20"/>
          <w:lang w:val="en-GB"/>
        </w:rPr>
      </w:pPr>
      <w:proofErr w:type="spellStart"/>
      <w:r w:rsidRPr="00050BF8">
        <w:rPr>
          <w:sz w:val="20"/>
          <w:lang w:val="en-GB"/>
        </w:rPr>
        <w:lastRenderedPageBreak/>
        <w:t>Ibrom</w:t>
      </w:r>
      <w:proofErr w:type="spellEnd"/>
      <w:r w:rsidRPr="00050BF8">
        <w:rPr>
          <w:sz w:val="20"/>
          <w:lang w:val="en-GB"/>
        </w:rPr>
        <w:t xml:space="preserve"> A, Jarvis PG, Clement R, et al (2006) A comparative analysis of simulated and observed photosynthetic CO 2 uptake in two coniferous forest canopies. Tree </w:t>
      </w:r>
      <w:proofErr w:type="spellStart"/>
      <w:r w:rsidRPr="00050BF8">
        <w:rPr>
          <w:sz w:val="20"/>
          <w:lang w:val="en-GB"/>
        </w:rPr>
        <w:t>Physiol</w:t>
      </w:r>
      <w:proofErr w:type="spellEnd"/>
      <w:r w:rsidRPr="00050BF8">
        <w:rPr>
          <w:sz w:val="20"/>
          <w:lang w:val="en-GB"/>
        </w:rPr>
        <w:t xml:space="preserve"> 26:845–864. https://doi.org/10.1093/treephys/26.7.845</w:t>
      </w:r>
    </w:p>
    <w:p w14:paraId="3D64431B" w14:textId="39AEC35F" w:rsidR="00050BF8" w:rsidRDefault="00050BF8" w:rsidP="008D7AD3">
      <w:pPr>
        <w:ind w:left="567" w:hanging="567"/>
        <w:jc w:val="left"/>
        <w:rPr>
          <w:sz w:val="20"/>
          <w:lang w:val="en-GB"/>
        </w:rPr>
      </w:pPr>
      <w:proofErr w:type="spellStart"/>
      <w:r w:rsidRPr="00050BF8">
        <w:rPr>
          <w:sz w:val="20"/>
          <w:lang w:val="en-GB"/>
        </w:rPr>
        <w:t>Linderson</w:t>
      </w:r>
      <w:proofErr w:type="spellEnd"/>
      <w:r w:rsidRPr="00050BF8">
        <w:rPr>
          <w:sz w:val="20"/>
          <w:lang w:val="en-GB"/>
        </w:rPr>
        <w:t xml:space="preserve"> M, </w:t>
      </w:r>
      <w:proofErr w:type="spellStart"/>
      <w:r w:rsidRPr="00050BF8">
        <w:rPr>
          <w:sz w:val="20"/>
          <w:lang w:val="en-GB"/>
        </w:rPr>
        <w:t>Mikkelsen</w:t>
      </w:r>
      <w:proofErr w:type="spellEnd"/>
      <w:r w:rsidRPr="00050BF8">
        <w:rPr>
          <w:sz w:val="20"/>
          <w:lang w:val="en-GB"/>
        </w:rPr>
        <w:t xml:space="preserve"> TN, </w:t>
      </w:r>
      <w:proofErr w:type="spellStart"/>
      <w:r w:rsidRPr="00050BF8">
        <w:rPr>
          <w:sz w:val="20"/>
          <w:lang w:val="en-GB"/>
        </w:rPr>
        <w:t>Ibrom</w:t>
      </w:r>
      <w:proofErr w:type="spellEnd"/>
      <w:r w:rsidRPr="00050BF8">
        <w:rPr>
          <w:sz w:val="20"/>
          <w:lang w:val="en-GB"/>
        </w:rPr>
        <w:t xml:space="preserve"> A, et al (2012) Up-scaling of water use efficiency from leaf to canopy as based on leaf gas exchange relationships and the </w:t>
      </w:r>
      <w:proofErr w:type="spellStart"/>
      <w:r w:rsidRPr="00050BF8">
        <w:rPr>
          <w:sz w:val="20"/>
          <w:lang w:val="en-GB"/>
        </w:rPr>
        <w:t>modeled</w:t>
      </w:r>
      <w:proofErr w:type="spellEnd"/>
      <w:r w:rsidRPr="00050BF8">
        <w:rPr>
          <w:sz w:val="20"/>
          <w:lang w:val="en-GB"/>
        </w:rPr>
        <w:t xml:space="preserve"> in-canopy light distribution. </w:t>
      </w:r>
      <w:proofErr w:type="spellStart"/>
      <w:r w:rsidRPr="00050BF8">
        <w:rPr>
          <w:sz w:val="20"/>
          <w:lang w:val="en-GB"/>
        </w:rPr>
        <w:t>Agric</w:t>
      </w:r>
      <w:proofErr w:type="spellEnd"/>
      <w:r w:rsidRPr="00050BF8">
        <w:rPr>
          <w:sz w:val="20"/>
          <w:lang w:val="en-GB"/>
        </w:rPr>
        <w:t xml:space="preserve"> For </w:t>
      </w:r>
      <w:proofErr w:type="spellStart"/>
      <w:r w:rsidRPr="00050BF8">
        <w:rPr>
          <w:sz w:val="20"/>
          <w:lang w:val="en-GB"/>
        </w:rPr>
        <w:t>Meteorol</w:t>
      </w:r>
      <w:proofErr w:type="spellEnd"/>
      <w:r w:rsidRPr="00050BF8">
        <w:rPr>
          <w:sz w:val="20"/>
          <w:lang w:val="en-GB"/>
        </w:rPr>
        <w:t xml:space="preserve"> 152:201–211. https://doi.org/10.1016/j.agrformet.2011.09.019</w:t>
      </w:r>
    </w:p>
    <w:p w14:paraId="3049F6EB" w14:textId="3E5805FC" w:rsidR="00050BF8" w:rsidRDefault="00050BF8" w:rsidP="008D7AD3">
      <w:pPr>
        <w:ind w:left="567" w:hanging="567"/>
        <w:jc w:val="left"/>
        <w:rPr>
          <w:sz w:val="20"/>
          <w:lang w:val="en-GB"/>
        </w:rPr>
      </w:pPr>
      <w:r w:rsidRPr="00050BF8">
        <w:rPr>
          <w:sz w:val="20"/>
          <w:lang w:val="en-GB"/>
        </w:rPr>
        <w:t>Medlyn B (2004) A MAESTRO retrospective. In: Mencuccini M, Grace J, Moncrieff JB, McNaughton KG (eds) Forests at the land-atmosphere interface. CAB International 2004, Sydney, pp 105–121</w:t>
      </w:r>
    </w:p>
    <w:p w14:paraId="632B9731" w14:textId="387B94E1" w:rsidR="00050BF8" w:rsidRDefault="00050BF8" w:rsidP="008D7AD3">
      <w:pPr>
        <w:ind w:left="567" w:hanging="567"/>
        <w:jc w:val="left"/>
        <w:rPr>
          <w:sz w:val="20"/>
          <w:lang w:val="en-GB"/>
        </w:rPr>
      </w:pPr>
      <w:r w:rsidRPr="00050BF8">
        <w:rPr>
          <w:sz w:val="20"/>
          <w:lang w:val="en-GB"/>
        </w:rPr>
        <w:t xml:space="preserve">Nobis M, Hunziker U (2005) Automatic thresholding for hemispherical canopy-photographs based on edge detection. </w:t>
      </w:r>
      <w:proofErr w:type="spellStart"/>
      <w:r w:rsidRPr="00050BF8">
        <w:rPr>
          <w:sz w:val="20"/>
          <w:lang w:val="en-GB"/>
        </w:rPr>
        <w:t>Agric</w:t>
      </w:r>
      <w:proofErr w:type="spellEnd"/>
      <w:r w:rsidRPr="00050BF8">
        <w:rPr>
          <w:sz w:val="20"/>
          <w:lang w:val="en-GB"/>
        </w:rPr>
        <w:t xml:space="preserve"> For </w:t>
      </w:r>
      <w:proofErr w:type="spellStart"/>
      <w:r w:rsidRPr="00050BF8">
        <w:rPr>
          <w:sz w:val="20"/>
          <w:lang w:val="en-GB"/>
        </w:rPr>
        <w:t>Meteorol</w:t>
      </w:r>
      <w:proofErr w:type="spellEnd"/>
      <w:r w:rsidRPr="00050BF8">
        <w:rPr>
          <w:sz w:val="20"/>
          <w:lang w:val="en-GB"/>
        </w:rPr>
        <w:t xml:space="preserve"> 128:243–250. https://doi.org/10.1016/j.agrformet.2004.10.002</w:t>
      </w:r>
    </w:p>
    <w:p w14:paraId="3AB7EEFD" w14:textId="5B4990EF" w:rsidR="00050BF8" w:rsidRDefault="00050BF8" w:rsidP="008D7AD3">
      <w:pPr>
        <w:ind w:left="567" w:hanging="567"/>
        <w:jc w:val="left"/>
        <w:rPr>
          <w:sz w:val="20"/>
          <w:lang w:val="en-GB"/>
        </w:rPr>
      </w:pPr>
      <w:proofErr w:type="spellStart"/>
      <w:r w:rsidRPr="00050BF8">
        <w:rPr>
          <w:sz w:val="20"/>
          <w:lang w:val="en-GB"/>
        </w:rPr>
        <w:t>Planchais</w:t>
      </w:r>
      <w:proofErr w:type="spellEnd"/>
      <w:r w:rsidRPr="00050BF8">
        <w:rPr>
          <w:sz w:val="20"/>
          <w:lang w:val="en-GB"/>
        </w:rPr>
        <w:t xml:space="preserve"> I, </w:t>
      </w:r>
      <w:proofErr w:type="spellStart"/>
      <w:r w:rsidRPr="00050BF8">
        <w:rPr>
          <w:sz w:val="20"/>
          <w:lang w:val="en-GB"/>
        </w:rPr>
        <w:t>Pontailler</w:t>
      </w:r>
      <w:proofErr w:type="spellEnd"/>
      <w:r w:rsidRPr="00050BF8">
        <w:rPr>
          <w:sz w:val="20"/>
          <w:lang w:val="en-GB"/>
        </w:rPr>
        <w:t xml:space="preserve"> J-Y (1999) Validity of leaf areas and angles estimated in a beech forest from analysis of gap </w:t>
      </w:r>
      <w:proofErr w:type="gramStart"/>
      <w:r w:rsidRPr="00050BF8">
        <w:rPr>
          <w:sz w:val="20"/>
          <w:lang w:val="en-GB"/>
        </w:rPr>
        <w:t>frequencies ,</w:t>
      </w:r>
      <w:proofErr w:type="gramEnd"/>
      <w:r w:rsidRPr="00050BF8">
        <w:rPr>
          <w:sz w:val="20"/>
          <w:lang w:val="en-GB"/>
        </w:rPr>
        <w:t xml:space="preserve"> using hemispherical photographs and a plant canopy </w:t>
      </w:r>
      <w:proofErr w:type="spellStart"/>
      <w:r w:rsidRPr="00050BF8">
        <w:rPr>
          <w:sz w:val="20"/>
          <w:lang w:val="en-GB"/>
        </w:rPr>
        <w:t>analyzer</w:t>
      </w:r>
      <w:proofErr w:type="spellEnd"/>
      <w:r w:rsidRPr="00050BF8">
        <w:rPr>
          <w:sz w:val="20"/>
          <w:lang w:val="en-GB"/>
        </w:rPr>
        <w:t>. Ann For Sci 56:1–10</w:t>
      </w:r>
    </w:p>
    <w:p w14:paraId="2D8BC793" w14:textId="442CD5AC" w:rsidR="00050BF8" w:rsidRDefault="00050BF8" w:rsidP="008D7AD3">
      <w:pPr>
        <w:ind w:left="567" w:hanging="567"/>
        <w:jc w:val="left"/>
        <w:rPr>
          <w:sz w:val="20"/>
          <w:lang w:val="en-GB"/>
        </w:rPr>
      </w:pPr>
      <w:proofErr w:type="spellStart"/>
      <w:r w:rsidRPr="00050BF8">
        <w:rPr>
          <w:sz w:val="20"/>
          <w:lang w:val="en-GB"/>
        </w:rPr>
        <w:t>Schleppi</w:t>
      </w:r>
      <w:proofErr w:type="spellEnd"/>
      <w:r w:rsidRPr="00050BF8">
        <w:rPr>
          <w:sz w:val="20"/>
          <w:lang w:val="en-GB"/>
        </w:rPr>
        <w:t xml:space="preserve"> P, </w:t>
      </w:r>
      <w:proofErr w:type="spellStart"/>
      <w:r w:rsidRPr="00050BF8">
        <w:rPr>
          <w:sz w:val="20"/>
          <w:lang w:val="en-GB"/>
        </w:rPr>
        <w:t>Conedera</w:t>
      </w:r>
      <w:proofErr w:type="spellEnd"/>
      <w:r w:rsidRPr="00050BF8">
        <w:rPr>
          <w:sz w:val="20"/>
          <w:lang w:val="en-GB"/>
        </w:rPr>
        <w:t xml:space="preserve"> M, </w:t>
      </w:r>
      <w:proofErr w:type="spellStart"/>
      <w:r w:rsidRPr="00050BF8">
        <w:rPr>
          <w:sz w:val="20"/>
          <w:lang w:val="en-GB"/>
        </w:rPr>
        <w:t>Sedivy</w:t>
      </w:r>
      <w:proofErr w:type="spellEnd"/>
      <w:r w:rsidRPr="00050BF8">
        <w:rPr>
          <w:sz w:val="20"/>
          <w:lang w:val="en-GB"/>
        </w:rPr>
        <w:t xml:space="preserve"> I, </w:t>
      </w:r>
      <w:proofErr w:type="spellStart"/>
      <w:r w:rsidRPr="00050BF8">
        <w:rPr>
          <w:sz w:val="20"/>
          <w:lang w:val="en-GB"/>
        </w:rPr>
        <w:t>Thimonier</w:t>
      </w:r>
      <w:proofErr w:type="spellEnd"/>
      <w:r w:rsidRPr="00050BF8">
        <w:rPr>
          <w:sz w:val="20"/>
          <w:lang w:val="en-GB"/>
        </w:rPr>
        <w:t xml:space="preserve"> A (2007) Correcting non-linearity and slope effects in the estimation of the leaf area index of forests from hemispherical photographs. </w:t>
      </w:r>
      <w:proofErr w:type="spellStart"/>
      <w:r w:rsidRPr="00050BF8">
        <w:rPr>
          <w:sz w:val="20"/>
          <w:lang w:val="en-GB"/>
        </w:rPr>
        <w:t>Agric</w:t>
      </w:r>
      <w:proofErr w:type="spellEnd"/>
      <w:r w:rsidRPr="00050BF8">
        <w:rPr>
          <w:sz w:val="20"/>
          <w:lang w:val="en-GB"/>
        </w:rPr>
        <w:t xml:space="preserve"> For </w:t>
      </w:r>
      <w:proofErr w:type="spellStart"/>
      <w:r w:rsidRPr="00050BF8">
        <w:rPr>
          <w:sz w:val="20"/>
          <w:lang w:val="en-GB"/>
        </w:rPr>
        <w:t>Meteorol</w:t>
      </w:r>
      <w:proofErr w:type="spellEnd"/>
      <w:r w:rsidRPr="00050BF8">
        <w:rPr>
          <w:sz w:val="20"/>
          <w:lang w:val="en-GB"/>
        </w:rPr>
        <w:t xml:space="preserve"> 144:236–242. https://doi.org/10.1016/j.agrformet.2007.02.004</w:t>
      </w:r>
    </w:p>
    <w:p w14:paraId="605DD457" w14:textId="2DD30675" w:rsidR="00426BB7" w:rsidRDefault="00426BB7" w:rsidP="008D7AD3">
      <w:pPr>
        <w:ind w:left="567" w:hanging="567"/>
        <w:jc w:val="left"/>
        <w:rPr>
          <w:sz w:val="20"/>
          <w:lang w:val="en-GB"/>
        </w:rPr>
      </w:pPr>
      <w:r w:rsidRPr="00426BB7">
        <w:rPr>
          <w:sz w:val="20"/>
          <w:lang w:val="en-GB"/>
        </w:rPr>
        <w:t xml:space="preserve">Wang YP, Jarvis PG, Benson ML (1990) Two-dimensional needle-area density distribution within the crowns of Pinus radiata. For </w:t>
      </w:r>
      <w:proofErr w:type="spellStart"/>
      <w:r w:rsidRPr="00426BB7">
        <w:rPr>
          <w:sz w:val="20"/>
          <w:lang w:val="en-GB"/>
        </w:rPr>
        <w:t>Ecol</w:t>
      </w:r>
      <w:proofErr w:type="spellEnd"/>
      <w:r w:rsidRPr="00426BB7">
        <w:rPr>
          <w:sz w:val="20"/>
          <w:lang w:val="en-GB"/>
        </w:rPr>
        <w:t xml:space="preserve"> Manage 32:217–237. https://doi.org/10.1016/0378-1127(90)90172-8</w:t>
      </w:r>
    </w:p>
    <w:p w14:paraId="199B0960" w14:textId="7A2B6584" w:rsidR="00103B4E" w:rsidRDefault="00103B4E" w:rsidP="00940909">
      <w:pPr>
        <w:rPr>
          <w:rFonts w:cstheme="minorHAnsi"/>
          <w:sz w:val="18"/>
          <w:lang w:val="en-GB"/>
        </w:rPr>
      </w:pPr>
    </w:p>
    <w:p w14:paraId="237AFEC3" w14:textId="77777777" w:rsidR="00050BF8" w:rsidRPr="009D0786" w:rsidRDefault="00050BF8" w:rsidP="00940909">
      <w:pPr>
        <w:rPr>
          <w:rFonts w:cstheme="minorHAnsi"/>
          <w:sz w:val="18"/>
          <w:lang w:val="en-GB"/>
        </w:rPr>
      </w:pPr>
    </w:p>
    <w:sectPr w:rsidR="00050BF8" w:rsidRPr="009D0786" w:rsidSect="0094359D">
      <w:footerReference w:type="default" r:id="rId10"/>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35166" w14:textId="77777777" w:rsidR="006816D4" w:rsidRDefault="006816D4" w:rsidP="00EC069D">
      <w:pPr>
        <w:spacing w:after="0" w:line="240" w:lineRule="auto"/>
      </w:pPr>
      <w:r>
        <w:separator/>
      </w:r>
    </w:p>
  </w:endnote>
  <w:endnote w:type="continuationSeparator" w:id="0">
    <w:p w14:paraId="6C26F6C4" w14:textId="77777777" w:rsidR="006816D4" w:rsidRDefault="006816D4" w:rsidP="00EC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383771"/>
      <w:docPartObj>
        <w:docPartGallery w:val="Page Numbers (Bottom of Page)"/>
        <w:docPartUnique/>
      </w:docPartObj>
    </w:sdtPr>
    <w:sdtEndPr/>
    <w:sdtContent>
      <w:p w14:paraId="0D24530E" w14:textId="39650EAB" w:rsidR="000B63CA" w:rsidRDefault="000B63CA">
        <w:pPr>
          <w:pStyle w:val="Footer"/>
          <w:jc w:val="right"/>
        </w:pPr>
        <w:r>
          <w:fldChar w:fldCharType="begin"/>
        </w:r>
        <w:r>
          <w:instrText>PAGE   \* MERGEFORMAT</w:instrText>
        </w:r>
        <w:r>
          <w:fldChar w:fldCharType="separate"/>
        </w:r>
        <w:r w:rsidR="003F3682" w:rsidRPr="003F3682">
          <w:rPr>
            <w:noProof/>
            <w:lang w:val="de-DE"/>
          </w:rPr>
          <w:t>5</w:t>
        </w:r>
        <w:r>
          <w:fldChar w:fldCharType="end"/>
        </w:r>
      </w:p>
    </w:sdtContent>
  </w:sdt>
  <w:p w14:paraId="03399A4C" w14:textId="77777777" w:rsidR="000B63CA" w:rsidRDefault="000B63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96C9E" w14:textId="77777777" w:rsidR="006816D4" w:rsidRDefault="006816D4" w:rsidP="00EC069D">
      <w:pPr>
        <w:spacing w:after="0" w:line="240" w:lineRule="auto"/>
      </w:pPr>
      <w:r>
        <w:separator/>
      </w:r>
    </w:p>
  </w:footnote>
  <w:footnote w:type="continuationSeparator" w:id="0">
    <w:p w14:paraId="3ED033B1" w14:textId="77777777" w:rsidR="006816D4" w:rsidRDefault="006816D4" w:rsidP="00EC06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6231"/>
    <w:multiLevelType w:val="hybridMultilevel"/>
    <w:tmpl w:val="9D30C29C"/>
    <w:lvl w:ilvl="0" w:tplc="4C16670C">
      <w:start w:val="3"/>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9962C3"/>
    <w:multiLevelType w:val="hybridMultilevel"/>
    <w:tmpl w:val="41C22376"/>
    <w:lvl w:ilvl="0" w:tplc="87ECE2B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10B58"/>
    <w:multiLevelType w:val="hybridMultilevel"/>
    <w:tmpl w:val="C61CD592"/>
    <w:lvl w:ilvl="0" w:tplc="70E6B0B6">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74B2E"/>
    <w:multiLevelType w:val="hybridMultilevel"/>
    <w:tmpl w:val="DDE4175E"/>
    <w:lvl w:ilvl="0" w:tplc="30CA1F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B639C9"/>
    <w:multiLevelType w:val="hybridMultilevel"/>
    <w:tmpl w:val="4378D594"/>
    <w:lvl w:ilvl="0" w:tplc="30CA1F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B4184E"/>
    <w:multiLevelType w:val="hybridMultilevel"/>
    <w:tmpl w:val="6484BA88"/>
    <w:lvl w:ilvl="0" w:tplc="5BF65256">
      <w:start w:val="1"/>
      <w:numFmt w:val="decimal"/>
      <w:lvlText w:val="%1."/>
      <w:lvlJc w:val="left"/>
      <w:pPr>
        <w:ind w:left="720" w:hanging="360"/>
      </w:pPr>
      <w:rPr>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F39FC"/>
    <w:multiLevelType w:val="hybridMultilevel"/>
    <w:tmpl w:val="19C865F6"/>
    <w:lvl w:ilvl="0" w:tplc="DDB63B30">
      <w:start w:val="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E2E9E"/>
    <w:multiLevelType w:val="hybridMultilevel"/>
    <w:tmpl w:val="3942F1D0"/>
    <w:lvl w:ilvl="0" w:tplc="B7887D7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D518E"/>
    <w:multiLevelType w:val="hybridMultilevel"/>
    <w:tmpl w:val="FC981DC8"/>
    <w:lvl w:ilvl="0" w:tplc="F89CFF04">
      <w:start w:val="4"/>
      <w:numFmt w:val="bullet"/>
      <w:lvlText w:val="-"/>
      <w:lvlJc w:val="left"/>
      <w:pPr>
        <w:ind w:left="720" w:hanging="360"/>
      </w:pPr>
      <w:rPr>
        <w:rFonts w:ascii="Calibri" w:eastAsia="MS Mincho"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700AF"/>
    <w:multiLevelType w:val="hybridMultilevel"/>
    <w:tmpl w:val="BF301B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D9043CD"/>
    <w:multiLevelType w:val="hybridMultilevel"/>
    <w:tmpl w:val="B1129248"/>
    <w:lvl w:ilvl="0" w:tplc="8D68449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37159"/>
    <w:multiLevelType w:val="hybridMultilevel"/>
    <w:tmpl w:val="14100CE2"/>
    <w:lvl w:ilvl="0" w:tplc="D6EA48A4">
      <w:numFmt w:val="bullet"/>
      <w:lvlText w:val="-"/>
      <w:lvlJc w:val="left"/>
      <w:pPr>
        <w:ind w:left="720" w:hanging="360"/>
      </w:pPr>
      <w:rPr>
        <w:rFonts w:ascii="Calibri" w:eastAsia="MS Mincho"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97587"/>
    <w:multiLevelType w:val="hybridMultilevel"/>
    <w:tmpl w:val="51CEB18C"/>
    <w:lvl w:ilvl="0" w:tplc="65FCF3CA">
      <w:start w:val="1"/>
      <w:numFmt w:val="bullet"/>
      <w:lvlText w:val=""/>
      <w:lvlJc w:val="left"/>
      <w:pPr>
        <w:ind w:left="720" w:hanging="360"/>
      </w:pPr>
      <w:rPr>
        <w:rFonts w:ascii="Wingdings" w:eastAsia="MS Mincho"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F17FE"/>
    <w:multiLevelType w:val="hybridMultilevel"/>
    <w:tmpl w:val="A39E4E52"/>
    <w:lvl w:ilvl="0" w:tplc="BC8CCF92">
      <w:start w:val="1"/>
      <w:numFmt w:val="bullet"/>
      <w:lvlText w:val="-"/>
      <w:lvlJc w:val="left"/>
      <w:pPr>
        <w:ind w:left="720" w:hanging="360"/>
      </w:pPr>
      <w:rPr>
        <w:rFonts w:ascii="Calibri" w:eastAsia="Times New Roman" w:hAnsi="Calibri" w:cs="Calibri"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B61255"/>
    <w:multiLevelType w:val="hybridMultilevel"/>
    <w:tmpl w:val="1D14EDC2"/>
    <w:lvl w:ilvl="0" w:tplc="F490D0C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368B9"/>
    <w:multiLevelType w:val="hybridMultilevel"/>
    <w:tmpl w:val="A446C186"/>
    <w:lvl w:ilvl="0" w:tplc="015EC532">
      <w:start w:val="5"/>
      <w:numFmt w:val="bullet"/>
      <w:lvlText w:val=""/>
      <w:lvlJc w:val="left"/>
      <w:pPr>
        <w:ind w:left="720" w:hanging="360"/>
      </w:pPr>
      <w:rPr>
        <w:rFonts w:ascii="Wingdings" w:eastAsia="MS Mincho"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64EE7"/>
    <w:multiLevelType w:val="hybridMultilevel"/>
    <w:tmpl w:val="EB166F9E"/>
    <w:lvl w:ilvl="0" w:tplc="723E2E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B28C7"/>
    <w:multiLevelType w:val="hybridMultilevel"/>
    <w:tmpl w:val="DE3E785C"/>
    <w:lvl w:ilvl="0" w:tplc="7CBCB928">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1012F"/>
    <w:multiLevelType w:val="hybridMultilevel"/>
    <w:tmpl w:val="9C7CCDD4"/>
    <w:lvl w:ilvl="0" w:tplc="466AA37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1793C25"/>
    <w:multiLevelType w:val="hybridMultilevel"/>
    <w:tmpl w:val="0A52264A"/>
    <w:lvl w:ilvl="0" w:tplc="30CA1F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2FE0973"/>
    <w:multiLevelType w:val="hybridMultilevel"/>
    <w:tmpl w:val="3D568230"/>
    <w:lvl w:ilvl="0" w:tplc="16FC46FA">
      <w:start w:val="1"/>
      <w:numFmt w:val="bullet"/>
      <w:lvlText w:val=""/>
      <w:lvlJc w:val="left"/>
      <w:pPr>
        <w:ind w:left="720" w:hanging="360"/>
      </w:pPr>
      <w:rPr>
        <w:rFonts w:ascii="Wingdings" w:eastAsia="MS Mincho"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77297"/>
    <w:multiLevelType w:val="hybridMultilevel"/>
    <w:tmpl w:val="8CEEEA12"/>
    <w:lvl w:ilvl="0" w:tplc="33CEBAA2">
      <w:numFmt w:val="bullet"/>
      <w:lvlText w:val=""/>
      <w:lvlJc w:val="left"/>
      <w:pPr>
        <w:ind w:left="1080" w:hanging="360"/>
      </w:pPr>
      <w:rPr>
        <w:rFonts w:ascii="Wingdings" w:eastAsia="Times New Roman"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240F3E"/>
    <w:multiLevelType w:val="hybridMultilevel"/>
    <w:tmpl w:val="54744D5E"/>
    <w:lvl w:ilvl="0" w:tplc="7B0CFD5C">
      <w:start w:val="5"/>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C20B53"/>
    <w:multiLevelType w:val="hybridMultilevel"/>
    <w:tmpl w:val="F0A45C16"/>
    <w:lvl w:ilvl="0" w:tplc="524E0B62">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CF23C0"/>
    <w:multiLevelType w:val="hybridMultilevel"/>
    <w:tmpl w:val="8ACEA9D4"/>
    <w:lvl w:ilvl="0" w:tplc="60C029D0">
      <w:start w:val="1"/>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763D1F"/>
    <w:multiLevelType w:val="hybridMultilevel"/>
    <w:tmpl w:val="B9568BA2"/>
    <w:lvl w:ilvl="0" w:tplc="31ACFD94">
      <w:start w:val="4"/>
      <w:numFmt w:val="bullet"/>
      <w:lvlText w:val="-"/>
      <w:lvlJc w:val="left"/>
      <w:pPr>
        <w:ind w:left="720" w:hanging="360"/>
      </w:pPr>
      <w:rPr>
        <w:rFonts w:ascii="Calibri" w:eastAsia="MS Mincho"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711F6"/>
    <w:multiLevelType w:val="hybridMultilevel"/>
    <w:tmpl w:val="6D7A39AE"/>
    <w:lvl w:ilvl="0" w:tplc="76CCE4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387B19"/>
    <w:multiLevelType w:val="hybridMultilevel"/>
    <w:tmpl w:val="10C6D454"/>
    <w:lvl w:ilvl="0" w:tplc="C4E07814">
      <w:start w:val="5"/>
      <w:numFmt w:val="bullet"/>
      <w:lvlText w:val=""/>
      <w:lvlJc w:val="left"/>
      <w:pPr>
        <w:ind w:left="720" w:hanging="360"/>
      </w:pPr>
      <w:rPr>
        <w:rFonts w:ascii="Wingdings" w:eastAsia="MS Mincho"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33F8B"/>
    <w:multiLevelType w:val="hybridMultilevel"/>
    <w:tmpl w:val="F57C3774"/>
    <w:lvl w:ilvl="0" w:tplc="69AEC98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B62EE"/>
    <w:multiLevelType w:val="hybridMultilevel"/>
    <w:tmpl w:val="A5C040F0"/>
    <w:lvl w:ilvl="0" w:tplc="04070001">
      <w:start w:val="1"/>
      <w:numFmt w:val="bullet"/>
      <w:lvlText w:val=""/>
      <w:lvlJc w:val="left"/>
      <w:pPr>
        <w:ind w:left="360" w:hanging="360"/>
      </w:pPr>
      <w:rPr>
        <w:rFonts w:ascii="Symbol" w:hAnsi="Symbol" w:hint="default"/>
      </w:rPr>
    </w:lvl>
    <w:lvl w:ilvl="1" w:tplc="30CA1F68">
      <w:numFmt w:val="bullet"/>
      <w:lvlText w:val="-"/>
      <w:lvlJc w:val="left"/>
      <w:pPr>
        <w:ind w:left="1080" w:hanging="360"/>
      </w:pPr>
      <w:rPr>
        <w:rFonts w:ascii="Arial" w:eastAsiaTheme="minorHAns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25B1A56"/>
    <w:multiLevelType w:val="hybridMultilevel"/>
    <w:tmpl w:val="FF76FC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A34202"/>
    <w:multiLevelType w:val="hybridMultilevel"/>
    <w:tmpl w:val="3B94EF12"/>
    <w:lvl w:ilvl="0" w:tplc="785A770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336DB"/>
    <w:multiLevelType w:val="hybridMultilevel"/>
    <w:tmpl w:val="4AC4B552"/>
    <w:lvl w:ilvl="0" w:tplc="F15853A4">
      <w:start w:val="1"/>
      <w:numFmt w:val="bullet"/>
      <w:lvlText w:val=""/>
      <w:lvlJc w:val="left"/>
      <w:pPr>
        <w:ind w:left="720" w:hanging="360"/>
      </w:pPr>
      <w:rPr>
        <w:rFonts w:ascii="Wingdings" w:eastAsia="Times New Roman" w:hAnsi="Wingdings" w:cs="Times New Roman"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50BE2"/>
    <w:multiLevelType w:val="hybridMultilevel"/>
    <w:tmpl w:val="DE843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642A6E"/>
    <w:multiLevelType w:val="hybridMultilevel"/>
    <w:tmpl w:val="9BE8C36A"/>
    <w:lvl w:ilvl="0" w:tplc="886E6D60">
      <w:start w:val="5"/>
      <w:numFmt w:val="bullet"/>
      <w:lvlText w:val="-"/>
      <w:lvlJc w:val="left"/>
      <w:pPr>
        <w:ind w:left="720" w:hanging="360"/>
      </w:pPr>
      <w:rPr>
        <w:rFonts w:ascii="Calibri" w:eastAsia="MS Mincho"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5C3908"/>
    <w:multiLevelType w:val="hybridMultilevel"/>
    <w:tmpl w:val="58B0AE1A"/>
    <w:lvl w:ilvl="0" w:tplc="31841B3E">
      <w:start w:val="4"/>
      <w:numFmt w:val="bullet"/>
      <w:lvlText w:val="-"/>
      <w:lvlJc w:val="left"/>
      <w:pPr>
        <w:ind w:left="1080" w:hanging="360"/>
      </w:pPr>
      <w:rPr>
        <w:rFonts w:ascii="Calibri" w:eastAsia="MS Mincho"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1729F9"/>
    <w:multiLevelType w:val="hybridMultilevel"/>
    <w:tmpl w:val="BFBE8098"/>
    <w:lvl w:ilvl="0" w:tplc="30CA1F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741CF0"/>
    <w:multiLevelType w:val="hybridMultilevel"/>
    <w:tmpl w:val="B2A8564A"/>
    <w:lvl w:ilvl="0" w:tplc="C778F4B6">
      <w:start w:val="1"/>
      <w:numFmt w:val="bullet"/>
      <w:lvlText w:val=""/>
      <w:lvlJc w:val="left"/>
      <w:pPr>
        <w:ind w:left="720" w:hanging="360"/>
      </w:pPr>
      <w:rPr>
        <w:rFonts w:ascii="Wingdings" w:eastAsia="MS Mincho"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10EFC"/>
    <w:multiLevelType w:val="hybridMultilevel"/>
    <w:tmpl w:val="7AAA3AC0"/>
    <w:lvl w:ilvl="0" w:tplc="483CAEE8">
      <w:numFmt w:val="bullet"/>
      <w:lvlText w:val=""/>
      <w:lvlJc w:val="left"/>
      <w:pPr>
        <w:ind w:left="720" w:hanging="360"/>
      </w:pPr>
      <w:rPr>
        <w:rFonts w:ascii="Wingdings" w:eastAsia="MS Mincho" w:hAnsi="Wingdings" w:cstheme="minorBid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11815"/>
    <w:multiLevelType w:val="hybridMultilevel"/>
    <w:tmpl w:val="E900542E"/>
    <w:lvl w:ilvl="0" w:tplc="A2F06526">
      <w:start w:val="5"/>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AF43D4"/>
    <w:multiLevelType w:val="hybridMultilevel"/>
    <w:tmpl w:val="EA5A4252"/>
    <w:lvl w:ilvl="0" w:tplc="317E038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29"/>
  </w:num>
  <w:num w:numId="4">
    <w:abstractNumId w:val="9"/>
  </w:num>
  <w:num w:numId="5">
    <w:abstractNumId w:val="36"/>
  </w:num>
  <w:num w:numId="6">
    <w:abstractNumId w:val="3"/>
  </w:num>
  <w:num w:numId="7">
    <w:abstractNumId w:val="19"/>
  </w:num>
  <w:num w:numId="8">
    <w:abstractNumId w:val="4"/>
  </w:num>
  <w:num w:numId="9">
    <w:abstractNumId w:val="18"/>
  </w:num>
  <w:num w:numId="10">
    <w:abstractNumId w:val="10"/>
  </w:num>
  <w:num w:numId="11">
    <w:abstractNumId w:val="14"/>
  </w:num>
  <w:num w:numId="12">
    <w:abstractNumId w:val="11"/>
  </w:num>
  <w:num w:numId="13">
    <w:abstractNumId w:val="21"/>
  </w:num>
  <w:num w:numId="14">
    <w:abstractNumId w:val="5"/>
  </w:num>
  <w:num w:numId="15">
    <w:abstractNumId w:val="38"/>
  </w:num>
  <w:num w:numId="16">
    <w:abstractNumId w:val="34"/>
  </w:num>
  <w:num w:numId="17">
    <w:abstractNumId w:val="15"/>
  </w:num>
  <w:num w:numId="18">
    <w:abstractNumId w:val="27"/>
  </w:num>
  <w:num w:numId="19">
    <w:abstractNumId w:val="2"/>
  </w:num>
  <w:num w:numId="20">
    <w:abstractNumId w:val="20"/>
  </w:num>
  <w:num w:numId="21">
    <w:abstractNumId w:val="12"/>
  </w:num>
  <w:num w:numId="22">
    <w:abstractNumId w:val="37"/>
  </w:num>
  <w:num w:numId="23">
    <w:abstractNumId w:val="26"/>
  </w:num>
  <w:num w:numId="24">
    <w:abstractNumId w:val="17"/>
  </w:num>
  <w:num w:numId="25">
    <w:abstractNumId w:val="22"/>
  </w:num>
  <w:num w:numId="26">
    <w:abstractNumId w:val="39"/>
  </w:num>
  <w:num w:numId="27">
    <w:abstractNumId w:val="33"/>
  </w:num>
  <w:num w:numId="28">
    <w:abstractNumId w:val="23"/>
  </w:num>
  <w:num w:numId="29">
    <w:abstractNumId w:val="6"/>
  </w:num>
  <w:num w:numId="30">
    <w:abstractNumId w:val="7"/>
  </w:num>
  <w:num w:numId="31">
    <w:abstractNumId w:val="31"/>
  </w:num>
  <w:num w:numId="32">
    <w:abstractNumId w:val="24"/>
  </w:num>
  <w:num w:numId="33">
    <w:abstractNumId w:val="28"/>
  </w:num>
  <w:num w:numId="34">
    <w:abstractNumId w:val="16"/>
  </w:num>
  <w:num w:numId="35">
    <w:abstractNumId w:val="1"/>
  </w:num>
  <w:num w:numId="36">
    <w:abstractNumId w:val="8"/>
  </w:num>
  <w:num w:numId="37">
    <w:abstractNumId w:val="25"/>
  </w:num>
  <w:num w:numId="38">
    <w:abstractNumId w:val="35"/>
  </w:num>
  <w:num w:numId="39">
    <w:abstractNumId w:val="40"/>
  </w:num>
  <w:num w:numId="40">
    <w:abstractNumId w:val="3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1N7cwMbQwMTI3MzZR0lEKTi0uzszPAykwrAUAM16wpCwAAAA="/>
  </w:docVars>
  <w:rsids>
    <w:rsidRoot w:val="00F70AD0"/>
    <w:rsid w:val="00001123"/>
    <w:rsid w:val="000011D7"/>
    <w:rsid w:val="00001A90"/>
    <w:rsid w:val="00003743"/>
    <w:rsid w:val="0000416D"/>
    <w:rsid w:val="0000654A"/>
    <w:rsid w:val="00010CD7"/>
    <w:rsid w:val="00011CD9"/>
    <w:rsid w:val="000121AE"/>
    <w:rsid w:val="000130CA"/>
    <w:rsid w:val="00014E20"/>
    <w:rsid w:val="00015273"/>
    <w:rsid w:val="00015EEF"/>
    <w:rsid w:val="00015FAA"/>
    <w:rsid w:val="00016534"/>
    <w:rsid w:val="00016A5A"/>
    <w:rsid w:val="000174BF"/>
    <w:rsid w:val="00021CEB"/>
    <w:rsid w:val="0002222D"/>
    <w:rsid w:val="00023986"/>
    <w:rsid w:val="00025540"/>
    <w:rsid w:val="00025CB5"/>
    <w:rsid w:val="0002627B"/>
    <w:rsid w:val="00026595"/>
    <w:rsid w:val="0002675D"/>
    <w:rsid w:val="0002696E"/>
    <w:rsid w:val="000273C6"/>
    <w:rsid w:val="0003045C"/>
    <w:rsid w:val="00032924"/>
    <w:rsid w:val="000331DD"/>
    <w:rsid w:val="00035027"/>
    <w:rsid w:val="00035433"/>
    <w:rsid w:val="000358D1"/>
    <w:rsid w:val="00035C1A"/>
    <w:rsid w:val="000368C2"/>
    <w:rsid w:val="00037615"/>
    <w:rsid w:val="00041D7D"/>
    <w:rsid w:val="00041DB8"/>
    <w:rsid w:val="00044434"/>
    <w:rsid w:val="0004483C"/>
    <w:rsid w:val="0005067B"/>
    <w:rsid w:val="00050BF8"/>
    <w:rsid w:val="00051B14"/>
    <w:rsid w:val="000529C8"/>
    <w:rsid w:val="00052A73"/>
    <w:rsid w:val="00053966"/>
    <w:rsid w:val="000548BA"/>
    <w:rsid w:val="00054E8D"/>
    <w:rsid w:val="00054FE1"/>
    <w:rsid w:val="00056D44"/>
    <w:rsid w:val="0006093F"/>
    <w:rsid w:val="0006153F"/>
    <w:rsid w:val="00064BEF"/>
    <w:rsid w:val="00064C19"/>
    <w:rsid w:val="00065327"/>
    <w:rsid w:val="000667B8"/>
    <w:rsid w:val="00067EA5"/>
    <w:rsid w:val="00071B93"/>
    <w:rsid w:val="00072AA8"/>
    <w:rsid w:val="000748D0"/>
    <w:rsid w:val="000765C0"/>
    <w:rsid w:val="000765C4"/>
    <w:rsid w:val="00076D6E"/>
    <w:rsid w:val="00080A5F"/>
    <w:rsid w:val="00080E83"/>
    <w:rsid w:val="00081876"/>
    <w:rsid w:val="00081E26"/>
    <w:rsid w:val="00083722"/>
    <w:rsid w:val="0008523D"/>
    <w:rsid w:val="00085C5E"/>
    <w:rsid w:val="000871E5"/>
    <w:rsid w:val="0008794F"/>
    <w:rsid w:val="00090A12"/>
    <w:rsid w:val="00095727"/>
    <w:rsid w:val="000A2C1B"/>
    <w:rsid w:val="000A4720"/>
    <w:rsid w:val="000A4EF9"/>
    <w:rsid w:val="000A6F44"/>
    <w:rsid w:val="000A6FBD"/>
    <w:rsid w:val="000A7B39"/>
    <w:rsid w:val="000B04BF"/>
    <w:rsid w:val="000B097E"/>
    <w:rsid w:val="000B21A1"/>
    <w:rsid w:val="000B28B9"/>
    <w:rsid w:val="000B33E2"/>
    <w:rsid w:val="000B547F"/>
    <w:rsid w:val="000B58BA"/>
    <w:rsid w:val="000B5C01"/>
    <w:rsid w:val="000B63CA"/>
    <w:rsid w:val="000B712D"/>
    <w:rsid w:val="000C3B2B"/>
    <w:rsid w:val="000C4E76"/>
    <w:rsid w:val="000C51B7"/>
    <w:rsid w:val="000C558E"/>
    <w:rsid w:val="000C57A9"/>
    <w:rsid w:val="000C586C"/>
    <w:rsid w:val="000C682A"/>
    <w:rsid w:val="000D03C2"/>
    <w:rsid w:val="000D0567"/>
    <w:rsid w:val="000D0AA8"/>
    <w:rsid w:val="000D1131"/>
    <w:rsid w:val="000D1ADC"/>
    <w:rsid w:val="000D345E"/>
    <w:rsid w:val="000D393B"/>
    <w:rsid w:val="000D3BBB"/>
    <w:rsid w:val="000D741A"/>
    <w:rsid w:val="000E03FB"/>
    <w:rsid w:val="000E0EEB"/>
    <w:rsid w:val="000E1B7F"/>
    <w:rsid w:val="000E42E3"/>
    <w:rsid w:val="000E4883"/>
    <w:rsid w:val="000F08C3"/>
    <w:rsid w:val="000F0F2A"/>
    <w:rsid w:val="000F63EE"/>
    <w:rsid w:val="000F643C"/>
    <w:rsid w:val="000F7167"/>
    <w:rsid w:val="000F7C72"/>
    <w:rsid w:val="00101B26"/>
    <w:rsid w:val="00103B4E"/>
    <w:rsid w:val="00103DF2"/>
    <w:rsid w:val="001074F2"/>
    <w:rsid w:val="001107C3"/>
    <w:rsid w:val="00113D31"/>
    <w:rsid w:val="00113DBF"/>
    <w:rsid w:val="0011440A"/>
    <w:rsid w:val="00114459"/>
    <w:rsid w:val="0011528E"/>
    <w:rsid w:val="001163BC"/>
    <w:rsid w:val="001215F7"/>
    <w:rsid w:val="00121887"/>
    <w:rsid w:val="0012193E"/>
    <w:rsid w:val="00121C8C"/>
    <w:rsid w:val="0012269F"/>
    <w:rsid w:val="00122ADC"/>
    <w:rsid w:val="0012467B"/>
    <w:rsid w:val="00130E4C"/>
    <w:rsid w:val="00131625"/>
    <w:rsid w:val="00132211"/>
    <w:rsid w:val="00132AB1"/>
    <w:rsid w:val="00132B78"/>
    <w:rsid w:val="00133EEB"/>
    <w:rsid w:val="00134690"/>
    <w:rsid w:val="001372D5"/>
    <w:rsid w:val="001373DA"/>
    <w:rsid w:val="001438F8"/>
    <w:rsid w:val="0014430E"/>
    <w:rsid w:val="00146125"/>
    <w:rsid w:val="00147A3A"/>
    <w:rsid w:val="001520E6"/>
    <w:rsid w:val="00153CB4"/>
    <w:rsid w:val="001551F9"/>
    <w:rsid w:val="00156AC0"/>
    <w:rsid w:val="00162EC8"/>
    <w:rsid w:val="00163D2F"/>
    <w:rsid w:val="00167DF9"/>
    <w:rsid w:val="00172B93"/>
    <w:rsid w:val="001746D6"/>
    <w:rsid w:val="00175175"/>
    <w:rsid w:val="0017542D"/>
    <w:rsid w:val="00177472"/>
    <w:rsid w:val="00185102"/>
    <w:rsid w:val="00187683"/>
    <w:rsid w:val="00194343"/>
    <w:rsid w:val="00195EEB"/>
    <w:rsid w:val="001A16D4"/>
    <w:rsid w:val="001A2DDF"/>
    <w:rsid w:val="001A3424"/>
    <w:rsid w:val="001A61DB"/>
    <w:rsid w:val="001A6856"/>
    <w:rsid w:val="001B1765"/>
    <w:rsid w:val="001B2FF9"/>
    <w:rsid w:val="001B491D"/>
    <w:rsid w:val="001B737C"/>
    <w:rsid w:val="001C0AB0"/>
    <w:rsid w:val="001C2C51"/>
    <w:rsid w:val="001C3D2B"/>
    <w:rsid w:val="001C5B41"/>
    <w:rsid w:val="001C6315"/>
    <w:rsid w:val="001C6D42"/>
    <w:rsid w:val="001D0884"/>
    <w:rsid w:val="001D2C24"/>
    <w:rsid w:val="001D40D9"/>
    <w:rsid w:val="001D5520"/>
    <w:rsid w:val="001D6B33"/>
    <w:rsid w:val="001D74C3"/>
    <w:rsid w:val="001E0489"/>
    <w:rsid w:val="001E0677"/>
    <w:rsid w:val="001E0705"/>
    <w:rsid w:val="001E1030"/>
    <w:rsid w:val="001E2208"/>
    <w:rsid w:val="001E3273"/>
    <w:rsid w:val="001E43B8"/>
    <w:rsid w:val="001E4909"/>
    <w:rsid w:val="001E6B39"/>
    <w:rsid w:val="001E7EE2"/>
    <w:rsid w:val="001F01FF"/>
    <w:rsid w:val="001F0E97"/>
    <w:rsid w:val="001F1996"/>
    <w:rsid w:val="001F2868"/>
    <w:rsid w:val="001F4A0B"/>
    <w:rsid w:val="001F716D"/>
    <w:rsid w:val="001F7CE2"/>
    <w:rsid w:val="0020167F"/>
    <w:rsid w:val="00204AF9"/>
    <w:rsid w:val="002055BC"/>
    <w:rsid w:val="00205B34"/>
    <w:rsid w:val="00205B81"/>
    <w:rsid w:val="00205C4D"/>
    <w:rsid w:val="00206AC2"/>
    <w:rsid w:val="00207236"/>
    <w:rsid w:val="00207AC4"/>
    <w:rsid w:val="0021150D"/>
    <w:rsid w:val="0021174D"/>
    <w:rsid w:val="00213C7C"/>
    <w:rsid w:val="00217FD5"/>
    <w:rsid w:val="002200FF"/>
    <w:rsid w:val="00224BA1"/>
    <w:rsid w:val="00225227"/>
    <w:rsid w:val="00225703"/>
    <w:rsid w:val="002257D9"/>
    <w:rsid w:val="0023139C"/>
    <w:rsid w:val="002317A1"/>
    <w:rsid w:val="00231D7F"/>
    <w:rsid w:val="00231FB9"/>
    <w:rsid w:val="00232486"/>
    <w:rsid w:val="002350E5"/>
    <w:rsid w:val="002410D2"/>
    <w:rsid w:val="00243E70"/>
    <w:rsid w:val="00243F47"/>
    <w:rsid w:val="002448CD"/>
    <w:rsid w:val="00246156"/>
    <w:rsid w:val="002468F7"/>
    <w:rsid w:val="00247263"/>
    <w:rsid w:val="00247FF3"/>
    <w:rsid w:val="00252F49"/>
    <w:rsid w:val="00255307"/>
    <w:rsid w:val="00260C31"/>
    <w:rsid w:val="002614CF"/>
    <w:rsid w:val="002617C4"/>
    <w:rsid w:val="00261E92"/>
    <w:rsid w:val="00262667"/>
    <w:rsid w:val="002630A6"/>
    <w:rsid w:val="00264366"/>
    <w:rsid w:val="002643E6"/>
    <w:rsid w:val="00264D43"/>
    <w:rsid w:val="00270FBF"/>
    <w:rsid w:val="0027149B"/>
    <w:rsid w:val="00271837"/>
    <w:rsid w:val="00273394"/>
    <w:rsid w:val="0027578D"/>
    <w:rsid w:val="00276FA9"/>
    <w:rsid w:val="00281586"/>
    <w:rsid w:val="0028177D"/>
    <w:rsid w:val="00282BB6"/>
    <w:rsid w:val="002860B7"/>
    <w:rsid w:val="00286281"/>
    <w:rsid w:val="00286CAC"/>
    <w:rsid w:val="00291A13"/>
    <w:rsid w:val="002935EC"/>
    <w:rsid w:val="00294291"/>
    <w:rsid w:val="00294B88"/>
    <w:rsid w:val="002950E3"/>
    <w:rsid w:val="00297AC2"/>
    <w:rsid w:val="002A094F"/>
    <w:rsid w:val="002A1690"/>
    <w:rsid w:val="002A2C54"/>
    <w:rsid w:val="002A3E54"/>
    <w:rsid w:val="002A4113"/>
    <w:rsid w:val="002A58B3"/>
    <w:rsid w:val="002A5CB3"/>
    <w:rsid w:val="002A6EDD"/>
    <w:rsid w:val="002A71D2"/>
    <w:rsid w:val="002A7538"/>
    <w:rsid w:val="002A7A76"/>
    <w:rsid w:val="002B048B"/>
    <w:rsid w:val="002B05EB"/>
    <w:rsid w:val="002B0B86"/>
    <w:rsid w:val="002B23D4"/>
    <w:rsid w:val="002B25B4"/>
    <w:rsid w:val="002B2ED6"/>
    <w:rsid w:val="002B2F59"/>
    <w:rsid w:val="002B3EF5"/>
    <w:rsid w:val="002B4558"/>
    <w:rsid w:val="002B4B5C"/>
    <w:rsid w:val="002B4E7B"/>
    <w:rsid w:val="002B774D"/>
    <w:rsid w:val="002C1E8E"/>
    <w:rsid w:val="002C3411"/>
    <w:rsid w:val="002C3B5E"/>
    <w:rsid w:val="002C3BB4"/>
    <w:rsid w:val="002C42FB"/>
    <w:rsid w:val="002C5B18"/>
    <w:rsid w:val="002C5C1A"/>
    <w:rsid w:val="002C61CB"/>
    <w:rsid w:val="002D0547"/>
    <w:rsid w:val="002D067E"/>
    <w:rsid w:val="002D3B37"/>
    <w:rsid w:val="002D4AAF"/>
    <w:rsid w:val="002D4F78"/>
    <w:rsid w:val="002D77E6"/>
    <w:rsid w:val="002E2C3F"/>
    <w:rsid w:val="002E5439"/>
    <w:rsid w:val="002E61C9"/>
    <w:rsid w:val="002E65A0"/>
    <w:rsid w:val="002E65A8"/>
    <w:rsid w:val="002E7F4C"/>
    <w:rsid w:val="002F0B20"/>
    <w:rsid w:val="002F2518"/>
    <w:rsid w:val="002F28B7"/>
    <w:rsid w:val="002F469F"/>
    <w:rsid w:val="002F57BF"/>
    <w:rsid w:val="002F71F6"/>
    <w:rsid w:val="002F7794"/>
    <w:rsid w:val="0030150B"/>
    <w:rsid w:val="003018C6"/>
    <w:rsid w:val="003023C9"/>
    <w:rsid w:val="0030279D"/>
    <w:rsid w:val="003028ED"/>
    <w:rsid w:val="0030323F"/>
    <w:rsid w:val="0030421D"/>
    <w:rsid w:val="003059AA"/>
    <w:rsid w:val="0030705B"/>
    <w:rsid w:val="00311A42"/>
    <w:rsid w:val="00313B36"/>
    <w:rsid w:val="003155A0"/>
    <w:rsid w:val="0031572E"/>
    <w:rsid w:val="003157DA"/>
    <w:rsid w:val="00316993"/>
    <w:rsid w:val="0031754B"/>
    <w:rsid w:val="00317CC8"/>
    <w:rsid w:val="00321559"/>
    <w:rsid w:val="003223DD"/>
    <w:rsid w:val="00323878"/>
    <w:rsid w:val="00324749"/>
    <w:rsid w:val="00324967"/>
    <w:rsid w:val="00325C67"/>
    <w:rsid w:val="00330FD7"/>
    <w:rsid w:val="00336E6F"/>
    <w:rsid w:val="003402B9"/>
    <w:rsid w:val="00342370"/>
    <w:rsid w:val="00342E07"/>
    <w:rsid w:val="00344F87"/>
    <w:rsid w:val="003453AB"/>
    <w:rsid w:val="0035079C"/>
    <w:rsid w:val="003507E9"/>
    <w:rsid w:val="00352CE1"/>
    <w:rsid w:val="00356DAD"/>
    <w:rsid w:val="00356E7B"/>
    <w:rsid w:val="003601F9"/>
    <w:rsid w:val="0036057F"/>
    <w:rsid w:val="00360679"/>
    <w:rsid w:val="00360FCC"/>
    <w:rsid w:val="00362B06"/>
    <w:rsid w:val="00364228"/>
    <w:rsid w:val="00364FB3"/>
    <w:rsid w:val="00365BF1"/>
    <w:rsid w:val="00367A73"/>
    <w:rsid w:val="003708D8"/>
    <w:rsid w:val="00370970"/>
    <w:rsid w:val="00371107"/>
    <w:rsid w:val="00373107"/>
    <w:rsid w:val="00374815"/>
    <w:rsid w:val="00375B99"/>
    <w:rsid w:val="00377239"/>
    <w:rsid w:val="00377D25"/>
    <w:rsid w:val="003812DF"/>
    <w:rsid w:val="0038388C"/>
    <w:rsid w:val="00385C9B"/>
    <w:rsid w:val="00385F70"/>
    <w:rsid w:val="003925F8"/>
    <w:rsid w:val="003944C3"/>
    <w:rsid w:val="003A3A6F"/>
    <w:rsid w:val="003A532E"/>
    <w:rsid w:val="003A6FEC"/>
    <w:rsid w:val="003B0094"/>
    <w:rsid w:val="003B18BD"/>
    <w:rsid w:val="003B234A"/>
    <w:rsid w:val="003B2571"/>
    <w:rsid w:val="003B476F"/>
    <w:rsid w:val="003B5635"/>
    <w:rsid w:val="003B7887"/>
    <w:rsid w:val="003C05C3"/>
    <w:rsid w:val="003C1D6E"/>
    <w:rsid w:val="003C280A"/>
    <w:rsid w:val="003C33DE"/>
    <w:rsid w:val="003C344A"/>
    <w:rsid w:val="003C4935"/>
    <w:rsid w:val="003C75E7"/>
    <w:rsid w:val="003D1651"/>
    <w:rsid w:val="003D1701"/>
    <w:rsid w:val="003D17DF"/>
    <w:rsid w:val="003D1F5F"/>
    <w:rsid w:val="003D5DEF"/>
    <w:rsid w:val="003D7112"/>
    <w:rsid w:val="003D7AD9"/>
    <w:rsid w:val="003D7BDB"/>
    <w:rsid w:val="003E334D"/>
    <w:rsid w:val="003E4316"/>
    <w:rsid w:val="003E51DD"/>
    <w:rsid w:val="003E69F9"/>
    <w:rsid w:val="003E6FDC"/>
    <w:rsid w:val="003E7E28"/>
    <w:rsid w:val="003F0A1B"/>
    <w:rsid w:val="003F3682"/>
    <w:rsid w:val="003F49B5"/>
    <w:rsid w:val="003F660C"/>
    <w:rsid w:val="003F69D2"/>
    <w:rsid w:val="003F6EB8"/>
    <w:rsid w:val="003F73BD"/>
    <w:rsid w:val="003F7D9B"/>
    <w:rsid w:val="00400CDA"/>
    <w:rsid w:val="004032D7"/>
    <w:rsid w:val="004037B2"/>
    <w:rsid w:val="0040540C"/>
    <w:rsid w:val="00406626"/>
    <w:rsid w:val="0041062B"/>
    <w:rsid w:val="00410C98"/>
    <w:rsid w:val="00410F1E"/>
    <w:rsid w:val="0041190B"/>
    <w:rsid w:val="00413EEE"/>
    <w:rsid w:val="004149F1"/>
    <w:rsid w:val="00416E64"/>
    <w:rsid w:val="00417A7E"/>
    <w:rsid w:val="00417C9E"/>
    <w:rsid w:val="004205C4"/>
    <w:rsid w:val="004248F7"/>
    <w:rsid w:val="00426BB7"/>
    <w:rsid w:val="00427F41"/>
    <w:rsid w:val="00430662"/>
    <w:rsid w:val="00431E4C"/>
    <w:rsid w:val="00433B8F"/>
    <w:rsid w:val="004347CD"/>
    <w:rsid w:val="0043482B"/>
    <w:rsid w:val="00434DA9"/>
    <w:rsid w:val="00436759"/>
    <w:rsid w:val="00442D66"/>
    <w:rsid w:val="00443133"/>
    <w:rsid w:val="00444392"/>
    <w:rsid w:val="004449E2"/>
    <w:rsid w:val="0044514E"/>
    <w:rsid w:val="00445223"/>
    <w:rsid w:val="004457CA"/>
    <w:rsid w:val="00446AE6"/>
    <w:rsid w:val="00446E93"/>
    <w:rsid w:val="00454CFE"/>
    <w:rsid w:val="0046463F"/>
    <w:rsid w:val="0046515A"/>
    <w:rsid w:val="00465966"/>
    <w:rsid w:val="004671B0"/>
    <w:rsid w:val="00467A9B"/>
    <w:rsid w:val="00470AD9"/>
    <w:rsid w:val="00470C77"/>
    <w:rsid w:val="00471533"/>
    <w:rsid w:val="004725E1"/>
    <w:rsid w:val="0047326D"/>
    <w:rsid w:val="00474372"/>
    <w:rsid w:val="00474406"/>
    <w:rsid w:val="00475219"/>
    <w:rsid w:val="00475E7C"/>
    <w:rsid w:val="00476611"/>
    <w:rsid w:val="00477A1C"/>
    <w:rsid w:val="00480566"/>
    <w:rsid w:val="0048062A"/>
    <w:rsid w:val="004806DD"/>
    <w:rsid w:val="00480B4F"/>
    <w:rsid w:val="004849A4"/>
    <w:rsid w:val="00485069"/>
    <w:rsid w:val="004855C7"/>
    <w:rsid w:val="00486C24"/>
    <w:rsid w:val="00486DA6"/>
    <w:rsid w:val="004877CD"/>
    <w:rsid w:val="00487AD0"/>
    <w:rsid w:val="004916EE"/>
    <w:rsid w:val="00491BFC"/>
    <w:rsid w:val="004926DD"/>
    <w:rsid w:val="00493A45"/>
    <w:rsid w:val="00493A5A"/>
    <w:rsid w:val="004951AE"/>
    <w:rsid w:val="00495D40"/>
    <w:rsid w:val="004A02E3"/>
    <w:rsid w:val="004A1593"/>
    <w:rsid w:val="004A2BA4"/>
    <w:rsid w:val="004A3100"/>
    <w:rsid w:val="004A3B9D"/>
    <w:rsid w:val="004A51B5"/>
    <w:rsid w:val="004A53FC"/>
    <w:rsid w:val="004A5E6B"/>
    <w:rsid w:val="004A62E2"/>
    <w:rsid w:val="004A7266"/>
    <w:rsid w:val="004A7351"/>
    <w:rsid w:val="004B0197"/>
    <w:rsid w:val="004B3C27"/>
    <w:rsid w:val="004B51D9"/>
    <w:rsid w:val="004C152C"/>
    <w:rsid w:val="004C356B"/>
    <w:rsid w:val="004C4A05"/>
    <w:rsid w:val="004C6D01"/>
    <w:rsid w:val="004C6F00"/>
    <w:rsid w:val="004D0973"/>
    <w:rsid w:val="004D0AF3"/>
    <w:rsid w:val="004D0E73"/>
    <w:rsid w:val="004D2766"/>
    <w:rsid w:val="004D2D48"/>
    <w:rsid w:val="004D3E1D"/>
    <w:rsid w:val="004D480F"/>
    <w:rsid w:val="004D6CD6"/>
    <w:rsid w:val="004D731B"/>
    <w:rsid w:val="004E37CE"/>
    <w:rsid w:val="004E5200"/>
    <w:rsid w:val="004E59CE"/>
    <w:rsid w:val="004E610C"/>
    <w:rsid w:val="004F14BB"/>
    <w:rsid w:val="004F20C2"/>
    <w:rsid w:val="004F27C3"/>
    <w:rsid w:val="004F387E"/>
    <w:rsid w:val="004F3B37"/>
    <w:rsid w:val="004F3D86"/>
    <w:rsid w:val="004F6683"/>
    <w:rsid w:val="00500B40"/>
    <w:rsid w:val="00502782"/>
    <w:rsid w:val="005030C8"/>
    <w:rsid w:val="00503C8A"/>
    <w:rsid w:val="00510C3E"/>
    <w:rsid w:val="00511B5D"/>
    <w:rsid w:val="0051475F"/>
    <w:rsid w:val="00514E3A"/>
    <w:rsid w:val="005155A2"/>
    <w:rsid w:val="00517702"/>
    <w:rsid w:val="005178F1"/>
    <w:rsid w:val="005208B0"/>
    <w:rsid w:val="00521154"/>
    <w:rsid w:val="00521D91"/>
    <w:rsid w:val="005238CD"/>
    <w:rsid w:val="0052601F"/>
    <w:rsid w:val="0052679B"/>
    <w:rsid w:val="00530125"/>
    <w:rsid w:val="00532553"/>
    <w:rsid w:val="00536725"/>
    <w:rsid w:val="00536B72"/>
    <w:rsid w:val="00537450"/>
    <w:rsid w:val="00537D0A"/>
    <w:rsid w:val="00537DEF"/>
    <w:rsid w:val="005422D8"/>
    <w:rsid w:val="0054267A"/>
    <w:rsid w:val="0054289B"/>
    <w:rsid w:val="0054422C"/>
    <w:rsid w:val="0054463A"/>
    <w:rsid w:val="00544DD7"/>
    <w:rsid w:val="005458FD"/>
    <w:rsid w:val="00545E67"/>
    <w:rsid w:val="005469F5"/>
    <w:rsid w:val="00546A5D"/>
    <w:rsid w:val="00547C12"/>
    <w:rsid w:val="005502D4"/>
    <w:rsid w:val="00550488"/>
    <w:rsid w:val="00550598"/>
    <w:rsid w:val="00552AA5"/>
    <w:rsid w:val="005534A1"/>
    <w:rsid w:val="00553EA4"/>
    <w:rsid w:val="00554712"/>
    <w:rsid w:val="00555F6F"/>
    <w:rsid w:val="0055767B"/>
    <w:rsid w:val="005601A2"/>
    <w:rsid w:val="00561873"/>
    <w:rsid w:val="005651C9"/>
    <w:rsid w:val="00566548"/>
    <w:rsid w:val="005665F7"/>
    <w:rsid w:val="00570F56"/>
    <w:rsid w:val="0057118F"/>
    <w:rsid w:val="00571B70"/>
    <w:rsid w:val="00572348"/>
    <w:rsid w:val="00573634"/>
    <w:rsid w:val="0057498B"/>
    <w:rsid w:val="00574D21"/>
    <w:rsid w:val="00575A13"/>
    <w:rsid w:val="005823B5"/>
    <w:rsid w:val="00583554"/>
    <w:rsid w:val="00583BFE"/>
    <w:rsid w:val="00585980"/>
    <w:rsid w:val="005871B0"/>
    <w:rsid w:val="00587FA9"/>
    <w:rsid w:val="0059029F"/>
    <w:rsid w:val="00590E8C"/>
    <w:rsid w:val="00592BC4"/>
    <w:rsid w:val="00592C54"/>
    <w:rsid w:val="00592E4F"/>
    <w:rsid w:val="00597E38"/>
    <w:rsid w:val="005A0627"/>
    <w:rsid w:val="005A1FC8"/>
    <w:rsid w:val="005A4434"/>
    <w:rsid w:val="005A4EEA"/>
    <w:rsid w:val="005A50C8"/>
    <w:rsid w:val="005A5824"/>
    <w:rsid w:val="005A674B"/>
    <w:rsid w:val="005A6CA6"/>
    <w:rsid w:val="005B15D2"/>
    <w:rsid w:val="005B2B23"/>
    <w:rsid w:val="005B4194"/>
    <w:rsid w:val="005B46B8"/>
    <w:rsid w:val="005B4BAB"/>
    <w:rsid w:val="005B59D6"/>
    <w:rsid w:val="005B60DC"/>
    <w:rsid w:val="005B713B"/>
    <w:rsid w:val="005C007F"/>
    <w:rsid w:val="005C06E6"/>
    <w:rsid w:val="005C09D4"/>
    <w:rsid w:val="005C0AC8"/>
    <w:rsid w:val="005C0C03"/>
    <w:rsid w:val="005C1498"/>
    <w:rsid w:val="005C23FF"/>
    <w:rsid w:val="005C3ACE"/>
    <w:rsid w:val="005C4651"/>
    <w:rsid w:val="005C4ABA"/>
    <w:rsid w:val="005C63AC"/>
    <w:rsid w:val="005C691F"/>
    <w:rsid w:val="005C7A3B"/>
    <w:rsid w:val="005D1526"/>
    <w:rsid w:val="005D24C3"/>
    <w:rsid w:val="005D377A"/>
    <w:rsid w:val="005D4778"/>
    <w:rsid w:val="005D5E97"/>
    <w:rsid w:val="005D63DF"/>
    <w:rsid w:val="005E03B0"/>
    <w:rsid w:val="005E05EA"/>
    <w:rsid w:val="005E1B64"/>
    <w:rsid w:val="005E28BC"/>
    <w:rsid w:val="005E3E79"/>
    <w:rsid w:val="005E3FA6"/>
    <w:rsid w:val="005E4346"/>
    <w:rsid w:val="005E63A5"/>
    <w:rsid w:val="005E64C4"/>
    <w:rsid w:val="005F023C"/>
    <w:rsid w:val="005F12B5"/>
    <w:rsid w:val="005F17FD"/>
    <w:rsid w:val="005F1F85"/>
    <w:rsid w:val="005F495D"/>
    <w:rsid w:val="005F63A4"/>
    <w:rsid w:val="006004A2"/>
    <w:rsid w:val="00601C3B"/>
    <w:rsid w:val="00602F12"/>
    <w:rsid w:val="00605A43"/>
    <w:rsid w:val="00605FD7"/>
    <w:rsid w:val="0061004B"/>
    <w:rsid w:val="00611FAB"/>
    <w:rsid w:val="0061275F"/>
    <w:rsid w:val="0061329F"/>
    <w:rsid w:val="006138E9"/>
    <w:rsid w:val="00614E14"/>
    <w:rsid w:val="006150ED"/>
    <w:rsid w:val="006156D3"/>
    <w:rsid w:val="0061577B"/>
    <w:rsid w:val="00616C0C"/>
    <w:rsid w:val="00617C72"/>
    <w:rsid w:val="006251E8"/>
    <w:rsid w:val="006259B8"/>
    <w:rsid w:val="00625A5A"/>
    <w:rsid w:val="00625DC2"/>
    <w:rsid w:val="00630218"/>
    <w:rsid w:val="006309D4"/>
    <w:rsid w:val="00631C5C"/>
    <w:rsid w:val="00634BF5"/>
    <w:rsid w:val="006354CE"/>
    <w:rsid w:val="00635684"/>
    <w:rsid w:val="0063588F"/>
    <w:rsid w:val="00642A13"/>
    <w:rsid w:val="00646D83"/>
    <w:rsid w:val="00646F33"/>
    <w:rsid w:val="006470CC"/>
    <w:rsid w:val="00651290"/>
    <w:rsid w:val="00653CB9"/>
    <w:rsid w:val="006548BC"/>
    <w:rsid w:val="00655552"/>
    <w:rsid w:val="0065567C"/>
    <w:rsid w:val="0065646B"/>
    <w:rsid w:val="006565BB"/>
    <w:rsid w:val="00656822"/>
    <w:rsid w:val="00657166"/>
    <w:rsid w:val="006624AE"/>
    <w:rsid w:val="006627F6"/>
    <w:rsid w:val="00662F83"/>
    <w:rsid w:val="00664129"/>
    <w:rsid w:val="0066718A"/>
    <w:rsid w:val="006674E8"/>
    <w:rsid w:val="006709BE"/>
    <w:rsid w:val="00670FD6"/>
    <w:rsid w:val="00671DD5"/>
    <w:rsid w:val="00672423"/>
    <w:rsid w:val="00674BF9"/>
    <w:rsid w:val="00676B29"/>
    <w:rsid w:val="006774AB"/>
    <w:rsid w:val="00677BF4"/>
    <w:rsid w:val="006816D4"/>
    <w:rsid w:val="00682A33"/>
    <w:rsid w:val="00683363"/>
    <w:rsid w:val="00684484"/>
    <w:rsid w:val="0068502B"/>
    <w:rsid w:val="00685074"/>
    <w:rsid w:val="0068556B"/>
    <w:rsid w:val="00687149"/>
    <w:rsid w:val="00687B6B"/>
    <w:rsid w:val="00690583"/>
    <w:rsid w:val="00691AA7"/>
    <w:rsid w:val="00692613"/>
    <w:rsid w:val="00692DF9"/>
    <w:rsid w:val="0069693A"/>
    <w:rsid w:val="006969B6"/>
    <w:rsid w:val="006969B7"/>
    <w:rsid w:val="0069758E"/>
    <w:rsid w:val="006A3C54"/>
    <w:rsid w:val="006B08F0"/>
    <w:rsid w:val="006B30BF"/>
    <w:rsid w:val="006B3917"/>
    <w:rsid w:val="006B4224"/>
    <w:rsid w:val="006B43E6"/>
    <w:rsid w:val="006B45FE"/>
    <w:rsid w:val="006B54DB"/>
    <w:rsid w:val="006B62F9"/>
    <w:rsid w:val="006B7A81"/>
    <w:rsid w:val="006C0033"/>
    <w:rsid w:val="006C290D"/>
    <w:rsid w:val="006C2CE2"/>
    <w:rsid w:val="006C2FD0"/>
    <w:rsid w:val="006C353D"/>
    <w:rsid w:val="006C407D"/>
    <w:rsid w:val="006C46F4"/>
    <w:rsid w:val="006C5B31"/>
    <w:rsid w:val="006C78C6"/>
    <w:rsid w:val="006D2B40"/>
    <w:rsid w:val="006D2BBA"/>
    <w:rsid w:val="006D55E0"/>
    <w:rsid w:val="006D5D1A"/>
    <w:rsid w:val="006D735A"/>
    <w:rsid w:val="006D73E2"/>
    <w:rsid w:val="006D7648"/>
    <w:rsid w:val="006E1B12"/>
    <w:rsid w:val="006E5141"/>
    <w:rsid w:val="006E60DB"/>
    <w:rsid w:val="006E77D7"/>
    <w:rsid w:val="006E7B50"/>
    <w:rsid w:val="006F0A80"/>
    <w:rsid w:val="006F2A4C"/>
    <w:rsid w:val="006F4B3C"/>
    <w:rsid w:val="006F6251"/>
    <w:rsid w:val="006F7619"/>
    <w:rsid w:val="007024E3"/>
    <w:rsid w:val="00702971"/>
    <w:rsid w:val="00703CEC"/>
    <w:rsid w:val="007049A7"/>
    <w:rsid w:val="00706DDA"/>
    <w:rsid w:val="0070794B"/>
    <w:rsid w:val="007144C9"/>
    <w:rsid w:val="00717682"/>
    <w:rsid w:val="0072273C"/>
    <w:rsid w:val="00722770"/>
    <w:rsid w:val="0072504E"/>
    <w:rsid w:val="00725BFC"/>
    <w:rsid w:val="007304FA"/>
    <w:rsid w:val="00730630"/>
    <w:rsid w:val="00731F7F"/>
    <w:rsid w:val="00732159"/>
    <w:rsid w:val="00733B74"/>
    <w:rsid w:val="00733F79"/>
    <w:rsid w:val="007340ED"/>
    <w:rsid w:val="0073455C"/>
    <w:rsid w:val="00734642"/>
    <w:rsid w:val="007348AE"/>
    <w:rsid w:val="00734ADA"/>
    <w:rsid w:val="00735E3A"/>
    <w:rsid w:val="007363F0"/>
    <w:rsid w:val="00737053"/>
    <w:rsid w:val="00737CDB"/>
    <w:rsid w:val="00742861"/>
    <w:rsid w:val="007469E0"/>
    <w:rsid w:val="00751C5F"/>
    <w:rsid w:val="00752939"/>
    <w:rsid w:val="007554FD"/>
    <w:rsid w:val="00755884"/>
    <w:rsid w:val="00755B63"/>
    <w:rsid w:val="00757378"/>
    <w:rsid w:val="00757A90"/>
    <w:rsid w:val="00760DB3"/>
    <w:rsid w:val="00760E9A"/>
    <w:rsid w:val="00762728"/>
    <w:rsid w:val="00763B67"/>
    <w:rsid w:val="00763DFC"/>
    <w:rsid w:val="007658BF"/>
    <w:rsid w:val="007659CE"/>
    <w:rsid w:val="00767A6C"/>
    <w:rsid w:val="00770223"/>
    <w:rsid w:val="00770E4D"/>
    <w:rsid w:val="0077126F"/>
    <w:rsid w:val="007739B9"/>
    <w:rsid w:val="0077710B"/>
    <w:rsid w:val="0078269D"/>
    <w:rsid w:val="00783037"/>
    <w:rsid w:val="007849D5"/>
    <w:rsid w:val="00784CE8"/>
    <w:rsid w:val="00790119"/>
    <w:rsid w:val="00792F70"/>
    <w:rsid w:val="00794B97"/>
    <w:rsid w:val="00795239"/>
    <w:rsid w:val="00795A4E"/>
    <w:rsid w:val="007A3E63"/>
    <w:rsid w:val="007A3F6A"/>
    <w:rsid w:val="007A504E"/>
    <w:rsid w:val="007A57A3"/>
    <w:rsid w:val="007A6B3D"/>
    <w:rsid w:val="007A7540"/>
    <w:rsid w:val="007A7A06"/>
    <w:rsid w:val="007A7ADF"/>
    <w:rsid w:val="007B3342"/>
    <w:rsid w:val="007B47B3"/>
    <w:rsid w:val="007B56FD"/>
    <w:rsid w:val="007B6139"/>
    <w:rsid w:val="007B61B1"/>
    <w:rsid w:val="007B713F"/>
    <w:rsid w:val="007B73EA"/>
    <w:rsid w:val="007C1271"/>
    <w:rsid w:val="007C1ADE"/>
    <w:rsid w:val="007C214B"/>
    <w:rsid w:val="007C23D3"/>
    <w:rsid w:val="007C445B"/>
    <w:rsid w:val="007C502D"/>
    <w:rsid w:val="007C57BA"/>
    <w:rsid w:val="007C5EB5"/>
    <w:rsid w:val="007C68A1"/>
    <w:rsid w:val="007D1219"/>
    <w:rsid w:val="007D232B"/>
    <w:rsid w:val="007D3858"/>
    <w:rsid w:val="007D3AF9"/>
    <w:rsid w:val="007D3B61"/>
    <w:rsid w:val="007D3F74"/>
    <w:rsid w:val="007D4FAE"/>
    <w:rsid w:val="007E03B2"/>
    <w:rsid w:val="007E05BE"/>
    <w:rsid w:val="007E0627"/>
    <w:rsid w:val="007E21FE"/>
    <w:rsid w:val="007E2A59"/>
    <w:rsid w:val="007E2E9B"/>
    <w:rsid w:val="007E59C3"/>
    <w:rsid w:val="007F1A51"/>
    <w:rsid w:val="007F1AD6"/>
    <w:rsid w:val="007F23BE"/>
    <w:rsid w:val="007F28D2"/>
    <w:rsid w:val="00800CE5"/>
    <w:rsid w:val="008036C1"/>
    <w:rsid w:val="00804BC3"/>
    <w:rsid w:val="0080575D"/>
    <w:rsid w:val="0080628F"/>
    <w:rsid w:val="00806AB0"/>
    <w:rsid w:val="0081075B"/>
    <w:rsid w:val="00811E97"/>
    <w:rsid w:val="00813AD8"/>
    <w:rsid w:val="00816219"/>
    <w:rsid w:val="00821194"/>
    <w:rsid w:val="00821198"/>
    <w:rsid w:val="0082126C"/>
    <w:rsid w:val="00821A84"/>
    <w:rsid w:val="0082388F"/>
    <w:rsid w:val="00827014"/>
    <w:rsid w:val="0082774D"/>
    <w:rsid w:val="0083061E"/>
    <w:rsid w:val="00830862"/>
    <w:rsid w:val="00832AA8"/>
    <w:rsid w:val="00833327"/>
    <w:rsid w:val="008337BC"/>
    <w:rsid w:val="00833D35"/>
    <w:rsid w:val="00833DE3"/>
    <w:rsid w:val="00836A0B"/>
    <w:rsid w:val="008407FF"/>
    <w:rsid w:val="0084197A"/>
    <w:rsid w:val="00842C75"/>
    <w:rsid w:val="00850663"/>
    <w:rsid w:val="00851BA0"/>
    <w:rsid w:val="00852953"/>
    <w:rsid w:val="00853BFB"/>
    <w:rsid w:val="00854893"/>
    <w:rsid w:val="00854CEC"/>
    <w:rsid w:val="00855D1F"/>
    <w:rsid w:val="008562C4"/>
    <w:rsid w:val="00856D57"/>
    <w:rsid w:val="008600C7"/>
    <w:rsid w:val="00861273"/>
    <w:rsid w:val="00865399"/>
    <w:rsid w:val="00866513"/>
    <w:rsid w:val="0086797A"/>
    <w:rsid w:val="00870BD2"/>
    <w:rsid w:val="00870CFF"/>
    <w:rsid w:val="00872344"/>
    <w:rsid w:val="008807FC"/>
    <w:rsid w:val="00880EB2"/>
    <w:rsid w:val="0088293E"/>
    <w:rsid w:val="00884074"/>
    <w:rsid w:val="008851A6"/>
    <w:rsid w:val="00885257"/>
    <w:rsid w:val="008855D2"/>
    <w:rsid w:val="00890A16"/>
    <w:rsid w:val="00891E6E"/>
    <w:rsid w:val="0089626E"/>
    <w:rsid w:val="008964BB"/>
    <w:rsid w:val="00897B27"/>
    <w:rsid w:val="008A0903"/>
    <w:rsid w:val="008A103B"/>
    <w:rsid w:val="008A1A14"/>
    <w:rsid w:val="008A1FC1"/>
    <w:rsid w:val="008A4A92"/>
    <w:rsid w:val="008A4EEE"/>
    <w:rsid w:val="008A53F8"/>
    <w:rsid w:val="008B2508"/>
    <w:rsid w:val="008B3EF5"/>
    <w:rsid w:val="008B644B"/>
    <w:rsid w:val="008B7C96"/>
    <w:rsid w:val="008C08D0"/>
    <w:rsid w:val="008C2981"/>
    <w:rsid w:val="008C2A4B"/>
    <w:rsid w:val="008C3116"/>
    <w:rsid w:val="008C447D"/>
    <w:rsid w:val="008C4768"/>
    <w:rsid w:val="008C4B78"/>
    <w:rsid w:val="008C5793"/>
    <w:rsid w:val="008D03F7"/>
    <w:rsid w:val="008D0824"/>
    <w:rsid w:val="008D0EB1"/>
    <w:rsid w:val="008D0EF7"/>
    <w:rsid w:val="008D120B"/>
    <w:rsid w:val="008D124C"/>
    <w:rsid w:val="008D2DF5"/>
    <w:rsid w:val="008D6932"/>
    <w:rsid w:val="008D69DC"/>
    <w:rsid w:val="008D6B19"/>
    <w:rsid w:val="008D7AD3"/>
    <w:rsid w:val="008E0BC8"/>
    <w:rsid w:val="008E0E9C"/>
    <w:rsid w:val="008E2BD4"/>
    <w:rsid w:val="008E6C83"/>
    <w:rsid w:val="008E6E7F"/>
    <w:rsid w:val="008E72F1"/>
    <w:rsid w:val="008E79C6"/>
    <w:rsid w:val="008F02EE"/>
    <w:rsid w:val="008F1053"/>
    <w:rsid w:val="008F20AC"/>
    <w:rsid w:val="008F26C3"/>
    <w:rsid w:val="008F53FD"/>
    <w:rsid w:val="008F5E12"/>
    <w:rsid w:val="008F67C4"/>
    <w:rsid w:val="008F74AD"/>
    <w:rsid w:val="009007E2"/>
    <w:rsid w:val="00901000"/>
    <w:rsid w:val="009011B7"/>
    <w:rsid w:val="00902FB5"/>
    <w:rsid w:val="00904D0A"/>
    <w:rsid w:val="0090641C"/>
    <w:rsid w:val="00906AAB"/>
    <w:rsid w:val="009129B9"/>
    <w:rsid w:val="0091306B"/>
    <w:rsid w:val="00913EEA"/>
    <w:rsid w:val="00914730"/>
    <w:rsid w:val="009172E7"/>
    <w:rsid w:val="009176CB"/>
    <w:rsid w:val="009206C2"/>
    <w:rsid w:val="00920BF1"/>
    <w:rsid w:val="00921B50"/>
    <w:rsid w:val="00921DD2"/>
    <w:rsid w:val="00922060"/>
    <w:rsid w:val="00922AC5"/>
    <w:rsid w:val="0092339D"/>
    <w:rsid w:val="00931871"/>
    <w:rsid w:val="009318B0"/>
    <w:rsid w:val="00931A25"/>
    <w:rsid w:val="0093241E"/>
    <w:rsid w:val="00933E74"/>
    <w:rsid w:val="00936137"/>
    <w:rsid w:val="00936285"/>
    <w:rsid w:val="00937736"/>
    <w:rsid w:val="00940228"/>
    <w:rsid w:val="00940909"/>
    <w:rsid w:val="009411A1"/>
    <w:rsid w:val="009426F7"/>
    <w:rsid w:val="0094359D"/>
    <w:rsid w:val="009439FF"/>
    <w:rsid w:val="00944D4A"/>
    <w:rsid w:val="00946CFE"/>
    <w:rsid w:val="00947447"/>
    <w:rsid w:val="00947ADF"/>
    <w:rsid w:val="00950C99"/>
    <w:rsid w:val="009544BA"/>
    <w:rsid w:val="009579CF"/>
    <w:rsid w:val="009614A5"/>
    <w:rsid w:val="00962EF2"/>
    <w:rsid w:val="0096334D"/>
    <w:rsid w:val="00963413"/>
    <w:rsid w:val="009634B9"/>
    <w:rsid w:val="00963713"/>
    <w:rsid w:val="0096389C"/>
    <w:rsid w:val="00964764"/>
    <w:rsid w:val="0096593F"/>
    <w:rsid w:val="0096616A"/>
    <w:rsid w:val="00966364"/>
    <w:rsid w:val="009674D2"/>
    <w:rsid w:val="0096754C"/>
    <w:rsid w:val="00970E9B"/>
    <w:rsid w:val="00971F90"/>
    <w:rsid w:val="0097231C"/>
    <w:rsid w:val="00972413"/>
    <w:rsid w:val="009730DC"/>
    <w:rsid w:val="00973523"/>
    <w:rsid w:val="00973C6B"/>
    <w:rsid w:val="00974481"/>
    <w:rsid w:val="009755A6"/>
    <w:rsid w:val="009778D3"/>
    <w:rsid w:val="00980405"/>
    <w:rsid w:val="009810A1"/>
    <w:rsid w:val="00984DB0"/>
    <w:rsid w:val="00984DCC"/>
    <w:rsid w:val="00985AA7"/>
    <w:rsid w:val="00986495"/>
    <w:rsid w:val="00986CAE"/>
    <w:rsid w:val="00987765"/>
    <w:rsid w:val="00987B35"/>
    <w:rsid w:val="009903FB"/>
    <w:rsid w:val="0099049C"/>
    <w:rsid w:val="009904E5"/>
    <w:rsid w:val="009910EB"/>
    <w:rsid w:val="00991DE7"/>
    <w:rsid w:val="00992DBA"/>
    <w:rsid w:val="0099377C"/>
    <w:rsid w:val="00995474"/>
    <w:rsid w:val="00995F1A"/>
    <w:rsid w:val="00996437"/>
    <w:rsid w:val="009968BD"/>
    <w:rsid w:val="00996B12"/>
    <w:rsid w:val="009A0B8C"/>
    <w:rsid w:val="009A0E72"/>
    <w:rsid w:val="009A1A58"/>
    <w:rsid w:val="009A2235"/>
    <w:rsid w:val="009A29FA"/>
    <w:rsid w:val="009A3DE0"/>
    <w:rsid w:val="009A47D8"/>
    <w:rsid w:val="009A5319"/>
    <w:rsid w:val="009A632C"/>
    <w:rsid w:val="009A77BA"/>
    <w:rsid w:val="009B0C9E"/>
    <w:rsid w:val="009B0D94"/>
    <w:rsid w:val="009B11C3"/>
    <w:rsid w:val="009B181C"/>
    <w:rsid w:val="009B30AB"/>
    <w:rsid w:val="009B440C"/>
    <w:rsid w:val="009B6B64"/>
    <w:rsid w:val="009B6CA9"/>
    <w:rsid w:val="009B720B"/>
    <w:rsid w:val="009C18D3"/>
    <w:rsid w:val="009C20FB"/>
    <w:rsid w:val="009C26A8"/>
    <w:rsid w:val="009C2709"/>
    <w:rsid w:val="009C28AB"/>
    <w:rsid w:val="009C3502"/>
    <w:rsid w:val="009C3B58"/>
    <w:rsid w:val="009C3C0E"/>
    <w:rsid w:val="009C43A3"/>
    <w:rsid w:val="009C440B"/>
    <w:rsid w:val="009C45DD"/>
    <w:rsid w:val="009C4EA1"/>
    <w:rsid w:val="009C51C0"/>
    <w:rsid w:val="009C5B9C"/>
    <w:rsid w:val="009C5E19"/>
    <w:rsid w:val="009C7E51"/>
    <w:rsid w:val="009D0786"/>
    <w:rsid w:val="009D3675"/>
    <w:rsid w:val="009D39AD"/>
    <w:rsid w:val="009D42C3"/>
    <w:rsid w:val="009D54FD"/>
    <w:rsid w:val="009D7226"/>
    <w:rsid w:val="009E133A"/>
    <w:rsid w:val="009E1950"/>
    <w:rsid w:val="009E29FB"/>
    <w:rsid w:val="009E3AE1"/>
    <w:rsid w:val="009E68A4"/>
    <w:rsid w:val="009F393E"/>
    <w:rsid w:val="009F4654"/>
    <w:rsid w:val="009F59B2"/>
    <w:rsid w:val="009F650A"/>
    <w:rsid w:val="009F6C9A"/>
    <w:rsid w:val="009F774E"/>
    <w:rsid w:val="00A00F4C"/>
    <w:rsid w:val="00A03167"/>
    <w:rsid w:val="00A03524"/>
    <w:rsid w:val="00A0418F"/>
    <w:rsid w:val="00A044EA"/>
    <w:rsid w:val="00A0614E"/>
    <w:rsid w:val="00A0737E"/>
    <w:rsid w:val="00A07884"/>
    <w:rsid w:val="00A106F8"/>
    <w:rsid w:val="00A1277C"/>
    <w:rsid w:val="00A148D2"/>
    <w:rsid w:val="00A155E1"/>
    <w:rsid w:val="00A159E6"/>
    <w:rsid w:val="00A16F10"/>
    <w:rsid w:val="00A1739D"/>
    <w:rsid w:val="00A20C85"/>
    <w:rsid w:val="00A20ECF"/>
    <w:rsid w:val="00A2334D"/>
    <w:rsid w:val="00A23442"/>
    <w:rsid w:val="00A23F51"/>
    <w:rsid w:val="00A24458"/>
    <w:rsid w:val="00A24958"/>
    <w:rsid w:val="00A27B49"/>
    <w:rsid w:val="00A27BCB"/>
    <w:rsid w:val="00A31A95"/>
    <w:rsid w:val="00A32004"/>
    <w:rsid w:val="00A32DD1"/>
    <w:rsid w:val="00A34F18"/>
    <w:rsid w:val="00A350E0"/>
    <w:rsid w:val="00A3513B"/>
    <w:rsid w:val="00A35857"/>
    <w:rsid w:val="00A35AC2"/>
    <w:rsid w:val="00A364B0"/>
    <w:rsid w:val="00A37CD8"/>
    <w:rsid w:val="00A4010E"/>
    <w:rsid w:val="00A404B2"/>
    <w:rsid w:val="00A42856"/>
    <w:rsid w:val="00A42DE3"/>
    <w:rsid w:val="00A42F35"/>
    <w:rsid w:val="00A432CD"/>
    <w:rsid w:val="00A434F6"/>
    <w:rsid w:val="00A43740"/>
    <w:rsid w:val="00A443E0"/>
    <w:rsid w:val="00A4580D"/>
    <w:rsid w:val="00A45C04"/>
    <w:rsid w:val="00A46F7F"/>
    <w:rsid w:val="00A47503"/>
    <w:rsid w:val="00A5122A"/>
    <w:rsid w:val="00A54B08"/>
    <w:rsid w:val="00A55A00"/>
    <w:rsid w:val="00A56784"/>
    <w:rsid w:val="00A57384"/>
    <w:rsid w:val="00A57691"/>
    <w:rsid w:val="00A60306"/>
    <w:rsid w:val="00A61816"/>
    <w:rsid w:val="00A6280C"/>
    <w:rsid w:val="00A62AD3"/>
    <w:rsid w:val="00A64523"/>
    <w:rsid w:val="00A646ED"/>
    <w:rsid w:val="00A660E7"/>
    <w:rsid w:val="00A67871"/>
    <w:rsid w:val="00A70470"/>
    <w:rsid w:val="00A707CB"/>
    <w:rsid w:val="00A70838"/>
    <w:rsid w:val="00A70A18"/>
    <w:rsid w:val="00A71580"/>
    <w:rsid w:val="00A7327A"/>
    <w:rsid w:val="00A73E78"/>
    <w:rsid w:val="00A74F79"/>
    <w:rsid w:val="00A80D8C"/>
    <w:rsid w:val="00A843C4"/>
    <w:rsid w:val="00A8454D"/>
    <w:rsid w:val="00A86F8A"/>
    <w:rsid w:val="00A879ED"/>
    <w:rsid w:val="00A90852"/>
    <w:rsid w:val="00A930A3"/>
    <w:rsid w:val="00A93B25"/>
    <w:rsid w:val="00A94BEB"/>
    <w:rsid w:val="00A94EA1"/>
    <w:rsid w:val="00A95A7F"/>
    <w:rsid w:val="00A96EAF"/>
    <w:rsid w:val="00A970E9"/>
    <w:rsid w:val="00AA253F"/>
    <w:rsid w:val="00AA2A3B"/>
    <w:rsid w:val="00AA2F7A"/>
    <w:rsid w:val="00AA5549"/>
    <w:rsid w:val="00AA62EB"/>
    <w:rsid w:val="00AA664F"/>
    <w:rsid w:val="00AA67C4"/>
    <w:rsid w:val="00AA784F"/>
    <w:rsid w:val="00AA7C15"/>
    <w:rsid w:val="00AB2DC7"/>
    <w:rsid w:val="00AB4327"/>
    <w:rsid w:val="00AB6073"/>
    <w:rsid w:val="00AB6FC1"/>
    <w:rsid w:val="00AB7134"/>
    <w:rsid w:val="00AB75C0"/>
    <w:rsid w:val="00AC0473"/>
    <w:rsid w:val="00AC3718"/>
    <w:rsid w:val="00AC3CEA"/>
    <w:rsid w:val="00AC40B8"/>
    <w:rsid w:val="00AD09DB"/>
    <w:rsid w:val="00AD1DC8"/>
    <w:rsid w:val="00AD2345"/>
    <w:rsid w:val="00AD2773"/>
    <w:rsid w:val="00AD2DB2"/>
    <w:rsid w:val="00AD3753"/>
    <w:rsid w:val="00AD41C1"/>
    <w:rsid w:val="00AD4C31"/>
    <w:rsid w:val="00AD6617"/>
    <w:rsid w:val="00AD7168"/>
    <w:rsid w:val="00AE03DF"/>
    <w:rsid w:val="00AE7984"/>
    <w:rsid w:val="00AE7E04"/>
    <w:rsid w:val="00AF4F3C"/>
    <w:rsid w:val="00AF5558"/>
    <w:rsid w:val="00AF5C72"/>
    <w:rsid w:val="00AF6C9E"/>
    <w:rsid w:val="00AF6FAF"/>
    <w:rsid w:val="00AF7BF7"/>
    <w:rsid w:val="00AF7F98"/>
    <w:rsid w:val="00B004B9"/>
    <w:rsid w:val="00B0178E"/>
    <w:rsid w:val="00B01BD9"/>
    <w:rsid w:val="00B01EC3"/>
    <w:rsid w:val="00B023B4"/>
    <w:rsid w:val="00B030E9"/>
    <w:rsid w:val="00B03894"/>
    <w:rsid w:val="00B0557B"/>
    <w:rsid w:val="00B06EA3"/>
    <w:rsid w:val="00B07706"/>
    <w:rsid w:val="00B07E59"/>
    <w:rsid w:val="00B07EEC"/>
    <w:rsid w:val="00B109D5"/>
    <w:rsid w:val="00B1295F"/>
    <w:rsid w:val="00B14AF2"/>
    <w:rsid w:val="00B164DD"/>
    <w:rsid w:val="00B173A6"/>
    <w:rsid w:val="00B1756B"/>
    <w:rsid w:val="00B1767C"/>
    <w:rsid w:val="00B17FF6"/>
    <w:rsid w:val="00B21CE9"/>
    <w:rsid w:val="00B22597"/>
    <w:rsid w:val="00B24031"/>
    <w:rsid w:val="00B2475F"/>
    <w:rsid w:val="00B24850"/>
    <w:rsid w:val="00B25549"/>
    <w:rsid w:val="00B25815"/>
    <w:rsid w:val="00B27D48"/>
    <w:rsid w:val="00B30B1B"/>
    <w:rsid w:val="00B30FAA"/>
    <w:rsid w:val="00B3474C"/>
    <w:rsid w:val="00B42907"/>
    <w:rsid w:val="00B42F68"/>
    <w:rsid w:val="00B4443F"/>
    <w:rsid w:val="00B4504F"/>
    <w:rsid w:val="00B459C1"/>
    <w:rsid w:val="00B4634A"/>
    <w:rsid w:val="00B46FC3"/>
    <w:rsid w:val="00B4782B"/>
    <w:rsid w:val="00B52223"/>
    <w:rsid w:val="00B52748"/>
    <w:rsid w:val="00B52D6E"/>
    <w:rsid w:val="00B53DE2"/>
    <w:rsid w:val="00B5472C"/>
    <w:rsid w:val="00B55D72"/>
    <w:rsid w:val="00B57996"/>
    <w:rsid w:val="00B60307"/>
    <w:rsid w:val="00B63110"/>
    <w:rsid w:val="00B631DC"/>
    <w:rsid w:val="00B6585A"/>
    <w:rsid w:val="00B671C5"/>
    <w:rsid w:val="00B71765"/>
    <w:rsid w:val="00B76AB8"/>
    <w:rsid w:val="00B806BC"/>
    <w:rsid w:val="00B81B7C"/>
    <w:rsid w:val="00B82503"/>
    <w:rsid w:val="00B8467B"/>
    <w:rsid w:val="00B87AE0"/>
    <w:rsid w:val="00B91E4A"/>
    <w:rsid w:val="00B93A7F"/>
    <w:rsid w:val="00B94878"/>
    <w:rsid w:val="00B94D17"/>
    <w:rsid w:val="00B96CBA"/>
    <w:rsid w:val="00B97AE5"/>
    <w:rsid w:val="00BA055F"/>
    <w:rsid w:val="00BA0691"/>
    <w:rsid w:val="00BA0B27"/>
    <w:rsid w:val="00BA0BDD"/>
    <w:rsid w:val="00BA124D"/>
    <w:rsid w:val="00BA341E"/>
    <w:rsid w:val="00BA38B7"/>
    <w:rsid w:val="00BA6D73"/>
    <w:rsid w:val="00BB0562"/>
    <w:rsid w:val="00BB1495"/>
    <w:rsid w:val="00BB453D"/>
    <w:rsid w:val="00BB48BC"/>
    <w:rsid w:val="00BB795F"/>
    <w:rsid w:val="00BC0306"/>
    <w:rsid w:val="00BC0B98"/>
    <w:rsid w:val="00BC12E8"/>
    <w:rsid w:val="00BC3E2A"/>
    <w:rsid w:val="00BC40CF"/>
    <w:rsid w:val="00BC4E95"/>
    <w:rsid w:val="00BC4F95"/>
    <w:rsid w:val="00BC69E4"/>
    <w:rsid w:val="00BC6EB3"/>
    <w:rsid w:val="00BC7AC5"/>
    <w:rsid w:val="00BD0848"/>
    <w:rsid w:val="00BD2CB6"/>
    <w:rsid w:val="00BD3330"/>
    <w:rsid w:val="00BD5ADA"/>
    <w:rsid w:val="00BE117B"/>
    <w:rsid w:val="00BE39F0"/>
    <w:rsid w:val="00BE449F"/>
    <w:rsid w:val="00BE62FD"/>
    <w:rsid w:val="00BE6DAB"/>
    <w:rsid w:val="00BE7FB4"/>
    <w:rsid w:val="00BF0318"/>
    <w:rsid w:val="00BF0333"/>
    <w:rsid w:val="00BF22A3"/>
    <w:rsid w:val="00BF739E"/>
    <w:rsid w:val="00BF793B"/>
    <w:rsid w:val="00C033AB"/>
    <w:rsid w:val="00C038DE"/>
    <w:rsid w:val="00C06D31"/>
    <w:rsid w:val="00C079BA"/>
    <w:rsid w:val="00C07D85"/>
    <w:rsid w:val="00C126FC"/>
    <w:rsid w:val="00C1288A"/>
    <w:rsid w:val="00C13479"/>
    <w:rsid w:val="00C145AC"/>
    <w:rsid w:val="00C167B1"/>
    <w:rsid w:val="00C2043D"/>
    <w:rsid w:val="00C229AC"/>
    <w:rsid w:val="00C24D61"/>
    <w:rsid w:val="00C25370"/>
    <w:rsid w:val="00C2538A"/>
    <w:rsid w:val="00C270B1"/>
    <w:rsid w:val="00C27712"/>
    <w:rsid w:val="00C27D23"/>
    <w:rsid w:val="00C3333C"/>
    <w:rsid w:val="00C335C0"/>
    <w:rsid w:val="00C33F6F"/>
    <w:rsid w:val="00C34911"/>
    <w:rsid w:val="00C36611"/>
    <w:rsid w:val="00C37865"/>
    <w:rsid w:val="00C37AD2"/>
    <w:rsid w:val="00C411BE"/>
    <w:rsid w:val="00C4157F"/>
    <w:rsid w:val="00C41A60"/>
    <w:rsid w:val="00C43450"/>
    <w:rsid w:val="00C43798"/>
    <w:rsid w:val="00C43ACA"/>
    <w:rsid w:val="00C44560"/>
    <w:rsid w:val="00C4546D"/>
    <w:rsid w:val="00C454AC"/>
    <w:rsid w:val="00C462BD"/>
    <w:rsid w:val="00C46648"/>
    <w:rsid w:val="00C4774F"/>
    <w:rsid w:val="00C50E3A"/>
    <w:rsid w:val="00C531FB"/>
    <w:rsid w:val="00C554B4"/>
    <w:rsid w:val="00C55BF3"/>
    <w:rsid w:val="00C56A70"/>
    <w:rsid w:val="00C56FBA"/>
    <w:rsid w:val="00C64130"/>
    <w:rsid w:val="00C6522B"/>
    <w:rsid w:val="00C65F8C"/>
    <w:rsid w:val="00C71472"/>
    <w:rsid w:val="00C7208E"/>
    <w:rsid w:val="00C72535"/>
    <w:rsid w:val="00C7268E"/>
    <w:rsid w:val="00C74C71"/>
    <w:rsid w:val="00C75292"/>
    <w:rsid w:val="00C80726"/>
    <w:rsid w:val="00C81116"/>
    <w:rsid w:val="00C85BB1"/>
    <w:rsid w:val="00C86690"/>
    <w:rsid w:val="00C86B95"/>
    <w:rsid w:val="00C87C75"/>
    <w:rsid w:val="00C90692"/>
    <w:rsid w:val="00C907E3"/>
    <w:rsid w:val="00C92D01"/>
    <w:rsid w:val="00C930FB"/>
    <w:rsid w:val="00C93268"/>
    <w:rsid w:val="00C93F6C"/>
    <w:rsid w:val="00C9469B"/>
    <w:rsid w:val="00C95C90"/>
    <w:rsid w:val="00C961AA"/>
    <w:rsid w:val="00C9765E"/>
    <w:rsid w:val="00C97DFC"/>
    <w:rsid w:val="00CA097A"/>
    <w:rsid w:val="00CA0D79"/>
    <w:rsid w:val="00CA0F8C"/>
    <w:rsid w:val="00CB26AE"/>
    <w:rsid w:val="00CB3BB5"/>
    <w:rsid w:val="00CB5913"/>
    <w:rsid w:val="00CB7778"/>
    <w:rsid w:val="00CB7DF4"/>
    <w:rsid w:val="00CC1612"/>
    <w:rsid w:val="00CC2281"/>
    <w:rsid w:val="00CC30FF"/>
    <w:rsid w:val="00CC3CF6"/>
    <w:rsid w:val="00CC4A1A"/>
    <w:rsid w:val="00CC4C08"/>
    <w:rsid w:val="00CC4E28"/>
    <w:rsid w:val="00CC5832"/>
    <w:rsid w:val="00CD4EF7"/>
    <w:rsid w:val="00CD5923"/>
    <w:rsid w:val="00CD6F85"/>
    <w:rsid w:val="00CE0809"/>
    <w:rsid w:val="00CE3775"/>
    <w:rsid w:val="00CE44AF"/>
    <w:rsid w:val="00CE545D"/>
    <w:rsid w:val="00CE54DA"/>
    <w:rsid w:val="00CE575D"/>
    <w:rsid w:val="00CE5898"/>
    <w:rsid w:val="00CE5E03"/>
    <w:rsid w:val="00CE71BF"/>
    <w:rsid w:val="00CE7354"/>
    <w:rsid w:val="00CE751F"/>
    <w:rsid w:val="00CF1204"/>
    <w:rsid w:val="00CF159B"/>
    <w:rsid w:val="00CF16C3"/>
    <w:rsid w:val="00CF2CA1"/>
    <w:rsid w:val="00CF310B"/>
    <w:rsid w:val="00CF5503"/>
    <w:rsid w:val="00CF58FF"/>
    <w:rsid w:val="00CF591F"/>
    <w:rsid w:val="00CF7CC8"/>
    <w:rsid w:val="00D0435F"/>
    <w:rsid w:val="00D050CD"/>
    <w:rsid w:val="00D07A2D"/>
    <w:rsid w:val="00D115F2"/>
    <w:rsid w:val="00D11E38"/>
    <w:rsid w:val="00D161DF"/>
    <w:rsid w:val="00D169D4"/>
    <w:rsid w:val="00D16C83"/>
    <w:rsid w:val="00D209D1"/>
    <w:rsid w:val="00D24265"/>
    <w:rsid w:val="00D2428E"/>
    <w:rsid w:val="00D24D31"/>
    <w:rsid w:val="00D25C0E"/>
    <w:rsid w:val="00D26E27"/>
    <w:rsid w:val="00D277DD"/>
    <w:rsid w:val="00D30E9C"/>
    <w:rsid w:val="00D31DB1"/>
    <w:rsid w:val="00D339DC"/>
    <w:rsid w:val="00D33DA2"/>
    <w:rsid w:val="00D3446B"/>
    <w:rsid w:val="00D34A01"/>
    <w:rsid w:val="00D37262"/>
    <w:rsid w:val="00D43DAC"/>
    <w:rsid w:val="00D44342"/>
    <w:rsid w:val="00D45E6C"/>
    <w:rsid w:val="00D477E6"/>
    <w:rsid w:val="00D51013"/>
    <w:rsid w:val="00D51ED5"/>
    <w:rsid w:val="00D51F27"/>
    <w:rsid w:val="00D52F91"/>
    <w:rsid w:val="00D545B6"/>
    <w:rsid w:val="00D55130"/>
    <w:rsid w:val="00D55489"/>
    <w:rsid w:val="00D56B71"/>
    <w:rsid w:val="00D6002E"/>
    <w:rsid w:val="00D61BC0"/>
    <w:rsid w:val="00D628ED"/>
    <w:rsid w:val="00D642DA"/>
    <w:rsid w:val="00D718A5"/>
    <w:rsid w:val="00D76A03"/>
    <w:rsid w:val="00D80CAF"/>
    <w:rsid w:val="00D81BC9"/>
    <w:rsid w:val="00D820C8"/>
    <w:rsid w:val="00D8248C"/>
    <w:rsid w:val="00D837E9"/>
    <w:rsid w:val="00D83FFD"/>
    <w:rsid w:val="00D84FBC"/>
    <w:rsid w:val="00D853F7"/>
    <w:rsid w:val="00D9004E"/>
    <w:rsid w:val="00D90D47"/>
    <w:rsid w:val="00D930BC"/>
    <w:rsid w:val="00D93780"/>
    <w:rsid w:val="00D95C2C"/>
    <w:rsid w:val="00D971D5"/>
    <w:rsid w:val="00D9755A"/>
    <w:rsid w:val="00DA0062"/>
    <w:rsid w:val="00DA10E1"/>
    <w:rsid w:val="00DA2720"/>
    <w:rsid w:val="00DA4429"/>
    <w:rsid w:val="00DA635F"/>
    <w:rsid w:val="00DA709E"/>
    <w:rsid w:val="00DB3133"/>
    <w:rsid w:val="00DB382B"/>
    <w:rsid w:val="00DC0B8B"/>
    <w:rsid w:val="00DC0BA4"/>
    <w:rsid w:val="00DC13AF"/>
    <w:rsid w:val="00DC1B3C"/>
    <w:rsid w:val="00DC2474"/>
    <w:rsid w:val="00DC40F0"/>
    <w:rsid w:val="00DC43FC"/>
    <w:rsid w:val="00DC4F76"/>
    <w:rsid w:val="00DC59C3"/>
    <w:rsid w:val="00DC65CA"/>
    <w:rsid w:val="00DC783C"/>
    <w:rsid w:val="00DD0026"/>
    <w:rsid w:val="00DD02C5"/>
    <w:rsid w:val="00DD0E4F"/>
    <w:rsid w:val="00DD2BC8"/>
    <w:rsid w:val="00DD30ED"/>
    <w:rsid w:val="00DD30F0"/>
    <w:rsid w:val="00DD4FBF"/>
    <w:rsid w:val="00DD50BD"/>
    <w:rsid w:val="00DD5791"/>
    <w:rsid w:val="00DE194C"/>
    <w:rsid w:val="00DE25A6"/>
    <w:rsid w:val="00DE2A11"/>
    <w:rsid w:val="00DE353A"/>
    <w:rsid w:val="00DE3632"/>
    <w:rsid w:val="00DE40F1"/>
    <w:rsid w:val="00DE4911"/>
    <w:rsid w:val="00DE5215"/>
    <w:rsid w:val="00DE6343"/>
    <w:rsid w:val="00DE705B"/>
    <w:rsid w:val="00DF080A"/>
    <w:rsid w:val="00DF0CA4"/>
    <w:rsid w:val="00DF26C5"/>
    <w:rsid w:val="00DF5A7B"/>
    <w:rsid w:val="00DF64F6"/>
    <w:rsid w:val="00DF6BFF"/>
    <w:rsid w:val="00E02692"/>
    <w:rsid w:val="00E036D5"/>
    <w:rsid w:val="00E045DD"/>
    <w:rsid w:val="00E04FC1"/>
    <w:rsid w:val="00E0579A"/>
    <w:rsid w:val="00E057BC"/>
    <w:rsid w:val="00E05D82"/>
    <w:rsid w:val="00E07F47"/>
    <w:rsid w:val="00E127BB"/>
    <w:rsid w:val="00E15D50"/>
    <w:rsid w:val="00E16202"/>
    <w:rsid w:val="00E168FC"/>
    <w:rsid w:val="00E20469"/>
    <w:rsid w:val="00E20C22"/>
    <w:rsid w:val="00E235FC"/>
    <w:rsid w:val="00E24974"/>
    <w:rsid w:val="00E26398"/>
    <w:rsid w:val="00E264B1"/>
    <w:rsid w:val="00E264BE"/>
    <w:rsid w:val="00E26C6D"/>
    <w:rsid w:val="00E275BC"/>
    <w:rsid w:val="00E30722"/>
    <w:rsid w:val="00E31B10"/>
    <w:rsid w:val="00E31CCB"/>
    <w:rsid w:val="00E321BF"/>
    <w:rsid w:val="00E33A2B"/>
    <w:rsid w:val="00E342A4"/>
    <w:rsid w:val="00E37FBE"/>
    <w:rsid w:val="00E4243B"/>
    <w:rsid w:val="00E43A06"/>
    <w:rsid w:val="00E43F01"/>
    <w:rsid w:val="00E46287"/>
    <w:rsid w:val="00E47205"/>
    <w:rsid w:val="00E47617"/>
    <w:rsid w:val="00E501F7"/>
    <w:rsid w:val="00E50BA6"/>
    <w:rsid w:val="00E515AD"/>
    <w:rsid w:val="00E5330C"/>
    <w:rsid w:val="00E533AE"/>
    <w:rsid w:val="00E537FB"/>
    <w:rsid w:val="00E542FB"/>
    <w:rsid w:val="00E552C8"/>
    <w:rsid w:val="00E569EA"/>
    <w:rsid w:val="00E571BA"/>
    <w:rsid w:val="00E57F61"/>
    <w:rsid w:val="00E608B7"/>
    <w:rsid w:val="00E615C0"/>
    <w:rsid w:val="00E6245D"/>
    <w:rsid w:val="00E62884"/>
    <w:rsid w:val="00E63444"/>
    <w:rsid w:val="00E63F47"/>
    <w:rsid w:val="00E640C1"/>
    <w:rsid w:val="00E64383"/>
    <w:rsid w:val="00E644A1"/>
    <w:rsid w:val="00E65C8A"/>
    <w:rsid w:val="00E66BA4"/>
    <w:rsid w:val="00E71154"/>
    <w:rsid w:val="00E76A50"/>
    <w:rsid w:val="00E80234"/>
    <w:rsid w:val="00E81100"/>
    <w:rsid w:val="00E82125"/>
    <w:rsid w:val="00E82B5E"/>
    <w:rsid w:val="00E8380C"/>
    <w:rsid w:val="00E84551"/>
    <w:rsid w:val="00E871FA"/>
    <w:rsid w:val="00E873FC"/>
    <w:rsid w:val="00E903C1"/>
    <w:rsid w:val="00E91522"/>
    <w:rsid w:val="00E944E6"/>
    <w:rsid w:val="00E9471D"/>
    <w:rsid w:val="00E954A0"/>
    <w:rsid w:val="00E967F8"/>
    <w:rsid w:val="00E96B25"/>
    <w:rsid w:val="00E97816"/>
    <w:rsid w:val="00E97BE3"/>
    <w:rsid w:val="00EA134C"/>
    <w:rsid w:val="00EA15AE"/>
    <w:rsid w:val="00EA18A5"/>
    <w:rsid w:val="00EA3BCD"/>
    <w:rsid w:val="00EA4462"/>
    <w:rsid w:val="00EA4FBD"/>
    <w:rsid w:val="00EA62F2"/>
    <w:rsid w:val="00EA71AB"/>
    <w:rsid w:val="00EB0AAA"/>
    <w:rsid w:val="00EB1982"/>
    <w:rsid w:val="00EB1D53"/>
    <w:rsid w:val="00EB3346"/>
    <w:rsid w:val="00EB3544"/>
    <w:rsid w:val="00EB3E2F"/>
    <w:rsid w:val="00EB4CAC"/>
    <w:rsid w:val="00EB5C84"/>
    <w:rsid w:val="00EC069D"/>
    <w:rsid w:val="00EC7AFF"/>
    <w:rsid w:val="00ED467B"/>
    <w:rsid w:val="00ED47C5"/>
    <w:rsid w:val="00ED4E35"/>
    <w:rsid w:val="00ED6C9D"/>
    <w:rsid w:val="00EE2049"/>
    <w:rsid w:val="00EE32DA"/>
    <w:rsid w:val="00EE4465"/>
    <w:rsid w:val="00EE5DEF"/>
    <w:rsid w:val="00EE65F9"/>
    <w:rsid w:val="00EE6BA4"/>
    <w:rsid w:val="00EE70BB"/>
    <w:rsid w:val="00EE7E88"/>
    <w:rsid w:val="00EE7F43"/>
    <w:rsid w:val="00EF18BD"/>
    <w:rsid w:val="00EF1F80"/>
    <w:rsid w:val="00EF20A8"/>
    <w:rsid w:val="00EF40E7"/>
    <w:rsid w:val="00EF43E5"/>
    <w:rsid w:val="00EF7E5F"/>
    <w:rsid w:val="00F006C5"/>
    <w:rsid w:val="00F02172"/>
    <w:rsid w:val="00F046F6"/>
    <w:rsid w:val="00F10D1F"/>
    <w:rsid w:val="00F11A2B"/>
    <w:rsid w:val="00F11A4F"/>
    <w:rsid w:val="00F1204C"/>
    <w:rsid w:val="00F12197"/>
    <w:rsid w:val="00F13A43"/>
    <w:rsid w:val="00F1589C"/>
    <w:rsid w:val="00F16275"/>
    <w:rsid w:val="00F209B9"/>
    <w:rsid w:val="00F209D7"/>
    <w:rsid w:val="00F21659"/>
    <w:rsid w:val="00F21956"/>
    <w:rsid w:val="00F25160"/>
    <w:rsid w:val="00F25341"/>
    <w:rsid w:val="00F30CA6"/>
    <w:rsid w:val="00F30E5B"/>
    <w:rsid w:val="00F3194A"/>
    <w:rsid w:val="00F32A04"/>
    <w:rsid w:val="00F34D06"/>
    <w:rsid w:val="00F365B6"/>
    <w:rsid w:val="00F3761D"/>
    <w:rsid w:val="00F40CDE"/>
    <w:rsid w:val="00F41113"/>
    <w:rsid w:val="00F41AE0"/>
    <w:rsid w:val="00F41B4D"/>
    <w:rsid w:val="00F4254E"/>
    <w:rsid w:val="00F43B63"/>
    <w:rsid w:val="00F445F2"/>
    <w:rsid w:val="00F45194"/>
    <w:rsid w:val="00F47BD9"/>
    <w:rsid w:val="00F5035D"/>
    <w:rsid w:val="00F505B2"/>
    <w:rsid w:val="00F516F2"/>
    <w:rsid w:val="00F51AF7"/>
    <w:rsid w:val="00F53339"/>
    <w:rsid w:val="00F53C40"/>
    <w:rsid w:val="00F5433E"/>
    <w:rsid w:val="00F54F9A"/>
    <w:rsid w:val="00F56633"/>
    <w:rsid w:val="00F61F2A"/>
    <w:rsid w:val="00F61FAD"/>
    <w:rsid w:val="00F622AB"/>
    <w:rsid w:val="00F6293A"/>
    <w:rsid w:val="00F62AB6"/>
    <w:rsid w:val="00F62D07"/>
    <w:rsid w:val="00F63B08"/>
    <w:rsid w:val="00F64381"/>
    <w:rsid w:val="00F64D6F"/>
    <w:rsid w:val="00F64F2A"/>
    <w:rsid w:val="00F65D3C"/>
    <w:rsid w:val="00F667B2"/>
    <w:rsid w:val="00F70AD0"/>
    <w:rsid w:val="00F70B55"/>
    <w:rsid w:val="00F71B0E"/>
    <w:rsid w:val="00F71FB8"/>
    <w:rsid w:val="00F74036"/>
    <w:rsid w:val="00F74AD5"/>
    <w:rsid w:val="00F75A00"/>
    <w:rsid w:val="00F75FE5"/>
    <w:rsid w:val="00F760E0"/>
    <w:rsid w:val="00F762CE"/>
    <w:rsid w:val="00F76498"/>
    <w:rsid w:val="00F76CDB"/>
    <w:rsid w:val="00F776A1"/>
    <w:rsid w:val="00F811F1"/>
    <w:rsid w:val="00F818AE"/>
    <w:rsid w:val="00F81A33"/>
    <w:rsid w:val="00F82850"/>
    <w:rsid w:val="00F84A04"/>
    <w:rsid w:val="00F86F26"/>
    <w:rsid w:val="00F872B2"/>
    <w:rsid w:val="00F877AB"/>
    <w:rsid w:val="00F879A8"/>
    <w:rsid w:val="00F96902"/>
    <w:rsid w:val="00F9743E"/>
    <w:rsid w:val="00F97498"/>
    <w:rsid w:val="00FA0D68"/>
    <w:rsid w:val="00FA33B2"/>
    <w:rsid w:val="00FA3865"/>
    <w:rsid w:val="00FA3D86"/>
    <w:rsid w:val="00FA71FF"/>
    <w:rsid w:val="00FB051B"/>
    <w:rsid w:val="00FB1470"/>
    <w:rsid w:val="00FB3C4A"/>
    <w:rsid w:val="00FB44DA"/>
    <w:rsid w:val="00FB45EB"/>
    <w:rsid w:val="00FB4C02"/>
    <w:rsid w:val="00FB5D44"/>
    <w:rsid w:val="00FB65AD"/>
    <w:rsid w:val="00FC0B08"/>
    <w:rsid w:val="00FC0F20"/>
    <w:rsid w:val="00FC0FAC"/>
    <w:rsid w:val="00FC2556"/>
    <w:rsid w:val="00FC3BAA"/>
    <w:rsid w:val="00FC5321"/>
    <w:rsid w:val="00FD0305"/>
    <w:rsid w:val="00FD045C"/>
    <w:rsid w:val="00FD1218"/>
    <w:rsid w:val="00FD46F2"/>
    <w:rsid w:val="00FD5E51"/>
    <w:rsid w:val="00FE07BF"/>
    <w:rsid w:val="00FE0C4F"/>
    <w:rsid w:val="00FE19E6"/>
    <w:rsid w:val="00FE2317"/>
    <w:rsid w:val="00FE287D"/>
    <w:rsid w:val="00FE313F"/>
    <w:rsid w:val="00FE519C"/>
    <w:rsid w:val="00FE545B"/>
    <w:rsid w:val="00FE6D10"/>
    <w:rsid w:val="00FE7966"/>
    <w:rsid w:val="00FE7D08"/>
    <w:rsid w:val="00FF3134"/>
    <w:rsid w:val="00FF3289"/>
    <w:rsid w:val="00FF5E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BDC"/>
  <w15:docId w15:val="{D341940A-E735-4A69-AEB9-47DA46A9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598"/>
    <w:pPr>
      <w:spacing w:after="120"/>
      <w:jc w:val="both"/>
    </w:pPr>
    <w:rPr>
      <w:sz w:val="24"/>
      <w:lang w:val="en-AU"/>
    </w:rPr>
  </w:style>
  <w:style w:type="paragraph" w:styleId="Heading1">
    <w:name w:val="heading 1"/>
    <w:basedOn w:val="Normal"/>
    <w:next w:val="Normal"/>
    <w:link w:val="Heading1Char"/>
    <w:uiPriority w:val="9"/>
    <w:qFormat/>
    <w:rsid w:val="006F0A80"/>
    <w:pPr>
      <w:keepNext/>
      <w:keepLines/>
      <w:spacing w:before="720" w:line="360" w:lineRule="auto"/>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36057F"/>
    <w:pPr>
      <w:keepNext/>
      <w:keepLines/>
      <w:spacing w:before="120"/>
      <w:outlineLvl w:val="1"/>
    </w:pPr>
    <w:rPr>
      <w:rFonts w:eastAsiaTheme="majorEastAsia" w:cstheme="majorBidi"/>
      <w:b/>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2F1"/>
    <w:pPr>
      <w:ind w:left="720"/>
      <w:contextualSpacing/>
    </w:pPr>
  </w:style>
  <w:style w:type="character" w:customStyle="1" w:styleId="Heading2Char">
    <w:name w:val="Heading 2 Char"/>
    <w:basedOn w:val="DefaultParagraphFont"/>
    <w:link w:val="Heading2"/>
    <w:uiPriority w:val="9"/>
    <w:rsid w:val="0036057F"/>
    <w:rPr>
      <w:rFonts w:eastAsiaTheme="majorEastAsia" w:cstheme="majorBidi"/>
      <w:b/>
      <w:bCs/>
      <w:color w:val="000000" w:themeColor="text1"/>
      <w:sz w:val="28"/>
      <w:szCs w:val="26"/>
    </w:rPr>
  </w:style>
  <w:style w:type="character" w:customStyle="1" w:styleId="Heading1Char">
    <w:name w:val="Heading 1 Char"/>
    <w:basedOn w:val="DefaultParagraphFont"/>
    <w:link w:val="Heading1"/>
    <w:uiPriority w:val="9"/>
    <w:rsid w:val="006F0A80"/>
    <w:rPr>
      <w:rFonts w:asciiTheme="majorHAnsi" w:eastAsiaTheme="majorEastAsia" w:hAnsiTheme="majorHAnsi" w:cstheme="majorBidi"/>
      <w:b/>
      <w:bCs/>
      <w:sz w:val="36"/>
      <w:szCs w:val="28"/>
    </w:rPr>
  </w:style>
  <w:style w:type="table" w:styleId="TableGrid">
    <w:name w:val="Table Grid"/>
    <w:basedOn w:val="TableNormal"/>
    <w:uiPriority w:val="39"/>
    <w:rsid w:val="00BC3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F41113"/>
    <w:rPr>
      <w:sz w:val="16"/>
      <w:szCs w:val="16"/>
    </w:rPr>
  </w:style>
  <w:style w:type="paragraph" w:styleId="CommentText">
    <w:name w:val="annotation text"/>
    <w:basedOn w:val="Normal"/>
    <w:link w:val="CommentTextChar"/>
    <w:uiPriority w:val="99"/>
    <w:unhideWhenUsed/>
    <w:rsid w:val="00F41113"/>
    <w:pPr>
      <w:spacing w:after="0" w:line="240" w:lineRule="auto"/>
      <w:jc w:val="left"/>
    </w:pPr>
    <w:rPr>
      <w:rFonts w:ascii="Calibri" w:eastAsia="Times New Roman" w:hAnsi="Calibri" w:cs="Times New Roman"/>
      <w:sz w:val="20"/>
      <w:szCs w:val="20"/>
      <w:lang w:eastAsia="de-DE"/>
    </w:rPr>
  </w:style>
  <w:style w:type="character" w:customStyle="1" w:styleId="CommentTextChar">
    <w:name w:val="Comment Text Char"/>
    <w:basedOn w:val="DefaultParagraphFont"/>
    <w:link w:val="CommentText"/>
    <w:uiPriority w:val="99"/>
    <w:rsid w:val="00F41113"/>
    <w:rPr>
      <w:rFonts w:ascii="Calibri" w:eastAsia="Times New Roman" w:hAnsi="Calibri" w:cs="Times New Roman"/>
      <w:sz w:val="20"/>
      <w:szCs w:val="20"/>
      <w:lang w:eastAsia="de-DE"/>
    </w:rPr>
  </w:style>
  <w:style w:type="paragraph" w:styleId="BalloonText">
    <w:name w:val="Balloon Text"/>
    <w:basedOn w:val="Normal"/>
    <w:link w:val="BalloonTextChar"/>
    <w:uiPriority w:val="99"/>
    <w:semiHidden/>
    <w:unhideWhenUsed/>
    <w:rsid w:val="00A66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0E7"/>
    <w:rPr>
      <w:rFonts w:ascii="Tahoma" w:hAnsi="Tahoma" w:cs="Tahoma"/>
      <w:sz w:val="16"/>
      <w:szCs w:val="16"/>
    </w:rPr>
  </w:style>
  <w:style w:type="character" w:styleId="Hyperlink">
    <w:name w:val="Hyperlink"/>
    <w:basedOn w:val="DefaultParagraphFont"/>
    <w:uiPriority w:val="99"/>
    <w:unhideWhenUsed/>
    <w:rsid w:val="00E533A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273394"/>
    <w:pPr>
      <w:spacing w:after="200"/>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73394"/>
    <w:rPr>
      <w:rFonts w:ascii="Calibri" w:eastAsia="Times New Roman" w:hAnsi="Calibri" w:cs="Times New Roman"/>
      <w:b/>
      <w:bCs/>
      <w:sz w:val="20"/>
      <w:szCs w:val="20"/>
      <w:lang w:eastAsia="de-DE"/>
    </w:rPr>
  </w:style>
  <w:style w:type="paragraph" w:styleId="Revision">
    <w:name w:val="Revision"/>
    <w:hidden/>
    <w:uiPriority w:val="99"/>
    <w:semiHidden/>
    <w:rsid w:val="00273394"/>
    <w:pPr>
      <w:spacing w:after="0" w:line="240" w:lineRule="auto"/>
    </w:pPr>
    <w:rPr>
      <w:sz w:val="24"/>
    </w:rPr>
  </w:style>
  <w:style w:type="character" w:styleId="LineNumber">
    <w:name w:val="line number"/>
    <w:basedOn w:val="DefaultParagraphFont"/>
    <w:uiPriority w:val="99"/>
    <w:semiHidden/>
    <w:unhideWhenUsed/>
    <w:rsid w:val="00C038DE"/>
  </w:style>
  <w:style w:type="character" w:customStyle="1" w:styleId="UnresolvedMention1">
    <w:name w:val="Unresolved Mention1"/>
    <w:basedOn w:val="DefaultParagraphFont"/>
    <w:uiPriority w:val="99"/>
    <w:semiHidden/>
    <w:unhideWhenUsed/>
    <w:rsid w:val="00537DEF"/>
    <w:rPr>
      <w:color w:val="605E5C"/>
      <w:shd w:val="clear" w:color="auto" w:fill="E1DFDD"/>
    </w:rPr>
  </w:style>
  <w:style w:type="paragraph" w:styleId="FootnoteText">
    <w:name w:val="footnote text"/>
    <w:basedOn w:val="Normal"/>
    <w:link w:val="FootnoteTextChar"/>
    <w:uiPriority w:val="99"/>
    <w:semiHidden/>
    <w:unhideWhenUsed/>
    <w:rsid w:val="00EC06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69D"/>
    <w:rPr>
      <w:sz w:val="20"/>
      <w:szCs w:val="20"/>
    </w:rPr>
  </w:style>
  <w:style w:type="character" w:styleId="FootnoteReference">
    <w:name w:val="footnote reference"/>
    <w:basedOn w:val="DefaultParagraphFont"/>
    <w:uiPriority w:val="99"/>
    <w:semiHidden/>
    <w:unhideWhenUsed/>
    <w:rsid w:val="00EC069D"/>
    <w:rPr>
      <w:vertAlign w:val="superscript"/>
    </w:rPr>
  </w:style>
  <w:style w:type="table" w:customStyle="1" w:styleId="PlainTable11">
    <w:name w:val="Plain Table 11"/>
    <w:basedOn w:val="TableNormal"/>
    <w:uiPriority w:val="41"/>
    <w:rsid w:val="00B87AE0"/>
    <w:pPr>
      <w:spacing w:after="0" w:line="240" w:lineRule="auto"/>
    </w:pPr>
    <w:rPr>
      <w:rFonts w:eastAsia="Times New Roman" w:hAnsi="Times New Roman"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uiPriority w:val="41"/>
    <w:rsid w:val="00946CFE"/>
    <w:pPr>
      <w:spacing w:after="0" w:line="240" w:lineRule="auto"/>
    </w:pPr>
    <w:rPr>
      <w:rFonts w:eastAsia="Times New Roman" w:hAnsi="Times New Roman"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ize-m">
    <w:name w:val="size-m"/>
    <w:basedOn w:val="DefaultParagraphFont"/>
    <w:rsid w:val="007C1271"/>
  </w:style>
  <w:style w:type="character" w:styleId="PlaceholderText">
    <w:name w:val="Placeholder Text"/>
    <w:basedOn w:val="DefaultParagraphFont"/>
    <w:uiPriority w:val="99"/>
    <w:semiHidden/>
    <w:rsid w:val="00365BF1"/>
    <w:rPr>
      <w:color w:val="808080"/>
    </w:rPr>
  </w:style>
  <w:style w:type="paragraph" w:styleId="NormalWeb">
    <w:name w:val="Normal (Web)"/>
    <w:basedOn w:val="Normal"/>
    <w:uiPriority w:val="99"/>
    <w:unhideWhenUsed/>
    <w:rsid w:val="001551F9"/>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paragraph" w:styleId="Header">
    <w:name w:val="header"/>
    <w:basedOn w:val="Normal"/>
    <w:link w:val="HeaderChar"/>
    <w:uiPriority w:val="99"/>
    <w:unhideWhenUsed/>
    <w:rsid w:val="00E64383"/>
    <w:pPr>
      <w:tabs>
        <w:tab w:val="center" w:pos="4513"/>
        <w:tab w:val="right" w:pos="9026"/>
      </w:tabs>
      <w:spacing w:after="0" w:line="240" w:lineRule="auto"/>
      <w:jc w:val="left"/>
    </w:pPr>
    <w:rPr>
      <w:rFonts w:eastAsiaTheme="minorHAnsi"/>
      <w:sz w:val="22"/>
    </w:rPr>
  </w:style>
  <w:style w:type="character" w:customStyle="1" w:styleId="HeaderChar">
    <w:name w:val="Header Char"/>
    <w:basedOn w:val="DefaultParagraphFont"/>
    <w:link w:val="Header"/>
    <w:uiPriority w:val="99"/>
    <w:rsid w:val="00E64383"/>
    <w:rPr>
      <w:rFonts w:eastAsiaTheme="minorHAnsi"/>
    </w:rPr>
  </w:style>
  <w:style w:type="paragraph" w:styleId="Footer">
    <w:name w:val="footer"/>
    <w:basedOn w:val="Normal"/>
    <w:link w:val="FooterChar"/>
    <w:uiPriority w:val="99"/>
    <w:unhideWhenUsed/>
    <w:rsid w:val="00E64383"/>
    <w:pPr>
      <w:tabs>
        <w:tab w:val="center" w:pos="4513"/>
        <w:tab w:val="right" w:pos="9026"/>
      </w:tabs>
      <w:spacing w:after="0" w:line="240" w:lineRule="auto"/>
      <w:jc w:val="left"/>
    </w:pPr>
    <w:rPr>
      <w:rFonts w:eastAsiaTheme="minorHAnsi"/>
      <w:sz w:val="22"/>
    </w:rPr>
  </w:style>
  <w:style w:type="character" w:customStyle="1" w:styleId="FooterChar">
    <w:name w:val="Footer Char"/>
    <w:basedOn w:val="DefaultParagraphFont"/>
    <w:link w:val="Footer"/>
    <w:uiPriority w:val="99"/>
    <w:rsid w:val="00E64383"/>
    <w:rPr>
      <w:rFonts w:eastAsiaTheme="minorHAnsi"/>
    </w:rPr>
  </w:style>
  <w:style w:type="paragraph" w:styleId="Caption">
    <w:name w:val="caption"/>
    <w:basedOn w:val="Normal"/>
    <w:next w:val="Normal"/>
    <w:uiPriority w:val="35"/>
    <w:unhideWhenUsed/>
    <w:qFormat/>
    <w:rsid w:val="00E64383"/>
    <w:pPr>
      <w:spacing w:after="200" w:line="240" w:lineRule="auto"/>
      <w:jc w:val="left"/>
    </w:pPr>
    <w:rPr>
      <w:rFonts w:eastAsiaTheme="minorHAnsi"/>
      <w:i/>
      <w:iCs/>
      <w:color w:val="1F497D" w:themeColor="text2"/>
      <w:sz w:val="18"/>
      <w:szCs w:val="18"/>
    </w:rPr>
  </w:style>
  <w:style w:type="paragraph" w:styleId="TableofFigures">
    <w:name w:val="table of figures"/>
    <w:basedOn w:val="Normal"/>
    <w:next w:val="Normal"/>
    <w:uiPriority w:val="99"/>
    <w:unhideWhenUsed/>
    <w:rsid w:val="00E64383"/>
    <w:pPr>
      <w:spacing w:after="0" w:line="259" w:lineRule="auto"/>
      <w:ind w:left="440" w:hanging="440"/>
      <w:jc w:val="left"/>
    </w:pPr>
    <w:rPr>
      <w:rFonts w:eastAsiaTheme="minorHAnsi" w:cstheme="minorHAnsi"/>
      <w:smallCaps/>
      <w:sz w:val="20"/>
      <w:szCs w:val="20"/>
    </w:rPr>
  </w:style>
  <w:style w:type="paragraph" w:styleId="TOCHeading">
    <w:name w:val="TOC Heading"/>
    <w:basedOn w:val="Heading1"/>
    <w:next w:val="Normal"/>
    <w:uiPriority w:val="39"/>
    <w:unhideWhenUsed/>
    <w:qFormat/>
    <w:rsid w:val="00E64383"/>
    <w:pPr>
      <w:spacing w:before="240" w:after="0" w:line="259" w:lineRule="auto"/>
      <w:jc w:val="left"/>
      <w:outlineLvl w:val="9"/>
    </w:pPr>
    <w:rPr>
      <w:b w:val="0"/>
      <w:bCs w:val="0"/>
      <w:color w:val="365F91" w:themeColor="accent1" w:themeShade="BF"/>
      <w:sz w:val="32"/>
      <w:szCs w:val="32"/>
      <w:lang w:val="en-GB" w:eastAsia="en-GB"/>
    </w:rPr>
  </w:style>
  <w:style w:type="paragraph" w:styleId="TOC2">
    <w:name w:val="toc 2"/>
    <w:basedOn w:val="Normal"/>
    <w:next w:val="Normal"/>
    <w:autoRedefine/>
    <w:uiPriority w:val="39"/>
    <w:unhideWhenUsed/>
    <w:rsid w:val="00E64383"/>
    <w:pPr>
      <w:spacing w:after="100" w:line="259" w:lineRule="auto"/>
      <w:ind w:left="220"/>
      <w:jc w:val="left"/>
    </w:pPr>
    <w:rPr>
      <w:rFonts w:eastAsiaTheme="minorEastAsia" w:cs="Times New Roman"/>
      <w:sz w:val="22"/>
      <w:lang w:val="en-GB" w:eastAsia="en-GB"/>
    </w:rPr>
  </w:style>
  <w:style w:type="paragraph" w:styleId="TOC1">
    <w:name w:val="toc 1"/>
    <w:basedOn w:val="Normal"/>
    <w:next w:val="Normal"/>
    <w:autoRedefine/>
    <w:uiPriority w:val="39"/>
    <w:unhideWhenUsed/>
    <w:rsid w:val="00E64383"/>
    <w:pPr>
      <w:spacing w:after="100" w:line="259" w:lineRule="auto"/>
      <w:jc w:val="left"/>
    </w:pPr>
    <w:rPr>
      <w:rFonts w:eastAsiaTheme="minorEastAsia" w:cs="Times New Roman"/>
      <w:sz w:val="22"/>
      <w:lang w:val="en-GB" w:eastAsia="en-GB"/>
    </w:rPr>
  </w:style>
  <w:style w:type="paragraph" w:styleId="TOC3">
    <w:name w:val="toc 3"/>
    <w:basedOn w:val="Normal"/>
    <w:next w:val="Normal"/>
    <w:autoRedefine/>
    <w:uiPriority w:val="39"/>
    <w:unhideWhenUsed/>
    <w:rsid w:val="00E64383"/>
    <w:pPr>
      <w:spacing w:after="100" w:line="259" w:lineRule="auto"/>
      <w:ind w:left="440"/>
      <w:jc w:val="left"/>
    </w:pPr>
    <w:rPr>
      <w:rFonts w:eastAsiaTheme="minorEastAsia" w:cs="Times New Roman"/>
      <w:sz w:val="22"/>
      <w:lang w:val="en-GB" w:eastAsia="en-GB"/>
    </w:rPr>
  </w:style>
  <w:style w:type="character" w:customStyle="1" w:styleId="UnresolvedMention">
    <w:name w:val="Unresolved Mention"/>
    <w:basedOn w:val="DefaultParagraphFont"/>
    <w:uiPriority w:val="99"/>
    <w:semiHidden/>
    <w:unhideWhenUsed/>
    <w:rsid w:val="000B547F"/>
    <w:rPr>
      <w:color w:val="605E5C"/>
      <w:shd w:val="clear" w:color="auto" w:fill="E1DFDD"/>
    </w:rPr>
  </w:style>
  <w:style w:type="character" w:customStyle="1" w:styleId="Heading2Char1">
    <w:name w:val="Heading 2 Char1"/>
    <w:basedOn w:val="DefaultParagraphFont"/>
    <w:uiPriority w:val="9"/>
    <w:rsid w:val="007B47B3"/>
    <w:rPr>
      <w:rFonts w:eastAsiaTheme="majorEastAsia" w:cstheme="majorBidi"/>
      <w:b/>
      <w:bCs/>
      <w:color w:val="000000" w:themeColor="text1"/>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516">
      <w:bodyDiv w:val="1"/>
      <w:marLeft w:val="0"/>
      <w:marRight w:val="0"/>
      <w:marTop w:val="0"/>
      <w:marBottom w:val="0"/>
      <w:divBdr>
        <w:top w:val="none" w:sz="0" w:space="0" w:color="auto"/>
        <w:left w:val="none" w:sz="0" w:space="0" w:color="auto"/>
        <w:bottom w:val="none" w:sz="0" w:space="0" w:color="auto"/>
        <w:right w:val="none" w:sz="0" w:space="0" w:color="auto"/>
      </w:divBdr>
    </w:div>
    <w:div w:id="590547950">
      <w:bodyDiv w:val="1"/>
      <w:marLeft w:val="0"/>
      <w:marRight w:val="0"/>
      <w:marTop w:val="0"/>
      <w:marBottom w:val="0"/>
      <w:divBdr>
        <w:top w:val="none" w:sz="0" w:space="0" w:color="auto"/>
        <w:left w:val="none" w:sz="0" w:space="0" w:color="auto"/>
        <w:bottom w:val="none" w:sz="0" w:space="0" w:color="auto"/>
        <w:right w:val="none" w:sz="0" w:space="0" w:color="auto"/>
      </w:divBdr>
    </w:div>
    <w:div w:id="792863859">
      <w:bodyDiv w:val="1"/>
      <w:marLeft w:val="0"/>
      <w:marRight w:val="0"/>
      <w:marTop w:val="0"/>
      <w:marBottom w:val="0"/>
      <w:divBdr>
        <w:top w:val="none" w:sz="0" w:space="0" w:color="auto"/>
        <w:left w:val="none" w:sz="0" w:space="0" w:color="auto"/>
        <w:bottom w:val="none" w:sz="0" w:space="0" w:color="auto"/>
        <w:right w:val="none" w:sz="0" w:space="0" w:color="auto"/>
      </w:divBdr>
      <w:divsChild>
        <w:div w:id="502671148">
          <w:marLeft w:val="0"/>
          <w:marRight w:val="0"/>
          <w:marTop w:val="0"/>
          <w:marBottom w:val="0"/>
          <w:divBdr>
            <w:top w:val="none" w:sz="0" w:space="0" w:color="auto"/>
            <w:left w:val="none" w:sz="0" w:space="0" w:color="auto"/>
            <w:bottom w:val="none" w:sz="0" w:space="0" w:color="auto"/>
            <w:right w:val="none" w:sz="0" w:space="0" w:color="auto"/>
          </w:divBdr>
        </w:div>
        <w:div w:id="1495142182">
          <w:marLeft w:val="0"/>
          <w:marRight w:val="0"/>
          <w:marTop w:val="0"/>
          <w:marBottom w:val="0"/>
          <w:divBdr>
            <w:top w:val="none" w:sz="0" w:space="0" w:color="auto"/>
            <w:left w:val="none" w:sz="0" w:space="0" w:color="auto"/>
            <w:bottom w:val="none" w:sz="0" w:space="0" w:color="auto"/>
            <w:right w:val="none" w:sz="0" w:space="0" w:color="auto"/>
          </w:divBdr>
        </w:div>
      </w:divsChild>
    </w:div>
    <w:div w:id="818573300">
      <w:bodyDiv w:val="1"/>
      <w:marLeft w:val="0"/>
      <w:marRight w:val="0"/>
      <w:marTop w:val="0"/>
      <w:marBottom w:val="0"/>
      <w:divBdr>
        <w:top w:val="none" w:sz="0" w:space="0" w:color="auto"/>
        <w:left w:val="none" w:sz="0" w:space="0" w:color="auto"/>
        <w:bottom w:val="none" w:sz="0" w:space="0" w:color="auto"/>
        <w:right w:val="none" w:sz="0" w:space="0" w:color="auto"/>
      </w:divBdr>
    </w:div>
    <w:div w:id="962418310">
      <w:bodyDiv w:val="1"/>
      <w:marLeft w:val="0"/>
      <w:marRight w:val="0"/>
      <w:marTop w:val="0"/>
      <w:marBottom w:val="0"/>
      <w:divBdr>
        <w:top w:val="none" w:sz="0" w:space="0" w:color="auto"/>
        <w:left w:val="none" w:sz="0" w:space="0" w:color="auto"/>
        <w:bottom w:val="none" w:sz="0" w:space="0" w:color="auto"/>
        <w:right w:val="none" w:sz="0" w:space="0" w:color="auto"/>
      </w:divBdr>
    </w:div>
    <w:div w:id="1175848192">
      <w:bodyDiv w:val="1"/>
      <w:marLeft w:val="0"/>
      <w:marRight w:val="0"/>
      <w:marTop w:val="0"/>
      <w:marBottom w:val="0"/>
      <w:divBdr>
        <w:top w:val="none" w:sz="0" w:space="0" w:color="auto"/>
        <w:left w:val="none" w:sz="0" w:space="0" w:color="auto"/>
        <w:bottom w:val="none" w:sz="0" w:space="0" w:color="auto"/>
        <w:right w:val="none" w:sz="0" w:space="0" w:color="auto"/>
      </w:divBdr>
    </w:div>
    <w:div w:id="1619601940">
      <w:bodyDiv w:val="1"/>
      <w:marLeft w:val="0"/>
      <w:marRight w:val="0"/>
      <w:marTop w:val="0"/>
      <w:marBottom w:val="0"/>
      <w:divBdr>
        <w:top w:val="none" w:sz="0" w:space="0" w:color="auto"/>
        <w:left w:val="none" w:sz="0" w:space="0" w:color="auto"/>
        <w:bottom w:val="none" w:sz="0" w:space="0" w:color="auto"/>
        <w:right w:val="none" w:sz="0" w:space="0" w:color="auto"/>
      </w:divBdr>
    </w:div>
    <w:div w:id="1630431638">
      <w:bodyDiv w:val="1"/>
      <w:marLeft w:val="0"/>
      <w:marRight w:val="0"/>
      <w:marTop w:val="0"/>
      <w:marBottom w:val="0"/>
      <w:divBdr>
        <w:top w:val="none" w:sz="0" w:space="0" w:color="auto"/>
        <w:left w:val="none" w:sz="0" w:space="0" w:color="auto"/>
        <w:bottom w:val="none" w:sz="0" w:space="0" w:color="auto"/>
        <w:right w:val="none" w:sz="0" w:space="0" w:color="auto"/>
      </w:divBdr>
      <w:divsChild>
        <w:div w:id="1445541984">
          <w:marLeft w:val="0"/>
          <w:marRight w:val="0"/>
          <w:marTop w:val="0"/>
          <w:marBottom w:val="0"/>
          <w:divBdr>
            <w:top w:val="none" w:sz="0" w:space="0" w:color="auto"/>
            <w:left w:val="none" w:sz="0" w:space="0" w:color="auto"/>
            <w:bottom w:val="none" w:sz="0" w:space="0" w:color="auto"/>
            <w:right w:val="none" w:sz="0" w:space="0" w:color="auto"/>
          </w:divBdr>
        </w:div>
      </w:divsChild>
    </w:div>
    <w:div w:id="1807117837">
      <w:bodyDiv w:val="1"/>
      <w:marLeft w:val="0"/>
      <w:marRight w:val="0"/>
      <w:marTop w:val="0"/>
      <w:marBottom w:val="0"/>
      <w:divBdr>
        <w:top w:val="none" w:sz="0" w:space="0" w:color="auto"/>
        <w:left w:val="none" w:sz="0" w:space="0" w:color="auto"/>
        <w:bottom w:val="none" w:sz="0" w:space="0" w:color="auto"/>
        <w:right w:val="none" w:sz="0" w:space="0" w:color="auto"/>
      </w:divBdr>
    </w:div>
    <w:div w:id="20578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39/cjb-79-4-3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5059B-A055-4A0C-81CB-EA4990619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1815</Words>
  <Characters>10350</Characters>
  <Application>Microsoft Office Word</Application>
  <DocSecurity>0</DocSecurity>
  <Lines>86</Lines>
  <Paragraphs>24</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prof. f. Waldbau</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N.E Plaga</dc:creator>
  <cp:keywords/>
  <dc:description/>
  <cp:lastModifiedBy>Thiyagarajan P.</cp:lastModifiedBy>
  <cp:revision>57</cp:revision>
  <dcterms:created xsi:type="dcterms:W3CDTF">2023-07-12T16:50:00Z</dcterms:created>
  <dcterms:modified xsi:type="dcterms:W3CDTF">2023-12-03T04:34:00Z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id="wjwkhSvl"/&gt;&lt;style id="http://www.zotero.org/styles/plant-and-soil" hasBibliography="1" bibliographyStyleHasBeenSet="0"/&gt;&lt;prefs&gt;&lt;pref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http://csl.mendeley.com/styles/520196511/Forestry1-2345</vt:lpwstr>
  </property>
  <property fmtid="{D5CDD505-2E9C-101B-9397-08002B2CF9AE}" pid="11" name="Mendeley Recent Style Name 3_1">
    <vt:lpwstr>Cite Them Right 12th edition - Harvard - Benjamin Plaga</vt:lpwstr>
  </property>
  <property fmtid="{D5CDD505-2E9C-101B-9397-08002B2CF9AE}" pid="12" name="Mendeley Recent Style Id 4_1">
    <vt:lpwstr>http://www.zotero.org/styles/ecological-modelling</vt:lpwstr>
  </property>
  <property fmtid="{D5CDD505-2E9C-101B-9397-08002B2CF9AE}" pid="13" name="Mendeley Recent Style Name 4_1">
    <vt:lpwstr>Ecological Modelling</vt:lpwstr>
  </property>
  <property fmtid="{D5CDD505-2E9C-101B-9397-08002B2CF9AE}" pid="14" name="Mendeley Recent Style Id 5_1">
    <vt:lpwstr>http://www.zotero.org/styles/ecology</vt:lpwstr>
  </property>
  <property fmtid="{D5CDD505-2E9C-101B-9397-08002B2CF9AE}" pid="15" name="Mendeley Recent Style Name 5_1">
    <vt:lpwstr>Ecology</vt:lpwstr>
  </property>
  <property fmtid="{D5CDD505-2E9C-101B-9397-08002B2CF9AE}" pid="16" name="Mendeley Recent Style Id 6_1">
    <vt:lpwstr>http://www.zotero.org/styles/european-journal-of-forest-research</vt:lpwstr>
  </property>
  <property fmtid="{D5CDD505-2E9C-101B-9397-08002B2CF9AE}" pid="17" name="Mendeley Recent Style Name 6_1">
    <vt:lpwstr>European Journal of Forest Research</vt:lpwstr>
  </property>
  <property fmtid="{D5CDD505-2E9C-101B-9397-08002B2CF9AE}" pid="18" name="Mendeley Recent Style Id 7_1">
    <vt:lpwstr>http://www.zotero.org/styles/forest-ecology-and-management</vt:lpwstr>
  </property>
  <property fmtid="{D5CDD505-2E9C-101B-9397-08002B2CF9AE}" pid="19" name="Mendeley Recent Style Name 7_1">
    <vt:lpwstr>Forest Ecology and Management</vt:lpwstr>
  </property>
  <property fmtid="{D5CDD505-2E9C-101B-9397-08002B2CF9AE}" pid="20" name="Mendeley Recent Style Id 8_1">
    <vt:lpwstr>http://www.zotero.org/styles/springer-vancouver</vt:lpwstr>
  </property>
  <property fmtid="{D5CDD505-2E9C-101B-9397-08002B2CF9AE}" pid="21" name="Mendeley Recent Style Name 8_1">
    <vt:lpwstr>Springer - Vancouver</vt:lpwstr>
  </property>
  <property fmtid="{D5CDD505-2E9C-101B-9397-08002B2CF9AE}" pid="22" name="Mendeley Recent Style Id 9_1">
    <vt:lpwstr>http://www.zotero.org/styles/springer-vancouver-brackets</vt:lpwstr>
  </property>
  <property fmtid="{D5CDD505-2E9C-101B-9397-08002B2CF9AE}" pid="23" name="Mendeley Recent Style Name 9_1">
    <vt:lpwstr>Springer - Vancouver (brackets)</vt:lpwstr>
  </property>
  <property fmtid="{D5CDD505-2E9C-101B-9397-08002B2CF9AE}" pid="24" name="Mendeley Document_1">
    <vt:lpwstr>True</vt:lpwstr>
  </property>
  <property fmtid="{D5CDD505-2E9C-101B-9397-08002B2CF9AE}" pid="25" name="Mendeley Unique User Id_1">
    <vt:lpwstr>ee2607bb-0c4f-3305-b777-c253421bed0b</vt:lpwstr>
  </property>
  <property fmtid="{D5CDD505-2E9C-101B-9397-08002B2CF9AE}" pid="26" name="Mendeley Citation Style_1">
    <vt:lpwstr>http://www.zotero.org/styles/european-journal-of-forest-research</vt:lpwstr>
  </property>
</Properties>
</file>