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0029" w14:textId="006C10E9" w:rsidR="00A6798D" w:rsidRPr="001318C5" w:rsidRDefault="00D00CCB" w:rsidP="00A6798D">
      <w:pPr>
        <w:spacing w:after="0" w:line="480" w:lineRule="auto"/>
        <w:rPr>
          <w:rFonts w:ascii="Times New Roman" w:hAnsi="Times New Roman"/>
          <w:b/>
          <w:sz w:val="24"/>
          <w:szCs w:val="24"/>
          <w:lang w:val="en-GB"/>
        </w:rPr>
      </w:pPr>
      <w:r w:rsidRPr="001318C5">
        <w:rPr>
          <w:rFonts w:ascii="Times New Roman" w:hAnsi="Times New Roman"/>
          <w:b/>
          <w:sz w:val="24"/>
          <w:szCs w:val="24"/>
          <w:lang w:val="en-GB"/>
        </w:rPr>
        <w:t>Supplementary</w:t>
      </w:r>
      <w:r w:rsidR="00A6798D" w:rsidRPr="001318C5">
        <w:rPr>
          <w:rFonts w:ascii="Times New Roman" w:hAnsi="Times New Roman"/>
          <w:b/>
          <w:sz w:val="24"/>
          <w:szCs w:val="24"/>
          <w:lang w:val="en-GB"/>
        </w:rPr>
        <w:t xml:space="preserve"> </w:t>
      </w:r>
      <w:r w:rsidRPr="001318C5">
        <w:rPr>
          <w:rFonts w:ascii="Times New Roman" w:hAnsi="Times New Roman"/>
          <w:b/>
          <w:sz w:val="24"/>
          <w:szCs w:val="24"/>
          <w:lang w:val="en-GB"/>
        </w:rPr>
        <w:t>material</w:t>
      </w:r>
    </w:p>
    <w:p w14:paraId="3EBB77DE" w14:textId="77777777" w:rsidR="00A6798D" w:rsidRPr="001318C5" w:rsidRDefault="00A6798D" w:rsidP="00A6798D">
      <w:pPr>
        <w:spacing w:after="0" w:line="480" w:lineRule="auto"/>
        <w:rPr>
          <w:rFonts w:ascii="Times New Roman" w:hAnsi="Times New Roman"/>
          <w:sz w:val="24"/>
          <w:szCs w:val="24"/>
          <w:lang w:val="en-GB"/>
        </w:rPr>
      </w:pPr>
    </w:p>
    <w:p w14:paraId="3FEAC97C" w14:textId="34A33481" w:rsidR="00401C79" w:rsidRPr="001318C5" w:rsidRDefault="00056E0A" w:rsidP="0056481D">
      <w:pPr>
        <w:spacing w:after="0" w:line="480" w:lineRule="auto"/>
        <w:jc w:val="center"/>
        <w:rPr>
          <w:rFonts w:ascii="Times New Roman" w:hAnsi="Times New Roman"/>
          <w:b/>
          <w:sz w:val="24"/>
          <w:szCs w:val="24"/>
          <w:lang w:val="en-GB"/>
        </w:rPr>
      </w:pPr>
      <w:r w:rsidRPr="001318C5">
        <w:rPr>
          <w:rFonts w:ascii="Times New Roman" w:hAnsi="Times New Roman"/>
          <w:b/>
          <w:sz w:val="24"/>
          <w:szCs w:val="24"/>
          <w:lang w:val="en-GB"/>
        </w:rPr>
        <w:t>Advancing the quantification of land-use intensity in forests: the ForMIX index combining tree species composition, tree removal, deadwood availability, and stand maturity</w:t>
      </w:r>
    </w:p>
    <w:p w14:paraId="1CC84AF1" w14:textId="4AEFC2E9" w:rsidR="00AE0300" w:rsidRPr="001318C5" w:rsidRDefault="00AE0300" w:rsidP="0056481D">
      <w:pPr>
        <w:spacing w:after="0" w:line="480" w:lineRule="auto"/>
        <w:rPr>
          <w:rFonts w:ascii="Times New Roman" w:hAnsi="Times New Roman"/>
          <w:sz w:val="24"/>
          <w:szCs w:val="24"/>
          <w:lang w:val="en-GB"/>
        </w:rPr>
      </w:pPr>
    </w:p>
    <w:p w14:paraId="2F40DE3F" w14:textId="0C18D215" w:rsidR="00F343D5" w:rsidRPr="00E76583" w:rsidRDefault="00056E0A" w:rsidP="0048261D">
      <w:pPr>
        <w:spacing w:after="0" w:line="480" w:lineRule="auto"/>
        <w:jc w:val="center"/>
        <w:rPr>
          <w:rFonts w:ascii="Times New Roman" w:hAnsi="Times New Roman" w:cs="Times New Roman"/>
          <w:sz w:val="24"/>
          <w:szCs w:val="24"/>
          <w:vertAlign w:val="superscript"/>
        </w:rPr>
      </w:pPr>
      <w:r w:rsidRPr="00E76583">
        <w:rPr>
          <w:rFonts w:ascii="Times New Roman" w:hAnsi="Times New Roman" w:cs="Times New Roman"/>
          <w:sz w:val="24"/>
          <w:szCs w:val="24"/>
        </w:rPr>
        <w:t>Michael Staab, Nico Blüthgen, Katja Wehner, Peter Schall, Christian Ammer</w:t>
      </w:r>
    </w:p>
    <w:p w14:paraId="3336CA91" w14:textId="77777777" w:rsidR="00056E0A" w:rsidRPr="00E76583" w:rsidRDefault="00056E0A" w:rsidP="0056481D">
      <w:pPr>
        <w:spacing w:after="0" w:line="480" w:lineRule="auto"/>
        <w:rPr>
          <w:rFonts w:ascii="Times New Roman" w:hAnsi="Times New Roman"/>
          <w:sz w:val="24"/>
          <w:szCs w:val="24"/>
        </w:rPr>
      </w:pPr>
    </w:p>
    <w:p w14:paraId="0DD75DA5" w14:textId="1DBC95CB" w:rsidR="00A6798D" w:rsidRPr="00E76583" w:rsidRDefault="00A6798D" w:rsidP="00F55C60">
      <w:pPr>
        <w:spacing w:after="0" w:line="480" w:lineRule="auto"/>
        <w:jc w:val="both"/>
        <w:rPr>
          <w:rFonts w:ascii="Times New Roman" w:hAnsi="Times New Roman"/>
          <w:b/>
          <w:sz w:val="24"/>
          <w:szCs w:val="24"/>
          <w:lang w:val="en-US"/>
        </w:rPr>
      </w:pPr>
      <w:r w:rsidRPr="00E76583">
        <w:rPr>
          <w:rFonts w:ascii="Times New Roman" w:hAnsi="Times New Roman"/>
          <w:b/>
          <w:sz w:val="24"/>
          <w:szCs w:val="24"/>
          <w:lang w:val="en-US"/>
        </w:rPr>
        <w:t>Contents</w:t>
      </w:r>
    </w:p>
    <w:p w14:paraId="7A698102" w14:textId="1104A558" w:rsidR="006E5E6B" w:rsidRDefault="00F55C60" w:rsidP="00F55C60">
      <w:pPr>
        <w:spacing w:after="0" w:line="480" w:lineRule="auto"/>
        <w:jc w:val="both"/>
        <w:rPr>
          <w:rFonts w:ascii="Times New Roman" w:hAnsi="Times New Roman"/>
          <w:b/>
          <w:sz w:val="24"/>
          <w:szCs w:val="24"/>
          <w:lang w:val="en-GB"/>
        </w:rPr>
      </w:pPr>
      <w:r>
        <w:rPr>
          <w:rFonts w:ascii="Times New Roman" w:hAnsi="Times New Roman"/>
          <w:b/>
          <w:sz w:val="24"/>
          <w:szCs w:val="24"/>
          <w:lang w:val="en-GB"/>
        </w:rPr>
        <w:t xml:space="preserve">Table S1 </w:t>
      </w:r>
      <w:r w:rsidRPr="00F55C60">
        <w:rPr>
          <w:rFonts w:ascii="Times New Roman" w:hAnsi="Times New Roman"/>
          <w:sz w:val="24"/>
          <w:szCs w:val="24"/>
          <w:lang w:val="en-GB"/>
        </w:rPr>
        <w:t xml:space="preserve">Deadwood in old-growth </w:t>
      </w:r>
      <w:r w:rsidR="0020774E">
        <w:rPr>
          <w:rFonts w:ascii="Times New Roman" w:hAnsi="Times New Roman"/>
          <w:sz w:val="24"/>
          <w:szCs w:val="24"/>
          <w:lang w:val="en-GB"/>
        </w:rPr>
        <w:t xml:space="preserve">European </w:t>
      </w:r>
      <w:r w:rsidRPr="00F55C60">
        <w:rPr>
          <w:rFonts w:ascii="Times New Roman" w:hAnsi="Times New Roman"/>
          <w:sz w:val="24"/>
          <w:szCs w:val="24"/>
          <w:lang w:val="en-GB"/>
        </w:rPr>
        <w:t>beech forest</w:t>
      </w:r>
      <w:r w:rsidRPr="00E76583">
        <w:rPr>
          <w:rFonts w:ascii="Times New Roman" w:hAnsi="Times New Roman"/>
          <w:sz w:val="16"/>
          <w:szCs w:val="16"/>
          <w:lang w:val="en-GB"/>
        </w:rPr>
        <w:t>……………………</w:t>
      </w:r>
      <w:r w:rsidR="0020774E">
        <w:rPr>
          <w:rFonts w:ascii="Times New Roman" w:hAnsi="Times New Roman"/>
          <w:sz w:val="16"/>
          <w:szCs w:val="16"/>
          <w:lang w:val="en-GB"/>
        </w:rPr>
        <w:t>…</w:t>
      </w:r>
      <w:r w:rsidRPr="00E76583">
        <w:rPr>
          <w:rFonts w:ascii="Times New Roman" w:hAnsi="Times New Roman"/>
          <w:sz w:val="16"/>
          <w:szCs w:val="16"/>
          <w:lang w:val="en-GB"/>
        </w:rPr>
        <w:t>…………………..….………..</w:t>
      </w:r>
      <w:r w:rsidRPr="00E76583">
        <w:rPr>
          <w:rFonts w:ascii="Times New Roman" w:hAnsi="Times New Roman"/>
          <w:sz w:val="24"/>
          <w:szCs w:val="24"/>
          <w:lang w:val="en-GB"/>
        </w:rPr>
        <w:t>2</w:t>
      </w:r>
    </w:p>
    <w:p w14:paraId="2A20CD09" w14:textId="01FFBC67" w:rsidR="006E5E6B" w:rsidRDefault="00F55C60" w:rsidP="00F55C60">
      <w:pPr>
        <w:spacing w:after="0" w:line="480" w:lineRule="auto"/>
        <w:jc w:val="both"/>
        <w:rPr>
          <w:rFonts w:ascii="Times New Roman" w:hAnsi="Times New Roman"/>
          <w:b/>
          <w:sz w:val="24"/>
          <w:szCs w:val="24"/>
          <w:lang w:val="en-GB"/>
        </w:rPr>
      </w:pPr>
      <w:r>
        <w:rPr>
          <w:rFonts w:ascii="Times New Roman" w:hAnsi="Times New Roman"/>
          <w:b/>
          <w:sz w:val="24"/>
          <w:szCs w:val="24"/>
          <w:lang w:val="en-GB"/>
        </w:rPr>
        <w:t xml:space="preserve">Table S2 </w:t>
      </w:r>
      <w:r w:rsidRPr="00F55C60">
        <w:rPr>
          <w:rFonts w:ascii="Times New Roman" w:hAnsi="Times New Roman"/>
          <w:sz w:val="24"/>
          <w:szCs w:val="24"/>
          <w:lang w:val="en-GB"/>
        </w:rPr>
        <w:t>Numbers of large trees in</w:t>
      </w:r>
      <w:r>
        <w:rPr>
          <w:rFonts w:ascii="Times New Roman" w:hAnsi="Times New Roman"/>
          <w:b/>
          <w:sz w:val="24"/>
          <w:szCs w:val="24"/>
          <w:lang w:val="en-GB"/>
        </w:rPr>
        <w:t xml:space="preserve"> </w:t>
      </w:r>
      <w:r w:rsidRPr="00F55C60">
        <w:rPr>
          <w:rFonts w:ascii="Times New Roman" w:hAnsi="Times New Roman"/>
          <w:sz w:val="24"/>
          <w:szCs w:val="24"/>
          <w:lang w:val="en-GB"/>
        </w:rPr>
        <w:t xml:space="preserve">old-growth </w:t>
      </w:r>
      <w:r w:rsidR="0020774E">
        <w:rPr>
          <w:rFonts w:ascii="Times New Roman" w:hAnsi="Times New Roman"/>
          <w:sz w:val="24"/>
          <w:szCs w:val="24"/>
          <w:lang w:val="en-GB"/>
        </w:rPr>
        <w:t xml:space="preserve">European </w:t>
      </w:r>
      <w:r w:rsidRPr="00F55C60">
        <w:rPr>
          <w:rFonts w:ascii="Times New Roman" w:hAnsi="Times New Roman"/>
          <w:sz w:val="24"/>
          <w:szCs w:val="24"/>
          <w:lang w:val="en-GB"/>
        </w:rPr>
        <w:t>beech forest</w:t>
      </w:r>
      <w:r w:rsidRPr="00E76583">
        <w:rPr>
          <w:rFonts w:ascii="Times New Roman" w:hAnsi="Times New Roman"/>
          <w:sz w:val="16"/>
          <w:szCs w:val="16"/>
          <w:lang w:val="en-GB"/>
        </w:rPr>
        <w:t>………..……………………</w:t>
      </w:r>
      <w:r w:rsidR="0020774E">
        <w:rPr>
          <w:rFonts w:ascii="Times New Roman" w:hAnsi="Times New Roman"/>
          <w:sz w:val="16"/>
          <w:szCs w:val="16"/>
          <w:lang w:val="en-GB"/>
        </w:rPr>
        <w:t>…..</w:t>
      </w:r>
      <w:r w:rsidRPr="00E76583">
        <w:rPr>
          <w:rFonts w:ascii="Times New Roman" w:hAnsi="Times New Roman"/>
          <w:sz w:val="16"/>
          <w:szCs w:val="16"/>
          <w:lang w:val="en-GB"/>
        </w:rPr>
        <w:t>…..</w:t>
      </w:r>
      <w:r>
        <w:rPr>
          <w:rFonts w:ascii="Times New Roman" w:hAnsi="Times New Roman"/>
          <w:sz w:val="24"/>
          <w:szCs w:val="24"/>
          <w:lang w:val="en-GB"/>
        </w:rPr>
        <w:t>3</w:t>
      </w:r>
    </w:p>
    <w:p w14:paraId="18B33AF6" w14:textId="3413C316" w:rsidR="00056E0A" w:rsidRPr="00E76583" w:rsidRDefault="00056E0A" w:rsidP="00F55C60">
      <w:pPr>
        <w:spacing w:after="0" w:line="480" w:lineRule="auto"/>
        <w:jc w:val="both"/>
        <w:rPr>
          <w:rFonts w:ascii="Times New Roman" w:hAnsi="Times New Roman"/>
          <w:sz w:val="24"/>
          <w:szCs w:val="24"/>
          <w:lang w:val="en-GB"/>
        </w:rPr>
      </w:pPr>
      <w:r w:rsidRPr="00E76583">
        <w:rPr>
          <w:rFonts w:ascii="Times New Roman" w:hAnsi="Times New Roman"/>
          <w:b/>
          <w:sz w:val="24"/>
          <w:szCs w:val="24"/>
          <w:lang w:val="en-GB"/>
        </w:rPr>
        <w:t>Table S</w:t>
      </w:r>
      <w:r w:rsidR="006E5E6B">
        <w:rPr>
          <w:rFonts w:ascii="Times New Roman" w:hAnsi="Times New Roman"/>
          <w:b/>
          <w:sz w:val="24"/>
          <w:szCs w:val="24"/>
          <w:lang w:val="en-GB"/>
        </w:rPr>
        <w:t>3</w:t>
      </w:r>
      <w:r w:rsidRPr="00E76583">
        <w:rPr>
          <w:rFonts w:ascii="Times New Roman" w:hAnsi="Times New Roman"/>
          <w:sz w:val="24"/>
          <w:szCs w:val="24"/>
          <w:lang w:val="en-GB"/>
        </w:rPr>
        <w:t xml:space="preserve"> </w:t>
      </w:r>
      <w:r w:rsidR="00B540D9" w:rsidRPr="00E76583">
        <w:rPr>
          <w:rFonts w:ascii="Times New Roman" w:hAnsi="Times New Roman"/>
          <w:sz w:val="24"/>
          <w:szCs w:val="24"/>
          <w:lang w:val="en-GB"/>
        </w:rPr>
        <w:t xml:space="preserve">Pairwise contrasts </w:t>
      </w:r>
      <w:r w:rsidR="005078C5" w:rsidRPr="00E76583">
        <w:rPr>
          <w:rFonts w:ascii="Times New Roman" w:hAnsi="Times New Roman"/>
          <w:sz w:val="24"/>
          <w:szCs w:val="24"/>
          <w:lang w:val="en-GB"/>
        </w:rPr>
        <w:t xml:space="preserve">among </w:t>
      </w:r>
      <w:r w:rsidR="00B540D9" w:rsidRPr="00E76583">
        <w:rPr>
          <w:rFonts w:ascii="Times New Roman" w:hAnsi="Times New Roman"/>
          <w:sz w:val="24"/>
          <w:szCs w:val="24"/>
          <w:lang w:val="en-GB"/>
        </w:rPr>
        <w:t>forest types</w:t>
      </w:r>
      <w:r w:rsidRPr="00E76583">
        <w:rPr>
          <w:rFonts w:ascii="Times New Roman" w:hAnsi="Times New Roman"/>
          <w:sz w:val="16"/>
          <w:szCs w:val="16"/>
          <w:lang w:val="en-GB"/>
        </w:rPr>
        <w:t>………</w:t>
      </w:r>
      <w:r w:rsidR="00B540D9" w:rsidRPr="00E76583">
        <w:rPr>
          <w:rFonts w:ascii="Times New Roman" w:hAnsi="Times New Roman"/>
          <w:sz w:val="16"/>
          <w:szCs w:val="16"/>
          <w:lang w:val="en-GB"/>
        </w:rPr>
        <w:t>……</w:t>
      </w:r>
      <w:r w:rsidR="005078C5" w:rsidRPr="00E76583">
        <w:rPr>
          <w:rFonts w:ascii="Times New Roman" w:hAnsi="Times New Roman"/>
          <w:sz w:val="16"/>
          <w:szCs w:val="16"/>
          <w:lang w:val="en-GB"/>
        </w:rPr>
        <w:t>……</w:t>
      </w:r>
      <w:r w:rsidR="00B540D9" w:rsidRPr="00E76583">
        <w:rPr>
          <w:rFonts w:ascii="Times New Roman" w:hAnsi="Times New Roman"/>
          <w:sz w:val="16"/>
          <w:szCs w:val="16"/>
          <w:lang w:val="en-GB"/>
        </w:rPr>
        <w:t>………..</w:t>
      </w:r>
      <w:r w:rsidRPr="00E76583">
        <w:rPr>
          <w:rFonts w:ascii="Times New Roman" w:hAnsi="Times New Roman"/>
          <w:sz w:val="16"/>
          <w:szCs w:val="16"/>
          <w:lang w:val="en-GB"/>
        </w:rPr>
        <w:t>………………………………..….………..</w:t>
      </w:r>
      <w:r w:rsidR="00F55C60">
        <w:rPr>
          <w:rFonts w:ascii="Times New Roman" w:hAnsi="Times New Roman"/>
          <w:sz w:val="24"/>
          <w:szCs w:val="24"/>
          <w:lang w:val="en-GB"/>
        </w:rPr>
        <w:t>4</w:t>
      </w:r>
    </w:p>
    <w:p w14:paraId="7AF83F80" w14:textId="4AE6E15D" w:rsidR="00A6798D" w:rsidRPr="00E76583" w:rsidRDefault="00056E0A" w:rsidP="00F55C60">
      <w:pPr>
        <w:spacing w:after="0" w:line="480" w:lineRule="auto"/>
        <w:jc w:val="both"/>
        <w:rPr>
          <w:rFonts w:ascii="Times New Roman" w:hAnsi="Times New Roman"/>
          <w:sz w:val="24"/>
          <w:szCs w:val="24"/>
          <w:lang w:val="en-GB"/>
        </w:rPr>
      </w:pPr>
      <w:r w:rsidRPr="00E76583">
        <w:rPr>
          <w:rFonts w:ascii="Times New Roman" w:hAnsi="Times New Roman"/>
          <w:b/>
          <w:sz w:val="24"/>
          <w:szCs w:val="24"/>
          <w:lang w:val="en-GB"/>
        </w:rPr>
        <w:t>Fig.</w:t>
      </w:r>
      <w:r w:rsidR="00A6798D" w:rsidRPr="00E76583">
        <w:rPr>
          <w:rFonts w:ascii="Times New Roman" w:hAnsi="Times New Roman"/>
          <w:b/>
          <w:sz w:val="24"/>
          <w:szCs w:val="24"/>
          <w:lang w:val="en-GB"/>
        </w:rPr>
        <w:t xml:space="preserve"> S1</w:t>
      </w:r>
      <w:r w:rsidR="00A6798D" w:rsidRPr="00E76583">
        <w:rPr>
          <w:rFonts w:ascii="Times New Roman" w:hAnsi="Times New Roman"/>
          <w:sz w:val="24"/>
          <w:szCs w:val="24"/>
          <w:lang w:val="en-GB"/>
        </w:rPr>
        <w:t xml:space="preserve"> </w:t>
      </w:r>
      <w:r w:rsidRPr="00E76583">
        <w:rPr>
          <w:rFonts w:ascii="Times New Roman" w:hAnsi="Times New Roman"/>
          <w:sz w:val="24"/>
          <w:szCs w:val="24"/>
          <w:lang w:val="en-GB"/>
        </w:rPr>
        <w:t>Overview of sites</w:t>
      </w:r>
      <w:r w:rsidR="00A6798D" w:rsidRPr="00E76583">
        <w:rPr>
          <w:rFonts w:ascii="Times New Roman" w:hAnsi="Times New Roman"/>
          <w:sz w:val="16"/>
          <w:szCs w:val="16"/>
          <w:lang w:val="en-GB"/>
        </w:rPr>
        <w:t>………………………………</w:t>
      </w:r>
      <w:r w:rsidRPr="00E76583">
        <w:rPr>
          <w:rFonts w:ascii="Times New Roman" w:hAnsi="Times New Roman"/>
          <w:sz w:val="16"/>
          <w:szCs w:val="16"/>
          <w:lang w:val="en-GB"/>
        </w:rPr>
        <w:t>…</w:t>
      </w:r>
      <w:r w:rsidR="00A6798D" w:rsidRPr="00E76583">
        <w:rPr>
          <w:rFonts w:ascii="Times New Roman" w:hAnsi="Times New Roman"/>
          <w:sz w:val="16"/>
          <w:szCs w:val="16"/>
          <w:lang w:val="en-GB"/>
        </w:rPr>
        <w:t>……………….……………………………………………</w:t>
      </w:r>
      <w:r w:rsidR="00E82AB4" w:rsidRPr="00E76583">
        <w:rPr>
          <w:rFonts w:ascii="Times New Roman" w:hAnsi="Times New Roman"/>
          <w:sz w:val="16"/>
          <w:szCs w:val="16"/>
          <w:lang w:val="en-GB"/>
        </w:rPr>
        <w:t>……</w:t>
      </w:r>
      <w:r w:rsidR="00A6798D" w:rsidRPr="00E76583">
        <w:rPr>
          <w:rFonts w:ascii="Times New Roman" w:hAnsi="Times New Roman"/>
          <w:sz w:val="16"/>
          <w:szCs w:val="16"/>
          <w:lang w:val="en-GB"/>
        </w:rPr>
        <w:t>……..</w:t>
      </w:r>
      <w:r w:rsidR="00F55C60">
        <w:rPr>
          <w:rFonts w:ascii="Times New Roman" w:hAnsi="Times New Roman"/>
          <w:sz w:val="24"/>
          <w:szCs w:val="24"/>
          <w:lang w:val="en-GB"/>
        </w:rPr>
        <w:t>6</w:t>
      </w:r>
    </w:p>
    <w:p w14:paraId="5615D05A" w14:textId="112D6D62" w:rsidR="00B540D9" w:rsidRPr="00E76583" w:rsidRDefault="00B540D9" w:rsidP="00F55C60">
      <w:pPr>
        <w:spacing w:after="0" w:line="480" w:lineRule="auto"/>
        <w:jc w:val="both"/>
        <w:rPr>
          <w:rFonts w:ascii="Times New Roman" w:hAnsi="Times New Roman"/>
          <w:sz w:val="24"/>
          <w:szCs w:val="24"/>
          <w:lang w:val="en-GB"/>
        </w:rPr>
      </w:pPr>
      <w:r w:rsidRPr="00E76583">
        <w:rPr>
          <w:rFonts w:ascii="Times New Roman" w:hAnsi="Times New Roman"/>
          <w:b/>
          <w:sz w:val="24"/>
          <w:szCs w:val="24"/>
          <w:lang w:val="en-GB"/>
        </w:rPr>
        <w:t>Fig. S2</w:t>
      </w:r>
      <w:r w:rsidRPr="00E76583">
        <w:rPr>
          <w:rFonts w:ascii="Times New Roman" w:hAnsi="Times New Roman"/>
          <w:sz w:val="24"/>
          <w:szCs w:val="24"/>
          <w:lang w:val="en-GB"/>
        </w:rPr>
        <w:t xml:space="preserve"> Comparison between raw and standardized ForMIX</w:t>
      </w:r>
      <w:r w:rsidRPr="00E76583">
        <w:rPr>
          <w:rFonts w:ascii="Times New Roman" w:hAnsi="Times New Roman"/>
          <w:sz w:val="16"/>
          <w:szCs w:val="16"/>
          <w:lang w:val="en-GB"/>
        </w:rPr>
        <w:t>…………………………………………….……….</w:t>
      </w:r>
      <w:r w:rsidR="00F55C60">
        <w:rPr>
          <w:rFonts w:ascii="Times New Roman" w:hAnsi="Times New Roman"/>
          <w:sz w:val="24"/>
          <w:szCs w:val="24"/>
          <w:lang w:val="en-GB"/>
        </w:rPr>
        <w:t>7</w:t>
      </w:r>
    </w:p>
    <w:p w14:paraId="5A7E2EFF" w14:textId="61BAF030" w:rsidR="00861CFB" w:rsidRPr="00E76583" w:rsidRDefault="00861CFB" w:rsidP="00F55C60">
      <w:pPr>
        <w:spacing w:after="0" w:line="480" w:lineRule="auto"/>
        <w:jc w:val="both"/>
        <w:rPr>
          <w:rFonts w:ascii="Times New Roman" w:hAnsi="Times New Roman"/>
          <w:sz w:val="24"/>
          <w:szCs w:val="24"/>
          <w:lang w:val="en-GB"/>
        </w:rPr>
      </w:pPr>
      <w:r w:rsidRPr="00E76583">
        <w:rPr>
          <w:rFonts w:ascii="Times New Roman" w:hAnsi="Times New Roman"/>
          <w:b/>
          <w:sz w:val="24"/>
          <w:szCs w:val="24"/>
          <w:lang w:val="en-GB"/>
        </w:rPr>
        <w:t>Fig. S3</w:t>
      </w:r>
      <w:r w:rsidRPr="00E76583">
        <w:rPr>
          <w:rFonts w:ascii="Times New Roman" w:hAnsi="Times New Roman"/>
          <w:sz w:val="24"/>
          <w:szCs w:val="24"/>
          <w:lang w:val="en-GB"/>
        </w:rPr>
        <w:t xml:space="preserve"> Sensitivity analysis</w:t>
      </w:r>
      <w:r w:rsidRPr="00E76583">
        <w:rPr>
          <w:rFonts w:ascii="Times New Roman" w:hAnsi="Times New Roman"/>
          <w:sz w:val="16"/>
          <w:szCs w:val="16"/>
          <w:lang w:val="en-GB"/>
        </w:rPr>
        <w:t>…………………………………………………………………………….………………….……….</w:t>
      </w:r>
      <w:r w:rsidR="00F55C60">
        <w:rPr>
          <w:rFonts w:ascii="Times New Roman" w:hAnsi="Times New Roman"/>
          <w:sz w:val="24"/>
          <w:szCs w:val="24"/>
          <w:lang w:val="en-GB"/>
        </w:rPr>
        <w:t>8</w:t>
      </w:r>
    </w:p>
    <w:p w14:paraId="05A9911C" w14:textId="3EAF2E26" w:rsidR="00B540D9" w:rsidRPr="00E76583" w:rsidRDefault="00B540D9" w:rsidP="00F55C60">
      <w:pPr>
        <w:spacing w:after="0" w:line="480" w:lineRule="auto"/>
        <w:jc w:val="both"/>
        <w:rPr>
          <w:rFonts w:ascii="Times New Roman" w:hAnsi="Times New Roman"/>
          <w:sz w:val="24"/>
          <w:szCs w:val="24"/>
          <w:lang w:val="en-GB"/>
        </w:rPr>
      </w:pPr>
      <w:r w:rsidRPr="00E76583">
        <w:rPr>
          <w:rFonts w:ascii="Times New Roman" w:hAnsi="Times New Roman"/>
          <w:b/>
          <w:sz w:val="24"/>
          <w:szCs w:val="24"/>
          <w:lang w:val="en-GB"/>
        </w:rPr>
        <w:t>Fig. S</w:t>
      </w:r>
      <w:r w:rsidR="006A4CBE" w:rsidRPr="00E76583">
        <w:rPr>
          <w:rFonts w:ascii="Times New Roman" w:hAnsi="Times New Roman"/>
          <w:b/>
          <w:sz w:val="24"/>
          <w:szCs w:val="24"/>
          <w:lang w:val="en-GB"/>
        </w:rPr>
        <w:t>4</w:t>
      </w:r>
      <w:r w:rsidRPr="00E76583">
        <w:rPr>
          <w:rFonts w:ascii="Times New Roman" w:hAnsi="Times New Roman"/>
          <w:sz w:val="24"/>
          <w:szCs w:val="24"/>
          <w:lang w:val="en-GB"/>
        </w:rPr>
        <w:t xml:space="preserve"> Comparison with a fictive alternative ForMIX</w:t>
      </w:r>
      <w:r w:rsidRPr="00E76583">
        <w:rPr>
          <w:rFonts w:ascii="Times New Roman" w:hAnsi="Times New Roman"/>
          <w:sz w:val="16"/>
          <w:szCs w:val="16"/>
          <w:lang w:val="en-GB"/>
        </w:rPr>
        <w:t>……………………………..……………..…………………</w:t>
      </w:r>
      <w:r w:rsidR="00F55C60">
        <w:rPr>
          <w:rFonts w:ascii="Times New Roman" w:hAnsi="Times New Roman"/>
          <w:sz w:val="24"/>
          <w:szCs w:val="24"/>
          <w:lang w:val="en-GB"/>
        </w:rPr>
        <w:t>8</w:t>
      </w:r>
    </w:p>
    <w:p w14:paraId="1EBE1A68" w14:textId="0B58A6F0" w:rsidR="00B540D9" w:rsidRPr="001318C5" w:rsidRDefault="00B540D9" w:rsidP="00F55C60">
      <w:pPr>
        <w:spacing w:after="0" w:line="480" w:lineRule="auto"/>
        <w:jc w:val="both"/>
        <w:rPr>
          <w:rFonts w:ascii="Times New Roman" w:hAnsi="Times New Roman"/>
          <w:sz w:val="24"/>
          <w:szCs w:val="24"/>
          <w:lang w:val="en-GB"/>
        </w:rPr>
      </w:pPr>
      <w:r w:rsidRPr="00E76583">
        <w:rPr>
          <w:rFonts w:ascii="Times New Roman" w:hAnsi="Times New Roman"/>
          <w:b/>
          <w:sz w:val="24"/>
          <w:szCs w:val="24"/>
          <w:lang w:val="en-GB"/>
        </w:rPr>
        <w:t>Fig. S</w:t>
      </w:r>
      <w:r w:rsidR="006A4CBE" w:rsidRPr="00E76583">
        <w:rPr>
          <w:rFonts w:ascii="Times New Roman" w:hAnsi="Times New Roman"/>
          <w:b/>
          <w:sz w:val="24"/>
          <w:szCs w:val="24"/>
          <w:lang w:val="en-GB"/>
        </w:rPr>
        <w:t>5</w:t>
      </w:r>
      <w:r w:rsidRPr="00E76583">
        <w:rPr>
          <w:rFonts w:ascii="Times New Roman" w:hAnsi="Times New Roman"/>
          <w:sz w:val="24"/>
          <w:szCs w:val="24"/>
          <w:lang w:val="en-GB"/>
        </w:rPr>
        <w:t xml:space="preserve"> Comparison between ForMIX, ForMI and SMI</w:t>
      </w:r>
      <w:r w:rsidRPr="00E76583">
        <w:rPr>
          <w:rFonts w:ascii="Times New Roman" w:hAnsi="Times New Roman"/>
          <w:sz w:val="16"/>
          <w:szCs w:val="16"/>
          <w:lang w:val="en-GB"/>
        </w:rPr>
        <w:t>……..………………………………………</w:t>
      </w:r>
      <w:r w:rsidR="00F55C60">
        <w:rPr>
          <w:rFonts w:ascii="Times New Roman" w:hAnsi="Times New Roman"/>
          <w:sz w:val="16"/>
          <w:szCs w:val="16"/>
          <w:lang w:val="en-GB"/>
        </w:rPr>
        <w:t>..</w:t>
      </w:r>
      <w:r w:rsidRPr="00E76583">
        <w:rPr>
          <w:rFonts w:ascii="Times New Roman" w:hAnsi="Times New Roman"/>
          <w:sz w:val="16"/>
          <w:szCs w:val="16"/>
          <w:lang w:val="en-GB"/>
        </w:rPr>
        <w:t>………..…</w:t>
      </w:r>
      <w:r w:rsidR="00F55C60">
        <w:rPr>
          <w:rFonts w:ascii="Times New Roman" w:hAnsi="Times New Roman"/>
          <w:sz w:val="24"/>
          <w:szCs w:val="24"/>
          <w:lang w:val="en-GB"/>
        </w:rPr>
        <w:t>10</w:t>
      </w:r>
    </w:p>
    <w:p w14:paraId="662EBAD7" w14:textId="1F13A165" w:rsidR="00B540D9" w:rsidRPr="001318C5" w:rsidRDefault="00F55C60" w:rsidP="00F55C60">
      <w:pPr>
        <w:jc w:val="both"/>
        <w:rPr>
          <w:rFonts w:ascii="Times New Roman" w:hAnsi="Times New Roman"/>
          <w:sz w:val="24"/>
          <w:szCs w:val="24"/>
          <w:lang w:val="en-GB"/>
        </w:rPr>
      </w:pPr>
      <w:r w:rsidRPr="00F55C60">
        <w:rPr>
          <w:rFonts w:ascii="Times New Roman" w:hAnsi="Times New Roman"/>
          <w:b/>
          <w:sz w:val="24"/>
          <w:szCs w:val="24"/>
          <w:lang w:val="en-GB"/>
        </w:rPr>
        <w:t>References in Supplementary material</w:t>
      </w:r>
      <w:r w:rsidRPr="00E76583">
        <w:rPr>
          <w:rFonts w:ascii="Times New Roman" w:hAnsi="Times New Roman"/>
          <w:sz w:val="16"/>
          <w:szCs w:val="16"/>
          <w:lang w:val="en-GB"/>
        </w:rPr>
        <w:t>……..………………</w:t>
      </w:r>
      <w:r>
        <w:rPr>
          <w:rFonts w:ascii="Times New Roman" w:hAnsi="Times New Roman"/>
          <w:sz w:val="16"/>
          <w:szCs w:val="16"/>
          <w:lang w:val="en-GB"/>
        </w:rPr>
        <w:t>………….………………</w:t>
      </w:r>
      <w:r w:rsidRPr="00E76583">
        <w:rPr>
          <w:rFonts w:ascii="Times New Roman" w:hAnsi="Times New Roman"/>
          <w:sz w:val="16"/>
          <w:szCs w:val="16"/>
          <w:lang w:val="en-GB"/>
        </w:rPr>
        <w:t>…………………</w:t>
      </w:r>
      <w:r>
        <w:rPr>
          <w:rFonts w:ascii="Times New Roman" w:hAnsi="Times New Roman"/>
          <w:sz w:val="16"/>
          <w:szCs w:val="16"/>
          <w:lang w:val="en-GB"/>
        </w:rPr>
        <w:t>..</w:t>
      </w:r>
      <w:r w:rsidRPr="00E76583">
        <w:rPr>
          <w:rFonts w:ascii="Times New Roman" w:hAnsi="Times New Roman"/>
          <w:sz w:val="16"/>
          <w:szCs w:val="16"/>
          <w:lang w:val="en-GB"/>
        </w:rPr>
        <w:t>………..…</w:t>
      </w:r>
      <w:r>
        <w:rPr>
          <w:rFonts w:ascii="Times New Roman" w:hAnsi="Times New Roman"/>
          <w:sz w:val="24"/>
          <w:szCs w:val="24"/>
          <w:lang w:val="en-GB"/>
        </w:rPr>
        <w:t>11</w:t>
      </w:r>
      <w:r w:rsidR="00B540D9" w:rsidRPr="001318C5">
        <w:rPr>
          <w:rFonts w:ascii="Times New Roman" w:hAnsi="Times New Roman"/>
          <w:sz w:val="24"/>
          <w:szCs w:val="24"/>
          <w:lang w:val="en-GB"/>
        </w:rPr>
        <w:br w:type="page"/>
      </w:r>
    </w:p>
    <w:p w14:paraId="2B2F81C1" w14:textId="429F0FFC" w:rsidR="006E5E6B" w:rsidRDefault="006E5E6B" w:rsidP="008A562F">
      <w:pPr>
        <w:spacing w:after="0" w:line="360" w:lineRule="auto"/>
        <w:jc w:val="both"/>
        <w:rPr>
          <w:rFonts w:ascii="Times New Roman" w:hAnsi="Times New Roman" w:cs="Times New Roman"/>
          <w:sz w:val="24"/>
          <w:szCs w:val="24"/>
          <w:lang w:val="en-US"/>
        </w:rPr>
      </w:pPr>
      <w:r w:rsidRPr="001318C5">
        <w:rPr>
          <w:rFonts w:ascii="Times New Roman" w:hAnsi="Times New Roman" w:cs="Times New Roman"/>
          <w:b/>
          <w:sz w:val="24"/>
          <w:szCs w:val="24"/>
          <w:lang w:val="en-US"/>
        </w:rPr>
        <w:lastRenderedPageBreak/>
        <w:t>Table S</w:t>
      </w:r>
      <w:r>
        <w:rPr>
          <w:rFonts w:ascii="Times New Roman" w:hAnsi="Times New Roman" w:cs="Times New Roman"/>
          <w:b/>
          <w:sz w:val="24"/>
          <w:szCs w:val="24"/>
          <w:lang w:val="en-US"/>
        </w:rPr>
        <w:t>1</w:t>
      </w:r>
      <w:r w:rsidRPr="001318C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Overview on studies that have quantified the </w:t>
      </w:r>
      <w:r w:rsidR="00F55C60">
        <w:rPr>
          <w:rFonts w:ascii="Times New Roman" w:hAnsi="Times New Roman" w:cs="Times New Roman"/>
          <w:sz w:val="24"/>
          <w:szCs w:val="24"/>
          <w:lang w:val="en-US"/>
        </w:rPr>
        <w:t>amount</w:t>
      </w:r>
      <w:r>
        <w:rPr>
          <w:rFonts w:ascii="Times New Roman" w:hAnsi="Times New Roman" w:cs="Times New Roman"/>
          <w:sz w:val="24"/>
          <w:szCs w:val="24"/>
          <w:lang w:val="en-US"/>
        </w:rPr>
        <w:t xml:space="preserve"> of deadwood in old-growth unmanaged beech forest. Our proposed reference value for deadwood availability of 100 m³/ha is particularly derived from the review by Christensen et al. (2005). The proposed 100 m³/ha are within the reported range and well above the deadwood quantities found in managed forests. We note that the highest quantities in the literature are usually reported from montane sites.</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2454"/>
        <w:gridCol w:w="2840"/>
        <w:gridCol w:w="2552"/>
      </w:tblGrid>
      <w:tr w:rsidR="006E5E6B" w:rsidRPr="006E5E6B" w14:paraId="2B6B968A" w14:textId="77777777" w:rsidTr="006E5E6B">
        <w:tc>
          <w:tcPr>
            <w:tcW w:w="1510" w:type="dxa"/>
            <w:tcBorders>
              <w:top w:val="single" w:sz="4" w:space="0" w:color="auto"/>
              <w:bottom w:val="single" w:sz="4" w:space="0" w:color="auto"/>
            </w:tcBorders>
          </w:tcPr>
          <w:p w14:paraId="12A8FDB1"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Study</w:t>
            </w:r>
          </w:p>
        </w:tc>
        <w:tc>
          <w:tcPr>
            <w:tcW w:w="2454" w:type="dxa"/>
            <w:tcBorders>
              <w:top w:val="single" w:sz="4" w:space="0" w:color="auto"/>
              <w:bottom w:val="single" w:sz="4" w:space="0" w:color="auto"/>
            </w:tcBorders>
          </w:tcPr>
          <w:p w14:paraId="7819307C"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Forest type</w:t>
            </w:r>
          </w:p>
        </w:tc>
        <w:tc>
          <w:tcPr>
            <w:tcW w:w="2840" w:type="dxa"/>
            <w:tcBorders>
              <w:top w:val="single" w:sz="4" w:space="0" w:color="auto"/>
              <w:bottom w:val="single" w:sz="4" w:space="0" w:color="auto"/>
            </w:tcBorders>
          </w:tcPr>
          <w:p w14:paraId="7966064C"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Condition</w:t>
            </w:r>
          </w:p>
        </w:tc>
        <w:tc>
          <w:tcPr>
            <w:tcW w:w="2552" w:type="dxa"/>
            <w:tcBorders>
              <w:top w:val="single" w:sz="4" w:space="0" w:color="auto"/>
              <w:bottom w:val="single" w:sz="4" w:space="0" w:color="auto"/>
            </w:tcBorders>
          </w:tcPr>
          <w:p w14:paraId="5A0C782F"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 xml:space="preserve">Mean amount of deadwood </w:t>
            </w:r>
          </w:p>
        </w:tc>
      </w:tr>
      <w:tr w:rsidR="006E5E6B" w:rsidRPr="006E5E6B" w14:paraId="0943D3B8" w14:textId="77777777" w:rsidTr="006E5E6B">
        <w:tc>
          <w:tcPr>
            <w:tcW w:w="1510" w:type="dxa"/>
            <w:tcBorders>
              <w:top w:val="single" w:sz="4" w:space="0" w:color="auto"/>
              <w:bottom w:val="dotted" w:sz="4" w:space="0" w:color="auto"/>
            </w:tcBorders>
          </w:tcPr>
          <w:p w14:paraId="597B0273"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Koop and Hilgen (1987)</w:t>
            </w:r>
          </w:p>
        </w:tc>
        <w:tc>
          <w:tcPr>
            <w:tcW w:w="2454" w:type="dxa"/>
            <w:tcBorders>
              <w:top w:val="single" w:sz="4" w:space="0" w:color="auto"/>
              <w:bottom w:val="dotted" w:sz="4" w:space="0" w:color="auto"/>
            </w:tcBorders>
          </w:tcPr>
          <w:p w14:paraId="5F19D935"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European beech forest</w:t>
            </w:r>
          </w:p>
        </w:tc>
        <w:tc>
          <w:tcPr>
            <w:tcW w:w="2840" w:type="dxa"/>
            <w:tcBorders>
              <w:top w:val="single" w:sz="4" w:space="0" w:color="auto"/>
              <w:bottom w:val="dotted" w:sz="4" w:space="0" w:color="auto"/>
            </w:tcBorders>
          </w:tcPr>
          <w:p w14:paraId="7DAEA183"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Strictly protected since 1883, France</w:t>
            </w:r>
          </w:p>
        </w:tc>
        <w:tc>
          <w:tcPr>
            <w:tcW w:w="2552" w:type="dxa"/>
            <w:tcBorders>
              <w:top w:val="single" w:sz="4" w:space="0" w:color="auto"/>
              <w:bottom w:val="dotted" w:sz="4" w:space="0" w:color="auto"/>
            </w:tcBorders>
          </w:tcPr>
          <w:p w14:paraId="2F7727EF"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155 (136 and 173)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r w:rsidR="006E5E6B" w:rsidRPr="006E5E6B" w14:paraId="4B3ACFD2" w14:textId="77777777" w:rsidTr="006E5E6B">
        <w:tc>
          <w:tcPr>
            <w:tcW w:w="1510" w:type="dxa"/>
            <w:tcBorders>
              <w:top w:val="dotted" w:sz="4" w:space="0" w:color="auto"/>
              <w:bottom w:val="dotted" w:sz="4" w:space="0" w:color="auto"/>
            </w:tcBorders>
          </w:tcPr>
          <w:p w14:paraId="0A1DEFCC"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Green and Peterken (1997)</w:t>
            </w:r>
          </w:p>
        </w:tc>
        <w:tc>
          <w:tcPr>
            <w:tcW w:w="2454" w:type="dxa"/>
            <w:tcBorders>
              <w:top w:val="dotted" w:sz="4" w:space="0" w:color="auto"/>
              <w:bottom w:val="dotted" w:sz="4" w:space="0" w:color="auto"/>
            </w:tcBorders>
          </w:tcPr>
          <w:p w14:paraId="39851032"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Mixed forest dominated by European beech</w:t>
            </w:r>
          </w:p>
        </w:tc>
        <w:tc>
          <w:tcPr>
            <w:tcW w:w="2840" w:type="dxa"/>
            <w:tcBorders>
              <w:top w:val="dotted" w:sz="4" w:space="0" w:color="auto"/>
              <w:bottom w:val="dotted" w:sz="4" w:space="0" w:color="auto"/>
            </w:tcBorders>
          </w:tcPr>
          <w:p w14:paraId="40CB12A6"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Since 1944 strictly protected, in 1997 ca 90 years untouched</w:t>
            </w:r>
          </w:p>
        </w:tc>
        <w:tc>
          <w:tcPr>
            <w:tcW w:w="2552" w:type="dxa"/>
            <w:tcBorders>
              <w:top w:val="dotted" w:sz="4" w:space="0" w:color="auto"/>
              <w:bottom w:val="dotted" w:sz="4" w:space="0" w:color="auto"/>
            </w:tcBorders>
          </w:tcPr>
          <w:p w14:paraId="499744E5"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104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r w:rsidR="006E5E6B" w:rsidRPr="006E5E6B" w14:paraId="75022145" w14:textId="77777777" w:rsidTr="006E5E6B">
        <w:tc>
          <w:tcPr>
            <w:tcW w:w="1510" w:type="dxa"/>
            <w:tcBorders>
              <w:top w:val="dotted" w:sz="4" w:space="0" w:color="auto"/>
              <w:bottom w:val="dotted" w:sz="4" w:space="0" w:color="auto"/>
            </w:tcBorders>
          </w:tcPr>
          <w:p w14:paraId="2A4381D5"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Schnitzler and Borlea (1998)</w:t>
            </w:r>
          </w:p>
        </w:tc>
        <w:tc>
          <w:tcPr>
            <w:tcW w:w="2454" w:type="dxa"/>
            <w:tcBorders>
              <w:top w:val="dotted" w:sz="4" w:space="0" w:color="auto"/>
              <w:bottom w:val="dotted" w:sz="4" w:space="0" w:color="auto"/>
            </w:tcBorders>
          </w:tcPr>
          <w:p w14:paraId="7AD89A59"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Mixed European-oak forest</w:t>
            </w:r>
          </w:p>
        </w:tc>
        <w:tc>
          <w:tcPr>
            <w:tcW w:w="2840" w:type="dxa"/>
            <w:tcBorders>
              <w:top w:val="dotted" w:sz="4" w:space="0" w:color="auto"/>
              <w:bottom w:val="dotted" w:sz="4" w:space="0" w:color="auto"/>
            </w:tcBorders>
          </w:tcPr>
          <w:p w14:paraId="62A63D98"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140-200 year old forest. In 1998 since 30 years unmanaged</w:t>
            </w:r>
          </w:p>
        </w:tc>
        <w:tc>
          <w:tcPr>
            <w:tcW w:w="2552" w:type="dxa"/>
            <w:tcBorders>
              <w:top w:val="dotted" w:sz="4" w:space="0" w:color="auto"/>
              <w:bottom w:val="dotted" w:sz="4" w:space="0" w:color="auto"/>
            </w:tcBorders>
          </w:tcPr>
          <w:p w14:paraId="1E95D466"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91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r w:rsidR="006E5E6B" w:rsidRPr="006E5E6B" w14:paraId="153022FE" w14:textId="77777777" w:rsidTr="006E5E6B">
        <w:tc>
          <w:tcPr>
            <w:tcW w:w="1510" w:type="dxa"/>
            <w:tcBorders>
              <w:top w:val="dotted" w:sz="4" w:space="0" w:color="auto"/>
              <w:bottom w:val="dotted" w:sz="4" w:space="0" w:color="auto"/>
            </w:tcBorders>
          </w:tcPr>
          <w:p w14:paraId="6DC35A8F" w14:textId="4ADEAC51" w:rsidR="006E5E6B" w:rsidRPr="006E5E6B" w:rsidRDefault="0071422E" w:rsidP="00D05E5E">
            <w:pPr>
              <w:spacing w:line="276" w:lineRule="auto"/>
              <w:rPr>
                <w:rFonts w:ascii="Times New Roman" w:hAnsi="Times New Roman" w:cs="Times New Roman"/>
                <w:sz w:val="20"/>
                <w:szCs w:val="20"/>
                <w:lang w:val="en-US"/>
              </w:rPr>
            </w:pPr>
            <w:r w:rsidRPr="0071422E">
              <w:rPr>
                <w:rFonts w:ascii="Times New Roman" w:hAnsi="Times New Roman" w:cs="Times New Roman"/>
                <w:sz w:val="20"/>
                <w:szCs w:val="20"/>
                <w:lang w:val="en-US"/>
              </w:rPr>
              <w:t>Commarmot</w:t>
            </w:r>
            <w:r w:rsidR="006E5E6B" w:rsidRPr="006E5E6B">
              <w:rPr>
                <w:rFonts w:ascii="Times New Roman" w:hAnsi="Times New Roman" w:cs="Times New Roman"/>
                <w:sz w:val="20"/>
                <w:szCs w:val="20"/>
                <w:lang w:val="en-US"/>
              </w:rPr>
              <w:t xml:space="preserve"> et al. (2005)</w:t>
            </w:r>
          </w:p>
        </w:tc>
        <w:tc>
          <w:tcPr>
            <w:tcW w:w="2454" w:type="dxa"/>
            <w:tcBorders>
              <w:top w:val="dotted" w:sz="4" w:space="0" w:color="auto"/>
              <w:bottom w:val="dotted" w:sz="4" w:space="0" w:color="auto"/>
            </w:tcBorders>
          </w:tcPr>
          <w:p w14:paraId="7A7621F2"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European beech forest</w:t>
            </w:r>
          </w:p>
        </w:tc>
        <w:tc>
          <w:tcPr>
            <w:tcW w:w="2840" w:type="dxa"/>
            <w:tcBorders>
              <w:top w:val="dotted" w:sz="4" w:space="0" w:color="auto"/>
              <w:bottom w:val="dotted" w:sz="4" w:space="0" w:color="auto"/>
            </w:tcBorders>
          </w:tcPr>
          <w:p w14:paraId="210146D0"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10 ha primeval forest in the Ukrainian Carpathians</w:t>
            </w:r>
          </w:p>
        </w:tc>
        <w:tc>
          <w:tcPr>
            <w:tcW w:w="2552" w:type="dxa"/>
            <w:tcBorders>
              <w:top w:val="dotted" w:sz="4" w:space="0" w:color="auto"/>
              <w:bottom w:val="dotted" w:sz="4" w:space="0" w:color="auto"/>
            </w:tcBorders>
          </w:tcPr>
          <w:p w14:paraId="490663D1"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111 (27-255)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r w:rsidR="006E5E6B" w:rsidRPr="006E5E6B" w14:paraId="12DEDD2E" w14:textId="77777777" w:rsidTr="006E5E6B">
        <w:tc>
          <w:tcPr>
            <w:tcW w:w="1510" w:type="dxa"/>
            <w:tcBorders>
              <w:top w:val="dotted" w:sz="4" w:space="0" w:color="auto"/>
              <w:bottom w:val="dotted" w:sz="4" w:space="0" w:color="auto"/>
            </w:tcBorders>
          </w:tcPr>
          <w:p w14:paraId="72BB2A7C" w14:textId="77777777" w:rsidR="006E5E6B" w:rsidRPr="006E5E6B" w:rsidRDefault="006E5E6B" w:rsidP="00D05E5E">
            <w:pPr>
              <w:spacing w:line="276" w:lineRule="auto"/>
              <w:rPr>
                <w:rFonts w:ascii="Times New Roman" w:hAnsi="Times New Roman" w:cs="Times New Roman"/>
                <w:b/>
                <w:bCs/>
                <w:sz w:val="20"/>
                <w:szCs w:val="20"/>
                <w:lang w:val="en-US"/>
              </w:rPr>
            </w:pPr>
            <w:r w:rsidRPr="006E5E6B">
              <w:rPr>
                <w:rFonts w:ascii="Times New Roman" w:hAnsi="Times New Roman" w:cs="Times New Roman"/>
                <w:b/>
                <w:bCs/>
                <w:sz w:val="20"/>
                <w:szCs w:val="20"/>
                <w:lang w:val="en-US"/>
              </w:rPr>
              <w:t>Christensen et al. (2005)</w:t>
            </w:r>
          </w:p>
        </w:tc>
        <w:tc>
          <w:tcPr>
            <w:tcW w:w="2454" w:type="dxa"/>
            <w:tcBorders>
              <w:top w:val="dotted" w:sz="4" w:space="0" w:color="auto"/>
              <w:bottom w:val="dotted" w:sz="4" w:space="0" w:color="auto"/>
            </w:tcBorders>
          </w:tcPr>
          <w:p w14:paraId="1159CA71" w14:textId="77777777" w:rsidR="006E5E6B" w:rsidRPr="006E5E6B" w:rsidRDefault="006E5E6B" w:rsidP="00D05E5E">
            <w:pPr>
              <w:spacing w:line="276" w:lineRule="auto"/>
              <w:rPr>
                <w:rFonts w:ascii="Times New Roman" w:hAnsi="Times New Roman" w:cs="Times New Roman"/>
                <w:b/>
                <w:bCs/>
                <w:sz w:val="20"/>
                <w:szCs w:val="20"/>
                <w:lang w:val="en-US"/>
              </w:rPr>
            </w:pPr>
            <w:r w:rsidRPr="006E5E6B">
              <w:rPr>
                <w:rFonts w:ascii="Times New Roman" w:hAnsi="Times New Roman" w:cs="Times New Roman"/>
                <w:b/>
                <w:bCs/>
                <w:sz w:val="20"/>
                <w:szCs w:val="20"/>
                <w:lang w:val="en-US"/>
              </w:rPr>
              <w:t xml:space="preserve">European beech </w:t>
            </w:r>
            <w:r w:rsidRPr="006E5E6B">
              <w:rPr>
                <w:rFonts w:ascii="Times New Roman" w:hAnsi="Times New Roman" w:cs="Times New Roman"/>
                <w:sz w:val="20"/>
                <w:szCs w:val="20"/>
                <w:lang w:val="en-US"/>
              </w:rPr>
              <w:t>forest</w:t>
            </w:r>
          </w:p>
        </w:tc>
        <w:tc>
          <w:tcPr>
            <w:tcW w:w="2840" w:type="dxa"/>
            <w:tcBorders>
              <w:top w:val="dotted" w:sz="4" w:space="0" w:color="auto"/>
              <w:bottom w:val="dotted" w:sz="4" w:space="0" w:color="auto"/>
            </w:tcBorders>
          </w:tcPr>
          <w:p w14:paraId="3CB7FA09" w14:textId="77777777" w:rsidR="006E5E6B" w:rsidRPr="006E5E6B" w:rsidRDefault="006E5E6B" w:rsidP="00D05E5E">
            <w:pPr>
              <w:spacing w:line="276" w:lineRule="auto"/>
              <w:rPr>
                <w:rFonts w:ascii="Times New Roman" w:hAnsi="Times New Roman" w:cs="Times New Roman"/>
                <w:b/>
                <w:bCs/>
                <w:sz w:val="20"/>
                <w:szCs w:val="20"/>
                <w:lang w:val="en-US"/>
              </w:rPr>
            </w:pPr>
            <w:r w:rsidRPr="006E5E6B">
              <w:rPr>
                <w:rFonts w:ascii="Times New Roman" w:hAnsi="Times New Roman" w:cs="Times New Roman"/>
                <w:b/>
                <w:bCs/>
                <w:sz w:val="20"/>
                <w:szCs w:val="20"/>
                <w:lang w:val="en-US"/>
              </w:rPr>
              <w:t>86 beech forest reserves across Europe</w:t>
            </w:r>
          </w:p>
        </w:tc>
        <w:tc>
          <w:tcPr>
            <w:tcW w:w="2552" w:type="dxa"/>
            <w:tcBorders>
              <w:top w:val="dotted" w:sz="4" w:space="0" w:color="auto"/>
              <w:bottom w:val="dotted" w:sz="4" w:space="0" w:color="auto"/>
            </w:tcBorders>
          </w:tcPr>
          <w:p w14:paraId="790012D1" w14:textId="77777777" w:rsidR="006E5E6B" w:rsidRPr="006E5E6B" w:rsidRDefault="006E5E6B" w:rsidP="00D05E5E">
            <w:pPr>
              <w:spacing w:line="276" w:lineRule="auto"/>
              <w:rPr>
                <w:rFonts w:ascii="Times New Roman" w:hAnsi="Times New Roman" w:cs="Times New Roman"/>
                <w:b/>
                <w:bCs/>
                <w:sz w:val="20"/>
                <w:szCs w:val="20"/>
                <w:lang w:val="en-US"/>
              </w:rPr>
            </w:pPr>
            <w:r w:rsidRPr="006E5E6B">
              <w:rPr>
                <w:rFonts w:ascii="Times New Roman" w:hAnsi="Times New Roman" w:cs="Times New Roman"/>
                <w:b/>
                <w:bCs/>
                <w:sz w:val="20"/>
                <w:szCs w:val="20"/>
                <w:lang w:val="en-US"/>
              </w:rPr>
              <w:t>130 (6-550) m</w:t>
            </w:r>
            <w:r w:rsidRPr="006E5E6B">
              <w:rPr>
                <w:rFonts w:ascii="Times New Roman" w:hAnsi="Times New Roman" w:cs="Times New Roman"/>
                <w:b/>
                <w:bCs/>
                <w:sz w:val="20"/>
                <w:szCs w:val="20"/>
                <w:vertAlign w:val="superscript"/>
                <w:lang w:val="en-US"/>
              </w:rPr>
              <w:t>3</w:t>
            </w:r>
            <w:r w:rsidRPr="006E5E6B">
              <w:rPr>
                <w:rFonts w:ascii="Times New Roman" w:hAnsi="Times New Roman" w:cs="Times New Roman"/>
                <w:b/>
                <w:bCs/>
                <w:sz w:val="20"/>
                <w:szCs w:val="20"/>
                <w:lang w:val="en-US"/>
              </w:rPr>
              <w:t>/ha</w:t>
            </w:r>
          </w:p>
        </w:tc>
      </w:tr>
      <w:tr w:rsidR="006E5E6B" w:rsidRPr="006E5E6B" w14:paraId="7AFC7B9C" w14:textId="77777777" w:rsidTr="006E5E6B">
        <w:tc>
          <w:tcPr>
            <w:tcW w:w="1510" w:type="dxa"/>
            <w:tcBorders>
              <w:top w:val="dotted" w:sz="4" w:space="0" w:color="auto"/>
              <w:bottom w:val="dotted" w:sz="4" w:space="0" w:color="auto"/>
            </w:tcBorders>
          </w:tcPr>
          <w:p w14:paraId="0AD7EDEE"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Jaworski and Podlaski (2007)</w:t>
            </w:r>
          </w:p>
        </w:tc>
        <w:tc>
          <w:tcPr>
            <w:tcW w:w="2454" w:type="dxa"/>
            <w:tcBorders>
              <w:top w:val="dotted" w:sz="4" w:space="0" w:color="auto"/>
              <w:bottom w:val="dotted" w:sz="4" w:space="0" w:color="auto"/>
            </w:tcBorders>
          </w:tcPr>
          <w:p w14:paraId="18CF6A20"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Mixed mountain forest (European beech, silver fir)</w:t>
            </w:r>
          </w:p>
        </w:tc>
        <w:tc>
          <w:tcPr>
            <w:tcW w:w="2840" w:type="dxa"/>
            <w:tcBorders>
              <w:top w:val="dotted" w:sz="4" w:space="0" w:color="auto"/>
              <w:bottom w:val="dotted" w:sz="4" w:space="0" w:color="auto"/>
            </w:tcBorders>
          </w:tcPr>
          <w:p w14:paraId="68271CF9"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4 primeval forests in Poland (data from 1997)</w:t>
            </w:r>
          </w:p>
        </w:tc>
        <w:tc>
          <w:tcPr>
            <w:tcW w:w="2552" w:type="dxa"/>
            <w:tcBorders>
              <w:top w:val="dotted" w:sz="4" w:space="0" w:color="auto"/>
              <w:bottom w:val="dotted" w:sz="4" w:space="0" w:color="auto"/>
            </w:tcBorders>
          </w:tcPr>
          <w:p w14:paraId="3F8F6402"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179 (124-293)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r w:rsidR="006E5E6B" w:rsidRPr="006E5E6B" w14:paraId="38419202" w14:textId="77777777" w:rsidTr="006E5E6B">
        <w:tc>
          <w:tcPr>
            <w:tcW w:w="1510" w:type="dxa"/>
            <w:tcBorders>
              <w:top w:val="dotted" w:sz="4" w:space="0" w:color="auto"/>
              <w:bottom w:val="dotted" w:sz="4" w:space="0" w:color="auto"/>
            </w:tcBorders>
          </w:tcPr>
          <w:p w14:paraId="431F1C8A"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Holeska et al. (2009)</w:t>
            </w:r>
          </w:p>
        </w:tc>
        <w:tc>
          <w:tcPr>
            <w:tcW w:w="2454" w:type="dxa"/>
            <w:tcBorders>
              <w:top w:val="dotted" w:sz="4" w:space="0" w:color="auto"/>
              <w:bottom w:val="dotted" w:sz="4" w:space="0" w:color="auto"/>
            </w:tcBorders>
          </w:tcPr>
          <w:p w14:paraId="1B96A031"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Mixed forest (mainly silver fir, Norway spruce, European ash, European beech, Sycamore maple)</w:t>
            </w:r>
          </w:p>
        </w:tc>
        <w:tc>
          <w:tcPr>
            <w:tcW w:w="2840" w:type="dxa"/>
            <w:tcBorders>
              <w:top w:val="dotted" w:sz="4" w:space="0" w:color="auto"/>
              <w:bottom w:val="dotted" w:sz="4" w:space="0" w:color="auto"/>
            </w:tcBorders>
          </w:tcPr>
          <w:p w14:paraId="7C8C4B44"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Strictly protected forest in Slovakia, for at least 44 years not managed</w:t>
            </w:r>
          </w:p>
        </w:tc>
        <w:tc>
          <w:tcPr>
            <w:tcW w:w="2552" w:type="dxa"/>
            <w:tcBorders>
              <w:top w:val="dotted" w:sz="4" w:space="0" w:color="auto"/>
              <w:bottom w:val="dotted" w:sz="4" w:space="0" w:color="auto"/>
            </w:tcBorders>
          </w:tcPr>
          <w:p w14:paraId="2D307D3F"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306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r w:rsidR="006E5E6B" w:rsidRPr="006E5E6B" w14:paraId="50D6544D" w14:textId="77777777" w:rsidTr="006E5E6B">
        <w:tc>
          <w:tcPr>
            <w:tcW w:w="1510" w:type="dxa"/>
            <w:tcBorders>
              <w:top w:val="dotted" w:sz="4" w:space="0" w:color="auto"/>
              <w:bottom w:val="dotted" w:sz="4" w:space="0" w:color="auto"/>
            </w:tcBorders>
          </w:tcPr>
          <w:p w14:paraId="468B3270"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Feldmann et al. (2018)</w:t>
            </w:r>
          </w:p>
        </w:tc>
        <w:tc>
          <w:tcPr>
            <w:tcW w:w="2454" w:type="dxa"/>
            <w:tcBorders>
              <w:top w:val="dotted" w:sz="4" w:space="0" w:color="auto"/>
              <w:bottom w:val="dotted" w:sz="4" w:space="0" w:color="auto"/>
            </w:tcBorders>
          </w:tcPr>
          <w:p w14:paraId="651AD91D"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European beech forest</w:t>
            </w:r>
          </w:p>
        </w:tc>
        <w:tc>
          <w:tcPr>
            <w:tcW w:w="2840" w:type="dxa"/>
            <w:tcBorders>
              <w:top w:val="dotted" w:sz="4" w:space="0" w:color="auto"/>
              <w:bottom w:val="dotted" w:sz="4" w:space="0" w:color="auto"/>
            </w:tcBorders>
          </w:tcPr>
          <w:p w14:paraId="520812FD"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3 primeval forests in the Slovakian Carpathians</w:t>
            </w:r>
          </w:p>
        </w:tc>
        <w:tc>
          <w:tcPr>
            <w:tcW w:w="2552" w:type="dxa"/>
            <w:tcBorders>
              <w:top w:val="dotted" w:sz="4" w:space="0" w:color="auto"/>
              <w:bottom w:val="dotted" w:sz="4" w:space="0" w:color="auto"/>
            </w:tcBorders>
          </w:tcPr>
          <w:p w14:paraId="1ACD4B81"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156 (123-177)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r w:rsidR="006E5E6B" w:rsidRPr="006E5E6B" w14:paraId="115FFB50" w14:textId="77777777" w:rsidTr="006E5E6B">
        <w:trPr>
          <w:trHeight w:val="56"/>
        </w:trPr>
        <w:tc>
          <w:tcPr>
            <w:tcW w:w="1510" w:type="dxa"/>
            <w:tcBorders>
              <w:top w:val="dotted" w:sz="4" w:space="0" w:color="auto"/>
              <w:bottom w:val="single" w:sz="4" w:space="0" w:color="auto"/>
            </w:tcBorders>
          </w:tcPr>
          <w:p w14:paraId="496CEFE7"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Nagel et al. (2023)</w:t>
            </w:r>
          </w:p>
        </w:tc>
        <w:tc>
          <w:tcPr>
            <w:tcW w:w="2454" w:type="dxa"/>
            <w:tcBorders>
              <w:top w:val="dotted" w:sz="4" w:space="0" w:color="auto"/>
              <w:bottom w:val="single" w:sz="4" w:space="0" w:color="auto"/>
            </w:tcBorders>
          </w:tcPr>
          <w:p w14:paraId="733C5A44"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European beech forest</w:t>
            </w:r>
          </w:p>
        </w:tc>
        <w:tc>
          <w:tcPr>
            <w:tcW w:w="2840" w:type="dxa"/>
            <w:tcBorders>
              <w:top w:val="dotted" w:sz="4" w:space="0" w:color="auto"/>
              <w:bottom w:val="single" w:sz="4" w:space="0" w:color="auto"/>
            </w:tcBorders>
          </w:tcPr>
          <w:p w14:paraId="6D5FCB60"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 xml:space="preserve">5 old beech forests in Germany (unmanaged &gt;100 years) </w:t>
            </w:r>
          </w:p>
        </w:tc>
        <w:tc>
          <w:tcPr>
            <w:tcW w:w="2552" w:type="dxa"/>
            <w:tcBorders>
              <w:top w:val="dotted" w:sz="4" w:space="0" w:color="auto"/>
              <w:bottom w:val="single" w:sz="4" w:space="0" w:color="auto"/>
            </w:tcBorders>
          </w:tcPr>
          <w:p w14:paraId="0F0A18A4" w14:textId="77777777" w:rsidR="006E5E6B" w:rsidRPr="006E5E6B" w:rsidRDefault="006E5E6B" w:rsidP="00D05E5E">
            <w:pPr>
              <w:spacing w:line="276" w:lineRule="auto"/>
              <w:rPr>
                <w:rFonts w:ascii="Times New Roman" w:hAnsi="Times New Roman" w:cs="Times New Roman"/>
                <w:sz w:val="20"/>
                <w:szCs w:val="20"/>
                <w:lang w:val="en-US"/>
              </w:rPr>
            </w:pPr>
            <w:r w:rsidRPr="006E5E6B">
              <w:rPr>
                <w:rFonts w:ascii="Times New Roman" w:hAnsi="Times New Roman" w:cs="Times New Roman"/>
                <w:sz w:val="20"/>
                <w:szCs w:val="20"/>
                <w:lang w:val="en-US"/>
              </w:rPr>
              <w:t>206 (128-450) m</w:t>
            </w:r>
            <w:r w:rsidRPr="006E5E6B">
              <w:rPr>
                <w:rFonts w:ascii="Times New Roman" w:hAnsi="Times New Roman" w:cs="Times New Roman"/>
                <w:sz w:val="20"/>
                <w:szCs w:val="20"/>
                <w:vertAlign w:val="superscript"/>
                <w:lang w:val="en-US"/>
              </w:rPr>
              <w:t>3</w:t>
            </w:r>
            <w:r w:rsidRPr="006E5E6B">
              <w:rPr>
                <w:rFonts w:ascii="Times New Roman" w:hAnsi="Times New Roman" w:cs="Times New Roman"/>
                <w:sz w:val="20"/>
                <w:szCs w:val="20"/>
                <w:lang w:val="en-US"/>
              </w:rPr>
              <w:t>/ha</w:t>
            </w:r>
          </w:p>
        </w:tc>
      </w:tr>
    </w:tbl>
    <w:p w14:paraId="34F4CBBD" w14:textId="77777777" w:rsidR="006E5E6B" w:rsidRDefault="006E5E6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4A903E0" w14:textId="6B350EBC" w:rsidR="006E5E6B" w:rsidRDefault="006E5E6B" w:rsidP="008A562F">
      <w:pPr>
        <w:spacing w:after="0" w:line="360" w:lineRule="auto"/>
        <w:jc w:val="both"/>
        <w:rPr>
          <w:rFonts w:ascii="Times New Roman" w:hAnsi="Times New Roman" w:cs="Times New Roman"/>
          <w:sz w:val="24"/>
          <w:szCs w:val="24"/>
          <w:lang w:val="en-US"/>
        </w:rPr>
      </w:pPr>
      <w:r w:rsidRPr="001318C5">
        <w:rPr>
          <w:rFonts w:ascii="Times New Roman" w:hAnsi="Times New Roman" w:cs="Times New Roman"/>
          <w:b/>
          <w:sz w:val="24"/>
          <w:szCs w:val="24"/>
          <w:lang w:val="en-US"/>
        </w:rPr>
        <w:lastRenderedPageBreak/>
        <w:t>Table S</w:t>
      </w:r>
      <w:r>
        <w:rPr>
          <w:rFonts w:ascii="Times New Roman" w:hAnsi="Times New Roman" w:cs="Times New Roman"/>
          <w:b/>
          <w:sz w:val="24"/>
          <w:szCs w:val="24"/>
          <w:lang w:val="en-US"/>
        </w:rPr>
        <w:t>2</w:t>
      </w:r>
      <w:r w:rsidRPr="001318C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Overview on studies that have quantified the densities of large living trees in old-growth unmanaged beech forest. Our proposed reference value for stand maturity of an average diameter for the 20 trees with largest DBH is particularly derived from the review by </w:t>
      </w:r>
      <w:r w:rsidRPr="006E5E6B">
        <w:rPr>
          <w:rFonts w:ascii="Times New Roman" w:hAnsi="Times New Roman" w:cs="Times New Roman"/>
          <w:sz w:val="24"/>
          <w:szCs w:val="24"/>
          <w:lang w:val="en-US"/>
        </w:rPr>
        <w:t>Vandekerkhove</w:t>
      </w:r>
      <w:r>
        <w:rPr>
          <w:rFonts w:ascii="Times New Roman" w:hAnsi="Times New Roman" w:cs="Times New Roman"/>
          <w:sz w:val="24"/>
          <w:szCs w:val="24"/>
          <w:lang w:val="en-US"/>
        </w:rPr>
        <w:t xml:space="preserve"> et al. (2018). The data show that around 20 trees with DBH above 80 cm are an upper estimate. </w:t>
      </w:r>
      <w:r w:rsidRPr="006E5E6B">
        <w:rPr>
          <w:rFonts w:ascii="Times New Roman" w:hAnsi="Times New Roman" w:cs="Times New Roman"/>
          <w:sz w:val="24"/>
          <w:szCs w:val="24"/>
          <w:lang w:val="en-US"/>
        </w:rPr>
        <w:t>As there can be some trees considerably larger than 80 cm DBH (and hence increasing arithmetic means), we think that our reference of 80 cm for the average DBH for the 20 largest trees is suitable</w:t>
      </w:r>
      <w:r w:rsidR="00F55C60">
        <w:rPr>
          <w:rFonts w:ascii="Times New Roman" w:hAnsi="Times New Roman" w:cs="Times New Roman"/>
          <w:sz w:val="24"/>
          <w:szCs w:val="24"/>
          <w:lang w:val="en-US"/>
        </w:rPr>
        <w:t xml:space="preserve"> (even when the median for numbers of large trees is below 20)</w:t>
      </w:r>
      <w:r w:rsidRPr="006E5E6B">
        <w:rPr>
          <w:rFonts w:ascii="Times New Roman" w:hAnsi="Times New Roman" w:cs="Times New Roman"/>
          <w:sz w:val="24"/>
          <w:szCs w:val="24"/>
          <w:lang w:val="en-US"/>
        </w:rPr>
        <w:t xml:space="preserve"> and representative to describe the conditions for beech forest in Europe</w:t>
      </w:r>
      <w:r>
        <w:rPr>
          <w:rFonts w:ascii="Times New Roman" w:hAnsi="Times New Roman" w:cs="Times New Roman"/>
          <w:sz w:val="24"/>
          <w:szCs w:val="24"/>
          <w:lang w:val="en-US"/>
        </w:rPr>
        <w:t>.</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2433"/>
        <w:gridCol w:w="2823"/>
        <w:gridCol w:w="2528"/>
      </w:tblGrid>
      <w:tr w:rsidR="006E5E6B" w:rsidRPr="00543C05" w14:paraId="517D2F48" w14:textId="77777777" w:rsidTr="006E5E6B">
        <w:tc>
          <w:tcPr>
            <w:tcW w:w="1523" w:type="dxa"/>
            <w:tcBorders>
              <w:top w:val="single" w:sz="4" w:space="0" w:color="auto"/>
              <w:bottom w:val="single" w:sz="4" w:space="0" w:color="auto"/>
            </w:tcBorders>
          </w:tcPr>
          <w:p w14:paraId="53066D3C" w14:textId="77777777" w:rsidR="006E5E6B" w:rsidRPr="00F55C60" w:rsidRDefault="006E5E6B" w:rsidP="00D05E5E">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Study</w:t>
            </w:r>
          </w:p>
        </w:tc>
        <w:tc>
          <w:tcPr>
            <w:tcW w:w="2450" w:type="dxa"/>
            <w:tcBorders>
              <w:top w:val="single" w:sz="4" w:space="0" w:color="auto"/>
              <w:bottom w:val="single" w:sz="4" w:space="0" w:color="auto"/>
            </w:tcBorders>
          </w:tcPr>
          <w:p w14:paraId="38996DDD" w14:textId="77777777" w:rsidR="006E5E6B" w:rsidRPr="00F55C60" w:rsidRDefault="006E5E6B" w:rsidP="00D05E5E">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Forest type</w:t>
            </w:r>
          </w:p>
        </w:tc>
        <w:tc>
          <w:tcPr>
            <w:tcW w:w="2835" w:type="dxa"/>
            <w:tcBorders>
              <w:top w:val="single" w:sz="4" w:space="0" w:color="auto"/>
              <w:bottom w:val="single" w:sz="4" w:space="0" w:color="auto"/>
            </w:tcBorders>
          </w:tcPr>
          <w:p w14:paraId="711893AB" w14:textId="77777777" w:rsidR="006E5E6B" w:rsidRPr="00F55C60" w:rsidRDefault="006E5E6B" w:rsidP="00D05E5E">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Condition</w:t>
            </w:r>
          </w:p>
        </w:tc>
        <w:tc>
          <w:tcPr>
            <w:tcW w:w="2548" w:type="dxa"/>
            <w:tcBorders>
              <w:top w:val="single" w:sz="4" w:space="0" w:color="auto"/>
              <w:bottom w:val="single" w:sz="4" w:space="0" w:color="auto"/>
            </w:tcBorders>
          </w:tcPr>
          <w:p w14:paraId="56E605E6" w14:textId="45753825" w:rsidR="006E5E6B" w:rsidRPr="00F55C60" w:rsidRDefault="006E5E6B" w:rsidP="00D05E5E">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Trees per ha &gt; 80 cm DBH</w:t>
            </w:r>
          </w:p>
        </w:tc>
      </w:tr>
      <w:tr w:rsidR="00F55C60" w:rsidRPr="00F55C60" w14:paraId="5DD1EC7D" w14:textId="77777777" w:rsidTr="006E5E6B">
        <w:tc>
          <w:tcPr>
            <w:tcW w:w="1523" w:type="dxa"/>
            <w:tcBorders>
              <w:top w:val="single" w:sz="4" w:space="0" w:color="auto"/>
              <w:bottom w:val="dotted" w:sz="4" w:space="0" w:color="auto"/>
            </w:tcBorders>
          </w:tcPr>
          <w:p w14:paraId="4A8BB81E" w14:textId="535DE724"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Nilsson et al. (2002)</w:t>
            </w:r>
          </w:p>
        </w:tc>
        <w:tc>
          <w:tcPr>
            <w:tcW w:w="2450" w:type="dxa"/>
            <w:tcBorders>
              <w:top w:val="single" w:sz="4" w:space="0" w:color="auto"/>
              <w:bottom w:val="dotted" w:sz="4" w:space="0" w:color="auto"/>
            </w:tcBorders>
          </w:tcPr>
          <w:p w14:paraId="6D23445E" w14:textId="31A6D27B"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Various broad-leafed forests</w:t>
            </w:r>
          </w:p>
        </w:tc>
        <w:tc>
          <w:tcPr>
            <w:tcW w:w="2835" w:type="dxa"/>
            <w:tcBorders>
              <w:top w:val="single" w:sz="4" w:space="0" w:color="auto"/>
              <w:bottom w:val="dotted" w:sz="4" w:space="0" w:color="auto"/>
            </w:tcBorders>
          </w:tcPr>
          <w:p w14:paraId="7D02B272" w14:textId="3DC3E758"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&gt;200 years old forests in France, Slovakia and Poland</w:t>
            </w:r>
          </w:p>
        </w:tc>
        <w:tc>
          <w:tcPr>
            <w:tcW w:w="2548" w:type="dxa"/>
            <w:tcBorders>
              <w:top w:val="single" w:sz="4" w:space="0" w:color="auto"/>
              <w:bottom w:val="dotted" w:sz="4" w:space="0" w:color="auto"/>
            </w:tcBorders>
          </w:tcPr>
          <w:p w14:paraId="6B84B99F" w14:textId="100D3D68"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5-19</w:t>
            </w:r>
          </w:p>
        </w:tc>
      </w:tr>
      <w:tr w:rsidR="00F55C60" w:rsidRPr="00F55C60" w14:paraId="551B2C98" w14:textId="77777777" w:rsidTr="006E5E6B">
        <w:tc>
          <w:tcPr>
            <w:tcW w:w="1523" w:type="dxa"/>
            <w:tcBorders>
              <w:top w:val="dotted" w:sz="4" w:space="0" w:color="auto"/>
              <w:bottom w:val="dotted" w:sz="4" w:space="0" w:color="auto"/>
            </w:tcBorders>
          </w:tcPr>
          <w:p w14:paraId="596A6E9F" w14:textId="4B4C1FE0"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Meyer et al. (2003)</w:t>
            </w:r>
          </w:p>
        </w:tc>
        <w:tc>
          <w:tcPr>
            <w:tcW w:w="2450" w:type="dxa"/>
            <w:tcBorders>
              <w:top w:val="dotted" w:sz="4" w:space="0" w:color="auto"/>
              <w:bottom w:val="dotted" w:sz="4" w:space="0" w:color="auto"/>
            </w:tcBorders>
          </w:tcPr>
          <w:p w14:paraId="6322A339" w14:textId="67E5893B"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European beech forests</w:t>
            </w:r>
          </w:p>
        </w:tc>
        <w:tc>
          <w:tcPr>
            <w:tcW w:w="2835" w:type="dxa"/>
            <w:tcBorders>
              <w:top w:val="dotted" w:sz="4" w:space="0" w:color="auto"/>
              <w:bottom w:val="dotted" w:sz="4" w:space="0" w:color="auto"/>
            </w:tcBorders>
          </w:tcPr>
          <w:p w14:paraId="42DCBD44" w14:textId="1F8EE407"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Primeval forests in Albania</w:t>
            </w:r>
          </w:p>
        </w:tc>
        <w:tc>
          <w:tcPr>
            <w:tcW w:w="2548" w:type="dxa"/>
            <w:tcBorders>
              <w:top w:val="dotted" w:sz="4" w:space="0" w:color="auto"/>
              <w:bottom w:val="dotted" w:sz="4" w:space="0" w:color="auto"/>
            </w:tcBorders>
          </w:tcPr>
          <w:p w14:paraId="2955A156" w14:textId="66F9667E"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5-19</w:t>
            </w:r>
          </w:p>
        </w:tc>
      </w:tr>
      <w:tr w:rsidR="00F55C60" w:rsidRPr="00F55C60" w14:paraId="0D971B4A" w14:textId="77777777" w:rsidTr="006E5E6B">
        <w:tc>
          <w:tcPr>
            <w:tcW w:w="1523" w:type="dxa"/>
            <w:tcBorders>
              <w:top w:val="dotted" w:sz="4" w:space="0" w:color="auto"/>
              <w:bottom w:val="dotted" w:sz="4" w:space="0" w:color="auto"/>
            </w:tcBorders>
          </w:tcPr>
          <w:p w14:paraId="0E8AA095" w14:textId="4F677D94"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von Oheimb et al. (2005)</w:t>
            </w:r>
          </w:p>
        </w:tc>
        <w:tc>
          <w:tcPr>
            <w:tcW w:w="2450" w:type="dxa"/>
            <w:tcBorders>
              <w:top w:val="dotted" w:sz="4" w:space="0" w:color="auto"/>
              <w:bottom w:val="dotted" w:sz="4" w:space="0" w:color="auto"/>
            </w:tcBorders>
          </w:tcPr>
          <w:p w14:paraId="773F340A" w14:textId="6BCE8063"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European beech forests</w:t>
            </w:r>
          </w:p>
        </w:tc>
        <w:tc>
          <w:tcPr>
            <w:tcW w:w="2835" w:type="dxa"/>
            <w:tcBorders>
              <w:top w:val="dotted" w:sz="4" w:space="0" w:color="auto"/>
              <w:bottom w:val="dotted" w:sz="4" w:space="0" w:color="auto"/>
            </w:tcBorders>
          </w:tcPr>
          <w:p w14:paraId="4EBC6183" w14:textId="47CE97D7"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Strictly protected (since 1960) mature forest in Germany</w:t>
            </w:r>
          </w:p>
        </w:tc>
        <w:tc>
          <w:tcPr>
            <w:tcW w:w="2548" w:type="dxa"/>
            <w:tcBorders>
              <w:top w:val="dotted" w:sz="4" w:space="0" w:color="auto"/>
              <w:bottom w:val="dotted" w:sz="4" w:space="0" w:color="auto"/>
            </w:tcBorders>
          </w:tcPr>
          <w:p w14:paraId="2BF5BE6D" w14:textId="08DDD3F5"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13</w:t>
            </w:r>
          </w:p>
        </w:tc>
      </w:tr>
      <w:tr w:rsidR="00F55C60" w:rsidRPr="00F55C60" w14:paraId="0C4D7759" w14:textId="77777777" w:rsidTr="006E5E6B">
        <w:tc>
          <w:tcPr>
            <w:tcW w:w="1523" w:type="dxa"/>
            <w:tcBorders>
              <w:top w:val="dotted" w:sz="4" w:space="0" w:color="auto"/>
              <w:bottom w:val="dotted" w:sz="4" w:space="0" w:color="auto"/>
            </w:tcBorders>
          </w:tcPr>
          <w:p w14:paraId="78FEA87E" w14:textId="547B1B77" w:rsidR="00F55C60" w:rsidRPr="00F55C60" w:rsidRDefault="0071422E" w:rsidP="00F55C60">
            <w:pPr>
              <w:spacing w:line="276" w:lineRule="auto"/>
              <w:rPr>
                <w:rFonts w:ascii="Times New Roman" w:hAnsi="Times New Roman" w:cs="Times New Roman"/>
                <w:sz w:val="20"/>
                <w:szCs w:val="20"/>
                <w:lang w:val="en-US"/>
              </w:rPr>
            </w:pPr>
            <w:r w:rsidRPr="0071422E">
              <w:rPr>
                <w:rFonts w:ascii="Times New Roman" w:hAnsi="Times New Roman" w:cs="Times New Roman"/>
                <w:sz w:val="20"/>
                <w:szCs w:val="20"/>
                <w:lang w:val="en-US"/>
              </w:rPr>
              <w:t xml:space="preserve">Commarmot </w:t>
            </w:r>
            <w:r w:rsidR="00F55C60" w:rsidRPr="00F55C60">
              <w:rPr>
                <w:rFonts w:ascii="Times New Roman" w:hAnsi="Times New Roman" w:cs="Times New Roman"/>
                <w:sz w:val="20"/>
                <w:szCs w:val="20"/>
                <w:lang w:val="en-US"/>
              </w:rPr>
              <w:t>et al. (2005)</w:t>
            </w:r>
          </w:p>
        </w:tc>
        <w:tc>
          <w:tcPr>
            <w:tcW w:w="2450" w:type="dxa"/>
            <w:tcBorders>
              <w:top w:val="dotted" w:sz="4" w:space="0" w:color="auto"/>
              <w:bottom w:val="dotted" w:sz="4" w:space="0" w:color="auto"/>
            </w:tcBorders>
          </w:tcPr>
          <w:p w14:paraId="5C92D5F8" w14:textId="6C203BA4"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European beech forest</w:t>
            </w:r>
          </w:p>
        </w:tc>
        <w:tc>
          <w:tcPr>
            <w:tcW w:w="2835" w:type="dxa"/>
            <w:tcBorders>
              <w:top w:val="dotted" w:sz="4" w:space="0" w:color="auto"/>
              <w:bottom w:val="dotted" w:sz="4" w:space="0" w:color="auto"/>
            </w:tcBorders>
          </w:tcPr>
          <w:p w14:paraId="08277007" w14:textId="5BA3EEE4"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10 ha primeval forest in the Ukrainian Carpathians</w:t>
            </w:r>
          </w:p>
        </w:tc>
        <w:tc>
          <w:tcPr>
            <w:tcW w:w="2548" w:type="dxa"/>
            <w:tcBorders>
              <w:top w:val="dotted" w:sz="4" w:space="0" w:color="auto"/>
              <w:bottom w:val="dotted" w:sz="4" w:space="0" w:color="auto"/>
            </w:tcBorders>
          </w:tcPr>
          <w:p w14:paraId="6C01635A" w14:textId="41190BDC"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21</w:t>
            </w:r>
          </w:p>
        </w:tc>
      </w:tr>
      <w:tr w:rsidR="00F55C60" w:rsidRPr="00F55C60" w14:paraId="5784E5F2" w14:textId="77777777" w:rsidTr="006E5E6B">
        <w:tc>
          <w:tcPr>
            <w:tcW w:w="1523" w:type="dxa"/>
            <w:tcBorders>
              <w:top w:val="dotted" w:sz="4" w:space="0" w:color="auto"/>
              <w:bottom w:val="dotted" w:sz="4" w:space="0" w:color="auto"/>
            </w:tcBorders>
          </w:tcPr>
          <w:p w14:paraId="12E84A5B" w14:textId="712C483A" w:rsidR="00F55C60" w:rsidRPr="00F55C60" w:rsidRDefault="00F55C60" w:rsidP="00F55C60">
            <w:pPr>
              <w:spacing w:line="276" w:lineRule="auto"/>
              <w:rPr>
                <w:rFonts w:ascii="Times New Roman" w:hAnsi="Times New Roman" w:cs="Times New Roman"/>
                <w:b/>
                <w:bCs/>
                <w:sz w:val="20"/>
                <w:szCs w:val="20"/>
                <w:lang w:val="en-US"/>
              </w:rPr>
            </w:pPr>
            <w:r w:rsidRPr="00F55C60">
              <w:rPr>
                <w:rFonts w:ascii="Times New Roman" w:hAnsi="Times New Roman" w:cs="Times New Roman"/>
                <w:sz w:val="20"/>
                <w:szCs w:val="20"/>
                <w:lang w:val="en-US"/>
              </w:rPr>
              <w:t>Holeska et al. (2009)</w:t>
            </w:r>
          </w:p>
        </w:tc>
        <w:tc>
          <w:tcPr>
            <w:tcW w:w="2450" w:type="dxa"/>
            <w:tcBorders>
              <w:top w:val="dotted" w:sz="4" w:space="0" w:color="auto"/>
              <w:bottom w:val="dotted" w:sz="4" w:space="0" w:color="auto"/>
            </w:tcBorders>
          </w:tcPr>
          <w:p w14:paraId="7479414C" w14:textId="2B9CEF27" w:rsidR="00F55C60" w:rsidRPr="00F55C60" w:rsidRDefault="00F55C60" w:rsidP="00F55C60">
            <w:pPr>
              <w:spacing w:line="276" w:lineRule="auto"/>
              <w:rPr>
                <w:rFonts w:ascii="Times New Roman" w:hAnsi="Times New Roman" w:cs="Times New Roman"/>
                <w:b/>
                <w:bCs/>
                <w:sz w:val="20"/>
                <w:szCs w:val="20"/>
                <w:lang w:val="en-US"/>
              </w:rPr>
            </w:pPr>
            <w:r w:rsidRPr="00F55C60">
              <w:rPr>
                <w:rFonts w:ascii="Times New Roman" w:hAnsi="Times New Roman" w:cs="Times New Roman"/>
                <w:sz w:val="20"/>
                <w:szCs w:val="20"/>
                <w:lang w:val="en-US"/>
              </w:rPr>
              <w:t>Mixed forest (mainly silver fir, Norway spruce, European ash, European beech, Sycamore maple)</w:t>
            </w:r>
          </w:p>
        </w:tc>
        <w:tc>
          <w:tcPr>
            <w:tcW w:w="2835" w:type="dxa"/>
            <w:tcBorders>
              <w:top w:val="dotted" w:sz="4" w:space="0" w:color="auto"/>
              <w:bottom w:val="dotted" w:sz="4" w:space="0" w:color="auto"/>
            </w:tcBorders>
          </w:tcPr>
          <w:p w14:paraId="6ACB024F" w14:textId="3B108E39" w:rsidR="00F55C60" w:rsidRPr="00F55C60" w:rsidRDefault="00F55C60" w:rsidP="00F55C60">
            <w:pPr>
              <w:spacing w:line="276" w:lineRule="auto"/>
              <w:rPr>
                <w:rFonts w:ascii="Times New Roman" w:hAnsi="Times New Roman" w:cs="Times New Roman"/>
                <w:b/>
                <w:bCs/>
                <w:sz w:val="20"/>
                <w:szCs w:val="20"/>
                <w:lang w:val="en-US"/>
              </w:rPr>
            </w:pPr>
            <w:r w:rsidRPr="00F55C60">
              <w:rPr>
                <w:rFonts w:ascii="Times New Roman" w:hAnsi="Times New Roman" w:cs="Times New Roman"/>
                <w:sz w:val="20"/>
                <w:szCs w:val="20"/>
                <w:lang w:val="en-US"/>
              </w:rPr>
              <w:t>Strictly protected forest in Slovakia, for at least 44 years not managed</w:t>
            </w:r>
          </w:p>
        </w:tc>
        <w:tc>
          <w:tcPr>
            <w:tcW w:w="2548" w:type="dxa"/>
            <w:tcBorders>
              <w:top w:val="dotted" w:sz="4" w:space="0" w:color="auto"/>
              <w:bottom w:val="dotted" w:sz="4" w:space="0" w:color="auto"/>
            </w:tcBorders>
          </w:tcPr>
          <w:p w14:paraId="09247ABA" w14:textId="78E8D70D" w:rsidR="00F55C60" w:rsidRPr="00F55C60" w:rsidRDefault="00F55C60" w:rsidP="00F55C60">
            <w:pPr>
              <w:spacing w:line="276" w:lineRule="auto"/>
              <w:rPr>
                <w:rFonts w:ascii="Times New Roman" w:hAnsi="Times New Roman" w:cs="Times New Roman"/>
                <w:b/>
                <w:bCs/>
                <w:sz w:val="20"/>
                <w:szCs w:val="20"/>
                <w:lang w:val="en-US"/>
              </w:rPr>
            </w:pPr>
            <w:r w:rsidRPr="00F55C60">
              <w:rPr>
                <w:rFonts w:ascii="Times New Roman" w:hAnsi="Times New Roman" w:cs="Times New Roman"/>
                <w:bCs/>
                <w:sz w:val="20"/>
                <w:szCs w:val="20"/>
                <w:lang w:val="en-US"/>
              </w:rPr>
              <w:t>6</w:t>
            </w:r>
          </w:p>
        </w:tc>
      </w:tr>
      <w:tr w:rsidR="00F55C60" w:rsidRPr="00F55C60" w14:paraId="1A8BF3FE" w14:textId="77777777" w:rsidTr="006E5E6B">
        <w:tc>
          <w:tcPr>
            <w:tcW w:w="1523" w:type="dxa"/>
            <w:tcBorders>
              <w:top w:val="dotted" w:sz="4" w:space="0" w:color="auto"/>
              <w:bottom w:val="dotted" w:sz="4" w:space="0" w:color="auto"/>
            </w:tcBorders>
          </w:tcPr>
          <w:p w14:paraId="20764D7B" w14:textId="70087A24"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Zenner et al. (2015)</w:t>
            </w:r>
          </w:p>
        </w:tc>
        <w:tc>
          <w:tcPr>
            <w:tcW w:w="2450" w:type="dxa"/>
            <w:tcBorders>
              <w:top w:val="dotted" w:sz="4" w:space="0" w:color="auto"/>
              <w:bottom w:val="dotted" w:sz="4" w:space="0" w:color="auto"/>
            </w:tcBorders>
          </w:tcPr>
          <w:p w14:paraId="758735FB" w14:textId="3E8F6649"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European beech forest</w:t>
            </w:r>
          </w:p>
        </w:tc>
        <w:tc>
          <w:tcPr>
            <w:tcW w:w="2835" w:type="dxa"/>
            <w:tcBorders>
              <w:top w:val="dotted" w:sz="4" w:space="0" w:color="auto"/>
              <w:bottom w:val="dotted" w:sz="4" w:space="0" w:color="auto"/>
            </w:tcBorders>
          </w:tcPr>
          <w:p w14:paraId="5F2ED744" w14:textId="052D020B"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10 ha primeval forest in the Ukrainian Carpathians</w:t>
            </w:r>
          </w:p>
        </w:tc>
        <w:tc>
          <w:tcPr>
            <w:tcW w:w="2548" w:type="dxa"/>
            <w:tcBorders>
              <w:top w:val="dotted" w:sz="4" w:space="0" w:color="auto"/>
              <w:bottom w:val="dotted" w:sz="4" w:space="0" w:color="auto"/>
            </w:tcBorders>
          </w:tcPr>
          <w:p w14:paraId="230539ED" w14:textId="178F0FA7"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sz w:val="20"/>
                <w:szCs w:val="20"/>
                <w:lang w:val="en-US"/>
              </w:rPr>
              <w:t>23</w:t>
            </w:r>
          </w:p>
        </w:tc>
      </w:tr>
      <w:tr w:rsidR="00F55C60" w:rsidRPr="00F55C60" w14:paraId="08648F44" w14:textId="77777777" w:rsidTr="006E5E6B">
        <w:trPr>
          <w:trHeight w:val="56"/>
        </w:trPr>
        <w:tc>
          <w:tcPr>
            <w:tcW w:w="1523" w:type="dxa"/>
            <w:tcBorders>
              <w:top w:val="dotted" w:sz="4" w:space="0" w:color="auto"/>
              <w:bottom w:val="single" w:sz="4" w:space="0" w:color="auto"/>
            </w:tcBorders>
          </w:tcPr>
          <w:p w14:paraId="710C3187" w14:textId="73D0DB0E"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b/>
                <w:bCs/>
                <w:sz w:val="20"/>
                <w:szCs w:val="20"/>
                <w:lang w:val="en-US"/>
              </w:rPr>
              <w:t>Vandekerkhove et al. (2018)</w:t>
            </w:r>
          </w:p>
        </w:tc>
        <w:tc>
          <w:tcPr>
            <w:tcW w:w="2450" w:type="dxa"/>
            <w:tcBorders>
              <w:top w:val="dotted" w:sz="4" w:space="0" w:color="auto"/>
              <w:bottom w:val="single" w:sz="4" w:space="0" w:color="auto"/>
            </w:tcBorders>
          </w:tcPr>
          <w:p w14:paraId="7BD4F18A" w14:textId="1E53E46D"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b/>
                <w:sz w:val="20"/>
                <w:szCs w:val="20"/>
                <w:lang w:val="en-US"/>
              </w:rPr>
              <w:t>European beech forest</w:t>
            </w:r>
          </w:p>
        </w:tc>
        <w:tc>
          <w:tcPr>
            <w:tcW w:w="2835" w:type="dxa"/>
            <w:tcBorders>
              <w:top w:val="dotted" w:sz="4" w:space="0" w:color="auto"/>
              <w:bottom w:val="single" w:sz="4" w:space="0" w:color="auto"/>
            </w:tcBorders>
          </w:tcPr>
          <w:p w14:paraId="334331BF" w14:textId="2AB4119A"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b/>
                <w:bCs/>
                <w:sz w:val="20"/>
                <w:szCs w:val="20"/>
                <w:lang w:val="en-US"/>
              </w:rPr>
              <w:t>68 studies/inventories in lowland old-growth beech forest across Europe</w:t>
            </w:r>
          </w:p>
        </w:tc>
        <w:tc>
          <w:tcPr>
            <w:tcW w:w="2548" w:type="dxa"/>
            <w:tcBorders>
              <w:top w:val="dotted" w:sz="4" w:space="0" w:color="auto"/>
              <w:bottom w:val="single" w:sz="4" w:space="0" w:color="auto"/>
            </w:tcBorders>
          </w:tcPr>
          <w:p w14:paraId="33D8348B" w14:textId="66582BF1" w:rsidR="00F55C60" w:rsidRPr="00F55C60" w:rsidRDefault="00F55C60" w:rsidP="00F55C60">
            <w:pPr>
              <w:spacing w:line="276" w:lineRule="auto"/>
              <w:rPr>
                <w:rFonts w:ascii="Times New Roman" w:hAnsi="Times New Roman" w:cs="Times New Roman"/>
                <w:sz w:val="20"/>
                <w:szCs w:val="20"/>
                <w:lang w:val="en-US"/>
              </w:rPr>
            </w:pPr>
            <w:r w:rsidRPr="00F55C60">
              <w:rPr>
                <w:rFonts w:ascii="Times New Roman" w:hAnsi="Times New Roman" w:cs="Times New Roman"/>
                <w:b/>
                <w:bCs/>
                <w:sz w:val="20"/>
                <w:szCs w:val="20"/>
                <w:lang w:val="en-US"/>
              </w:rPr>
              <w:t>5-20 (median 13)</w:t>
            </w:r>
          </w:p>
        </w:tc>
      </w:tr>
    </w:tbl>
    <w:p w14:paraId="59BF10DA" w14:textId="3F9DE0E9" w:rsidR="006E5E6B" w:rsidRDefault="006E5E6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768D496F" w14:textId="59B8BB4B" w:rsidR="00B540D9" w:rsidRPr="001318C5" w:rsidRDefault="00B540D9" w:rsidP="008A562F">
      <w:pPr>
        <w:spacing w:after="0" w:line="360" w:lineRule="auto"/>
        <w:jc w:val="both"/>
        <w:rPr>
          <w:rFonts w:ascii="Times New Roman" w:hAnsi="Times New Roman" w:cs="Times New Roman"/>
          <w:sz w:val="24"/>
          <w:szCs w:val="24"/>
          <w:lang w:val="en-US"/>
        </w:rPr>
      </w:pPr>
      <w:r w:rsidRPr="001318C5">
        <w:rPr>
          <w:rFonts w:ascii="Times New Roman" w:hAnsi="Times New Roman" w:cs="Times New Roman"/>
          <w:b/>
          <w:sz w:val="24"/>
          <w:szCs w:val="24"/>
          <w:lang w:val="en-US"/>
        </w:rPr>
        <w:lastRenderedPageBreak/>
        <w:t>Table S</w:t>
      </w:r>
      <w:r w:rsidR="006E5E6B">
        <w:rPr>
          <w:rFonts w:ascii="Times New Roman" w:hAnsi="Times New Roman" w:cs="Times New Roman"/>
          <w:b/>
          <w:sz w:val="24"/>
          <w:szCs w:val="24"/>
          <w:lang w:val="en-US"/>
        </w:rPr>
        <w:t>3</w:t>
      </w:r>
      <w:r w:rsidRPr="001318C5">
        <w:rPr>
          <w:rFonts w:ascii="Times New Roman" w:hAnsi="Times New Roman" w:cs="Times New Roman"/>
          <w:sz w:val="24"/>
          <w:szCs w:val="24"/>
          <w:lang w:val="en-US"/>
        </w:rPr>
        <w:t xml:space="preserve"> Pairwise contrasts of ForMIX and its components between forest types (managed spruce, pine, beech, oak forest as well as unmanaged forest) for 150 sites in three regions of Germany (Fig. S1). P-values are derived from the Tukey-method and based on Kenward-Roger approximated degrees of freedom. Significant contrasts (at p&lt;0.05) are shown in bold</w:t>
      </w:r>
    </w:p>
    <w:tbl>
      <w:tblPr>
        <w:tblStyle w:val="Tabellen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701"/>
        <w:gridCol w:w="992"/>
        <w:gridCol w:w="992"/>
      </w:tblGrid>
      <w:tr w:rsidR="00B540D9" w:rsidRPr="001318C5" w14:paraId="237ECEDA" w14:textId="77777777" w:rsidTr="007118BE">
        <w:trPr>
          <w:jc w:val="center"/>
        </w:trPr>
        <w:tc>
          <w:tcPr>
            <w:tcW w:w="3369" w:type="dxa"/>
            <w:tcBorders>
              <w:top w:val="single" w:sz="4" w:space="0" w:color="auto"/>
              <w:bottom w:val="single" w:sz="4" w:space="0" w:color="auto"/>
            </w:tcBorders>
          </w:tcPr>
          <w:p w14:paraId="25472EF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Contrast</w:t>
            </w:r>
          </w:p>
        </w:tc>
        <w:tc>
          <w:tcPr>
            <w:tcW w:w="1701" w:type="dxa"/>
            <w:tcBorders>
              <w:top w:val="single" w:sz="4" w:space="0" w:color="auto"/>
              <w:bottom w:val="single" w:sz="4" w:space="0" w:color="auto"/>
            </w:tcBorders>
          </w:tcPr>
          <w:p w14:paraId="36E0CB1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Estimate ± SE</w:t>
            </w:r>
          </w:p>
        </w:tc>
        <w:tc>
          <w:tcPr>
            <w:tcW w:w="992" w:type="dxa"/>
            <w:tcBorders>
              <w:top w:val="single" w:sz="4" w:space="0" w:color="auto"/>
              <w:bottom w:val="single" w:sz="4" w:space="0" w:color="auto"/>
            </w:tcBorders>
          </w:tcPr>
          <w:p w14:paraId="68DAF3C9"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i/>
                <w:sz w:val="20"/>
                <w:szCs w:val="20"/>
                <w:lang w:val="en-US"/>
              </w:rPr>
              <w:t>t</w:t>
            </w:r>
            <w:r w:rsidRPr="001318C5">
              <w:rPr>
                <w:rFonts w:ascii="Times New Roman" w:hAnsi="Times New Roman" w:cs="Times New Roman"/>
                <w:sz w:val="20"/>
                <w:szCs w:val="20"/>
                <w:lang w:val="en-US"/>
              </w:rPr>
              <w:t>-ratio</w:t>
            </w:r>
          </w:p>
        </w:tc>
        <w:tc>
          <w:tcPr>
            <w:tcW w:w="992" w:type="dxa"/>
            <w:tcBorders>
              <w:top w:val="single" w:sz="4" w:space="0" w:color="auto"/>
              <w:bottom w:val="single" w:sz="4" w:space="0" w:color="auto"/>
            </w:tcBorders>
          </w:tcPr>
          <w:p w14:paraId="32C7511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p-value</w:t>
            </w:r>
          </w:p>
        </w:tc>
      </w:tr>
      <w:tr w:rsidR="00B540D9" w:rsidRPr="001318C5" w14:paraId="171BA842" w14:textId="77777777" w:rsidTr="007118BE">
        <w:trPr>
          <w:jc w:val="center"/>
        </w:trPr>
        <w:tc>
          <w:tcPr>
            <w:tcW w:w="3369" w:type="dxa"/>
            <w:tcBorders>
              <w:top w:val="single" w:sz="4" w:space="0" w:color="auto"/>
            </w:tcBorders>
          </w:tcPr>
          <w:p w14:paraId="52D23F76" w14:textId="77777777" w:rsidR="00B540D9" w:rsidRPr="001318C5" w:rsidRDefault="00B540D9" w:rsidP="007118BE">
            <w:pPr>
              <w:spacing w:line="360" w:lineRule="auto"/>
              <w:jc w:val="both"/>
              <w:rPr>
                <w:rFonts w:ascii="Times New Roman" w:hAnsi="Times New Roman" w:cs="Times New Roman"/>
                <w:i/>
                <w:sz w:val="20"/>
                <w:szCs w:val="20"/>
                <w:lang w:val="en-US"/>
              </w:rPr>
            </w:pPr>
            <w:r w:rsidRPr="001318C5">
              <w:rPr>
                <w:rFonts w:ascii="Times New Roman" w:hAnsi="Times New Roman" w:cs="Times New Roman"/>
                <w:i/>
                <w:sz w:val="20"/>
                <w:szCs w:val="20"/>
                <w:lang w:val="en-US"/>
              </w:rPr>
              <w:t>ForMIX</w:t>
            </w:r>
          </w:p>
        </w:tc>
        <w:tc>
          <w:tcPr>
            <w:tcW w:w="1701" w:type="dxa"/>
            <w:tcBorders>
              <w:top w:val="single" w:sz="4" w:space="0" w:color="auto"/>
            </w:tcBorders>
          </w:tcPr>
          <w:p w14:paraId="66D96988" w14:textId="77777777" w:rsidR="00B540D9" w:rsidRPr="001318C5" w:rsidRDefault="00B540D9" w:rsidP="007118BE">
            <w:pPr>
              <w:spacing w:line="360" w:lineRule="auto"/>
              <w:jc w:val="both"/>
              <w:rPr>
                <w:rFonts w:ascii="Times New Roman" w:hAnsi="Times New Roman" w:cs="Times New Roman"/>
                <w:b/>
                <w:sz w:val="20"/>
                <w:szCs w:val="20"/>
                <w:lang w:val="en-US"/>
              </w:rPr>
            </w:pPr>
          </w:p>
        </w:tc>
        <w:tc>
          <w:tcPr>
            <w:tcW w:w="992" w:type="dxa"/>
            <w:tcBorders>
              <w:top w:val="single" w:sz="4" w:space="0" w:color="auto"/>
            </w:tcBorders>
          </w:tcPr>
          <w:p w14:paraId="3DB2742D" w14:textId="77777777" w:rsidR="00B540D9" w:rsidRPr="001318C5" w:rsidRDefault="00B540D9" w:rsidP="007118BE">
            <w:pPr>
              <w:spacing w:line="360" w:lineRule="auto"/>
              <w:jc w:val="both"/>
              <w:rPr>
                <w:rFonts w:ascii="Times New Roman" w:hAnsi="Times New Roman" w:cs="Times New Roman"/>
                <w:b/>
                <w:sz w:val="20"/>
                <w:szCs w:val="20"/>
                <w:lang w:val="en-US"/>
              </w:rPr>
            </w:pPr>
          </w:p>
        </w:tc>
        <w:tc>
          <w:tcPr>
            <w:tcW w:w="992" w:type="dxa"/>
            <w:tcBorders>
              <w:top w:val="single" w:sz="4" w:space="0" w:color="auto"/>
            </w:tcBorders>
          </w:tcPr>
          <w:p w14:paraId="021FC029" w14:textId="77777777" w:rsidR="00B540D9" w:rsidRPr="001318C5" w:rsidRDefault="00B540D9" w:rsidP="007118BE">
            <w:pPr>
              <w:spacing w:line="360" w:lineRule="auto"/>
              <w:jc w:val="both"/>
              <w:rPr>
                <w:rFonts w:ascii="Times New Roman" w:hAnsi="Times New Roman" w:cs="Times New Roman"/>
                <w:b/>
                <w:sz w:val="20"/>
                <w:szCs w:val="20"/>
                <w:lang w:val="en-US"/>
              </w:rPr>
            </w:pPr>
          </w:p>
        </w:tc>
      </w:tr>
      <w:tr w:rsidR="00B540D9" w:rsidRPr="001318C5" w14:paraId="1E935F5F" w14:textId="77777777" w:rsidTr="007118BE">
        <w:trPr>
          <w:jc w:val="center"/>
        </w:trPr>
        <w:tc>
          <w:tcPr>
            <w:tcW w:w="3369" w:type="dxa"/>
          </w:tcPr>
          <w:p w14:paraId="1B12AAC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Pine</w:t>
            </w:r>
          </w:p>
        </w:tc>
        <w:tc>
          <w:tcPr>
            <w:tcW w:w="1701" w:type="dxa"/>
          </w:tcPr>
          <w:p w14:paraId="362E1A4A"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-0.104 ± 0.128</w:t>
            </w:r>
          </w:p>
        </w:tc>
        <w:tc>
          <w:tcPr>
            <w:tcW w:w="992" w:type="dxa"/>
          </w:tcPr>
          <w:p w14:paraId="21B350BE"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-0.807</w:t>
            </w:r>
          </w:p>
        </w:tc>
        <w:tc>
          <w:tcPr>
            <w:tcW w:w="992" w:type="dxa"/>
          </w:tcPr>
          <w:p w14:paraId="772D43EA"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0.928</w:t>
            </w:r>
          </w:p>
        </w:tc>
      </w:tr>
      <w:tr w:rsidR="00B540D9" w:rsidRPr="001318C5" w14:paraId="1E8D178F" w14:textId="77777777" w:rsidTr="007118BE">
        <w:trPr>
          <w:jc w:val="center"/>
        </w:trPr>
        <w:tc>
          <w:tcPr>
            <w:tcW w:w="3369" w:type="dxa"/>
          </w:tcPr>
          <w:p w14:paraId="16BE80A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Beech</w:t>
            </w:r>
          </w:p>
        </w:tc>
        <w:tc>
          <w:tcPr>
            <w:tcW w:w="1701" w:type="dxa"/>
          </w:tcPr>
          <w:p w14:paraId="25594E0C"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0.977 ± 0.086</w:t>
            </w:r>
          </w:p>
        </w:tc>
        <w:tc>
          <w:tcPr>
            <w:tcW w:w="992" w:type="dxa"/>
          </w:tcPr>
          <w:p w14:paraId="6E13E69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11.316</w:t>
            </w:r>
          </w:p>
        </w:tc>
        <w:tc>
          <w:tcPr>
            <w:tcW w:w="992" w:type="dxa"/>
          </w:tcPr>
          <w:p w14:paraId="0C832773"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7011968C" w14:textId="77777777" w:rsidTr="007118BE">
        <w:trPr>
          <w:jc w:val="center"/>
        </w:trPr>
        <w:tc>
          <w:tcPr>
            <w:tcW w:w="3369" w:type="dxa"/>
          </w:tcPr>
          <w:p w14:paraId="25CD85F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Oak</w:t>
            </w:r>
          </w:p>
        </w:tc>
        <w:tc>
          <w:tcPr>
            <w:tcW w:w="1701" w:type="dxa"/>
          </w:tcPr>
          <w:p w14:paraId="589842D8"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0.997 ± 0.156</w:t>
            </w:r>
          </w:p>
        </w:tc>
        <w:tc>
          <w:tcPr>
            <w:tcW w:w="992" w:type="dxa"/>
          </w:tcPr>
          <w:p w14:paraId="64493F9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6.379</w:t>
            </w:r>
          </w:p>
        </w:tc>
        <w:tc>
          <w:tcPr>
            <w:tcW w:w="992" w:type="dxa"/>
          </w:tcPr>
          <w:p w14:paraId="69189B7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5060F85E" w14:textId="77777777" w:rsidTr="007118BE">
        <w:trPr>
          <w:jc w:val="center"/>
        </w:trPr>
        <w:tc>
          <w:tcPr>
            <w:tcW w:w="3369" w:type="dxa"/>
          </w:tcPr>
          <w:p w14:paraId="6DC96308"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unmanaged</w:t>
            </w:r>
          </w:p>
        </w:tc>
        <w:tc>
          <w:tcPr>
            <w:tcW w:w="1701" w:type="dxa"/>
          </w:tcPr>
          <w:p w14:paraId="61E9129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1.428 ± 0.103</w:t>
            </w:r>
          </w:p>
        </w:tc>
        <w:tc>
          <w:tcPr>
            <w:tcW w:w="992" w:type="dxa"/>
          </w:tcPr>
          <w:p w14:paraId="457AAE87"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13.819</w:t>
            </w:r>
          </w:p>
        </w:tc>
        <w:tc>
          <w:tcPr>
            <w:tcW w:w="992" w:type="dxa"/>
          </w:tcPr>
          <w:p w14:paraId="0E864710"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2E0FB071" w14:textId="77777777" w:rsidTr="007118BE">
        <w:trPr>
          <w:jc w:val="center"/>
        </w:trPr>
        <w:tc>
          <w:tcPr>
            <w:tcW w:w="3369" w:type="dxa"/>
          </w:tcPr>
          <w:p w14:paraId="332519E5"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Beech</w:t>
            </w:r>
          </w:p>
        </w:tc>
        <w:tc>
          <w:tcPr>
            <w:tcW w:w="1701" w:type="dxa"/>
          </w:tcPr>
          <w:p w14:paraId="315F47AD"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1.080 ± 0.096</w:t>
            </w:r>
          </w:p>
        </w:tc>
        <w:tc>
          <w:tcPr>
            <w:tcW w:w="992" w:type="dxa"/>
          </w:tcPr>
          <w:p w14:paraId="2F4D7763"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11.301</w:t>
            </w:r>
          </w:p>
        </w:tc>
        <w:tc>
          <w:tcPr>
            <w:tcW w:w="992" w:type="dxa"/>
          </w:tcPr>
          <w:p w14:paraId="49E9EC0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48C738B4" w14:textId="77777777" w:rsidTr="007118BE">
        <w:trPr>
          <w:jc w:val="center"/>
        </w:trPr>
        <w:tc>
          <w:tcPr>
            <w:tcW w:w="3369" w:type="dxa"/>
          </w:tcPr>
          <w:p w14:paraId="2AF09CD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Oak</w:t>
            </w:r>
          </w:p>
        </w:tc>
        <w:tc>
          <w:tcPr>
            <w:tcW w:w="1701" w:type="dxa"/>
          </w:tcPr>
          <w:p w14:paraId="6BBEC4D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1.101 ± 0.129</w:t>
            </w:r>
          </w:p>
        </w:tc>
        <w:tc>
          <w:tcPr>
            <w:tcW w:w="992" w:type="dxa"/>
          </w:tcPr>
          <w:p w14:paraId="109358C9"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8.556</w:t>
            </w:r>
          </w:p>
        </w:tc>
        <w:tc>
          <w:tcPr>
            <w:tcW w:w="992" w:type="dxa"/>
          </w:tcPr>
          <w:p w14:paraId="7FC1CC4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1975B118" w14:textId="77777777" w:rsidTr="007118BE">
        <w:trPr>
          <w:jc w:val="center"/>
        </w:trPr>
        <w:tc>
          <w:tcPr>
            <w:tcW w:w="3369" w:type="dxa"/>
          </w:tcPr>
          <w:p w14:paraId="1DD73B1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unmanaged</w:t>
            </w:r>
          </w:p>
        </w:tc>
        <w:tc>
          <w:tcPr>
            <w:tcW w:w="1701" w:type="dxa"/>
          </w:tcPr>
          <w:p w14:paraId="6503ACB0"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1.532 ± 0.104</w:t>
            </w:r>
          </w:p>
        </w:tc>
        <w:tc>
          <w:tcPr>
            <w:tcW w:w="992" w:type="dxa"/>
          </w:tcPr>
          <w:p w14:paraId="5904BE0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14.725</w:t>
            </w:r>
          </w:p>
        </w:tc>
        <w:tc>
          <w:tcPr>
            <w:tcW w:w="992" w:type="dxa"/>
          </w:tcPr>
          <w:p w14:paraId="25FA96B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1EA7CD59" w14:textId="77777777" w:rsidTr="007118BE">
        <w:trPr>
          <w:jc w:val="center"/>
        </w:trPr>
        <w:tc>
          <w:tcPr>
            <w:tcW w:w="3369" w:type="dxa"/>
          </w:tcPr>
          <w:p w14:paraId="5317B6CA"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Beech – Oak</w:t>
            </w:r>
          </w:p>
        </w:tc>
        <w:tc>
          <w:tcPr>
            <w:tcW w:w="1701" w:type="dxa"/>
          </w:tcPr>
          <w:p w14:paraId="4FCC51C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0.021 ± 0.131</w:t>
            </w:r>
          </w:p>
        </w:tc>
        <w:tc>
          <w:tcPr>
            <w:tcW w:w="992" w:type="dxa"/>
          </w:tcPr>
          <w:p w14:paraId="6C6921F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0.158</w:t>
            </w:r>
          </w:p>
        </w:tc>
        <w:tc>
          <w:tcPr>
            <w:tcW w:w="992" w:type="dxa"/>
          </w:tcPr>
          <w:p w14:paraId="184809AC"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1.000</w:t>
            </w:r>
          </w:p>
        </w:tc>
      </w:tr>
      <w:tr w:rsidR="00B540D9" w:rsidRPr="001318C5" w14:paraId="7CCA94C8" w14:textId="77777777" w:rsidTr="007118BE">
        <w:trPr>
          <w:jc w:val="center"/>
        </w:trPr>
        <w:tc>
          <w:tcPr>
            <w:tcW w:w="3369" w:type="dxa"/>
          </w:tcPr>
          <w:p w14:paraId="267D9C3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Beech – unmanaged</w:t>
            </w:r>
          </w:p>
        </w:tc>
        <w:tc>
          <w:tcPr>
            <w:tcW w:w="1701" w:type="dxa"/>
          </w:tcPr>
          <w:p w14:paraId="3BDE8508"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0.452 ± 0.068</w:t>
            </w:r>
          </w:p>
        </w:tc>
        <w:tc>
          <w:tcPr>
            <w:tcW w:w="992" w:type="dxa"/>
          </w:tcPr>
          <w:p w14:paraId="62A24D5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6.622</w:t>
            </w:r>
          </w:p>
        </w:tc>
        <w:tc>
          <w:tcPr>
            <w:tcW w:w="992" w:type="dxa"/>
          </w:tcPr>
          <w:p w14:paraId="077DB662"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5305A96A" w14:textId="77777777" w:rsidTr="007118BE">
        <w:trPr>
          <w:jc w:val="center"/>
        </w:trPr>
        <w:tc>
          <w:tcPr>
            <w:tcW w:w="3369" w:type="dxa"/>
          </w:tcPr>
          <w:p w14:paraId="02BAABE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Oak – unmanaged</w:t>
            </w:r>
          </w:p>
        </w:tc>
        <w:tc>
          <w:tcPr>
            <w:tcW w:w="1701" w:type="dxa"/>
          </w:tcPr>
          <w:p w14:paraId="4E6272E5"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0.431 ± 0.137</w:t>
            </w:r>
          </w:p>
        </w:tc>
        <w:tc>
          <w:tcPr>
            <w:tcW w:w="992" w:type="dxa"/>
          </w:tcPr>
          <w:p w14:paraId="31DEA63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3.143</w:t>
            </w:r>
          </w:p>
        </w:tc>
        <w:tc>
          <w:tcPr>
            <w:tcW w:w="992" w:type="dxa"/>
          </w:tcPr>
          <w:p w14:paraId="459A7EF7"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0.017</w:t>
            </w:r>
          </w:p>
        </w:tc>
      </w:tr>
      <w:tr w:rsidR="00B540D9" w:rsidRPr="001318C5" w14:paraId="2C17FDDF" w14:textId="77777777" w:rsidTr="007118BE">
        <w:trPr>
          <w:jc w:val="center"/>
        </w:trPr>
        <w:tc>
          <w:tcPr>
            <w:tcW w:w="3369" w:type="dxa"/>
          </w:tcPr>
          <w:p w14:paraId="1B411FA0"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1701" w:type="dxa"/>
          </w:tcPr>
          <w:p w14:paraId="2C6707FB"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07A9ED45"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1D0035AD"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328EF612" w14:textId="77777777" w:rsidTr="007118BE">
        <w:trPr>
          <w:jc w:val="center"/>
        </w:trPr>
        <w:tc>
          <w:tcPr>
            <w:tcW w:w="3369" w:type="dxa"/>
          </w:tcPr>
          <w:p w14:paraId="2F732D8D" w14:textId="77777777" w:rsidR="00B540D9" w:rsidRPr="001318C5" w:rsidRDefault="00B540D9" w:rsidP="007118BE">
            <w:pPr>
              <w:spacing w:line="360" w:lineRule="auto"/>
              <w:jc w:val="both"/>
              <w:rPr>
                <w:rFonts w:ascii="Times New Roman" w:hAnsi="Times New Roman" w:cs="Times New Roman"/>
                <w:i/>
                <w:sz w:val="20"/>
                <w:szCs w:val="20"/>
                <w:lang w:val="en-US"/>
              </w:rPr>
            </w:pPr>
            <w:r w:rsidRPr="001318C5">
              <w:rPr>
                <w:rFonts w:ascii="Times New Roman" w:hAnsi="Times New Roman" w:cs="Times New Roman"/>
                <w:i/>
                <w:sz w:val="20"/>
                <w:szCs w:val="20"/>
                <w:lang w:val="en-US"/>
              </w:rPr>
              <w:t>Tree species composition</w:t>
            </w:r>
          </w:p>
        </w:tc>
        <w:tc>
          <w:tcPr>
            <w:tcW w:w="1701" w:type="dxa"/>
          </w:tcPr>
          <w:p w14:paraId="70A75662"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5EA9D779"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34BC301F"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0E18B661" w14:textId="77777777" w:rsidTr="007118BE">
        <w:trPr>
          <w:jc w:val="center"/>
        </w:trPr>
        <w:tc>
          <w:tcPr>
            <w:tcW w:w="3369" w:type="dxa"/>
          </w:tcPr>
          <w:p w14:paraId="3182DE17"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Pine</w:t>
            </w:r>
          </w:p>
        </w:tc>
        <w:tc>
          <w:tcPr>
            <w:tcW w:w="1701" w:type="dxa"/>
          </w:tcPr>
          <w:p w14:paraId="048EF22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0.065 ± 0.047</w:t>
            </w:r>
          </w:p>
        </w:tc>
        <w:tc>
          <w:tcPr>
            <w:tcW w:w="992" w:type="dxa"/>
          </w:tcPr>
          <w:p w14:paraId="7AEB59F6"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1.368</w:t>
            </w:r>
          </w:p>
        </w:tc>
        <w:tc>
          <w:tcPr>
            <w:tcW w:w="992" w:type="dxa"/>
          </w:tcPr>
          <w:p w14:paraId="31E7363E"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0.650</w:t>
            </w:r>
          </w:p>
        </w:tc>
      </w:tr>
      <w:tr w:rsidR="00B540D9" w:rsidRPr="001318C5" w14:paraId="11506026" w14:textId="77777777" w:rsidTr="007118BE">
        <w:trPr>
          <w:jc w:val="center"/>
        </w:trPr>
        <w:tc>
          <w:tcPr>
            <w:tcW w:w="3369" w:type="dxa"/>
          </w:tcPr>
          <w:p w14:paraId="6519502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Beech</w:t>
            </w:r>
          </w:p>
        </w:tc>
        <w:tc>
          <w:tcPr>
            <w:tcW w:w="1701" w:type="dxa"/>
          </w:tcPr>
          <w:p w14:paraId="1724A26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0.906 ± 0.031</w:t>
            </w:r>
          </w:p>
        </w:tc>
        <w:tc>
          <w:tcPr>
            <w:tcW w:w="992" w:type="dxa"/>
          </w:tcPr>
          <w:p w14:paraId="73768EF9"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29.250</w:t>
            </w:r>
          </w:p>
        </w:tc>
        <w:tc>
          <w:tcPr>
            <w:tcW w:w="992" w:type="dxa"/>
          </w:tcPr>
          <w:p w14:paraId="2657CC9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4FCFEBE7" w14:textId="77777777" w:rsidTr="007118BE">
        <w:trPr>
          <w:jc w:val="center"/>
        </w:trPr>
        <w:tc>
          <w:tcPr>
            <w:tcW w:w="3369" w:type="dxa"/>
          </w:tcPr>
          <w:p w14:paraId="53855A7C"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Oak</w:t>
            </w:r>
          </w:p>
        </w:tc>
        <w:tc>
          <w:tcPr>
            <w:tcW w:w="1701" w:type="dxa"/>
          </w:tcPr>
          <w:p w14:paraId="3DED283B"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0.942 ± 0.058</w:t>
            </w:r>
          </w:p>
        </w:tc>
        <w:tc>
          <w:tcPr>
            <w:tcW w:w="992" w:type="dxa"/>
          </w:tcPr>
          <w:p w14:paraId="4E2D297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16.360</w:t>
            </w:r>
          </w:p>
        </w:tc>
        <w:tc>
          <w:tcPr>
            <w:tcW w:w="992" w:type="dxa"/>
          </w:tcPr>
          <w:p w14:paraId="359C7F6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3366F386" w14:textId="77777777" w:rsidTr="007118BE">
        <w:trPr>
          <w:jc w:val="center"/>
        </w:trPr>
        <w:tc>
          <w:tcPr>
            <w:tcW w:w="3369" w:type="dxa"/>
          </w:tcPr>
          <w:p w14:paraId="7699EF2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unmanaged</w:t>
            </w:r>
          </w:p>
        </w:tc>
        <w:tc>
          <w:tcPr>
            <w:tcW w:w="1701" w:type="dxa"/>
          </w:tcPr>
          <w:p w14:paraId="0A79B7F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0.921 ± 0.037</w:t>
            </w:r>
          </w:p>
        </w:tc>
        <w:tc>
          <w:tcPr>
            <w:tcW w:w="992" w:type="dxa"/>
          </w:tcPr>
          <w:p w14:paraId="7A943D8C"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24.601</w:t>
            </w:r>
          </w:p>
        </w:tc>
        <w:tc>
          <w:tcPr>
            <w:tcW w:w="992" w:type="dxa"/>
          </w:tcPr>
          <w:p w14:paraId="240A1F7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27486134" w14:textId="77777777" w:rsidTr="007118BE">
        <w:trPr>
          <w:jc w:val="center"/>
        </w:trPr>
        <w:tc>
          <w:tcPr>
            <w:tcW w:w="3369" w:type="dxa"/>
          </w:tcPr>
          <w:p w14:paraId="0F9931D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Beech</w:t>
            </w:r>
          </w:p>
        </w:tc>
        <w:tc>
          <w:tcPr>
            <w:tcW w:w="1701" w:type="dxa"/>
          </w:tcPr>
          <w:p w14:paraId="031A275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0.842 ± 0.036</w:t>
            </w:r>
          </w:p>
        </w:tc>
        <w:tc>
          <w:tcPr>
            <w:tcW w:w="992" w:type="dxa"/>
          </w:tcPr>
          <w:p w14:paraId="1D637EA9"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23.593</w:t>
            </w:r>
          </w:p>
        </w:tc>
        <w:tc>
          <w:tcPr>
            <w:tcW w:w="992" w:type="dxa"/>
          </w:tcPr>
          <w:p w14:paraId="0CFED545"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46BB8799" w14:textId="77777777" w:rsidTr="007118BE">
        <w:trPr>
          <w:jc w:val="center"/>
        </w:trPr>
        <w:tc>
          <w:tcPr>
            <w:tcW w:w="3369" w:type="dxa"/>
          </w:tcPr>
          <w:p w14:paraId="1EC5D70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Oak</w:t>
            </w:r>
          </w:p>
        </w:tc>
        <w:tc>
          <w:tcPr>
            <w:tcW w:w="1701" w:type="dxa"/>
          </w:tcPr>
          <w:p w14:paraId="26D6871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0.878 ± 0.048</w:t>
            </w:r>
          </w:p>
        </w:tc>
        <w:tc>
          <w:tcPr>
            <w:tcW w:w="992" w:type="dxa"/>
          </w:tcPr>
          <w:p w14:paraId="0F09B15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18.403</w:t>
            </w:r>
          </w:p>
        </w:tc>
        <w:tc>
          <w:tcPr>
            <w:tcW w:w="992" w:type="dxa"/>
          </w:tcPr>
          <w:p w14:paraId="01E4EF43"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41CA8B40" w14:textId="77777777" w:rsidTr="007118BE">
        <w:trPr>
          <w:jc w:val="center"/>
        </w:trPr>
        <w:tc>
          <w:tcPr>
            <w:tcW w:w="3369" w:type="dxa"/>
          </w:tcPr>
          <w:p w14:paraId="234DE382"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unmanaged</w:t>
            </w:r>
          </w:p>
        </w:tc>
        <w:tc>
          <w:tcPr>
            <w:tcW w:w="1701" w:type="dxa"/>
          </w:tcPr>
          <w:p w14:paraId="7E1DC46B"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0.856 ± 0.039</w:t>
            </w:r>
          </w:p>
        </w:tc>
        <w:tc>
          <w:tcPr>
            <w:tcW w:w="992" w:type="dxa"/>
          </w:tcPr>
          <w:p w14:paraId="5705470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22.083</w:t>
            </w:r>
          </w:p>
        </w:tc>
        <w:tc>
          <w:tcPr>
            <w:tcW w:w="992" w:type="dxa"/>
          </w:tcPr>
          <w:p w14:paraId="0083226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2777D2C3" w14:textId="77777777" w:rsidTr="007118BE">
        <w:trPr>
          <w:jc w:val="center"/>
        </w:trPr>
        <w:tc>
          <w:tcPr>
            <w:tcW w:w="3369" w:type="dxa"/>
          </w:tcPr>
          <w:p w14:paraId="124CEFF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Beech – Oak</w:t>
            </w:r>
          </w:p>
        </w:tc>
        <w:tc>
          <w:tcPr>
            <w:tcW w:w="1701" w:type="dxa"/>
          </w:tcPr>
          <w:p w14:paraId="2C9DBFC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0.036 ± 0.049</w:t>
            </w:r>
          </w:p>
        </w:tc>
        <w:tc>
          <w:tcPr>
            <w:tcW w:w="992" w:type="dxa"/>
          </w:tcPr>
          <w:p w14:paraId="3AD2025D"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0.736</w:t>
            </w:r>
          </w:p>
        </w:tc>
        <w:tc>
          <w:tcPr>
            <w:tcW w:w="992" w:type="dxa"/>
          </w:tcPr>
          <w:p w14:paraId="25B18CE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0.948</w:t>
            </w:r>
          </w:p>
        </w:tc>
      </w:tr>
      <w:tr w:rsidR="00B540D9" w:rsidRPr="001318C5" w14:paraId="1547F607" w14:textId="77777777" w:rsidTr="007118BE">
        <w:trPr>
          <w:jc w:val="center"/>
        </w:trPr>
        <w:tc>
          <w:tcPr>
            <w:tcW w:w="3369" w:type="dxa"/>
          </w:tcPr>
          <w:p w14:paraId="3ADD4FF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Beech – unmanaged</w:t>
            </w:r>
          </w:p>
        </w:tc>
        <w:tc>
          <w:tcPr>
            <w:tcW w:w="1701" w:type="dxa"/>
          </w:tcPr>
          <w:p w14:paraId="5750A6DE"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0.014 ± 0.025</w:t>
            </w:r>
          </w:p>
        </w:tc>
        <w:tc>
          <w:tcPr>
            <w:tcW w:w="992" w:type="dxa"/>
          </w:tcPr>
          <w:p w14:paraId="4C1E7614"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0.570</w:t>
            </w:r>
          </w:p>
        </w:tc>
        <w:tc>
          <w:tcPr>
            <w:tcW w:w="992" w:type="dxa"/>
          </w:tcPr>
          <w:p w14:paraId="47A4B887"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0.979</w:t>
            </w:r>
          </w:p>
        </w:tc>
      </w:tr>
      <w:tr w:rsidR="00B540D9" w:rsidRPr="001318C5" w14:paraId="47401CD1" w14:textId="77777777" w:rsidTr="007118BE">
        <w:trPr>
          <w:jc w:val="center"/>
        </w:trPr>
        <w:tc>
          <w:tcPr>
            <w:tcW w:w="3369" w:type="dxa"/>
          </w:tcPr>
          <w:p w14:paraId="04B61C0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Oak – unmanaged</w:t>
            </w:r>
          </w:p>
        </w:tc>
        <w:tc>
          <w:tcPr>
            <w:tcW w:w="1701" w:type="dxa"/>
          </w:tcPr>
          <w:p w14:paraId="595CDAF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-0.021 ± 0.051</w:t>
            </w:r>
          </w:p>
        </w:tc>
        <w:tc>
          <w:tcPr>
            <w:tcW w:w="992" w:type="dxa"/>
          </w:tcPr>
          <w:p w14:paraId="5A49A4C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-0.419</w:t>
            </w:r>
          </w:p>
        </w:tc>
        <w:tc>
          <w:tcPr>
            <w:tcW w:w="992" w:type="dxa"/>
          </w:tcPr>
          <w:p w14:paraId="56424439"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0.994</w:t>
            </w:r>
          </w:p>
        </w:tc>
      </w:tr>
      <w:tr w:rsidR="00B540D9" w:rsidRPr="001318C5" w14:paraId="415FA064" w14:textId="77777777" w:rsidTr="007118BE">
        <w:trPr>
          <w:jc w:val="center"/>
        </w:trPr>
        <w:tc>
          <w:tcPr>
            <w:tcW w:w="3369" w:type="dxa"/>
          </w:tcPr>
          <w:p w14:paraId="019E5D2A"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1701" w:type="dxa"/>
          </w:tcPr>
          <w:p w14:paraId="3368C291"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54FCF1E4"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06D8AC88"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77872803" w14:textId="77777777" w:rsidTr="007118BE">
        <w:trPr>
          <w:jc w:val="center"/>
        </w:trPr>
        <w:tc>
          <w:tcPr>
            <w:tcW w:w="3369" w:type="dxa"/>
          </w:tcPr>
          <w:p w14:paraId="0C990502" w14:textId="77777777" w:rsidR="00B540D9" w:rsidRPr="001318C5" w:rsidRDefault="00B540D9" w:rsidP="007118BE">
            <w:pPr>
              <w:spacing w:line="360" w:lineRule="auto"/>
              <w:jc w:val="both"/>
              <w:rPr>
                <w:rFonts w:ascii="Times New Roman" w:hAnsi="Times New Roman" w:cs="Times New Roman"/>
                <w:i/>
                <w:sz w:val="20"/>
                <w:szCs w:val="20"/>
                <w:lang w:val="en-US"/>
              </w:rPr>
            </w:pPr>
            <w:r w:rsidRPr="001318C5">
              <w:rPr>
                <w:rFonts w:ascii="Times New Roman" w:hAnsi="Times New Roman" w:cs="Times New Roman"/>
                <w:i/>
                <w:sz w:val="20"/>
                <w:szCs w:val="20"/>
                <w:lang w:val="en-US"/>
              </w:rPr>
              <w:t>Deadwood availability</w:t>
            </w:r>
          </w:p>
        </w:tc>
        <w:tc>
          <w:tcPr>
            <w:tcW w:w="1701" w:type="dxa"/>
          </w:tcPr>
          <w:p w14:paraId="6561C7AF"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733679FC"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0BF2AA97"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41765C06" w14:textId="77777777" w:rsidTr="007118BE">
        <w:trPr>
          <w:jc w:val="center"/>
        </w:trPr>
        <w:tc>
          <w:tcPr>
            <w:tcW w:w="3369" w:type="dxa"/>
          </w:tcPr>
          <w:p w14:paraId="1716EE0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Pine</w:t>
            </w:r>
          </w:p>
        </w:tc>
        <w:tc>
          <w:tcPr>
            <w:tcW w:w="1701" w:type="dxa"/>
          </w:tcPr>
          <w:p w14:paraId="65B674F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-0.064 ± 0.072</w:t>
            </w:r>
          </w:p>
        </w:tc>
        <w:tc>
          <w:tcPr>
            <w:tcW w:w="992" w:type="dxa"/>
          </w:tcPr>
          <w:p w14:paraId="23B1C2D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-0.885</w:t>
            </w:r>
          </w:p>
        </w:tc>
        <w:tc>
          <w:tcPr>
            <w:tcW w:w="992" w:type="dxa"/>
          </w:tcPr>
          <w:p w14:paraId="758D1BF4"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0.901</w:t>
            </w:r>
          </w:p>
        </w:tc>
      </w:tr>
      <w:tr w:rsidR="00B540D9" w:rsidRPr="001318C5" w14:paraId="5352CF86" w14:textId="77777777" w:rsidTr="007118BE">
        <w:trPr>
          <w:jc w:val="center"/>
        </w:trPr>
        <w:tc>
          <w:tcPr>
            <w:tcW w:w="3369" w:type="dxa"/>
          </w:tcPr>
          <w:p w14:paraId="74B519BC"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Beech</w:t>
            </w:r>
          </w:p>
        </w:tc>
        <w:tc>
          <w:tcPr>
            <w:tcW w:w="1701" w:type="dxa"/>
          </w:tcPr>
          <w:p w14:paraId="62A92D0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0.007 ± 0.048</w:t>
            </w:r>
          </w:p>
        </w:tc>
        <w:tc>
          <w:tcPr>
            <w:tcW w:w="992" w:type="dxa"/>
          </w:tcPr>
          <w:p w14:paraId="0F31E0A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0.152</w:t>
            </w:r>
          </w:p>
        </w:tc>
        <w:tc>
          <w:tcPr>
            <w:tcW w:w="992" w:type="dxa"/>
          </w:tcPr>
          <w:p w14:paraId="07834DF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1.000</w:t>
            </w:r>
          </w:p>
        </w:tc>
      </w:tr>
      <w:tr w:rsidR="00B540D9" w:rsidRPr="001318C5" w14:paraId="2A4F40F7" w14:textId="77777777" w:rsidTr="007118BE">
        <w:trPr>
          <w:jc w:val="center"/>
        </w:trPr>
        <w:tc>
          <w:tcPr>
            <w:tcW w:w="3369" w:type="dxa"/>
          </w:tcPr>
          <w:p w14:paraId="2AF03CDF"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Oak</w:t>
            </w:r>
          </w:p>
        </w:tc>
        <w:tc>
          <w:tcPr>
            <w:tcW w:w="1701" w:type="dxa"/>
          </w:tcPr>
          <w:p w14:paraId="5D5BEDC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-0.152 ± 0.088</w:t>
            </w:r>
          </w:p>
        </w:tc>
        <w:tc>
          <w:tcPr>
            <w:tcW w:w="992" w:type="dxa"/>
          </w:tcPr>
          <w:p w14:paraId="2ABE096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-1.741</w:t>
            </w:r>
          </w:p>
        </w:tc>
        <w:tc>
          <w:tcPr>
            <w:tcW w:w="992" w:type="dxa"/>
          </w:tcPr>
          <w:p w14:paraId="577B253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0.416</w:t>
            </w:r>
          </w:p>
        </w:tc>
      </w:tr>
      <w:tr w:rsidR="00B540D9" w:rsidRPr="001318C5" w14:paraId="0B1F3425" w14:textId="77777777" w:rsidTr="007118BE">
        <w:trPr>
          <w:jc w:val="center"/>
        </w:trPr>
        <w:tc>
          <w:tcPr>
            <w:tcW w:w="3369" w:type="dxa"/>
          </w:tcPr>
          <w:p w14:paraId="3D7C0DFC"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unmanaged</w:t>
            </w:r>
          </w:p>
        </w:tc>
        <w:tc>
          <w:tcPr>
            <w:tcW w:w="1701" w:type="dxa"/>
          </w:tcPr>
          <w:p w14:paraId="5B31569C"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0.083 ± 0.058</w:t>
            </w:r>
          </w:p>
        </w:tc>
        <w:tc>
          <w:tcPr>
            <w:tcW w:w="992" w:type="dxa"/>
          </w:tcPr>
          <w:p w14:paraId="0ED4854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1.419</w:t>
            </w:r>
          </w:p>
        </w:tc>
        <w:tc>
          <w:tcPr>
            <w:tcW w:w="992" w:type="dxa"/>
          </w:tcPr>
          <w:p w14:paraId="0A08B54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0.616</w:t>
            </w:r>
          </w:p>
        </w:tc>
      </w:tr>
      <w:tr w:rsidR="00B540D9" w:rsidRPr="001318C5" w14:paraId="37775215" w14:textId="77777777" w:rsidTr="007118BE">
        <w:trPr>
          <w:jc w:val="center"/>
        </w:trPr>
        <w:tc>
          <w:tcPr>
            <w:tcW w:w="3369" w:type="dxa"/>
          </w:tcPr>
          <w:p w14:paraId="472030A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Pine – Beech</w:t>
            </w:r>
          </w:p>
        </w:tc>
        <w:tc>
          <w:tcPr>
            <w:tcW w:w="1701" w:type="dxa"/>
          </w:tcPr>
          <w:p w14:paraId="38F66B6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0.071 ± 0.054</w:t>
            </w:r>
          </w:p>
        </w:tc>
        <w:tc>
          <w:tcPr>
            <w:tcW w:w="992" w:type="dxa"/>
          </w:tcPr>
          <w:p w14:paraId="6082286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1.326</w:t>
            </w:r>
          </w:p>
        </w:tc>
        <w:tc>
          <w:tcPr>
            <w:tcW w:w="992" w:type="dxa"/>
          </w:tcPr>
          <w:p w14:paraId="7C53D74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0.677</w:t>
            </w:r>
          </w:p>
        </w:tc>
      </w:tr>
      <w:tr w:rsidR="00B540D9" w:rsidRPr="001318C5" w14:paraId="0CD196F2" w14:textId="77777777" w:rsidTr="007118BE">
        <w:trPr>
          <w:jc w:val="center"/>
        </w:trPr>
        <w:tc>
          <w:tcPr>
            <w:tcW w:w="3369" w:type="dxa"/>
          </w:tcPr>
          <w:p w14:paraId="7794B097"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Oak</w:t>
            </w:r>
          </w:p>
        </w:tc>
        <w:tc>
          <w:tcPr>
            <w:tcW w:w="1701" w:type="dxa"/>
          </w:tcPr>
          <w:p w14:paraId="1E477D3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-0.216 ± 0.072</w:t>
            </w:r>
          </w:p>
        </w:tc>
        <w:tc>
          <w:tcPr>
            <w:tcW w:w="992" w:type="dxa"/>
          </w:tcPr>
          <w:p w14:paraId="379B008B"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-3.025</w:t>
            </w:r>
          </w:p>
        </w:tc>
        <w:tc>
          <w:tcPr>
            <w:tcW w:w="992" w:type="dxa"/>
          </w:tcPr>
          <w:p w14:paraId="5070A75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0.024</w:t>
            </w:r>
          </w:p>
        </w:tc>
      </w:tr>
      <w:tr w:rsidR="00B540D9" w:rsidRPr="001318C5" w14:paraId="78A3E005" w14:textId="77777777" w:rsidTr="007118BE">
        <w:trPr>
          <w:jc w:val="center"/>
        </w:trPr>
        <w:tc>
          <w:tcPr>
            <w:tcW w:w="3369" w:type="dxa"/>
          </w:tcPr>
          <w:p w14:paraId="5F98749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Pine – unmanaged</w:t>
            </w:r>
          </w:p>
        </w:tc>
        <w:tc>
          <w:tcPr>
            <w:tcW w:w="1701" w:type="dxa"/>
          </w:tcPr>
          <w:p w14:paraId="76BCB06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0.147 ± 0.058</w:t>
            </w:r>
          </w:p>
        </w:tc>
        <w:tc>
          <w:tcPr>
            <w:tcW w:w="992" w:type="dxa"/>
          </w:tcPr>
          <w:p w14:paraId="3FC8FF9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2.512</w:t>
            </w:r>
          </w:p>
        </w:tc>
        <w:tc>
          <w:tcPr>
            <w:tcW w:w="992" w:type="dxa"/>
          </w:tcPr>
          <w:p w14:paraId="1D02347A"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0.100</w:t>
            </w:r>
          </w:p>
        </w:tc>
      </w:tr>
      <w:tr w:rsidR="00B540D9" w:rsidRPr="001318C5" w14:paraId="2A930DCA" w14:textId="77777777" w:rsidTr="007118BE">
        <w:trPr>
          <w:jc w:val="center"/>
        </w:trPr>
        <w:tc>
          <w:tcPr>
            <w:tcW w:w="3369" w:type="dxa"/>
          </w:tcPr>
          <w:p w14:paraId="41D6066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Beech – Oak</w:t>
            </w:r>
          </w:p>
        </w:tc>
        <w:tc>
          <w:tcPr>
            <w:tcW w:w="1701" w:type="dxa"/>
          </w:tcPr>
          <w:p w14:paraId="4AC01DC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0.145 ± 0.073</w:t>
            </w:r>
          </w:p>
        </w:tc>
        <w:tc>
          <w:tcPr>
            <w:tcW w:w="992" w:type="dxa"/>
          </w:tcPr>
          <w:p w14:paraId="4743CB1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1.985</w:t>
            </w:r>
          </w:p>
        </w:tc>
        <w:tc>
          <w:tcPr>
            <w:tcW w:w="992" w:type="dxa"/>
          </w:tcPr>
          <w:p w14:paraId="0ED2083F"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0.282</w:t>
            </w:r>
          </w:p>
        </w:tc>
      </w:tr>
      <w:tr w:rsidR="00B540D9" w:rsidRPr="001318C5" w14:paraId="285FAA54" w14:textId="77777777" w:rsidTr="007118BE">
        <w:trPr>
          <w:jc w:val="center"/>
        </w:trPr>
        <w:tc>
          <w:tcPr>
            <w:tcW w:w="3369" w:type="dxa"/>
          </w:tcPr>
          <w:p w14:paraId="6684BAFF"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Beech – unmanaged</w:t>
            </w:r>
          </w:p>
        </w:tc>
        <w:tc>
          <w:tcPr>
            <w:tcW w:w="1701" w:type="dxa"/>
          </w:tcPr>
          <w:p w14:paraId="0D06C6D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0.076 ± 0.038</w:t>
            </w:r>
          </w:p>
        </w:tc>
        <w:tc>
          <w:tcPr>
            <w:tcW w:w="992" w:type="dxa"/>
          </w:tcPr>
          <w:p w14:paraId="5806154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1.984</w:t>
            </w:r>
          </w:p>
        </w:tc>
        <w:tc>
          <w:tcPr>
            <w:tcW w:w="992" w:type="dxa"/>
          </w:tcPr>
          <w:p w14:paraId="7C6ACDA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0.279</w:t>
            </w:r>
          </w:p>
        </w:tc>
      </w:tr>
      <w:tr w:rsidR="00B540D9" w:rsidRPr="001318C5" w14:paraId="29581678" w14:textId="77777777" w:rsidTr="007118BE">
        <w:trPr>
          <w:jc w:val="center"/>
        </w:trPr>
        <w:tc>
          <w:tcPr>
            <w:tcW w:w="3369" w:type="dxa"/>
          </w:tcPr>
          <w:p w14:paraId="79161056"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Oak – unmanaged</w:t>
            </w:r>
          </w:p>
        </w:tc>
        <w:tc>
          <w:tcPr>
            <w:tcW w:w="1701" w:type="dxa"/>
          </w:tcPr>
          <w:p w14:paraId="5E7D997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-0.070 ± 0.077</w:t>
            </w:r>
          </w:p>
        </w:tc>
        <w:tc>
          <w:tcPr>
            <w:tcW w:w="992" w:type="dxa"/>
          </w:tcPr>
          <w:p w14:paraId="13747AF7"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-0.908</w:t>
            </w:r>
          </w:p>
        </w:tc>
        <w:tc>
          <w:tcPr>
            <w:tcW w:w="992" w:type="dxa"/>
          </w:tcPr>
          <w:p w14:paraId="769E135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0.894</w:t>
            </w:r>
          </w:p>
        </w:tc>
      </w:tr>
      <w:tr w:rsidR="00B540D9" w:rsidRPr="001318C5" w14:paraId="1BDB0A84" w14:textId="77777777" w:rsidTr="007118BE">
        <w:trPr>
          <w:jc w:val="center"/>
        </w:trPr>
        <w:tc>
          <w:tcPr>
            <w:tcW w:w="3369" w:type="dxa"/>
          </w:tcPr>
          <w:p w14:paraId="3362BFCD"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1701" w:type="dxa"/>
          </w:tcPr>
          <w:p w14:paraId="6E64FCE0"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334622AC"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24ACFFB8"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1B0FF579" w14:textId="77777777" w:rsidTr="007118BE">
        <w:trPr>
          <w:jc w:val="center"/>
        </w:trPr>
        <w:tc>
          <w:tcPr>
            <w:tcW w:w="3369" w:type="dxa"/>
          </w:tcPr>
          <w:p w14:paraId="3D2F272C" w14:textId="77777777" w:rsidR="00B540D9" w:rsidRPr="001318C5" w:rsidRDefault="00B540D9" w:rsidP="007118BE">
            <w:pPr>
              <w:spacing w:line="360" w:lineRule="auto"/>
              <w:jc w:val="both"/>
              <w:rPr>
                <w:rFonts w:ascii="Times New Roman" w:hAnsi="Times New Roman" w:cs="Times New Roman"/>
                <w:i/>
                <w:sz w:val="20"/>
                <w:szCs w:val="20"/>
                <w:lang w:val="en-US"/>
              </w:rPr>
            </w:pPr>
            <w:r w:rsidRPr="001318C5">
              <w:rPr>
                <w:rFonts w:ascii="Times New Roman" w:hAnsi="Times New Roman" w:cs="Times New Roman"/>
                <w:i/>
                <w:sz w:val="20"/>
                <w:szCs w:val="20"/>
                <w:lang w:val="en-US"/>
              </w:rPr>
              <w:t>Tree removal</w:t>
            </w:r>
          </w:p>
        </w:tc>
        <w:tc>
          <w:tcPr>
            <w:tcW w:w="1701" w:type="dxa"/>
          </w:tcPr>
          <w:p w14:paraId="54FE85D2"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4360A407"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6D81791B"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1811B090" w14:textId="77777777" w:rsidTr="007118BE">
        <w:trPr>
          <w:jc w:val="center"/>
        </w:trPr>
        <w:tc>
          <w:tcPr>
            <w:tcW w:w="3369" w:type="dxa"/>
          </w:tcPr>
          <w:p w14:paraId="4E48F5C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Pine</w:t>
            </w:r>
          </w:p>
        </w:tc>
        <w:tc>
          <w:tcPr>
            <w:tcW w:w="1701" w:type="dxa"/>
          </w:tcPr>
          <w:p w14:paraId="6008BBF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0.114 ± 0.056</w:t>
            </w:r>
          </w:p>
        </w:tc>
        <w:tc>
          <w:tcPr>
            <w:tcW w:w="992" w:type="dxa"/>
          </w:tcPr>
          <w:p w14:paraId="4A1EC353"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2.054</w:t>
            </w:r>
          </w:p>
        </w:tc>
        <w:tc>
          <w:tcPr>
            <w:tcW w:w="992" w:type="dxa"/>
          </w:tcPr>
          <w:p w14:paraId="19381887"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0.284</w:t>
            </w:r>
          </w:p>
        </w:tc>
      </w:tr>
      <w:tr w:rsidR="00B540D9" w:rsidRPr="001318C5" w14:paraId="6330397C" w14:textId="77777777" w:rsidTr="007118BE">
        <w:trPr>
          <w:jc w:val="center"/>
        </w:trPr>
        <w:tc>
          <w:tcPr>
            <w:tcW w:w="3369" w:type="dxa"/>
          </w:tcPr>
          <w:p w14:paraId="79AF3CA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Beech</w:t>
            </w:r>
          </w:p>
        </w:tc>
        <w:tc>
          <w:tcPr>
            <w:tcW w:w="1701" w:type="dxa"/>
          </w:tcPr>
          <w:p w14:paraId="52B6E9A6"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0.050 ± 0.038</w:t>
            </w:r>
          </w:p>
        </w:tc>
        <w:tc>
          <w:tcPr>
            <w:tcW w:w="992" w:type="dxa"/>
          </w:tcPr>
          <w:p w14:paraId="4E2E5F7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1.311</w:t>
            </w:r>
          </w:p>
        </w:tc>
        <w:tc>
          <w:tcPr>
            <w:tcW w:w="992" w:type="dxa"/>
          </w:tcPr>
          <w:p w14:paraId="64105F9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0.685</w:t>
            </w:r>
          </w:p>
        </w:tc>
      </w:tr>
      <w:tr w:rsidR="00B540D9" w:rsidRPr="001318C5" w14:paraId="3ED91A35" w14:textId="77777777" w:rsidTr="007118BE">
        <w:trPr>
          <w:jc w:val="center"/>
        </w:trPr>
        <w:tc>
          <w:tcPr>
            <w:tcW w:w="3369" w:type="dxa"/>
          </w:tcPr>
          <w:p w14:paraId="4C1A402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Oak</w:t>
            </w:r>
          </w:p>
        </w:tc>
        <w:tc>
          <w:tcPr>
            <w:tcW w:w="1701" w:type="dxa"/>
          </w:tcPr>
          <w:p w14:paraId="261B3C6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-0.099 ± 0.068</w:t>
            </w:r>
          </w:p>
        </w:tc>
        <w:tc>
          <w:tcPr>
            <w:tcW w:w="992" w:type="dxa"/>
          </w:tcPr>
          <w:p w14:paraId="7DE841E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-1.454</w:t>
            </w:r>
          </w:p>
        </w:tc>
        <w:tc>
          <w:tcPr>
            <w:tcW w:w="992" w:type="dxa"/>
          </w:tcPr>
          <w:p w14:paraId="5234637A"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0.597</w:t>
            </w:r>
          </w:p>
        </w:tc>
      </w:tr>
      <w:tr w:rsidR="00B540D9" w:rsidRPr="001318C5" w14:paraId="734804A7" w14:textId="77777777" w:rsidTr="007118BE">
        <w:trPr>
          <w:jc w:val="center"/>
        </w:trPr>
        <w:tc>
          <w:tcPr>
            <w:tcW w:w="3369" w:type="dxa"/>
          </w:tcPr>
          <w:p w14:paraId="29CF49C2"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unmanaged</w:t>
            </w:r>
          </w:p>
        </w:tc>
        <w:tc>
          <w:tcPr>
            <w:tcW w:w="1701" w:type="dxa"/>
          </w:tcPr>
          <w:p w14:paraId="104D5D8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0.201 ± 0.047</w:t>
            </w:r>
          </w:p>
        </w:tc>
        <w:tc>
          <w:tcPr>
            <w:tcW w:w="992" w:type="dxa"/>
          </w:tcPr>
          <w:p w14:paraId="030A243E"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4.295</w:t>
            </w:r>
          </w:p>
        </w:tc>
        <w:tc>
          <w:tcPr>
            <w:tcW w:w="992" w:type="dxa"/>
          </w:tcPr>
          <w:p w14:paraId="371D1F5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14324C81" w14:textId="77777777" w:rsidTr="007118BE">
        <w:trPr>
          <w:jc w:val="center"/>
        </w:trPr>
        <w:tc>
          <w:tcPr>
            <w:tcW w:w="3369" w:type="dxa"/>
          </w:tcPr>
          <w:p w14:paraId="2CE7666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Pine – Beech</w:t>
            </w:r>
          </w:p>
        </w:tc>
        <w:tc>
          <w:tcPr>
            <w:tcW w:w="1701" w:type="dxa"/>
          </w:tcPr>
          <w:p w14:paraId="4450D224"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-0.064 ± 0.041</w:t>
            </w:r>
          </w:p>
        </w:tc>
        <w:tc>
          <w:tcPr>
            <w:tcW w:w="992" w:type="dxa"/>
          </w:tcPr>
          <w:p w14:paraId="6B9A7C8D"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1.549</w:t>
            </w:r>
          </w:p>
        </w:tc>
        <w:tc>
          <w:tcPr>
            <w:tcW w:w="992" w:type="dxa"/>
          </w:tcPr>
          <w:p w14:paraId="20A9266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0.549</w:t>
            </w:r>
          </w:p>
        </w:tc>
      </w:tr>
      <w:tr w:rsidR="00B540D9" w:rsidRPr="001318C5" w14:paraId="5DA9BC47" w14:textId="77777777" w:rsidTr="007118BE">
        <w:trPr>
          <w:jc w:val="center"/>
        </w:trPr>
        <w:tc>
          <w:tcPr>
            <w:tcW w:w="3369" w:type="dxa"/>
          </w:tcPr>
          <w:p w14:paraId="68ADAE9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Oak</w:t>
            </w:r>
          </w:p>
        </w:tc>
        <w:tc>
          <w:tcPr>
            <w:tcW w:w="1701" w:type="dxa"/>
          </w:tcPr>
          <w:p w14:paraId="6A103D8F"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-0.213 ± 0.056</w:t>
            </w:r>
          </w:p>
        </w:tc>
        <w:tc>
          <w:tcPr>
            <w:tcW w:w="992" w:type="dxa"/>
          </w:tcPr>
          <w:p w14:paraId="0C167B35"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-3.799</w:t>
            </w:r>
          </w:p>
        </w:tc>
        <w:tc>
          <w:tcPr>
            <w:tcW w:w="992" w:type="dxa"/>
          </w:tcPr>
          <w:p w14:paraId="55815514"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0.002</w:t>
            </w:r>
          </w:p>
        </w:tc>
      </w:tr>
      <w:tr w:rsidR="00B540D9" w:rsidRPr="001318C5" w14:paraId="4518A84A" w14:textId="77777777" w:rsidTr="007118BE">
        <w:trPr>
          <w:jc w:val="center"/>
        </w:trPr>
        <w:tc>
          <w:tcPr>
            <w:tcW w:w="3369" w:type="dxa"/>
          </w:tcPr>
          <w:p w14:paraId="53A8CBBB"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unmanaged</w:t>
            </w:r>
          </w:p>
        </w:tc>
        <w:tc>
          <w:tcPr>
            <w:tcW w:w="1701" w:type="dxa"/>
          </w:tcPr>
          <w:p w14:paraId="0D9C99E8"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0.087 ± 0.045</w:t>
            </w:r>
          </w:p>
        </w:tc>
        <w:tc>
          <w:tcPr>
            <w:tcW w:w="992" w:type="dxa"/>
          </w:tcPr>
          <w:p w14:paraId="4BC90C02"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1.908</w:t>
            </w:r>
          </w:p>
        </w:tc>
        <w:tc>
          <w:tcPr>
            <w:tcW w:w="992" w:type="dxa"/>
          </w:tcPr>
          <w:p w14:paraId="7ADE8170"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0.332</w:t>
            </w:r>
          </w:p>
        </w:tc>
      </w:tr>
      <w:tr w:rsidR="00B540D9" w:rsidRPr="001318C5" w14:paraId="27622D76" w14:textId="77777777" w:rsidTr="007118BE">
        <w:trPr>
          <w:jc w:val="center"/>
        </w:trPr>
        <w:tc>
          <w:tcPr>
            <w:tcW w:w="3369" w:type="dxa"/>
          </w:tcPr>
          <w:p w14:paraId="5DFCE96F"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Beech – Oak</w:t>
            </w:r>
          </w:p>
        </w:tc>
        <w:tc>
          <w:tcPr>
            <w:tcW w:w="1701" w:type="dxa"/>
          </w:tcPr>
          <w:p w14:paraId="4A943D43"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-0.149 ± 0.057</w:t>
            </w:r>
          </w:p>
        </w:tc>
        <w:tc>
          <w:tcPr>
            <w:tcW w:w="992" w:type="dxa"/>
          </w:tcPr>
          <w:p w14:paraId="33FF096F"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-2.633</w:t>
            </w:r>
          </w:p>
        </w:tc>
        <w:tc>
          <w:tcPr>
            <w:tcW w:w="992" w:type="dxa"/>
          </w:tcPr>
          <w:p w14:paraId="5A19B5D9"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0.077</w:t>
            </w:r>
          </w:p>
        </w:tc>
      </w:tr>
      <w:tr w:rsidR="00B540D9" w:rsidRPr="001318C5" w14:paraId="0D26F7CA" w14:textId="77777777" w:rsidTr="007118BE">
        <w:trPr>
          <w:jc w:val="center"/>
        </w:trPr>
        <w:tc>
          <w:tcPr>
            <w:tcW w:w="3369" w:type="dxa"/>
          </w:tcPr>
          <w:p w14:paraId="7C76C35B"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Beech – unmanaged</w:t>
            </w:r>
          </w:p>
        </w:tc>
        <w:tc>
          <w:tcPr>
            <w:tcW w:w="1701" w:type="dxa"/>
          </w:tcPr>
          <w:p w14:paraId="733182CD"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0.150 ± 0.030</w:t>
            </w:r>
          </w:p>
        </w:tc>
        <w:tc>
          <w:tcPr>
            <w:tcW w:w="992" w:type="dxa"/>
          </w:tcPr>
          <w:p w14:paraId="4D73DF58"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5.009</w:t>
            </w:r>
          </w:p>
        </w:tc>
        <w:tc>
          <w:tcPr>
            <w:tcW w:w="992" w:type="dxa"/>
          </w:tcPr>
          <w:p w14:paraId="714C09F5"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5D1EF297" w14:textId="77777777" w:rsidTr="007118BE">
        <w:trPr>
          <w:jc w:val="center"/>
        </w:trPr>
        <w:tc>
          <w:tcPr>
            <w:tcW w:w="3369" w:type="dxa"/>
          </w:tcPr>
          <w:p w14:paraId="2AFCB68F"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Oak – unmanaged</w:t>
            </w:r>
          </w:p>
        </w:tc>
        <w:tc>
          <w:tcPr>
            <w:tcW w:w="1701" w:type="dxa"/>
          </w:tcPr>
          <w:p w14:paraId="3BF44BF0"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0.299 ± 0.060</w:t>
            </w:r>
          </w:p>
        </w:tc>
        <w:tc>
          <w:tcPr>
            <w:tcW w:w="992" w:type="dxa"/>
          </w:tcPr>
          <w:p w14:paraId="261214AD"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5.009</w:t>
            </w:r>
          </w:p>
        </w:tc>
        <w:tc>
          <w:tcPr>
            <w:tcW w:w="992" w:type="dxa"/>
          </w:tcPr>
          <w:p w14:paraId="1EAFE633"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5CA98836" w14:textId="77777777" w:rsidTr="007118BE">
        <w:trPr>
          <w:jc w:val="center"/>
        </w:trPr>
        <w:tc>
          <w:tcPr>
            <w:tcW w:w="3369" w:type="dxa"/>
          </w:tcPr>
          <w:p w14:paraId="074D7050"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1701" w:type="dxa"/>
          </w:tcPr>
          <w:p w14:paraId="40DA5E4A"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146023B0"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4745D281"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63EFDD26" w14:textId="77777777" w:rsidTr="007118BE">
        <w:trPr>
          <w:jc w:val="center"/>
        </w:trPr>
        <w:tc>
          <w:tcPr>
            <w:tcW w:w="3369" w:type="dxa"/>
          </w:tcPr>
          <w:p w14:paraId="6EDB684A" w14:textId="77777777" w:rsidR="00B540D9" w:rsidRPr="001318C5" w:rsidRDefault="00B540D9" w:rsidP="007118BE">
            <w:pPr>
              <w:spacing w:line="360" w:lineRule="auto"/>
              <w:jc w:val="both"/>
              <w:rPr>
                <w:rFonts w:ascii="Times New Roman" w:hAnsi="Times New Roman" w:cs="Times New Roman"/>
                <w:i/>
                <w:sz w:val="20"/>
                <w:szCs w:val="20"/>
                <w:lang w:val="en-US"/>
              </w:rPr>
            </w:pPr>
            <w:r w:rsidRPr="001318C5">
              <w:rPr>
                <w:rFonts w:ascii="Times New Roman" w:hAnsi="Times New Roman" w:cs="Times New Roman"/>
                <w:i/>
                <w:sz w:val="20"/>
                <w:szCs w:val="20"/>
                <w:lang w:val="en-US"/>
              </w:rPr>
              <w:t>Stand maturity</w:t>
            </w:r>
          </w:p>
        </w:tc>
        <w:tc>
          <w:tcPr>
            <w:tcW w:w="1701" w:type="dxa"/>
          </w:tcPr>
          <w:p w14:paraId="723CD591"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22DA1117" w14:textId="77777777" w:rsidR="00B540D9" w:rsidRPr="001318C5" w:rsidRDefault="00B540D9" w:rsidP="007118BE">
            <w:pPr>
              <w:spacing w:line="360" w:lineRule="auto"/>
              <w:jc w:val="both"/>
              <w:rPr>
                <w:rFonts w:ascii="Times New Roman" w:hAnsi="Times New Roman" w:cs="Times New Roman"/>
                <w:sz w:val="20"/>
                <w:szCs w:val="20"/>
                <w:lang w:val="en-US"/>
              </w:rPr>
            </w:pPr>
          </w:p>
        </w:tc>
        <w:tc>
          <w:tcPr>
            <w:tcW w:w="992" w:type="dxa"/>
          </w:tcPr>
          <w:p w14:paraId="22CE6B1C" w14:textId="77777777" w:rsidR="00B540D9" w:rsidRPr="001318C5" w:rsidRDefault="00B540D9" w:rsidP="007118BE">
            <w:pPr>
              <w:spacing w:line="360" w:lineRule="auto"/>
              <w:jc w:val="both"/>
              <w:rPr>
                <w:rFonts w:ascii="Times New Roman" w:hAnsi="Times New Roman" w:cs="Times New Roman"/>
                <w:sz w:val="20"/>
                <w:szCs w:val="20"/>
                <w:lang w:val="en-US"/>
              </w:rPr>
            </w:pPr>
          </w:p>
        </w:tc>
      </w:tr>
      <w:tr w:rsidR="00B540D9" w:rsidRPr="001318C5" w14:paraId="40326117" w14:textId="77777777" w:rsidTr="007118BE">
        <w:trPr>
          <w:jc w:val="center"/>
        </w:trPr>
        <w:tc>
          <w:tcPr>
            <w:tcW w:w="3369" w:type="dxa"/>
          </w:tcPr>
          <w:p w14:paraId="0403DBB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Pine</w:t>
            </w:r>
          </w:p>
        </w:tc>
        <w:tc>
          <w:tcPr>
            <w:tcW w:w="1701" w:type="dxa"/>
          </w:tcPr>
          <w:p w14:paraId="230FC375"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-0.261 ± 0.061</w:t>
            </w:r>
          </w:p>
        </w:tc>
        <w:tc>
          <w:tcPr>
            <w:tcW w:w="992" w:type="dxa"/>
          </w:tcPr>
          <w:p w14:paraId="2ECA352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-4.298</w:t>
            </w:r>
          </w:p>
        </w:tc>
        <w:tc>
          <w:tcPr>
            <w:tcW w:w="992" w:type="dxa"/>
          </w:tcPr>
          <w:p w14:paraId="1E65BDE3"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70CB35EE" w14:textId="77777777" w:rsidTr="007118BE">
        <w:trPr>
          <w:jc w:val="center"/>
        </w:trPr>
        <w:tc>
          <w:tcPr>
            <w:tcW w:w="3369" w:type="dxa"/>
          </w:tcPr>
          <w:p w14:paraId="67C38EF6"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Beech</w:t>
            </w:r>
          </w:p>
        </w:tc>
        <w:tc>
          <w:tcPr>
            <w:tcW w:w="1701" w:type="dxa"/>
          </w:tcPr>
          <w:p w14:paraId="54506AE0"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-0.005 ± 0.041</w:t>
            </w:r>
          </w:p>
        </w:tc>
        <w:tc>
          <w:tcPr>
            <w:tcW w:w="992" w:type="dxa"/>
          </w:tcPr>
          <w:p w14:paraId="2C2108B7"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-0.118</w:t>
            </w:r>
          </w:p>
        </w:tc>
        <w:tc>
          <w:tcPr>
            <w:tcW w:w="992" w:type="dxa"/>
          </w:tcPr>
          <w:p w14:paraId="0A58193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1.000</w:t>
            </w:r>
          </w:p>
        </w:tc>
      </w:tr>
      <w:tr w:rsidR="00B540D9" w:rsidRPr="001318C5" w14:paraId="2B1CD2E7" w14:textId="77777777" w:rsidTr="007118BE">
        <w:trPr>
          <w:jc w:val="center"/>
        </w:trPr>
        <w:tc>
          <w:tcPr>
            <w:tcW w:w="3369" w:type="dxa"/>
          </w:tcPr>
          <w:p w14:paraId="3EE0D017"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Spruce – Oak</w:t>
            </w:r>
          </w:p>
        </w:tc>
        <w:tc>
          <w:tcPr>
            <w:tcW w:w="1701" w:type="dxa"/>
          </w:tcPr>
          <w:p w14:paraId="519BDA19"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-0.041 ± 0.075</w:t>
            </w:r>
          </w:p>
        </w:tc>
        <w:tc>
          <w:tcPr>
            <w:tcW w:w="992" w:type="dxa"/>
          </w:tcPr>
          <w:p w14:paraId="630ABF7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-0.549</w:t>
            </w:r>
          </w:p>
        </w:tc>
        <w:tc>
          <w:tcPr>
            <w:tcW w:w="992" w:type="dxa"/>
          </w:tcPr>
          <w:p w14:paraId="2E5FC532"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0.982</w:t>
            </w:r>
          </w:p>
        </w:tc>
      </w:tr>
      <w:tr w:rsidR="00B540D9" w:rsidRPr="001318C5" w14:paraId="34134D88" w14:textId="77777777" w:rsidTr="007118BE">
        <w:trPr>
          <w:jc w:val="center"/>
        </w:trPr>
        <w:tc>
          <w:tcPr>
            <w:tcW w:w="3369" w:type="dxa"/>
          </w:tcPr>
          <w:p w14:paraId="0BD3A33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Spruce – unmanaged</w:t>
            </w:r>
          </w:p>
        </w:tc>
        <w:tc>
          <w:tcPr>
            <w:tcW w:w="1701" w:type="dxa"/>
          </w:tcPr>
          <w:p w14:paraId="512835E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0.204 ± 0.049</w:t>
            </w:r>
          </w:p>
        </w:tc>
        <w:tc>
          <w:tcPr>
            <w:tcW w:w="992" w:type="dxa"/>
          </w:tcPr>
          <w:p w14:paraId="0EA924CF"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4.163</w:t>
            </w:r>
          </w:p>
        </w:tc>
        <w:tc>
          <w:tcPr>
            <w:tcW w:w="992" w:type="dxa"/>
          </w:tcPr>
          <w:p w14:paraId="09F5C1A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0.001</w:t>
            </w:r>
          </w:p>
        </w:tc>
      </w:tr>
      <w:tr w:rsidR="00B540D9" w:rsidRPr="001318C5" w14:paraId="60173E82" w14:textId="77777777" w:rsidTr="007118BE">
        <w:trPr>
          <w:jc w:val="center"/>
        </w:trPr>
        <w:tc>
          <w:tcPr>
            <w:tcW w:w="3369" w:type="dxa"/>
          </w:tcPr>
          <w:p w14:paraId="63922BC7"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Beech</w:t>
            </w:r>
          </w:p>
        </w:tc>
        <w:tc>
          <w:tcPr>
            <w:tcW w:w="1701" w:type="dxa"/>
          </w:tcPr>
          <w:p w14:paraId="79A6552B"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0.256 ± 0.046</w:t>
            </w:r>
          </w:p>
        </w:tc>
        <w:tc>
          <w:tcPr>
            <w:tcW w:w="992" w:type="dxa"/>
          </w:tcPr>
          <w:p w14:paraId="7D1E57B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5.580</w:t>
            </w:r>
          </w:p>
        </w:tc>
        <w:tc>
          <w:tcPr>
            <w:tcW w:w="992" w:type="dxa"/>
          </w:tcPr>
          <w:p w14:paraId="101711EC"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7323AA83" w14:textId="77777777" w:rsidTr="007118BE">
        <w:trPr>
          <w:jc w:val="center"/>
        </w:trPr>
        <w:tc>
          <w:tcPr>
            <w:tcW w:w="3369" w:type="dxa"/>
          </w:tcPr>
          <w:p w14:paraId="76C5EEC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Pine – Oak</w:t>
            </w:r>
          </w:p>
        </w:tc>
        <w:tc>
          <w:tcPr>
            <w:tcW w:w="1701" w:type="dxa"/>
          </w:tcPr>
          <w:p w14:paraId="2265EAD6"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0.220 ± 0.063</w:t>
            </w:r>
          </w:p>
        </w:tc>
        <w:tc>
          <w:tcPr>
            <w:tcW w:w="992" w:type="dxa"/>
          </w:tcPr>
          <w:p w14:paraId="3AEEE38B"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3.469</w:t>
            </w:r>
          </w:p>
        </w:tc>
        <w:tc>
          <w:tcPr>
            <w:tcW w:w="992" w:type="dxa"/>
          </w:tcPr>
          <w:p w14:paraId="799C1021"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0.006</w:t>
            </w:r>
          </w:p>
        </w:tc>
      </w:tr>
      <w:tr w:rsidR="00B540D9" w:rsidRPr="001318C5" w14:paraId="52134981" w14:textId="77777777" w:rsidTr="007118BE">
        <w:trPr>
          <w:jc w:val="center"/>
        </w:trPr>
        <w:tc>
          <w:tcPr>
            <w:tcW w:w="3369" w:type="dxa"/>
          </w:tcPr>
          <w:p w14:paraId="3A514C6A"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Pine – unmanaged</w:t>
            </w:r>
          </w:p>
        </w:tc>
        <w:tc>
          <w:tcPr>
            <w:tcW w:w="1701" w:type="dxa"/>
          </w:tcPr>
          <w:p w14:paraId="5BED5CD7"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0.465 ± 0.050</w:t>
            </w:r>
          </w:p>
        </w:tc>
        <w:tc>
          <w:tcPr>
            <w:tcW w:w="992" w:type="dxa"/>
          </w:tcPr>
          <w:p w14:paraId="3C0F983F"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9.240</w:t>
            </w:r>
          </w:p>
        </w:tc>
        <w:tc>
          <w:tcPr>
            <w:tcW w:w="992" w:type="dxa"/>
          </w:tcPr>
          <w:p w14:paraId="3D50713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34914845" w14:textId="77777777" w:rsidTr="007118BE">
        <w:trPr>
          <w:jc w:val="center"/>
        </w:trPr>
        <w:tc>
          <w:tcPr>
            <w:tcW w:w="3369" w:type="dxa"/>
          </w:tcPr>
          <w:p w14:paraId="48F7B87F"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Beech – Oak</w:t>
            </w:r>
          </w:p>
        </w:tc>
        <w:tc>
          <w:tcPr>
            <w:tcW w:w="1701" w:type="dxa"/>
          </w:tcPr>
          <w:p w14:paraId="626DC9C9"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-0.036 ± 0.064</w:t>
            </w:r>
          </w:p>
        </w:tc>
        <w:tc>
          <w:tcPr>
            <w:tcW w:w="992" w:type="dxa"/>
          </w:tcPr>
          <w:p w14:paraId="28E30235"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-0.572</w:t>
            </w:r>
          </w:p>
        </w:tc>
        <w:tc>
          <w:tcPr>
            <w:tcW w:w="992" w:type="dxa"/>
          </w:tcPr>
          <w:p w14:paraId="27D86B18" w14:textId="77777777" w:rsidR="00B540D9" w:rsidRPr="001318C5" w:rsidRDefault="00B540D9" w:rsidP="007118BE">
            <w:pPr>
              <w:spacing w:line="360" w:lineRule="auto"/>
              <w:jc w:val="both"/>
              <w:rPr>
                <w:rFonts w:ascii="Times New Roman" w:hAnsi="Times New Roman" w:cs="Times New Roman"/>
                <w:sz w:val="20"/>
                <w:szCs w:val="20"/>
                <w:lang w:val="en-US"/>
              </w:rPr>
            </w:pPr>
            <w:r w:rsidRPr="001318C5">
              <w:rPr>
                <w:rFonts w:ascii="Times New Roman" w:hAnsi="Times New Roman" w:cs="Times New Roman"/>
                <w:sz w:val="20"/>
                <w:szCs w:val="20"/>
                <w:lang w:val="en-US"/>
              </w:rPr>
              <w:t>0.979</w:t>
            </w:r>
          </w:p>
        </w:tc>
      </w:tr>
      <w:tr w:rsidR="00B540D9" w:rsidRPr="001318C5" w14:paraId="6C7311FE" w14:textId="77777777" w:rsidTr="007118BE">
        <w:trPr>
          <w:jc w:val="center"/>
        </w:trPr>
        <w:tc>
          <w:tcPr>
            <w:tcW w:w="3369" w:type="dxa"/>
          </w:tcPr>
          <w:p w14:paraId="448E3CA8"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Beech – unmanaged</w:t>
            </w:r>
          </w:p>
        </w:tc>
        <w:tc>
          <w:tcPr>
            <w:tcW w:w="1701" w:type="dxa"/>
          </w:tcPr>
          <w:p w14:paraId="1FB9DEB6"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0.209 ± 0.034</w:t>
            </w:r>
          </w:p>
        </w:tc>
        <w:tc>
          <w:tcPr>
            <w:tcW w:w="992" w:type="dxa"/>
          </w:tcPr>
          <w:p w14:paraId="38A1B240"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6.240</w:t>
            </w:r>
          </w:p>
        </w:tc>
        <w:tc>
          <w:tcPr>
            <w:tcW w:w="992" w:type="dxa"/>
          </w:tcPr>
          <w:p w14:paraId="2E401BB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&lt;0.001</w:t>
            </w:r>
          </w:p>
        </w:tc>
      </w:tr>
      <w:tr w:rsidR="00B540D9" w:rsidRPr="001318C5" w14:paraId="08FDAF02" w14:textId="77777777" w:rsidTr="007118BE">
        <w:trPr>
          <w:jc w:val="center"/>
        </w:trPr>
        <w:tc>
          <w:tcPr>
            <w:tcW w:w="3369" w:type="dxa"/>
          </w:tcPr>
          <w:p w14:paraId="15861C10"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Oak – unmanaged</w:t>
            </w:r>
          </w:p>
        </w:tc>
        <w:tc>
          <w:tcPr>
            <w:tcW w:w="1701" w:type="dxa"/>
          </w:tcPr>
          <w:p w14:paraId="54EF3CBF"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0.245 ± 0.067</w:t>
            </w:r>
          </w:p>
        </w:tc>
        <w:tc>
          <w:tcPr>
            <w:tcW w:w="992" w:type="dxa"/>
          </w:tcPr>
          <w:p w14:paraId="78FA484B"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3.671</w:t>
            </w:r>
          </w:p>
        </w:tc>
        <w:tc>
          <w:tcPr>
            <w:tcW w:w="992" w:type="dxa"/>
          </w:tcPr>
          <w:p w14:paraId="34B46E71" w14:textId="77777777" w:rsidR="00B540D9" w:rsidRPr="001318C5" w:rsidRDefault="00B540D9" w:rsidP="007118BE">
            <w:pPr>
              <w:spacing w:line="360" w:lineRule="auto"/>
              <w:jc w:val="both"/>
              <w:rPr>
                <w:rFonts w:ascii="Times New Roman" w:hAnsi="Times New Roman" w:cs="Times New Roman"/>
                <w:b/>
                <w:sz w:val="20"/>
                <w:szCs w:val="20"/>
                <w:lang w:val="en-US"/>
              </w:rPr>
            </w:pPr>
            <w:r w:rsidRPr="001318C5">
              <w:rPr>
                <w:rFonts w:ascii="Times New Roman" w:hAnsi="Times New Roman" w:cs="Times New Roman"/>
                <w:b/>
                <w:sz w:val="20"/>
                <w:szCs w:val="20"/>
                <w:lang w:val="en-US"/>
              </w:rPr>
              <w:t>0.003</w:t>
            </w:r>
          </w:p>
        </w:tc>
      </w:tr>
    </w:tbl>
    <w:p w14:paraId="79EFA716" w14:textId="76C106CC" w:rsidR="00F343D5" w:rsidRPr="001318C5" w:rsidRDefault="00F343D5" w:rsidP="0056481D">
      <w:pPr>
        <w:spacing w:after="0" w:line="480" w:lineRule="auto"/>
        <w:rPr>
          <w:rFonts w:ascii="Times New Roman" w:hAnsi="Times New Roman"/>
          <w:sz w:val="24"/>
          <w:szCs w:val="24"/>
          <w:lang w:val="en-GB"/>
        </w:rPr>
      </w:pPr>
      <w:r w:rsidRPr="001318C5">
        <w:rPr>
          <w:rFonts w:ascii="Times New Roman" w:hAnsi="Times New Roman"/>
          <w:sz w:val="24"/>
          <w:szCs w:val="24"/>
          <w:lang w:val="en-GB"/>
        </w:rPr>
        <w:br w:type="page"/>
      </w:r>
    </w:p>
    <w:p w14:paraId="180CA295" w14:textId="5662A76C" w:rsidR="005078C5" w:rsidRPr="005078C5" w:rsidRDefault="005078C5" w:rsidP="005078C5">
      <w:pPr>
        <w:spacing w:after="0" w:line="480" w:lineRule="auto"/>
        <w:jc w:val="center"/>
        <w:rPr>
          <w:rFonts w:ascii="Times New Roman" w:hAnsi="Times New Roman"/>
          <w:sz w:val="24"/>
          <w:szCs w:val="24"/>
        </w:rPr>
      </w:pPr>
      <w:r w:rsidRPr="005078C5">
        <w:rPr>
          <w:rFonts w:ascii="Times New Roman" w:hAnsi="Times New Roman"/>
          <w:noProof/>
          <w:sz w:val="24"/>
          <w:szCs w:val="24"/>
        </w:rPr>
        <w:lastRenderedPageBreak/>
        <w:drawing>
          <wp:inline distT="0" distB="0" distL="0" distR="0" wp14:anchorId="03EF8D4E" wp14:editId="3EA1C6CE">
            <wp:extent cx="5760720" cy="4114800"/>
            <wp:effectExtent l="0" t="0" r="0" b="0"/>
            <wp:docPr id="120622685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hqprint">
                      <a:extLst>
                        <a:ext uri="{28A0092B-C50C-407E-A947-70E740481C1C}">
                          <a14:useLocalDpi xmlns:a14="http://schemas.microsoft.com/office/drawing/2010/main"/>
                        </a:ext>
                      </a:extLst>
                    </a:blip>
                    <a:srcRect/>
                    <a:stretch>
                      <a:fillRect/>
                    </a:stretch>
                  </pic:blipFill>
                  <pic:spPr bwMode="auto">
                    <a:xfrm>
                      <a:off x="0" y="0"/>
                      <a:ext cx="5760720" cy="4114800"/>
                    </a:xfrm>
                    <a:prstGeom prst="rect">
                      <a:avLst/>
                    </a:prstGeom>
                    <a:noFill/>
                    <a:ln>
                      <a:noFill/>
                    </a:ln>
                  </pic:spPr>
                </pic:pic>
              </a:graphicData>
            </a:graphic>
          </wp:inline>
        </w:drawing>
      </w:r>
    </w:p>
    <w:p w14:paraId="5DF8AF39" w14:textId="77777777" w:rsidR="00056E0A" w:rsidRPr="001318C5" w:rsidRDefault="00056E0A" w:rsidP="008A562F">
      <w:pPr>
        <w:spacing w:after="0" w:line="360" w:lineRule="auto"/>
        <w:jc w:val="both"/>
        <w:rPr>
          <w:rFonts w:ascii="Times New Roman" w:hAnsi="Times New Roman" w:cs="Times New Roman"/>
          <w:sz w:val="24"/>
          <w:szCs w:val="24"/>
          <w:lang w:val="en-US"/>
        </w:rPr>
      </w:pPr>
      <w:r w:rsidRPr="001318C5">
        <w:rPr>
          <w:rFonts w:ascii="Times New Roman" w:hAnsi="Times New Roman" w:cs="Times New Roman"/>
          <w:b/>
          <w:sz w:val="24"/>
          <w:szCs w:val="24"/>
          <w:lang w:val="en-US"/>
        </w:rPr>
        <w:t>Fig. S1</w:t>
      </w:r>
      <w:r w:rsidRPr="001318C5">
        <w:rPr>
          <w:rFonts w:ascii="Times New Roman" w:hAnsi="Times New Roman" w:cs="Times New Roman"/>
          <w:sz w:val="24"/>
          <w:szCs w:val="24"/>
          <w:lang w:val="en-US"/>
        </w:rPr>
        <w:t xml:space="preserve"> Overview of sites (indicated by black points) on which forest inventories were conducted. In three regions of Germany (Hainich-Dün: left; Schorfheide-Chorin: top right; Schwäbische Alb: bottom right) 50 plots each were inventoried. Other land use comprises agriculture, settlements and water bodies. Maps use UTM projection and are based on OpenStreetMap© data</w:t>
      </w:r>
    </w:p>
    <w:p w14:paraId="2A54C0E7" w14:textId="77777777" w:rsidR="00FE55FE" w:rsidRPr="001318C5" w:rsidRDefault="00FE55FE">
      <w:pPr>
        <w:rPr>
          <w:rFonts w:ascii="Times New Roman" w:hAnsi="Times New Roman"/>
          <w:sz w:val="24"/>
          <w:szCs w:val="24"/>
          <w:lang w:val="en-GB"/>
        </w:rPr>
      </w:pPr>
      <w:r w:rsidRPr="001318C5">
        <w:rPr>
          <w:rFonts w:ascii="Times New Roman" w:hAnsi="Times New Roman"/>
          <w:sz w:val="24"/>
          <w:szCs w:val="24"/>
          <w:lang w:val="en-GB"/>
        </w:rPr>
        <w:br w:type="page"/>
      </w:r>
    </w:p>
    <w:p w14:paraId="08041FC9" w14:textId="25E369DA" w:rsidR="00FE55FE" w:rsidRPr="001318C5" w:rsidRDefault="00056E0A" w:rsidP="003E420F">
      <w:pPr>
        <w:spacing w:after="0" w:line="480" w:lineRule="auto"/>
        <w:jc w:val="center"/>
        <w:rPr>
          <w:rFonts w:ascii="Times New Roman" w:hAnsi="Times New Roman"/>
          <w:sz w:val="24"/>
          <w:szCs w:val="24"/>
          <w:lang w:val="en-GB"/>
        </w:rPr>
      </w:pPr>
      <w:r w:rsidRPr="001318C5">
        <w:rPr>
          <w:noProof/>
        </w:rPr>
        <w:lastRenderedPageBreak/>
        <w:drawing>
          <wp:inline distT="0" distB="0" distL="0" distR="0" wp14:anchorId="2060876B" wp14:editId="3237E8B1">
            <wp:extent cx="2880000" cy="288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498B7F77" w14:textId="77777777" w:rsidR="00861CFB" w:rsidRDefault="00056E0A" w:rsidP="008A562F">
      <w:pPr>
        <w:spacing w:after="0" w:line="360" w:lineRule="auto"/>
        <w:jc w:val="both"/>
        <w:rPr>
          <w:rFonts w:ascii="Times New Roman" w:hAnsi="Times New Roman" w:cs="Times New Roman"/>
          <w:sz w:val="24"/>
          <w:szCs w:val="24"/>
          <w:lang w:val="en-US"/>
        </w:rPr>
      </w:pPr>
      <w:r w:rsidRPr="001318C5">
        <w:rPr>
          <w:rFonts w:ascii="Times New Roman" w:hAnsi="Times New Roman" w:cs="Times New Roman"/>
          <w:b/>
          <w:sz w:val="24"/>
          <w:szCs w:val="24"/>
          <w:lang w:val="en-US"/>
        </w:rPr>
        <w:t>Fig. S2</w:t>
      </w:r>
      <w:r w:rsidRPr="001318C5">
        <w:rPr>
          <w:rFonts w:ascii="Times New Roman" w:hAnsi="Times New Roman" w:cs="Times New Roman"/>
          <w:sz w:val="24"/>
          <w:szCs w:val="24"/>
          <w:lang w:val="en-US"/>
        </w:rPr>
        <w:t xml:space="preserve"> ForMIX based on raw components is highly related (Spearman’s rho=0.993, p&lt;0.001) to ForMIX for which all four components (tree species composition, deadwood availability, tree removal, stand maturity) are standardized between 0 (minimum in raw component) and 1 (maximum in raw component) before the compound index is calculated. Dashed line is the 1:1 diagonal. Data are based on forest inventories conducted on a total of 150 forest sites (size 1 ha) distributed over three regions of Germany (Fig. S1)</w:t>
      </w:r>
    </w:p>
    <w:p w14:paraId="7F592FA1" w14:textId="77777777" w:rsidR="00861CFB" w:rsidRDefault="00861CF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12E1888" w14:textId="7C55AEEF" w:rsidR="00DC3826" w:rsidRPr="00DC3826" w:rsidRDefault="00DC3826" w:rsidP="00DC3826">
      <w:pPr>
        <w:spacing w:after="0" w:line="480" w:lineRule="auto"/>
        <w:jc w:val="center"/>
        <w:rPr>
          <w:rFonts w:ascii="Times New Roman" w:hAnsi="Times New Roman"/>
          <w:sz w:val="24"/>
          <w:szCs w:val="24"/>
        </w:rPr>
      </w:pPr>
      <w:r w:rsidRPr="00DC3826">
        <w:rPr>
          <w:rFonts w:ascii="Times New Roman" w:hAnsi="Times New Roman"/>
          <w:noProof/>
          <w:sz w:val="24"/>
          <w:szCs w:val="24"/>
        </w:rPr>
        <w:lastRenderedPageBreak/>
        <w:drawing>
          <wp:inline distT="0" distB="0" distL="0" distR="0" wp14:anchorId="50AABD54" wp14:editId="748E9AF2">
            <wp:extent cx="3060000" cy="3060000"/>
            <wp:effectExtent l="0" t="0" r="7620" b="7620"/>
            <wp:docPr id="119720943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hqprint">
                      <a:extLst>
                        <a:ext uri="{28A0092B-C50C-407E-A947-70E740481C1C}">
                          <a14:useLocalDpi xmlns:a14="http://schemas.microsoft.com/office/drawing/2010/main"/>
                        </a:ext>
                      </a:extLst>
                    </a:blip>
                    <a:srcRect/>
                    <a:stretch>
                      <a:fillRect/>
                    </a:stretch>
                  </pic:blipFill>
                  <pic:spPr bwMode="auto">
                    <a:xfrm>
                      <a:off x="0" y="0"/>
                      <a:ext cx="3060000" cy="3060000"/>
                    </a:xfrm>
                    <a:prstGeom prst="rect">
                      <a:avLst/>
                    </a:prstGeom>
                    <a:noFill/>
                    <a:ln>
                      <a:noFill/>
                    </a:ln>
                  </pic:spPr>
                </pic:pic>
              </a:graphicData>
            </a:graphic>
          </wp:inline>
        </w:drawing>
      </w:r>
    </w:p>
    <w:p w14:paraId="32933DBD" w14:textId="16B02CF9" w:rsidR="00861CFB" w:rsidRDefault="00861CFB" w:rsidP="008A562F">
      <w:pPr>
        <w:spacing w:after="0" w:line="360" w:lineRule="auto"/>
        <w:jc w:val="both"/>
        <w:rPr>
          <w:rFonts w:ascii="Times New Roman" w:hAnsi="Times New Roman" w:cs="Times New Roman"/>
          <w:sz w:val="24"/>
          <w:szCs w:val="24"/>
          <w:lang w:val="en-US"/>
        </w:rPr>
      </w:pPr>
      <w:r w:rsidRPr="00E76583">
        <w:rPr>
          <w:rFonts w:ascii="Times New Roman" w:hAnsi="Times New Roman" w:cs="Times New Roman"/>
          <w:b/>
          <w:sz w:val="24"/>
          <w:szCs w:val="24"/>
          <w:lang w:val="en-US"/>
        </w:rPr>
        <w:t>Fig. S3</w:t>
      </w:r>
      <w:r w:rsidRPr="00E76583">
        <w:rPr>
          <w:rFonts w:ascii="Times New Roman" w:hAnsi="Times New Roman" w:cs="Times New Roman"/>
          <w:sz w:val="24"/>
          <w:szCs w:val="24"/>
          <w:lang w:val="en-US"/>
        </w:rPr>
        <w:t xml:space="preserve"> </w:t>
      </w:r>
      <w:r w:rsidR="006A4CBE" w:rsidRPr="00E76583">
        <w:rPr>
          <w:rFonts w:ascii="Times New Roman" w:hAnsi="Times New Roman" w:cs="Times New Roman"/>
          <w:sz w:val="24"/>
          <w:szCs w:val="24"/>
          <w:lang w:val="en-US"/>
        </w:rPr>
        <w:t>“</w:t>
      </w:r>
      <w:r w:rsidRPr="00E76583">
        <w:rPr>
          <w:rFonts w:ascii="Times New Roman" w:hAnsi="Times New Roman" w:cs="Times New Roman"/>
          <w:sz w:val="24"/>
          <w:szCs w:val="24"/>
          <w:lang w:val="en-US"/>
        </w:rPr>
        <w:t>Sensitivity analysis</w:t>
      </w:r>
      <w:r w:rsidR="006A4CBE" w:rsidRPr="00E76583">
        <w:rPr>
          <w:rFonts w:ascii="Times New Roman" w:hAnsi="Times New Roman" w:cs="Times New Roman"/>
          <w:sz w:val="24"/>
          <w:szCs w:val="24"/>
          <w:lang w:val="en-US"/>
        </w:rPr>
        <w:t>” relating the ForMIX index to three alternative calculations that are each based on the observed minimum (min), mean and maximum (max) of deadwood availability (deadwood volume: min=8 m³/ha; mean= 29 m³/ha; max=89 m³/ha) and stand maturity (DBH of 20 largest trees: min=5</w:t>
      </w:r>
      <w:r w:rsidR="00960C19">
        <w:rPr>
          <w:rFonts w:ascii="Times New Roman" w:hAnsi="Times New Roman" w:cs="Times New Roman"/>
          <w:sz w:val="24"/>
          <w:szCs w:val="24"/>
          <w:lang w:val="en-US"/>
        </w:rPr>
        <w:t>9</w:t>
      </w:r>
      <w:r w:rsidR="006A4CBE" w:rsidRPr="00E76583">
        <w:rPr>
          <w:rFonts w:ascii="Times New Roman" w:hAnsi="Times New Roman" w:cs="Times New Roman"/>
          <w:sz w:val="24"/>
          <w:szCs w:val="24"/>
          <w:lang w:val="en-US"/>
        </w:rPr>
        <w:t xml:space="preserve"> cm; mean=7</w:t>
      </w:r>
      <w:r w:rsidR="00960C19">
        <w:rPr>
          <w:rFonts w:ascii="Times New Roman" w:hAnsi="Times New Roman" w:cs="Times New Roman"/>
          <w:sz w:val="24"/>
          <w:szCs w:val="24"/>
          <w:lang w:val="en-US"/>
        </w:rPr>
        <w:t>5</w:t>
      </w:r>
      <w:r w:rsidR="006A4CBE" w:rsidRPr="00E76583">
        <w:rPr>
          <w:rFonts w:ascii="Times New Roman" w:hAnsi="Times New Roman" w:cs="Times New Roman"/>
          <w:sz w:val="24"/>
          <w:szCs w:val="24"/>
          <w:lang w:val="en-US"/>
        </w:rPr>
        <w:t xml:space="preserve"> cm; max= 87 cm) from the 25 unmanaged forest sites in our data. Under all three scenarios, values were highly correlated (Spearman’s rho&gt;0.930, p&lt;0.001) with the “regular” ForMIX based on 100 m³/ha of deadwood and an average DBH of 80 cm for the 20 largest trees. </w:t>
      </w:r>
      <w:r w:rsidRPr="00E76583">
        <w:rPr>
          <w:rFonts w:ascii="Times New Roman" w:hAnsi="Times New Roman" w:cs="Times New Roman"/>
          <w:sz w:val="24"/>
          <w:szCs w:val="24"/>
          <w:lang w:val="en-US"/>
        </w:rPr>
        <w:t>Data are based on forest inventories conducted on a total of 150 forest sites (size 1 ha) distributed over three regions of Germany (Fig. S1)</w:t>
      </w:r>
    </w:p>
    <w:p w14:paraId="3B088EDC" w14:textId="07A5D140" w:rsidR="0056481D" w:rsidRPr="001318C5" w:rsidRDefault="0056481D" w:rsidP="003E420F">
      <w:pPr>
        <w:spacing w:after="0" w:line="480" w:lineRule="auto"/>
        <w:jc w:val="both"/>
        <w:rPr>
          <w:rFonts w:ascii="Times New Roman" w:hAnsi="Times New Roman"/>
          <w:sz w:val="24"/>
          <w:szCs w:val="24"/>
          <w:lang w:val="en-GB"/>
        </w:rPr>
      </w:pPr>
      <w:r w:rsidRPr="001318C5">
        <w:rPr>
          <w:rFonts w:ascii="Times New Roman" w:hAnsi="Times New Roman"/>
          <w:sz w:val="24"/>
          <w:szCs w:val="24"/>
          <w:lang w:val="en-GB"/>
        </w:rPr>
        <w:br w:type="page"/>
      </w:r>
    </w:p>
    <w:p w14:paraId="27D0A968" w14:textId="1932C188" w:rsidR="006F51FE" w:rsidRPr="006F51FE" w:rsidRDefault="006F51FE" w:rsidP="006F51FE">
      <w:pPr>
        <w:spacing w:after="0" w:line="480" w:lineRule="auto"/>
        <w:jc w:val="center"/>
        <w:rPr>
          <w:rFonts w:ascii="Times New Roman" w:hAnsi="Times New Roman"/>
          <w:sz w:val="24"/>
          <w:szCs w:val="24"/>
        </w:rPr>
      </w:pPr>
      <w:r w:rsidRPr="006F51FE">
        <w:rPr>
          <w:rFonts w:ascii="Times New Roman" w:hAnsi="Times New Roman"/>
          <w:noProof/>
          <w:sz w:val="24"/>
          <w:szCs w:val="24"/>
        </w:rPr>
        <w:lastRenderedPageBreak/>
        <w:drawing>
          <wp:inline distT="0" distB="0" distL="0" distR="0" wp14:anchorId="6039E345" wp14:editId="5A1101ED">
            <wp:extent cx="3060000" cy="3060000"/>
            <wp:effectExtent l="0" t="0" r="7620" b="7620"/>
            <wp:docPr id="156387091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3060000" cy="3060000"/>
                    </a:xfrm>
                    <a:prstGeom prst="rect">
                      <a:avLst/>
                    </a:prstGeom>
                    <a:noFill/>
                    <a:ln>
                      <a:noFill/>
                    </a:ln>
                  </pic:spPr>
                </pic:pic>
              </a:graphicData>
            </a:graphic>
          </wp:inline>
        </w:drawing>
      </w:r>
    </w:p>
    <w:p w14:paraId="34978D20" w14:textId="1D74074F" w:rsidR="004675E3" w:rsidRPr="001318C5" w:rsidRDefault="00056E0A" w:rsidP="008A562F">
      <w:pPr>
        <w:spacing w:after="0" w:line="360" w:lineRule="auto"/>
        <w:jc w:val="both"/>
        <w:rPr>
          <w:rFonts w:ascii="Times New Roman" w:hAnsi="Times New Roman"/>
          <w:sz w:val="24"/>
          <w:szCs w:val="24"/>
          <w:lang w:val="en-GB"/>
        </w:rPr>
      </w:pPr>
      <w:r w:rsidRPr="00E76583">
        <w:rPr>
          <w:rFonts w:ascii="Times New Roman" w:hAnsi="Times New Roman" w:cs="Times New Roman"/>
          <w:b/>
          <w:sz w:val="24"/>
          <w:szCs w:val="24"/>
          <w:lang w:val="en-US"/>
        </w:rPr>
        <w:t>Fig. S</w:t>
      </w:r>
      <w:r w:rsidR="009F3527" w:rsidRPr="00E76583">
        <w:rPr>
          <w:rFonts w:ascii="Times New Roman" w:hAnsi="Times New Roman" w:cs="Times New Roman"/>
          <w:b/>
          <w:sz w:val="24"/>
          <w:szCs w:val="24"/>
          <w:lang w:val="en-US"/>
        </w:rPr>
        <w:t>4</w:t>
      </w:r>
      <w:r w:rsidRPr="00E76583">
        <w:rPr>
          <w:rFonts w:ascii="Times New Roman" w:hAnsi="Times New Roman" w:cs="Times New Roman"/>
          <w:sz w:val="24"/>
          <w:szCs w:val="24"/>
          <w:lang w:val="en-US"/>
        </w:rPr>
        <w:t xml:space="preserve"> </w:t>
      </w:r>
      <w:r w:rsidR="00FF21DF" w:rsidRPr="00E76583">
        <w:rPr>
          <w:rFonts w:ascii="Times New Roman" w:hAnsi="Times New Roman" w:cs="Times New Roman"/>
          <w:sz w:val="24"/>
          <w:szCs w:val="24"/>
          <w:lang w:val="en-US"/>
        </w:rPr>
        <w:t>For the 36 forest sites dominated by non-natural conifers, a</w:t>
      </w:r>
      <w:r w:rsidR="006F51FE" w:rsidRPr="00E76583">
        <w:rPr>
          <w:rFonts w:ascii="Times New Roman" w:hAnsi="Times New Roman" w:cs="Times New Roman"/>
          <w:sz w:val="24"/>
          <w:szCs w:val="24"/>
          <w:lang w:val="en-US"/>
        </w:rPr>
        <w:t xml:space="preserve"> </w:t>
      </w:r>
      <w:r w:rsidRPr="00E76583">
        <w:rPr>
          <w:rFonts w:ascii="Times New Roman" w:hAnsi="Times New Roman" w:cs="Times New Roman"/>
          <w:sz w:val="24"/>
          <w:szCs w:val="24"/>
          <w:lang w:val="en-US"/>
        </w:rPr>
        <w:t xml:space="preserve">fictive alternative ForMIX (assuming that spruce, larch and pine that jointly account for 99.5% of conifer basal area are </w:t>
      </w:r>
      <w:r w:rsidR="00FF21DF" w:rsidRPr="00E76583">
        <w:rPr>
          <w:rFonts w:ascii="Times New Roman" w:hAnsi="Times New Roman" w:cs="Times New Roman"/>
          <w:sz w:val="24"/>
          <w:szCs w:val="24"/>
          <w:lang w:val="en-US"/>
        </w:rPr>
        <w:t xml:space="preserve">natural </w:t>
      </w:r>
      <w:r w:rsidRPr="00E76583">
        <w:rPr>
          <w:rFonts w:ascii="Times New Roman" w:hAnsi="Times New Roman" w:cs="Times New Roman"/>
          <w:sz w:val="24"/>
          <w:szCs w:val="24"/>
          <w:lang w:val="en-US"/>
        </w:rPr>
        <w:t>at all sites; expected amount of deadwood 60 m³/ha</w:t>
      </w:r>
      <w:r w:rsidR="006F51FE" w:rsidRPr="00E76583">
        <w:rPr>
          <w:rFonts w:ascii="Times New Roman" w:hAnsi="Times New Roman" w:cs="Times New Roman"/>
          <w:sz w:val="24"/>
          <w:szCs w:val="24"/>
          <w:lang w:val="en-US"/>
        </w:rPr>
        <w:t xml:space="preserve">, </w:t>
      </w:r>
      <w:bookmarkStart w:id="0" w:name="_Hlk205988222"/>
      <w:r w:rsidR="006F51FE" w:rsidRPr="00E76583">
        <w:rPr>
          <w:rFonts w:ascii="Times New Roman" w:hAnsi="Times New Roman" w:cs="Times New Roman"/>
          <w:sz w:val="24"/>
          <w:szCs w:val="24"/>
          <w:lang w:val="en-US"/>
        </w:rPr>
        <w:t>average DBH of 20 largest trees</w:t>
      </w:r>
      <w:r w:rsidR="00FF21DF" w:rsidRPr="00E76583">
        <w:rPr>
          <w:rFonts w:ascii="Times New Roman" w:hAnsi="Times New Roman" w:cs="Times New Roman"/>
          <w:sz w:val="24"/>
          <w:szCs w:val="24"/>
          <w:lang w:val="en-US"/>
        </w:rPr>
        <w:t xml:space="preserve"> </w:t>
      </w:r>
      <w:r w:rsidR="006F51FE" w:rsidRPr="00E76583">
        <w:rPr>
          <w:rFonts w:ascii="Times New Roman" w:hAnsi="Times New Roman" w:cs="Times New Roman"/>
          <w:sz w:val="24"/>
          <w:szCs w:val="24"/>
          <w:lang w:val="en-US"/>
        </w:rPr>
        <w:t>60 cm</w:t>
      </w:r>
      <w:bookmarkEnd w:id="0"/>
      <w:r w:rsidRPr="00E76583">
        <w:rPr>
          <w:rFonts w:ascii="Times New Roman" w:hAnsi="Times New Roman" w:cs="Times New Roman"/>
          <w:sz w:val="24"/>
          <w:szCs w:val="24"/>
          <w:lang w:val="en-US"/>
        </w:rPr>
        <w:t>) is highly related (Spearman’s rho=0.</w:t>
      </w:r>
      <w:r w:rsidR="00FF21DF" w:rsidRPr="00E76583">
        <w:rPr>
          <w:rFonts w:ascii="Times New Roman" w:hAnsi="Times New Roman" w:cs="Times New Roman"/>
          <w:sz w:val="24"/>
          <w:szCs w:val="24"/>
          <w:lang w:val="en-US"/>
        </w:rPr>
        <w:t>956</w:t>
      </w:r>
      <w:r w:rsidRPr="00E76583">
        <w:rPr>
          <w:rFonts w:ascii="Times New Roman" w:hAnsi="Times New Roman" w:cs="Times New Roman"/>
          <w:sz w:val="24"/>
          <w:szCs w:val="24"/>
          <w:lang w:val="en-US"/>
        </w:rPr>
        <w:t xml:space="preserve">, p&lt;0.001) to ForMIX using beech forest as reference (larch and pine not considered </w:t>
      </w:r>
      <w:r w:rsidR="00FF21DF" w:rsidRPr="00E76583">
        <w:rPr>
          <w:rFonts w:ascii="Times New Roman" w:hAnsi="Times New Roman" w:cs="Times New Roman"/>
          <w:sz w:val="24"/>
          <w:szCs w:val="24"/>
          <w:lang w:val="en-US"/>
        </w:rPr>
        <w:t>natural</w:t>
      </w:r>
      <w:r w:rsidRPr="00E76583">
        <w:rPr>
          <w:rFonts w:ascii="Times New Roman" w:hAnsi="Times New Roman" w:cs="Times New Roman"/>
          <w:sz w:val="24"/>
          <w:szCs w:val="24"/>
          <w:lang w:val="en-US"/>
        </w:rPr>
        <w:t>, spruce only when</w:t>
      </w:r>
      <w:r w:rsidRPr="001318C5">
        <w:rPr>
          <w:rFonts w:ascii="Times New Roman" w:hAnsi="Times New Roman" w:cs="Times New Roman"/>
          <w:sz w:val="24"/>
          <w:szCs w:val="24"/>
          <w:lang w:val="en-US"/>
        </w:rPr>
        <w:t xml:space="preserve"> occurring at higher elevation and accounting for less than 1/3 of basal area; expected amount of deadwood 100 m³/ha). Dashed line is the 1:1 diagonal</w:t>
      </w:r>
    </w:p>
    <w:p w14:paraId="2FFDB833" w14:textId="77777777" w:rsidR="0056481D" w:rsidRPr="001318C5" w:rsidRDefault="0056481D" w:rsidP="004675E3">
      <w:pPr>
        <w:spacing w:line="480" w:lineRule="auto"/>
        <w:rPr>
          <w:rFonts w:ascii="Times New Roman" w:hAnsi="Times New Roman"/>
          <w:sz w:val="24"/>
          <w:szCs w:val="24"/>
          <w:lang w:val="en-GB"/>
        </w:rPr>
      </w:pPr>
      <w:r w:rsidRPr="001318C5">
        <w:rPr>
          <w:rFonts w:ascii="Times New Roman" w:hAnsi="Times New Roman"/>
          <w:sz w:val="24"/>
          <w:szCs w:val="24"/>
          <w:lang w:val="en-GB"/>
        </w:rPr>
        <w:br w:type="page"/>
      </w:r>
    </w:p>
    <w:p w14:paraId="49976759" w14:textId="2CCC6452" w:rsidR="00206885" w:rsidRPr="00206885" w:rsidRDefault="00206885" w:rsidP="00206885">
      <w:pPr>
        <w:spacing w:after="0" w:line="480" w:lineRule="auto"/>
        <w:jc w:val="center"/>
        <w:rPr>
          <w:rFonts w:ascii="Times New Roman" w:hAnsi="Times New Roman"/>
          <w:sz w:val="24"/>
          <w:szCs w:val="24"/>
        </w:rPr>
      </w:pPr>
      <w:r w:rsidRPr="00206885">
        <w:rPr>
          <w:rFonts w:ascii="Times New Roman" w:hAnsi="Times New Roman"/>
          <w:noProof/>
          <w:sz w:val="24"/>
          <w:szCs w:val="24"/>
        </w:rPr>
        <w:lastRenderedPageBreak/>
        <w:drawing>
          <wp:inline distT="0" distB="0" distL="0" distR="0" wp14:anchorId="4936779C" wp14:editId="2B14C01D">
            <wp:extent cx="5760720" cy="2879725"/>
            <wp:effectExtent l="0" t="0" r="0" b="0"/>
            <wp:docPr id="126778535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5760720" cy="2879725"/>
                    </a:xfrm>
                    <a:prstGeom prst="rect">
                      <a:avLst/>
                    </a:prstGeom>
                    <a:noFill/>
                    <a:ln>
                      <a:noFill/>
                    </a:ln>
                  </pic:spPr>
                </pic:pic>
              </a:graphicData>
            </a:graphic>
          </wp:inline>
        </w:drawing>
      </w:r>
    </w:p>
    <w:p w14:paraId="7F1458E8" w14:textId="6518F4D5" w:rsidR="00F55C60" w:rsidRDefault="00056E0A" w:rsidP="0056481D">
      <w:pPr>
        <w:spacing w:after="0" w:line="480" w:lineRule="auto"/>
        <w:jc w:val="both"/>
        <w:rPr>
          <w:rFonts w:ascii="Times New Roman" w:hAnsi="Times New Roman" w:cs="Times New Roman"/>
          <w:sz w:val="24"/>
          <w:szCs w:val="24"/>
          <w:lang w:val="en-US"/>
        </w:rPr>
      </w:pPr>
      <w:r w:rsidRPr="00E76583">
        <w:rPr>
          <w:rFonts w:ascii="Times New Roman" w:hAnsi="Times New Roman" w:cs="Times New Roman"/>
          <w:b/>
          <w:sz w:val="24"/>
          <w:szCs w:val="24"/>
          <w:lang w:val="en-US"/>
        </w:rPr>
        <w:t>Fig. S</w:t>
      </w:r>
      <w:r w:rsidR="009F3527" w:rsidRPr="00E76583">
        <w:rPr>
          <w:rFonts w:ascii="Times New Roman" w:hAnsi="Times New Roman" w:cs="Times New Roman"/>
          <w:b/>
          <w:sz w:val="24"/>
          <w:szCs w:val="24"/>
          <w:lang w:val="en-US"/>
        </w:rPr>
        <w:t>5</w:t>
      </w:r>
      <w:r w:rsidRPr="00E76583">
        <w:rPr>
          <w:rFonts w:ascii="Times New Roman" w:hAnsi="Times New Roman" w:cs="Times New Roman"/>
          <w:sz w:val="24"/>
          <w:szCs w:val="24"/>
          <w:lang w:val="en-US"/>
        </w:rPr>
        <w:t xml:space="preserve"> The ForMIX</w:t>
      </w:r>
      <w:r w:rsidRPr="001318C5">
        <w:rPr>
          <w:rFonts w:ascii="Times New Roman" w:hAnsi="Times New Roman" w:cs="Times New Roman"/>
          <w:sz w:val="24"/>
          <w:szCs w:val="24"/>
          <w:lang w:val="en-US"/>
        </w:rPr>
        <w:t xml:space="preserve"> index correlates with alternative measures of land use in forest. Shown are relationships with the Forest Management Intensity index (ForMI, Kahl &amp; Bauhus 2014, left) and the Silvicultural Management Intensity </w:t>
      </w:r>
      <w:bookmarkStart w:id="1" w:name="_Hlk188824279"/>
      <w:r w:rsidRPr="001318C5">
        <w:rPr>
          <w:rFonts w:ascii="Times New Roman" w:hAnsi="Times New Roman" w:cs="Times New Roman"/>
          <w:sz w:val="24"/>
          <w:szCs w:val="24"/>
          <w:lang w:val="en-US"/>
        </w:rPr>
        <w:t xml:space="preserve">indicator </w:t>
      </w:r>
      <w:bookmarkEnd w:id="1"/>
      <w:r w:rsidRPr="001318C5">
        <w:rPr>
          <w:rFonts w:ascii="Times New Roman" w:hAnsi="Times New Roman" w:cs="Times New Roman"/>
          <w:sz w:val="24"/>
          <w:szCs w:val="24"/>
          <w:lang w:val="en-US"/>
        </w:rPr>
        <w:t>(SMI, Schall &amp; Ammer 2013, right), which are both highly significant (based on Spearman’s rho). Data are based on forest inventories conducted on a total of 150 forest sites (size 1 ha) distributed over three regions of Germany (Fig. S1)</w:t>
      </w:r>
    </w:p>
    <w:p w14:paraId="09756B52" w14:textId="77777777" w:rsidR="00F55C60" w:rsidRDefault="00F55C6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5930AFA" w14:textId="442D8AE0" w:rsidR="00F343D5" w:rsidRPr="00F55C60" w:rsidRDefault="00F55C60" w:rsidP="0056481D">
      <w:pPr>
        <w:spacing w:after="0" w:line="480" w:lineRule="auto"/>
        <w:jc w:val="both"/>
        <w:rPr>
          <w:rFonts w:ascii="Times New Roman" w:hAnsi="Times New Roman"/>
          <w:b/>
          <w:sz w:val="24"/>
          <w:szCs w:val="24"/>
          <w:lang w:val="en-GB"/>
        </w:rPr>
      </w:pPr>
      <w:r w:rsidRPr="00F55C60">
        <w:rPr>
          <w:rFonts w:ascii="Times New Roman" w:hAnsi="Times New Roman"/>
          <w:b/>
          <w:sz w:val="24"/>
          <w:szCs w:val="24"/>
          <w:lang w:val="en-GB"/>
        </w:rPr>
        <w:lastRenderedPageBreak/>
        <w:t>References cited in Supplementary material</w:t>
      </w:r>
    </w:p>
    <w:p w14:paraId="1116DC4E" w14:textId="212DF86B"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US" w:eastAsia="de-DE"/>
        </w:rPr>
      </w:pPr>
      <w:bookmarkStart w:id="2" w:name="_Hlk207119043"/>
      <w:r w:rsidRPr="00F55C60">
        <w:rPr>
          <w:rFonts w:ascii="Times New Roman" w:eastAsia="Times New Roman" w:hAnsi="Times New Roman" w:cs="Times New Roman"/>
          <w:sz w:val="24"/>
          <w:szCs w:val="24"/>
          <w:lang w:val="en-US" w:eastAsia="de-DE"/>
        </w:rPr>
        <w:t xml:space="preserve">Christensen M, Hahn K, Mountford EP, Odor P, Standovár T, Rozenbergar D, Diaci J, Wijdeven S, Meyer P, Winter S, Vrska T (2005) </w:t>
      </w:r>
      <w:r w:rsidRPr="00F55C60">
        <w:rPr>
          <w:rFonts w:ascii="Times New Roman" w:eastAsia="Times New Roman" w:hAnsi="Times New Roman" w:cs="Times New Roman"/>
          <w:sz w:val="24"/>
          <w:szCs w:val="24"/>
          <w:lang w:val="en-GB" w:eastAsia="de-DE"/>
        </w:rPr>
        <w:t>Dead wood in European beech (</w:t>
      </w:r>
      <w:r w:rsidRPr="00F55C60">
        <w:rPr>
          <w:rFonts w:ascii="Times New Roman" w:eastAsia="Times New Roman" w:hAnsi="Times New Roman" w:cs="Times New Roman"/>
          <w:i/>
          <w:sz w:val="24"/>
          <w:szCs w:val="24"/>
          <w:lang w:val="en-GB" w:eastAsia="de-DE"/>
        </w:rPr>
        <w:t>Fagus sylvatica</w:t>
      </w:r>
      <w:r w:rsidRPr="00F55C60">
        <w:rPr>
          <w:rFonts w:ascii="Times New Roman" w:eastAsia="Times New Roman" w:hAnsi="Times New Roman" w:cs="Times New Roman"/>
          <w:sz w:val="24"/>
          <w:szCs w:val="24"/>
          <w:lang w:val="en-GB" w:eastAsia="de-DE"/>
        </w:rPr>
        <w:t xml:space="preserve">) forest reserves. </w:t>
      </w:r>
      <w:r w:rsidRPr="00F55C60">
        <w:rPr>
          <w:rFonts w:ascii="Times New Roman" w:eastAsia="Times New Roman" w:hAnsi="Times New Roman" w:cs="Times New Roman"/>
          <w:iCs/>
          <w:sz w:val="24"/>
          <w:szCs w:val="24"/>
          <w:lang w:val="en-US" w:eastAsia="de-DE"/>
        </w:rPr>
        <w:t>For Ecol Manag</w:t>
      </w:r>
      <w:r w:rsidRPr="00F55C60">
        <w:rPr>
          <w:rFonts w:ascii="Times New Roman" w:eastAsia="Times New Roman" w:hAnsi="Times New Roman" w:cs="Times New Roman"/>
          <w:sz w:val="24"/>
          <w:szCs w:val="24"/>
          <w:lang w:val="en-US" w:eastAsia="de-DE"/>
        </w:rPr>
        <w:t xml:space="preserve"> </w:t>
      </w:r>
      <w:r w:rsidRPr="00F55C60">
        <w:rPr>
          <w:rFonts w:ascii="Times New Roman" w:eastAsia="Times New Roman" w:hAnsi="Times New Roman" w:cs="Times New Roman"/>
          <w:iCs/>
          <w:sz w:val="24"/>
          <w:szCs w:val="24"/>
          <w:lang w:val="en-US" w:eastAsia="de-DE"/>
        </w:rPr>
        <w:t>210</w:t>
      </w:r>
      <w:r w:rsidRPr="00F55C60">
        <w:rPr>
          <w:rFonts w:ascii="Times New Roman" w:eastAsia="Times New Roman" w:hAnsi="Times New Roman" w:cs="Times New Roman"/>
          <w:sz w:val="24"/>
          <w:szCs w:val="24"/>
          <w:lang w:val="en-US" w:eastAsia="de-DE"/>
        </w:rPr>
        <w:t>:267–282.</w:t>
      </w:r>
      <w:r w:rsidR="00075A41">
        <w:rPr>
          <w:rFonts w:ascii="Times New Roman" w:eastAsia="Times New Roman" w:hAnsi="Times New Roman" w:cs="Times New Roman"/>
          <w:sz w:val="24"/>
          <w:szCs w:val="24"/>
          <w:lang w:val="en-US" w:eastAsia="de-DE"/>
        </w:rPr>
        <w:t xml:space="preserve"> </w:t>
      </w:r>
      <w:hyperlink r:id="rId13" w:history="1">
        <w:r w:rsidR="00075A41" w:rsidRPr="004D70A0">
          <w:rPr>
            <w:rStyle w:val="Hyperlink"/>
            <w:rFonts w:ascii="Times New Roman" w:eastAsia="Times New Roman" w:hAnsi="Times New Roman" w:cs="Times New Roman"/>
            <w:sz w:val="24"/>
            <w:szCs w:val="24"/>
            <w:lang w:val="en-US" w:eastAsia="de-DE"/>
          </w:rPr>
          <w:t>https://doi.org/10.1016/j.foreco.2005.02.032</w:t>
        </w:r>
      </w:hyperlink>
    </w:p>
    <w:p w14:paraId="350E5D3A" w14:textId="77777777"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US" w:eastAsia="de-DE"/>
        </w:rPr>
      </w:pPr>
      <w:r w:rsidRPr="00F55C60">
        <w:rPr>
          <w:rFonts w:ascii="Times New Roman" w:eastAsia="Times New Roman" w:hAnsi="Times New Roman" w:cs="Times New Roman"/>
          <w:sz w:val="24"/>
          <w:szCs w:val="24"/>
          <w:lang w:val="en-GB" w:eastAsia="de-DE"/>
        </w:rPr>
        <w:t xml:space="preserve">Commarmot B, Bachofen H, Bundziak Y, Bürgi A, Ramp B, Shparyk Y, Sukhariuk D, Viter R, Zingg A (2005) Structures of virgin and managed beech forests in Uholka (Ukraine) and Sihlwald (Switzerland): a comparative study. </w:t>
      </w:r>
      <w:r w:rsidRPr="00F55C60">
        <w:rPr>
          <w:rFonts w:ascii="Times New Roman" w:eastAsia="Times New Roman" w:hAnsi="Times New Roman" w:cs="Times New Roman"/>
          <w:iCs/>
          <w:sz w:val="24"/>
          <w:szCs w:val="24"/>
          <w:lang w:val="en-US" w:eastAsia="de-DE"/>
        </w:rPr>
        <w:t>For Snow Landsc Res</w:t>
      </w:r>
      <w:r w:rsidRPr="00F55C60">
        <w:rPr>
          <w:rFonts w:ascii="Times New Roman" w:eastAsia="Times New Roman" w:hAnsi="Times New Roman" w:cs="Times New Roman"/>
          <w:sz w:val="24"/>
          <w:szCs w:val="24"/>
          <w:lang w:val="en-US" w:eastAsia="de-DE"/>
        </w:rPr>
        <w:t xml:space="preserve"> </w:t>
      </w:r>
      <w:r w:rsidRPr="00F55C60">
        <w:rPr>
          <w:rFonts w:ascii="Times New Roman" w:eastAsia="Times New Roman" w:hAnsi="Times New Roman" w:cs="Times New Roman"/>
          <w:iCs/>
          <w:sz w:val="24"/>
          <w:szCs w:val="24"/>
          <w:lang w:val="en-US" w:eastAsia="de-DE"/>
        </w:rPr>
        <w:t>79</w:t>
      </w:r>
      <w:r w:rsidRPr="00F55C60">
        <w:rPr>
          <w:rFonts w:ascii="Times New Roman" w:eastAsia="Times New Roman" w:hAnsi="Times New Roman" w:cs="Times New Roman"/>
          <w:sz w:val="24"/>
          <w:szCs w:val="24"/>
          <w:lang w:val="en-US" w:eastAsia="de-DE"/>
        </w:rPr>
        <w:t>:45–56.</w:t>
      </w:r>
    </w:p>
    <w:p w14:paraId="031B3917" w14:textId="5FA54E0A"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US" w:eastAsia="de-DE"/>
        </w:rPr>
        <w:t xml:space="preserve">Feldmann E, Glatthorn J, Hauck M, Leuschner C (2018) </w:t>
      </w:r>
      <w:r w:rsidRPr="00F55C60">
        <w:rPr>
          <w:rFonts w:ascii="Times New Roman" w:eastAsia="Times New Roman" w:hAnsi="Times New Roman" w:cs="Times New Roman"/>
          <w:sz w:val="24"/>
          <w:szCs w:val="24"/>
          <w:lang w:val="en-GB" w:eastAsia="de-DE"/>
        </w:rPr>
        <w:t xml:space="preserve">A novel empirical approach for determining the extension of forest development stages in temperate old-growth forests. </w:t>
      </w:r>
      <w:r w:rsidRPr="00F55C60">
        <w:rPr>
          <w:rFonts w:ascii="Times New Roman" w:eastAsia="Times New Roman" w:hAnsi="Times New Roman" w:cs="Times New Roman"/>
          <w:iCs/>
          <w:sz w:val="24"/>
          <w:szCs w:val="24"/>
          <w:lang w:val="en-GB" w:eastAsia="de-DE"/>
        </w:rPr>
        <w:t>Eur J For Res</w:t>
      </w:r>
      <w:r w:rsidRPr="00F55C60">
        <w:rPr>
          <w:rFonts w:ascii="Times New Roman" w:eastAsia="Times New Roman" w:hAnsi="Times New Roman" w:cs="Times New Roman"/>
          <w:sz w:val="24"/>
          <w:szCs w:val="24"/>
          <w:lang w:val="en-GB" w:eastAsia="de-DE"/>
        </w:rPr>
        <w:t xml:space="preserve"> </w:t>
      </w:r>
      <w:r w:rsidRPr="00F55C60">
        <w:rPr>
          <w:rFonts w:ascii="Times New Roman" w:eastAsia="Times New Roman" w:hAnsi="Times New Roman" w:cs="Times New Roman"/>
          <w:iCs/>
          <w:sz w:val="24"/>
          <w:szCs w:val="24"/>
          <w:lang w:val="en-GB" w:eastAsia="de-DE"/>
        </w:rPr>
        <w:t>137</w:t>
      </w:r>
      <w:r w:rsidRPr="00F55C60">
        <w:rPr>
          <w:rFonts w:ascii="Times New Roman" w:eastAsia="Times New Roman" w:hAnsi="Times New Roman" w:cs="Times New Roman"/>
          <w:sz w:val="24"/>
          <w:szCs w:val="24"/>
          <w:lang w:val="en-GB" w:eastAsia="de-DE"/>
        </w:rPr>
        <w:t>:321</w:t>
      </w:r>
      <w:r w:rsidRPr="00F55C60">
        <w:rPr>
          <w:rFonts w:ascii="Times New Roman" w:eastAsia="Times New Roman" w:hAnsi="Times New Roman" w:cs="Times New Roman"/>
          <w:sz w:val="24"/>
          <w:szCs w:val="24"/>
          <w:lang w:val="en-US" w:eastAsia="de-DE"/>
        </w:rPr>
        <w:t>–</w:t>
      </w:r>
      <w:r w:rsidRPr="00F55C60">
        <w:rPr>
          <w:rFonts w:ascii="Times New Roman" w:eastAsia="Times New Roman" w:hAnsi="Times New Roman" w:cs="Times New Roman"/>
          <w:sz w:val="24"/>
          <w:szCs w:val="24"/>
          <w:lang w:val="en-GB" w:eastAsia="de-DE"/>
        </w:rPr>
        <w:t>335.</w:t>
      </w:r>
      <w:r w:rsidR="00075A41">
        <w:rPr>
          <w:rFonts w:ascii="Times New Roman" w:eastAsia="Times New Roman" w:hAnsi="Times New Roman" w:cs="Times New Roman"/>
          <w:sz w:val="24"/>
          <w:szCs w:val="24"/>
          <w:lang w:val="en-GB" w:eastAsia="de-DE"/>
        </w:rPr>
        <w:t xml:space="preserve"> </w:t>
      </w:r>
      <w:hyperlink r:id="rId14" w:history="1">
        <w:r w:rsidR="00075A41" w:rsidRPr="004D70A0">
          <w:rPr>
            <w:rStyle w:val="Hyperlink"/>
            <w:rFonts w:ascii="Times New Roman" w:eastAsia="Times New Roman" w:hAnsi="Times New Roman" w:cs="Times New Roman"/>
            <w:sz w:val="24"/>
            <w:szCs w:val="24"/>
            <w:lang w:val="en-GB" w:eastAsia="de-DE"/>
          </w:rPr>
          <w:t>https://doi.org/10.1007/s10342-018-1105-4</w:t>
        </w:r>
      </w:hyperlink>
    </w:p>
    <w:p w14:paraId="4669D19D" w14:textId="0125FE5D"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GB" w:eastAsia="de-DE"/>
        </w:rPr>
        <w:t xml:space="preserve">Green P, Peterken GF (1997) Variation in the amount of dead wood in the woodlands of the Lower Wye Valley, UK in relation to the intensity of management. </w:t>
      </w:r>
      <w:r w:rsidRPr="00F55C60">
        <w:rPr>
          <w:rFonts w:ascii="Times New Roman" w:eastAsia="Times New Roman" w:hAnsi="Times New Roman" w:cs="Times New Roman"/>
          <w:iCs/>
          <w:sz w:val="24"/>
          <w:szCs w:val="24"/>
          <w:lang w:val="en-US" w:eastAsia="de-DE"/>
        </w:rPr>
        <w:t>For Ecol Manag</w:t>
      </w:r>
      <w:r w:rsidRPr="00F55C60">
        <w:rPr>
          <w:rFonts w:ascii="Times New Roman" w:eastAsia="Times New Roman" w:hAnsi="Times New Roman" w:cs="Times New Roman"/>
          <w:sz w:val="24"/>
          <w:szCs w:val="24"/>
          <w:lang w:val="en-US" w:eastAsia="de-DE"/>
        </w:rPr>
        <w:t xml:space="preserve"> </w:t>
      </w:r>
      <w:r w:rsidRPr="00F55C60">
        <w:rPr>
          <w:rFonts w:ascii="Times New Roman" w:eastAsia="Times New Roman" w:hAnsi="Times New Roman" w:cs="Times New Roman"/>
          <w:iCs/>
          <w:sz w:val="24"/>
          <w:szCs w:val="24"/>
          <w:lang w:val="en-GB" w:eastAsia="de-DE"/>
        </w:rPr>
        <w:t>98</w:t>
      </w:r>
      <w:r w:rsidRPr="00F55C60">
        <w:rPr>
          <w:rFonts w:ascii="Times New Roman" w:eastAsia="Times New Roman" w:hAnsi="Times New Roman" w:cs="Times New Roman"/>
          <w:sz w:val="24"/>
          <w:szCs w:val="24"/>
          <w:lang w:val="en-GB" w:eastAsia="de-DE"/>
        </w:rPr>
        <w:t>:229</w:t>
      </w:r>
      <w:r w:rsidRPr="00F55C60">
        <w:rPr>
          <w:rFonts w:ascii="Times New Roman" w:eastAsia="Times New Roman" w:hAnsi="Times New Roman" w:cs="Times New Roman"/>
          <w:sz w:val="24"/>
          <w:szCs w:val="24"/>
          <w:lang w:val="en-US" w:eastAsia="de-DE"/>
        </w:rPr>
        <w:t>–</w:t>
      </w:r>
      <w:r w:rsidRPr="00F55C60">
        <w:rPr>
          <w:rFonts w:ascii="Times New Roman" w:eastAsia="Times New Roman" w:hAnsi="Times New Roman" w:cs="Times New Roman"/>
          <w:sz w:val="24"/>
          <w:szCs w:val="24"/>
          <w:lang w:val="en-GB" w:eastAsia="de-DE"/>
        </w:rPr>
        <w:t>238.</w:t>
      </w:r>
      <w:r w:rsidR="00075A41">
        <w:rPr>
          <w:rFonts w:ascii="Times New Roman" w:eastAsia="Times New Roman" w:hAnsi="Times New Roman" w:cs="Times New Roman"/>
          <w:sz w:val="24"/>
          <w:szCs w:val="24"/>
          <w:lang w:val="en-GB" w:eastAsia="de-DE"/>
        </w:rPr>
        <w:t xml:space="preserve"> </w:t>
      </w:r>
      <w:hyperlink r:id="rId15" w:history="1">
        <w:r w:rsidR="00075A41" w:rsidRPr="004D70A0">
          <w:rPr>
            <w:rStyle w:val="Hyperlink"/>
            <w:rFonts w:ascii="Times New Roman" w:eastAsia="Times New Roman" w:hAnsi="Times New Roman" w:cs="Times New Roman"/>
            <w:sz w:val="24"/>
            <w:szCs w:val="24"/>
            <w:lang w:val="en-GB" w:eastAsia="de-DE"/>
          </w:rPr>
          <w:t>https://doi.org/10.1016/S0378-1127(97)00106-0</w:t>
        </w:r>
      </w:hyperlink>
    </w:p>
    <w:p w14:paraId="649B5EF5" w14:textId="62AC6027"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GB" w:eastAsia="de-DE"/>
        </w:rPr>
        <w:t xml:space="preserve">Holeksa J, Saniga M, Szwagrzyk J, Czerniak M, Staszyńska K, Kapusta P (2009) A giant tree stand in the West Carpathians—An exception or a relic of formerly widespread mountain European forests? </w:t>
      </w:r>
      <w:r w:rsidRPr="00F55C60">
        <w:rPr>
          <w:rFonts w:ascii="Times New Roman" w:eastAsia="Times New Roman" w:hAnsi="Times New Roman" w:cs="Times New Roman"/>
          <w:iCs/>
          <w:sz w:val="24"/>
          <w:szCs w:val="24"/>
          <w:lang w:val="en-US" w:eastAsia="de-DE"/>
        </w:rPr>
        <w:t>For Ecol Manag</w:t>
      </w:r>
      <w:r w:rsidRPr="00F55C60">
        <w:rPr>
          <w:rFonts w:ascii="Times New Roman" w:eastAsia="Times New Roman" w:hAnsi="Times New Roman" w:cs="Times New Roman"/>
          <w:sz w:val="24"/>
          <w:szCs w:val="24"/>
          <w:lang w:val="en-GB" w:eastAsia="de-DE"/>
        </w:rPr>
        <w:t xml:space="preserve"> </w:t>
      </w:r>
      <w:r w:rsidRPr="00F55C60">
        <w:rPr>
          <w:rFonts w:ascii="Times New Roman" w:eastAsia="Times New Roman" w:hAnsi="Times New Roman" w:cs="Times New Roman"/>
          <w:iCs/>
          <w:sz w:val="24"/>
          <w:szCs w:val="24"/>
          <w:lang w:val="en-GB" w:eastAsia="de-DE"/>
        </w:rPr>
        <w:t>257</w:t>
      </w:r>
      <w:r w:rsidRPr="00F55C60">
        <w:rPr>
          <w:rFonts w:ascii="Times New Roman" w:eastAsia="Times New Roman" w:hAnsi="Times New Roman" w:cs="Times New Roman"/>
          <w:sz w:val="24"/>
          <w:szCs w:val="24"/>
          <w:lang w:val="en-GB" w:eastAsia="de-DE"/>
        </w:rPr>
        <w:t>:1577</w:t>
      </w:r>
      <w:r w:rsidRPr="00F55C60">
        <w:rPr>
          <w:rFonts w:ascii="Times New Roman" w:eastAsia="Times New Roman" w:hAnsi="Times New Roman" w:cs="Times New Roman"/>
          <w:sz w:val="24"/>
          <w:szCs w:val="24"/>
          <w:lang w:val="en-US" w:eastAsia="de-DE"/>
        </w:rPr>
        <w:t>–</w:t>
      </w:r>
      <w:r w:rsidRPr="00F55C60">
        <w:rPr>
          <w:rFonts w:ascii="Times New Roman" w:eastAsia="Times New Roman" w:hAnsi="Times New Roman" w:cs="Times New Roman"/>
          <w:sz w:val="24"/>
          <w:szCs w:val="24"/>
          <w:lang w:val="en-GB" w:eastAsia="de-DE"/>
        </w:rPr>
        <w:t>1585.</w:t>
      </w:r>
      <w:r w:rsidR="00075A41">
        <w:rPr>
          <w:rFonts w:ascii="Times New Roman" w:eastAsia="Times New Roman" w:hAnsi="Times New Roman" w:cs="Times New Roman"/>
          <w:sz w:val="24"/>
          <w:szCs w:val="24"/>
          <w:lang w:val="en-GB" w:eastAsia="de-DE"/>
        </w:rPr>
        <w:t xml:space="preserve"> </w:t>
      </w:r>
      <w:hyperlink r:id="rId16" w:history="1">
        <w:r w:rsidR="00075A41" w:rsidRPr="004D70A0">
          <w:rPr>
            <w:rStyle w:val="Hyperlink"/>
            <w:rFonts w:ascii="Times New Roman" w:eastAsia="Times New Roman" w:hAnsi="Times New Roman" w:cs="Times New Roman"/>
            <w:sz w:val="24"/>
            <w:szCs w:val="24"/>
            <w:lang w:val="en-GB" w:eastAsia="de-DE"/>
          </w:rPr>
          <w:t>https://doi.org/10.1016/j.foreco.2009.01.008</w:t>
        </w:r>
      </w:hyperlink>
    </w:p>
    <w:p w14:paraId="3796D590" w14:textId="77777777"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GB" w:eastAsia="de-DE"/>
        </w:rPr>
        <w:t xml:space="preserve">Jaworski A, Podlaski R (2007) Structure and dynamics of selected stands of primeval character in the Pieniny National Park. </w:t>
      </w:r>
      <w:r w:rsidRPr="00F55C60">
        <w:rPr>
          <w:rFonts w:ascii="Times New Roman" w:eastAsia="Times New Roman" w:hAnsi="Times New Roman" w:cs="Times New Roman"/>
          <w:iCs/>
          <w:sz w:val="24"/>
          <w:szCs w:val="24"/>
          <w:lang w:val="en-GB" w:eastAsia="de-DE"/>
        </w:rPr>
        <w:t>Dendrobiology</w:t>
      </w:r>
      <w:r w:rsidRPr="00F55C60">
        <w:rPr>
          <w:rFonts w:ascii="Times New Roman" w:eastAsia="Times New Roman" w:hAnsi="Times New Roman" w:cs="Times New Roman"/>
          <w:sz w:val="24"/>
          <w:szCs w:val="24"/>
          <w:lang w:val="en-GB" w:eastAsia="de-DE"/>
        </w:rPr>
        <w:t xml:space="preserve"> </w:t>
      </w:r>
      <w:r w:rsidRPr="00F55C60">
        <w:rPr>
          <w:rFonts w:ascii="Times New Roman" w:eastAsia="Times New Roman" w:hAnsi="Times New Roman" w:cs="Times New Roman"/>
          <w:iCs/>
          <w:sz w:val="24"/>
          <w:szCs w:val="24"/>
          <w:lang w:val="en-GB" w:eastAsia="de-DE"/>
        </w:rPr>
        <w:t>58</w:t>
      </w:r>
      <w:r w:rsidRPr="00F55C60">
        <w:rPr>
          <w:rFonts w:ascii="Times New Roman" w:eastAsia="Times New Roman" w:hAnsi="Times New Roman" w:cs="Times New Roman"/>
          <w:sz w:val="24"/>
          <w:szCs w:val="24"/>
          <w:lang w:val="en-GB" w:eastAsia="de-DE"/>
        </w:rPr>
        <w:t>:25</w:t>
      </w:r>
      <w:r w:rsidRPr="00F55C60">
        <w:rPr>
          <w:rFonts w:ascii="Times New Roman" w:eastAsia="Times New Roman" w:hAnsi="Times New Roman" w:cs="Times New Roman"/>
          <w:sz w:val="24"/>
          <w:szCs w:val="24"/>
          <w:lang w:val="en-US" w:eastAsia="de-DE"/>
        </w:rPr>
        <w:t>–</w:t>
      </w:r>
      <w:r w:rsidRPr="00F55C60">
        <w:rPr>
          <w:rFonts w:ascii="Times New Roman" w:eastAsia="Times New Roman" w:hAnsi="Times New Roman" w:cs="Times New Roman"/>
          <w:sz w:val="24"/>
          <w:szCs w:val="24"/>
          <w:lang w:val="en-GB" w:eastAsia="de-DE"/>
        </w:rPr>
        <w:t>41.</w:t>
      </w:r>
    </w:p>
    <w:p w14:paraId="308BD91E" w14:textId="3DAE4BB8"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GB" w:eastAsia="de-DE"/>
        </w:rPr>
        <w:t>Koop H, Hilgen P (1987) Forest dynamics and regeneration mosaic shifts in unexploited beech (</w:t>
      </w:r>
      <w:r w:rsidRPr="00F55C60">
        <w:rPr>
          <w:rFonts w:ascii="Times New Roman" w:eastAsia="Times New Roman" w:hAnsi="Times New Roman" w:cs="Times New Roman"/>
          <w:i/>
          <w:sz w:val="24"/>
          <w:szCs w:val="24"/>
          <w:lang w:val="en-GB" w:eastAsia="de-DE"/>
        </w:rPr>
        <w:t>Fagus sylvatica</w:t>
      </w:r>
      <w:r w:rsidRPr="00F55C60">
        <w:rPr>
          <w:rFonts w:ascii="Times New Roman" w:eastAsia="Times New Roman" w:hAnsi="Times New Roman" w:cs="Times New Roman"/>
          <w:sz w:val="24"/>
          <w:szCs w:val="24"/>
          <w:lang w:val="en-GB" w:eastAsia="de-DE"/>
        </w:rPr>
        <w:t xml:space="preserve">) stands at Fontainebleau (France). </w:t>
      </w:r>
      <w:r w:rsidRPr="00F55C60">
        <w:rPr>
          <w:rFonts w:ascii="Times New Roman" w:eastAsia="Times New Roman" w:hAnsi="Times New Roman" w:cs="Times New Roman"/>
          <w:iCs/>
          <w:sz w:val="24"/>
          <w:szCs w:val="24"/>
          <w:lang w:val="en-US" w:eastAsia="de-DE"/>
        </w:rPr>
        <w:t>For Ecol Manag</w:t>
      </w:r>
      <w:r w:rsidRPr="00F55C60">
        <w:rPr>
          <w:rFonts w:ascii="Times New Roman" w:eastAsia="Times New Roman" w:hAnsi="Times New Roman" w:cs="Times New Roman"/>
          <w:iCs/>
          <w:sz w:val="24"/>
          <w:szCs w:val="24"/>
          <w:lang w:val="en-GB" w:eastAsia="de-DE"/>
        </w:rPr>
        <w:t xml:space="preserve"> 20:</w:t>
      </w:r>
      <w:r w:rsidRPr="00F55C60">
        <w:rPr>
          <w:rFonts w:ascii="Times New Roman" w:eastAsia="Times New Roman" w:hAnsi="Times New Roman" w:cs="Times New Roman"/>
          <w:sz w:val="24"/>
          <w:szCs w:val="24"/>
          <w:lang w:val="en-GB" w:eastAsia="de-DE"/>
        </w:rPr>
        <w:t>135</w:t>
      </w:r>
      <w:r w:rsidRPr="00F55C60">
        <w:rPr>
          <w:rFonts w:ascii="Times New Roman" w:eastAsia="Times New Roman" w:hAnsi="Times New Roman" w:cs="Times New Roman"/>
          <w:sz w:val="24"/>
          <w:szCs w:val="24"/>
          <w:lang w:val="en-US" w:eastAsia="de-DE"/>
        </w:rPr>
        <w:t>–</w:t>
      </w:r>
      <w:r w:rsidRPr="00F55C60">
        <w:rPr>
          <w:rFonts w:ascii="Times New Roman" w:eastAsia="Times New Roman" w:hAnsi="Times New Roman" w:cs="Times New Roman"/>
          <w:sz w:val="24"/>
          <w:szCs w:val="24"/>
          <w:lang w:val="en-GB" w:eastAsia="de-DE"/>
        </w:rPr>
        <w:t>150.</w:t>
      </w:r>
      <w:r w:rsidR="00075A41">
        <w:rPr>
          <w:rFonts w:ascii="Times New Roman" w:eastAsia="Times New Roman" w:hAnsi="Times New Roman" w:cs="Times New Roman"/>
          <w:sz w:val="24"/>
          <w:szCs w:val="24"/>
          <w:lang w:val="en-GB" w:eastAsia="de-DE"/>
        </w:rPr>
        <w:t xml:space="preserve"> </w:t>
      </w:r>
      <w:hyperlink r:id="rId17" w:history="1">
        <w:r w:rsidR="00075A41" w:rsidRPr="004D70A0">
          <w:rPr>
            <w:rStyle w:val="Hyperlink"/>
            <w:rFonts w:ascii="Times New Roman" w:eastAsia="Times New Roman" w:hAnsi="Times New Roman" w:cs="Times New Roman"/>
            <w:sz w:val="24"/>
            <w:szCs w:val="24"/>
            <w:lang w:val="en-GB" w:eastAsia="de-DE"/>
          </w:rPr>
          <w:t>https://doi.org/10.1016/0378-1127(87)90155-1</w:t>
        </w:r>
      </w:hyperlink>
    </w:p>
    <w:p w14:paraId="00152BA5" w14:textId="3E93EBBF" w:rsidR="00F55C60" w:rsidRPr="0020774E" w:rsidRDefault="00F55C60" w:rsidP="008A562F">
      <w:pPr>
        <w:spacing w:before="120" w:after="0" w:line="360" w:lineRule="auto"/>
        <w:ind w:left="567" w:hanging="567"/>
        <w:jc w:val="both"/>
        <w:rPr>
          <w:rFonts w:ascii="Times New Roman" w:hAnsi="Times New Roman" w:cs="Times New Roman"/>
          <w:sz w:val="24"/>
          <w:szCs w:val="24"/>
        </w:rPr>
      </w:pPr>
      <w:r w:rsidRPr="00F55C60">
        <w:rPr>
          <w:rFonts w:ascii="Times New Roman" w:hAnsi="Times New Roman" w:cs="Times New Roman"/>
          <w:sz w:val="24"/>
          <w:szCs w:val="24"/>
          <w:lang w:val="en-GB"/>
        </w:rPr>
        <w:t xml:space="preserve">Nagel R, Meyer P, Blaschke M, Feldmann E (2023) </w:t>
      </w:r>
      <w:r w:rsidRPr="00F55C60">
        <w:rPr>
          <w:rFonts w:ascii="Times New Roman" w:hAnsi="Times New Roman" w:cs="Times New Roman"/>
          <w:sz w:val="24"/>
          <w:szCs w:val="24"/>
          <w:lang w:val="en-US"/>
        </w:rPr>
        <w:t xml:space="preserve">Strict forest protection: A meaningful contribution to Climate-Smart Forestry? An evaluation of temporal trends in the carbon balance of unmanaged forests in Germany. </w:t>
      </w:r>
      <w:r w:rsidRPr="0020774E">
        <w:rPr>
          <w:rFonts w:ascii="Times New Roman" w:hAnsi="Times New Roman" w:cs="Times New Roman"/>
          <w:iCs/>
          <w:sz w:val="24"/>
          <w:szCs w:val="24"/>
        </w:rPr>
        <w:t>Front For Glob Change 6</w:t>
      </w:r>
      <w:r w:rsidRPr="0020774E">
        <w:rPr>
          <w:rFonts w:ascii="Times New Roman" w:hAnsi="Times New Roman" w:cs="Times New Roman"/>
          <w:sz w:val="24"/>
          <w:szCs w:val="24"/>
        </w:rPr>
        <w:t>:1099558.</w:t>
      </w:r>
      <w:r w:rsidR="00075A41" w:rsidRPr="0020774E">
        <w:rPr>
          <w:rFonts w:ascii="Times New Roman" w:hAnsi="Times New Roman" w:cs="Times New Roman"/>
          <w:sz w:val="24"/>
          <w:szCs w:val="24"/>
        </w:rPr>
        <w:t xml:space="preserve"> </w:t>
      </w:r>
      <w:hyperlink r:id="rId18" w:history="1">
        <w:r w:rsidR="00075A41" w:rsidRPr="0020774E">
          <w:rPr>
            <w:rStyle w:val="Hyperlink"/>
            <w:rFonts w:ascii="Times New Roman" w:hAnsi="Times New Roman" w:cs="Times New Roman"/>
            <w:sz w:val="24"/>
            <w:szCs w:val="24"/>
          </w:rPr>
          <w:t>https://doi.org/10.3389/ffgc.2023.1099558</w:t>
        </w:r>
      </w:hyperlink>
    </w:p>
    <w:p w14:paraId="106647A3" w14:textId="3D069E57"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US" w:eastAsia="de-DE"/>
        </w:rPr>
      </w:pPr>
      <w:r w:rsidRPr="00F55C60">
        <w:rPr>
          <w:rFonts w:ascii="Times New Roman" w:eastAsia="Times New Roman" w:hAnsi="Times New Roman" w:cs="Times New Roman"/>
          <w:sz w:val="24"/>
          <w:szCs w:val="24"/>
          <w:lang w:eastAsia="de-DE"/>
        </w:rPr>
        <w:t xml:space="preserve">Meyer P, Tabaku V, von Lüpke B (2003) Die Struktur albanischer Rotbuchen‐Urwälder–Ableitungen für eine naturnahe Buchenwirtschaft. </w:t>
      </w:r>
      <w:r w:rsidRPr="0020774E">
        <w:rPr>
          <w:rFonts w:ascii="Times New Roman" w:eastAsia="Times New Roman" w:hAnsi="Times New Roman" w:cs="Times New Roman"/>
          <w:iCs/>
          <w:sz w:val="24"/>
          <w:szCs w:val="24"/>
          <w:lang w:val="en-US" w:eastAsia="de-DE"/>
        </w:rPr>
        <w:t>Forstwissenschaftliches Centralblatt</w:t>
      </w:r>
      <w:r w:rsidRPr="0020774E">
        <w:rPr>
          <w:rFonts w:ascii="Times New Roman" w:eastAsia="Times New Roman" w:hAnsi="Times New Roman" w:cs="Times New Roman"/>
          <w:sz w:val="24"/>
          <w:szCs w:val="24"/>
          <w:lang w:val="en-US" w:eastAsia="de-DE"/>
        </w:rPr>
        <w:t xml:space="preserve"> </w:t>
      </w:r>
      <w:r w:rsidRPr="0020774E">
        <w:rPr>
          <w:rFonts w:ascii="Times New Roman" w:eastAsia="Times New Roman" w:hAnsi="Times New Roman" w:cs="Times New Roman"/>
          <w:iCs/>
          <w:sz w:val="24"/>
          <w:szCs w:val="24"/>
          <w:lang w:val="en-US" w:eastAsia="de-DE"/>
        </w:rPr>
        <w:t>122</w:t>
      </w:r>
      <w:r w:rsidRPr="0020774E">
        <w:rPr>
          <w:rFonts w:ascii="Times New Roman" w:eastAsia="Times New Roman" w:hAnsi="Times New Roman" w:cs="Times New Roman"/>
          <w:sz w:val="24"/>
          <w:szCs w:val="24"/>
          <w:lang w:val="en-US" w:eastAsia="de-DE"/>
        </w:rPr>
        <w:t xml:space="preserve">:47–58. </w:t>
      </w:r>
      <w:hyperlink r:id="rId19" w:history="1">
        <w:r w:rsidRPr="004D70A0">
          <w:rPr>
            <w:rStyle w:val="Hyperlink"/>
            <w:rFonts w:ascii="Times New Roman" w:eastAsia="Times New Roman" w:hAnsi="Times New Roman" w:cs="Times New Roman"/>
            <w:sz w:val="24"/>
            <w:szCs w:val="24"/>
            <w:lang w:val="en-US" w:eastAsia="de-DE"/>
          </w:rPr>
          <w:t>https://doi.org/10.1046/j.1439-0337.2003.02041.x</w:t>
        </w:r>
      </w:hyperlink>
    </w:p>
    <w:p w14:paraId="3ED6F1D6" w14:textId="044EFB7D" w:rsidR="00F55C60" w:rsidRPr="00F55C60" w:rsidRDefault="00F55C60" w:rsidP="008A562F">
      <w:pPr>
        <w:spacing w:before="120" w:after="0" w:line="360" w:lineRule="auto"/>
        <w:ind w:left="567" w:hanging="567"/>
        <w:jc w:val="both"/>
        <w:rPr>
          <w:rFonts w:ascii="Times New Roman" w:eastAsia="Times New Roman" w:hAnsi="Times New Roman" w:cs="Times New Roman"/>
          <w:iCs/>
          <w:sz w:val="24"/>
          <w:szCs w:val="24"/>
          <w:lang w:val="en-US" w:eastAsia="de-DE"/>
        </w:rPr>
      </w:pPr>
      <w:r w:rsidRPr="00F55C60">
        <w:rPr>
          <w:rFonts w:ascii="Times New Roman" w:eastAsia="Times New Roman" w:hAnsi="Times New Roman" w:cs="Times New Roman"/>
          <w:sz w:val="24"/>
          <w:szCs w:val="24"/>
          <w:lang w:val="en-US" w:eastAsia="de-DE"/>
        </w:rPr>
        <w:lastRenderedPageBreak/>
        <w:t xml:space="preserve">Nilsson SG, Niklasson M, Hedin J, Aronsson G, Gutowski JM, Linder P, Ljungberg H, Mikusiński G, Ranius T (2002) </w:t>
      </w:r>
      <w:r w:rsidRPr="00F55C60">
        <w:rPr>
          <w:rFonts w:ascii="Times New Roman" w:eastAsia="Times New Roman" w:hAnsi="Times New Roman" w:cs="Times New Roman"/>
          <w:sz w:val="24"/>
          <w:szCs w:val="24"/>
          <w:lang w:val="en-GB" w:eastAsia="de-DE"/>
        </w:rPr>
        <w:t>Densities of large living and dead trees in old-growth temperate and boreal forests.</w:t>
      </w:r>
      <w:r w:rsidRPr="00F55C60">
        <w:rPr>
          <w:rFonts w:ascii="Times New Roman" w:eastAsia="Times New Roman" w:hAnsi="Times New Roman" w:cs="Times New Roman"/>
          <w:iCs/>
          <w:sz w:val="24"/>
          <w:szCs w:val="24"/>
          <w:lang w:val="en-GB" w:eastAsia="de-DE"/>
        </w:rPr>
        <w:t xml:space="preserve"> </w:t>
      </w:r>
      <w:r w:rsidRPr="00F55C60">
        <w:rPr>
          <w:rFonts w:ascii="Times New Roman" w:eastAsia="Times New Roman" w:hAnsi="Times New Roman" w:cs="Times New Roman"/>
          <w:iCs/>
          <w:sz w:val="24"/>
          <w:szCs w:val="24"/>
          <w:lang w:val="en-US" w:eastAsia="de-DE"/>
        </w:rPr>
        <w:t>For Ecol Manag 161:189–204.</w:t>
      </w:r>
      <w:r>
        <w:rPr>
          <w:rFonts w:ascii="Times New Roman" w:eastAsia="Times New Roman" w:hAnsi="Times New Roman" w:cs="Times New Roman"/>
          <w:iCs/>
          <w:sz w:val="24"/>
          <w:szCs w:val="24"/>
          <w:lang w:val="en-US" w:eastAsia="de-DE"/>
        </w:rPr>
        <w:t xml:space="preserve"> </w:t>
      </w:r>
      <w:hyperlink r:id="rId20" w:history="1">
        <w:r w:rsidRPr="004D70A0">
          <w:rPr>
            <w:rStyle w:val="Hyperlink"/>
            <w:rFonts w:ascii="Times New Roman" w:eastAsia="Times New Roman" w:hAnsi="Times New Roman" w:cs="Times New Roman"/>
            <w:iCs/>
            <w:sz w:val="24"/>
            <w:szCs w:val="24"/>
            <w:lang w:val="en-US" w:eastAsia="de-DE"/>
          </w:rPr>
          <w:t>https://doi.org/10.1016/S0378-1127(01)00480-7</w:t>
        </w:r>
      </w:hyperlink>
    </w:p>
    <w:p w14:paraId="473800F4" w14:textId="0F424D9B"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GB" w:eastAsia="de-DE"/>
        </w:rPr>
        <w:t xml:space="preserve">Schnitzler A, Borlea F (1998) Lessons from natural forests as keys for sustainable management and improvement of naturalness in managed broadleaved forests. </w:t>
      </w:r>
      <w:r w:rsidRPr="00F55C60">
        <w:rPr>
          <w:rFonts w:ascii="Times New Roman" w:eastAsia="Times New Roman" w:hAnsi="Times New Roman" w:cs="Times New Roman"/>
          <w:iCs/>
          <w:sz w:val="24"/>
          <w:szCs w:val="24"/>
          <w:lang w:val="en-US" w:eastAsia="de-DE"/>
        </w:rPr>
        <w:t>For Ecol Manag</w:t>
      </w:r>
      <w:r w:rsidRPr="00F55C60">
        <w:rPr>
          <w:rFonts w:ascii="Times New Roman" w:eastAsia="Times New Roman" w:hAnsi="Times New Roman" w:cs="Times New Roman"/>
          <w:sz w:val="24"/>
          <w:szCs w:val="24"/>
          <w:lang w:val="en-GB" w:eastAsia="de-DE"/>
        </w:rPr>
        <w:t xml:space="preserve"> </w:t>
      </w:r>
      <w:r w:rsidRPr="00F55C60">
        <w:rPr>
          <w:rFonts w:ascii="Times New Roman" w:eastAsia="Times New Roman" w:hAnsi="Times New Roman" w:cs="Times New Roman"/>
          <w:iCs/>
          <w:sz w:val="24"/>
          <w:szCs w:val="24"/>
          <w:lang w:val="en-GB" w:eastAsia="de-DE"/>
        </w:rPr>
        <w:t>109</w:t>
      </w:r>
      <w:r w:rsidRPr="00F55C60">
        <w:rPr>
          <w:rFonts w:ascii="Times New Roman" w:eastAsia="Times New Roman" w:hAnsi="Times New Roman" w:cs="Times New Roman"/>
          <w:sz w:val="24"/>
          <w:szCs w:val="24"/>
          <w:lang w:val="en-GB" w:eastAsia="de-DE"/>
        </w:rPr>
        <w:t>:293</w:t>
      </w:r>
      <w:r w:rsidRPr="00F55C60">
        <w:rPr>
          <w:rFonts w:ascii="Times New Roman" w:eastAsia="Times New Roman" w:hAnsi="Times New Roman" w:cs="Times New Roman"/>
          <w:sz w:val="24"/>
          <w:szCs w:val="24"/>
          <w:lang w:val="en-US" w:eastAsia="de-DE"/>
        </w:rPr>
        <w:t>–</w:t>
      </w:r>
      <w:r w:rsidRPr="00F55C60">
        <w:rPr>
          <w:rFonts w:ascii="Times New Roman" w:eastAsia="Times New Roman" w:hAnsi="Times New Roman" w:cs="Times New Roman"/>
          <w:sz w:val="24"/>
          <w:szCs w:val="24"/>
          <w:lang w:val="en-GB" w:eastAsia="de-DE"/>
        </w:rPr>
        <w:t>303.</w:t>
      </w:r>
      <w:r>
        <w:rPr>
          <w:rFonts w:ascii="Times New Roman" w:eastAsia="Times New Roman" w:hAnsi="Times New Roman" w:cs="Times New Roman"/>
          <w:sz w:val="24"/>
          <w:szCs w:val="24"/>
          <w:lang w:val="en-GB" w:eastAsia="de-DE"/>
        </w:rPr>
        <w:t xml:space="preserve"> </w:t>
      </w:r>
      <w:hyperlink r:id="rId21" w:history="1">
        <w:r w:rsidRPr="004D70A0">
          <w:rPr>
            <w:rStyle w:val="Hyperlink"/>
            <w:rFonts w:ascii="Times New Roman" w:eastAsia="Times New Roman" w:hAnsi="Times New Roman" w:cs="Times New Roman"/>
            <w:sz w:val="24"/>
            <w:szCs w:val="24"/>
            <w:lang w:val="en-GB" w:eastAsia="de-DE"/>
          </w:rPr>
          <w:t>https://doi.org/10.1016/S0378-1127(98)00263-1</w:t>
        </w:r>
      </w:hyperlink>
    </w:p>
    <w:bookmarkEnd w:id="2"/>
    <w:p w14:paraId="015334A7" w14:textId="1E7738F3"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GB" w:eastAsia="de-DE"/>
        </w:rPr>
        <w:t>Vandekerkhove K, Vanhellemont M, Vrška T, Meyer P, Tabaku V, Thomaes A, Leyman A, De Keersmaeker L, Verheyen K (2018) Very large trees in a lowland old-growth beech (</w:t>
      </w:r>
      <w:r w:rsidRPr="00F55C60">
        <w:rPr>
          <w:rFonts w:ascii="Times New Roman" w:eastAsia="Times New Roman" w:hAnsi="Times New Roman" w:cs="Times New Roman"/>
          <w:i/>
          <w:sz w:val="24"/>
          <w:szCs w:val="24"/>
          <w:lang w:val="en-GB" w:eastAsia="de-DE"/>
        </w:rPr>
        <w:t>Fagus sylvatica</w:t>
      </w:r>
      <w:r w:rsidRPr="00F55C60">
        <w:rPr>
          <w:rFonts w:ascii="Times New Roman" w:eastAsia="Times New Roman" w:hAnsi="Times New Roman" w:cs="Times New Roman"/>
          <w:sz w:val="24"/>
          <w:szCs w:val="24"/>
          <w:lang w:val="en-GB" w:eastAsia="de-DE"/>
        </w:rPr>
        <w:t xml:space="preserve"> L.) forest: Density, size, growth and spatial patterns in comparison to reference sites in Europe. </w:t>
      </w:r>
      <w:r w:rsidRPr="00F55C60">
        <w:rPr>
          <w:rFonts w:ascii="Times New Roman" w:eastAsia="Times New Roman" w:hAnsi="Times New Roman" w:cs="Times New Roman"/>
          <w:iCs/>
          <w:sz w:val="24"/>
          <w:szCs w:val="24"/>
          <w:lang w:val="en-US" w:eastAsia="de-DE"/>
        </w:rPr>
        <w:t xml:space="preserve">For Ecol Manag </w:t>
      </w:r>
      <w:r w:rsidRPr="00F55C60">
        <w:rPr>
          <w:rFonts w:ascii="Times New Roman" w:eastAsia="Times New Roman" w:hAnsi="Times New Roman" w:cs="Times New Roman"/>
          <w:iCs/>
          <w:sz w:val="24"/>
          <w:szCs w:val="24"/>
          <w:lang w:val="en-GB" w:eastAsia="de-DE"/>
        </w:rPr>
        <w:t>417</w:t>
      </w:r>
      <w:r w:rsidRPr="00F55C60">
        <w:rPr>
          <w:rFonts w:ascii="Times New Roman" w:eastAsia="Times New Roman" w:hAnsi="Times New Roman" w:cs="Times New Roman"/>
          <w:sz w:val="24"/>
          <w:szCs w:val="24"/>
          <w:lang w:val="en-GB" w:eastAsia="de-DE"/>
        </w:rPr>
        <w:t>:1</w:t>
      </w:r>
      <w:r w:rsidRPr="00F55C60">
        <w:rPr>
          <w:rFonts w:ascii="Times New Roman" w:eastAsia="Times New Roman" w:hAnsi="Times New Roman" w:cs="Times New Roman"/>
          <w:iCs/>
          <w:sz w:val="24"/>
          <w:szCs w:val="24"/>
          <w:lang w:val="en-US" w:eastAsia="de-DE"/>
        </w:rPr>
        <w:t>–</w:t>
      </w:r>
      <w:r w:rsidRPr="00F55C60">
        <w:rPr>
          <w:rFonts w:ascii="Times New Roman" w:eastAsia="Times New Roman" w:hAnsi="Times New Roman" w:cs="Times New Roman"/>
          <w:sz w:val="24"/>
          <w:szCs w:val="24"/>
          <w:lang w:val="en-GB" w:eastAsia="de-DE"/>
        </w:rPr>
        <w:t>17.</w:t>
      </w:r>
      <w:r>
        <w:rPr>
          <w:rFonts w:ascii="Times New Roman" w:eastAsia="Times New Roman" w:hAnsi="Times New Roman" w:cs="Times New Roman"/>
          <w:sz w:val="24"/>
          <w:szCs w:val="24"/>
          <w:lang w:val="en-GB" w:eastAsia="de-DE"/>
        </w:rPr>
        <w:t xml:space="preserve"> </w:t>
      </w:r>
      <w:hyperlink r:id="rId22" w:history="1">
        <w:r w:rsidRPr="004D70A0">
          <w:rPr>
            <w:rStyle w:val="Hyperlink"/>
            <w:rFonts w:ascii="Times New Roman" w:eastAsia="Times New Roman" w:hAnsi="Times New Roman" w:cs="Times New Roman"/>
            <w:sz w:val="24"/>
            <w:szCs w:val="24"/>
            <w:lang w:val="en-GB" w:eastAsia="de-DE"/>
          </w:rPr>
          <w:t>https://doi.org/10.1016/j.foreco.2018.02.033</w:t>
        </w:r>
      </w:hyperlink>
    </w:p>
    <w:p w14:paraId="7017AC61" w14:textId="1E05B8DD"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20774E">
        <w:rPr>
          <w:rFonts w:ascii="Times New Roman" w:eastAsia="Times New Roman" w:hAnsi="Times New Roman" w:cs="Times New Roman"/>
          <w:sz w:val="24"/>
          <w:szCs w:val="24"/>
          <w:lang w:val="en-US" w:eastAsia="de-DE"/>
        </w:rPr>
        <w:t xml:space="preserve">von Oheimb G, Westphal C, Tempel H, Härdtle W (2005). </w:t>
      </w:r>
      <w:r w:rsidRPr="00F55C60">
        <w:rPr>
          <w:rFonts w:ascii="Times New Roman" w:eastAsia="Times New Roman" w:hAnsi="Times New Roman" w:cs="Times New Roman"/>
          <w:sz w:val="24"/>
          <w:szCs w:val="24"/>
          <w:lang w:val="en-GB" w:eastAsia="de-DE"/>
        </w:rPr>
        <w:t xml:space="preserve">Structural pattern of a near-natural beech forest </w:t>
      </w:r>
      <w:r w:rsidRPr="00F55C60">
        <w:rPr>
          <w:rFonts w:ascii="Times New Roman" w:eastAsia="Times New Roman" w:hAnsi="Times New Roman" w:cs="Times New Roman"/>
          <w:iCs/>
          <w:sz w:val="24"/>
          <w:szCs w:val="24"/>
          <w:lang w:val="en-GB" w:eastAsia="de-DE"/>
        </w:rPr>
        <w:t>(</w:t>
      </w:r>
      <w:r w:rsidRPr="00F55C60">
        <w:rPr>
          <w:rFonts w:ascii="Times New Roman" w:eastAsia="Times New Roman" w:hAnsi="Times New Roman" w:cs="Times New Roman"/>
          <w:i/>
          <w:iCs/>
          <w:sz w:val="24"/>
          <w:szCs w:val="24"/>
          <w:lang w:val="en-GB" w:eastAsia="de-DE"/>
        </w:rPr>
        <w:t>Fagus sylvatica</w:t>
      </w:r>
      <w:r w:rsidRPr="00F55C60">
        <w:rPr>
          <w:rFonts w:ascii="Times New Roman" w:eastAsia="Times New Roman" w:hAnsi="Times New Roman" w:cs="Times New Roman"/>
          <w:sz w:val="24"/>
          <w:szCs w:val="24"/>
          <w:lang w:val="en-GB" w:eastAsia="de-DE"/>
        </w:rPr>
        <w:t xml:space="preserve">) (Serrahn, North-east Germany). </w:t>
      </w:r>
      <w:r w:rsidRPr="00F55C60">
        <w:rPr>
          <w:rFonts w:ascii="Times New Roman" w:eastAsia="Times New Roman" w:hAnsi="Times New Roman" w:cs="Times New Roman"/>
          <w:iCs/>
          <w:sz w:val="24"/>
          <w:szCs w:val="24"/>
          <w:lang w:val="en-US" w:eastAsia="de-DE"/>
        </w:rPr>
        <w:t>For Ecol Manag</w:t>
      </w:r>
      <w:r w:rsidRPr="00F55C60">
        <w:rPr>
          <w:rFonts w:ascii="Times New Roman" w:eastAsia="Times New Roman" w:hAnsi="Times New Roman" w:cs="Times New Roman"/>
          <w:sz w:val="24"/>
          <w:szCs w:val="24"/>
          <w:lang w:val="en-GB" w:eastAsia="de-DE"/>
        </w:rPr>
        <w:t xml:space="preserve"> </w:t>
      </w:r>
      <w:r w:rsidRPr="00F55C60">
        <w:rPr>
          <w:rFonts w:ascii="Times New Roman" w:eastAsia="Times New Roman" w:hAnsi="Times New Roman" w:cs="Times New Roman"/>
          <w:iCs/>
          <w:sz w:val="24"/>
          <w:szCs w:val="24"/>
          <w:lang w:val="en-GB" w:eastAsia="de-DE"/>
        </w:rPr>
        <w:t>212</w:t>
      </w:r>
      <w:r w:rsidRPr="00F55C60">
        <w:rPr>
          <w:rFonts w:ascii="Times New Roman" w:eastAsia="Times New Roman" w:hAnsi="Times New Roman" w:cs="Times New Roman"/>
          <w:sz w:val="24"/>
          <w:szCs w:val="24"/>
          <w:lang w:val="en-GB" w:eastAsia="de-DE"/>
        </w:rPr>
        <w:t>:253</w:t>
      </w:r>
      <w:r w:rsidRPr="00F55C60">
        <w:rPr>
          <w:rFonts w:ascii="Times New Roman" w:eastAsia="Times New Roman" w:hAnsi="Times New Roman" w:cs="Times New Roman"/>
          <w:iCs/>
          <w:sz w:val="24"/>
          <w:szCs w:val="24"/>
          <w:lang w:val="en-US" w:eastAsia="de-DE"/>
        </w:rPr>
        <w:t>–</w:t>
      </w:r>
      <w:r w:rsidRPr="00F55C60">
        <w:rPr>
          <w:rFonts w:ascii="Times New Roman" w:eastAsia="Times New Roman" w:hAnsi="Times New Roman" w:cs="Times New Roman"/>
          <w:sz w:val="24"/>
          <w:szCs w:val="24"/>
          <w:lang w:val="en-GB" w:eastAsia="de-DE"/>
        </w:rPr>
        <w:t>263.</w:t>
      </w:r>
      <w:r>
        <w:rPr>
          <w:rFonts w:ascii="Times New Roman" w:eastAsia="Times New Roman" w:hAnsi="Times New Roman" w:cs="Times New Roman"/>
          <w:sz w:val="24"/>
          <w:szCs w:val="24"/>
          <w:lang w:val="en-GB" w:eastAsia="de-DE"/>
        </w:rPr>
        <w:t xml:space="preserve"> </w:t>
      </w:r>
      <w:hyperlink r:id="rId23" w:history="1">
        <w:r w:rsidRPr="004D70A0">
          <w:rPr>
            <w:rStyle w:val="Hyperlink"/>
            <w:rFonts w:ascii="Times New Roman" w:eastAsia="Times New Roman" w:hAnsi="Times New Roman" w:cs="Times New Roman"/>
            <w:sz w:val="24"/>
            <w:szCs w:val="24"/>
            <w:lang w:val="en-GB" w:eastAsia="de-DE"/>
          </w:rPr>
          <w:t>https://doi.org/10.1016/j.foreco.2005.03.033</w:t>
        </w:r>
      </w:hyperlink>
    </w:p>
    <w:p w14:paraId="573CEA8B" w14:textId="606C2F77" w:rsidR="00F55C60" w:rsidRPr="00F55C60" w:rsidRDefault="00F55C60" w:rsidP="008A562F">
      <w:pPr>
        <w:spacing w:before="120" w:after="0" w:line="360" w:lineRule="auto"/>
        <w:ind w:left="567" w:hanging="567"/>
        <w:jc w:val="both"/>
        <w:rPr>
          <w:rFonts w:ascii="Times New Roman" w:eastAsia="Times New Roman" w:hAnsi="Times New Roman" w:cs="Times New Roman"/>
          <w:sz w:val="24"/>
          <w:szCs w:val="24"/>
          <w:lang w:val="en-GB" w:eastAsia="de-DE"/>
        </w:rPr>
      </w:pPr>
      <w:r w:rsidRPr="00F55C60">
        <w:rPr>
          <w:rFonts w:ascii="Times New Roman" w:eastAsia="Times New Roman" w:hAnsi="Times New Roman" w:cs="Times New Roman"/>
          <w:sz w:val="24"/>
          <w:szCs w:val="24"/>
          <w:lang w:val="en-US" w:eastAsia="de-DE"/>
        </w:rPr>
        <w:t xml:space="preserve">Zenner EK, Peck JE, Hobi ML, Commarmot B (2015) </w:t>
      </w:r>
      <w:r w:rsidRPr="00F55C60">
        <w:rPr>
          <w:rFonts w:ascii="Times New Roman" w:eastAsia="Times New Roman" w:hAnsi="Times New Roman" w:cs="Times New Roman"/>
          <w:sz w:val="24"/>
          <w:szCs w:val="24"/>
          <w:lang w:val="en-GB" w:eastAsia="de-DE"/>
        </w:rPr>
        <w:t xml:space="preserve">The dynamics of structure across scale in a primaeval European beech stand. </w:t>
      </w:r>
      <w:r w:rsidRPr="00F55C60">
        <w:rPr>
          <w:rFonts w:ascii="Times New Roman" w:eastAsia="Times New Roman" w:hAnsi="Times New Roman" w:cs="Times New Roman"/>
          <w:iCs/>
          <w:sz w:val="24"/>
          <w:szCs w:val="24"/>
          <w:lang w:val="en-GB" w:eastAsia="de-DE"/>
        </w:rPr>
        <w:t>Forestry</w:t>
      </w:r>
      <w:r w:rsidRPr="00F55C60">
        <w:rPr>
          <w:rFonts w:ascii="Times New Roman" w:eastAsia="Times New Roman" w:hAnsi="Times New Roman" w:cs="Times New Roman"/>
          <w:sz w:val="24"/>
          <w:szCs w:val="24"/>
          <w:lang w:val="en-GB" w:eastAsia="de-DE"/>
        </w:rPr>
        <w:t xml:space="preserve"> </w:t>
      </w:r>
      <w:r w:rsidRPr="00F55C60">
        <w:rPr>
          <w:rFonts w:ascii="Times New Roman" w:eastAsia="Times New Roman" w:hAnsi="Times New Roman" w:cs="Times New Roman"/>
          <w:iCs/>
          <w:sz w:val="24"/>
          <w:szCs w:val="24"/>
          <w:lang w:val="en-GB" w:eastAsia="de-DE"/>
        </w:rPr>
        <w:t>88</w:t>
      </w:r>
      <w:r w:rsidRPr="00F55C60">
        <w:rPr>
          <w:rFonts w:ascii="Times New Roman" w:eastAsia="Times New Roman" w:hAnsi="Times New Roman" w:cs="Times New Roman"/>
          <w:sz w:val="24"/>
          <w:szCs w:val="24"/>
          <w:lang w:val="en-GB" w:eastAsia="de-DE"/>
        </w:rPr>
        <w:t>:180</w:t>
      </w:r>
      <w:r w:rsidRPr="00F55C60">
        <w:rPr>
          <w:rFonts w:ascii="Times New Roman" w:eastAsia="Times New Roman" w:hAnsi="Times New Roman" w:cs="Times New Roman"/>
          <w:iCs/>
          <w:sz w:val="24"/>
          <w:szCs w:val="24"/>
          <w:lang w:val="en-US" w:eastAsia="de-DE"/>
        </w:rPr>
        <w:t>–</w:t>
      </w:r>
      <w:r w:rsidRPr="00F55C60">
        <w:rPr>
          <w:rFonts w:ascii="Times New Roman" w:eastAsia="Times New Roman" w:hAnsi="Times New Roman" w:cs="Times New Roman"/>
          <w:sz w:val="24"/>
          <w:szCs w:val="24"/>
          <w:lang w:val="en-GB" w:eastAsia="de-DE"/>
        </w:rPr>
        <w:t>189.</w:t>
      </w:r>
      <w:r>
        <w:rPr>
          <w:rFonts w:ascii="Times New Roman" w:eastAsia="Times New Roman" w:hAnsi="Times New Roman" w:cs="Times New Roman"/>
          <w:sz w:val="24"/>
          <w:szCs w:val="24"/>
          <w:lang w:val="en-GB" w:eastAsia="de-DE"/>
        </w:rPr>
        <w:t xml:space="preserve"> </w:t>
      </w:r>
      <w:hyperlink r:id="rId24" w:history="1">
        <w:r w:rsidRPr="004D70A0">
          <w:rPr>
            <w:rStyle w:val="Hyperlink"/>
            <w:rFonts w:ascii="Times New Roman" w:eastAsia="Times New Roman" w:hAnsi="Times New Roman" w:cs="Times New Roman"/>
            <w:sz w:val="24"/>
            <w:szCs w:val="24"/>
            <w:lang w:val="en-GB" w:eastAsia="de-DE"/>
          </w:rPr>
          <w:t>https://doi.org/10.1093/forestry/cpu042</w:t>
        </w:r>
      </w:hyperlink>
    </w:p>
    <w:p w14:paraId="7AC230CC" w14:textId="77777777" w:rsidR="00F55C60" w:rsidRPr="008330DC" w:rsidRDefault="00F55C60" w:rsidP="0056481D">
      <w:pPr>
        <w:spacing w:after="0" w:line="480" w:lineRule="auto"/>
        <w:jc w:val="both"/>
        <w:rPr>
          <w:rFonts w:ascii="Times New Roman" w:hAnsi="Times New Roman"/>
          <w:sz w:val="24"/>
          <w:szCs w:val="24"/>
          <w:lang w:val="en-GB"/>
        </w:rPr>
      </w:pPr>
    </w:p>
    <w:sectPr w:rsidR="00F55C60" w:rsidRPr="008330DC" w:rsidSect="00A6798D">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1692D" w14:textId="77777777" w:rsidR="00BC6975" w:rsidRDefault="00BC6975" w:rsidP="00AE0300">
      <w:pPr>
        <w:spacing w:after="0" w:line="240" w:lineRule="auto"/>
      </w:pPr>
      <w:r>
        <w:separator/>
      </w:r>
    </w:p>
  </w:endnote>
  <w:endnote w:type="continuationSeparator" w:id="0">
    <w:p w14:paraId="4EF0AA0A" w14:textId="77777777" w:rsidR="00BC6975" w:rsidRDefault="00BC6975" w:rsidP="00AE0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393087"/>
      <w:docPartObj>
        <w:docPartGallery w:val="Page Numbers (Bottom of Page)"/>
        <w:docPartUnique/>
      </w:docPartObj>
    </w:sdtPr>
    <w:sdtContent>
      <w:p w14:paraId="5C05E73A" w14:textId="2E30D61A" w:rsidR="00AB4A1E" w:rsidRDefault="00AB4A1E" w:rsidP="00AE0300">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2EB43" w14:textId="77777777" w:rsidR="00BC6975" w:rsidRDefault="00BC6975" w:rsidP="00AE0300">
      <w:pPr>
        <w:spacing w:after="0" w:line="240" w:lineRule="auto"/>
      </w:pPr>
      <w:r>
        <w:separator/>
      </w:r>
    </w:p>
  </w:footnote>
  <w:footnote w:type="continuationSeparator" w:id="0">
    <w:p w14:paraId="33FC9A5F" w14:textId="77777777" w:rsidR="00BC6975" w:rsidRDefault="00BC6975" w:rsidP="00AE0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26BE2"/>
    <w:multiLevelType w:val="hybridMultilevel"/>
    <w:tmpl w:val="D744F0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805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C79"/>
    <w:rsid w:val="000013C4"/>
    <w:rsid w:val="00003F12"/>
    <w:rsid w:val="00011FE8"/>
    <w:rsid w:val="00026035"/>
    <w:rsid w:val="000260FE"/>
    <w:rsid w:val="000317C6"/>
    <w:rsid w:val="00031CDC"/>
    <w:rsid w:val="00036FA8"/>
    <w:rsid w:val="00043480"/>
    <w:rsid w:val="000476F0"/>
    <w:rsid w:val="00056E0A"/>
    <w:rsid w:val="00063288"/>
    <w:rsid w:val="00075A41"/>
    <w:rsid w:val="00092766"/>
    <w:rsid w:val="00095E5D"/>
    <w:rsid w:val="000A5258"/>
    <w:rsid w:val="000B5E72"/>
    <w:rsid w:val="000C1DDE"/>
    <w:rsid w:val="000C2FF9"/>
    <w:rsid w:val="000C51F0"/>
    <w:rsid w:val="000D57D1"/>
    <w:rsid w:val="000D59DC"/>
    <w:rsid w:val="000E5008"/>
    <w:rsid w:val="000F1F6A"/>
    <w:rsid w:val="000F2370"/>
    <w:rsid w:val="000F69F8"/>
    <w:rsid w:val="00102465"/>
    <w:rsid w:val="00102EE7"/>
    <w:rsid w:val="00112EAD"/>
    <w:rsid w:val="0011428E"/>
    <w:rsid w:val="00122DAE"/>
    <w:rsid w:val="0012358D"/>
    <w:rsid w:val="001239C9"/>
    <w:rsid w:val="00127D84"/>
    <w:rsid w:val="001318C5"/>
    <w:rsid w:val="0013541D"/>
    <w:rsid w:val="00135A46"/>
    <w:rsid w:val="00140F19"/>
    <w:rsid w:val="00144958"/>
    <w:rsid w:val="001474F3"/>
    <w:rsid w:val="001615FF"/>
    <w:rsid w:val="001619C3"/>
    <w:rsid w:val="001642EA"/>
    <w:rsid w:val="0016757A"/>
    <w:rsid w:val="00176C4D"/>
    <w:rsid w:val="00176CB2"/>
    <w:rsid w:val="001855B5"/>
    <w:rsid w:val="001929F2"/>
    <w:rsid w:val="00192E09"/>
    <w:rsid w:val="001975F0"/>
    <w:rsid w:val="001A2655"/>
    <w:rsid w:val="001A3771"/>
    <w:rsid w:val="001A475F"/>
    <w:rsid w:val="001C59A5"/>
    <w:rsid w:val="001D5AE4"/>
    <w:rsid w:val="001E3DE6"/>
    <w:rsid w:val="001F3CFE"/>
    <w:rsid w:val="001F6B36"/>
    <w:rsid w:val="0020017B"/>
    <w:rsid w:val="00206885"/>
    <w:rsid w:val="0020774E"/>
    <w:rsid w:val="00207A27"/>
    <w:rsid w:val="002148CD"/>
    <w:rsid w:val="00223721"/>
    <w:rsid w:val="00223818"/>
    <w:rsid w:val="00226E0B"/>
    <w:rsid w:val="00236F40"/>
    <w:rsid w:val="00241FE6"/>
    <w:rsid w:val="0024607C"/>
    <w:rsid w:val="002473B3"/>
    <w:rsid w:val="0024757C"/>
    <w:rsid w:val="002535D4"/>
    <w:rsid w:val="002575D3"/>
    <w:rsid w:val="00273731"/>
    <w:rsid w:val="00285996"/>
    <w:rsid w:val="002A0AD8"/>
    <w:rsid w:val="002A4782"/>
    <w:rsid w:val="002B260F"/>
    <w:rsid w:val="002C4A18"/>
    <w:rsid w:val="002C75D4"/>
    <w:rsid w:val="002C7B72"/>
    <w:rsid w:val="00310247"/>
    <w:rsid w:val="00334BBD"/>
    <w:rsid w:val="0034721E"/>
    <w:rsid w:val="00354F89"/>
    <w:rsid w:val="00357033"/>
    <w:rsid w:val="00367C64"/>
    <w:rsid w:val="00371C2A"/>
    <w:rsid w:val="003728CA"/>
    <w:rsid w:val="00375714"/>
    <w:rsid w:val="00384D17"/>
    <w:rsid w:val="00387001"/>
    <w:rsid w:val="003932F7"/>
    <w:rsid w:val="003934CF"/>
    <w:rsid w:val="003A371A"/>
    <w:rsid w:val="003A5701"/>
    <w:rsid w:val="003C2889"/>
    <w:rsid w:val="003C2D3F"/>
    <w:rsid w:val="003C3432"/>
    <w:rsid w:val="003D0E5C"/>
    <w:rsid w:val="003D2F7C"/>
    <w:rsid w:val="003D5D70"/>
    <w:rsid w:val="003D6174"/>
    <w:rsid w:val="003E3A7D"/>
    <w:rsid w:val="003E420F"/>
    <w:rsid w:val="00401C79"/>
    <w:rsid w:val="00412DFB"/>
    <w:rsid w:val="004308B6"/>
    <w:rsid w:val="00431A8B"/>
    <w:rsid w:val="00434E73"/>
    <w:rsid w:val="00436C90"/>
    <w:rsid w:val="004452EA"/>
    <w:rsid w:val="0044566E"/>
    <w:rsid w:val="00454E91"/>
    <w:rsid w:val="004675E3"/>
    <w:rsid w:val="00472865"/>
    <w:rsid w:val="00473E5E"/>
    <w:rsid w:val="00481155"/>
    <w:rsid w:val="0048261D"/>
    <w:rsid w:val="00486E49"/>
    <w:rsid w:val="004A2124"/>
    <w:rsid w:val="004B1C3D"/>
    <w:rsid w:val="004B71A8"/>
    <w:rsid w:val="004C4A87"/>
    <w:rsid w:val="004C5F89"/>
    <w:rsid w:val="004D0535"/>
    <w:rsid w:val="005078C5"/>
    <w:rsid w:val="00510979"/>
    <w:rsid w:val="00510CA3"/>
    <w:rsid w:val="00512A9D"/>
    <w:rsid w:val="00517152"/>
    <w:rsid w:val="00531AE5"/>
    <w:rsid w:val="0054012F"/>
    <w:rsid w:val="00543C05"/>
    <w:rsid w:val="005539E6"/>
    <w:rsid w:val="0056481D"/>
    <w:rsid w:val="00575F4E"/>
    <w:rsid w:val="00581AA8"/>
    <w:rsid w:val="00582AC5"/>
    <w:rsid w:val="005838B9"/>
    <w:rsid w:val="00584474"/>
    <w:rsid w:val="0058697C"/>
    <w:rsid w:val="00591308"/>
    <w:rsid w:val="00591628"/>
    <w:rsid w:val="005944B5"/>
    <w:rsid w:val="005A26E4"/>
    <w:rsid w:val="005A47FF"/>
    <w:rsid w:val="005B4098"/>
    <w:rsid w:val="005E033B"/>
    <w:rsid w:val="005E6B0F"/>
    <w:rsid w:val="005F2605"/>
    <w:rsid w:val="005F3AD2"/>
    <w:rsid w:val="00610370"/>
    <w:rsid w:val="00613247"/>
    <w:rsid w:val="00613E11"/>
    <w:rsid w:val="00614958"/>
    <w:rsid w:val="006268AB"/>
    <w:rsid w:val="0064422D"/>
    <w:rsid w:val="00650090"/>
    <w:rsid w:val="00650DA5"/>
    <w:rsid w:val="00651E35"/>
    <w:rsid w:val="00652469"/>
    <w:rsid w:val="0065295F"/>
    <w:rsid w:val="00653B4A"/>
    <w:rsid w:val="006578BA"/>
    <w:rsid w:val="00663941"/>
    <w:rsid w:val="00664DB0"/>
    <w:rsid w:val="00697C4F"/>
    <w:rsid w:val="006A3ED8"/>
    <w:rsid w:val="006A4CBE"/>
    <w:rsid w:val="006B1944"/>
    <w:rsid w:val="006B7FAC"/>
    <w:rsid w:val="006C0311"/>
    <w:rsid w:val="006C218F"/>
    <w:rsid w:val="006C24BF"/>
    <w:rsid w:val="006E5E6B"/>
    <w:rsid w:val="006F51FE"/>
    <w:rsid w:val="0071422E"/>
    <w:rsid w:val="00720A2F"/>
    <w:rsid w:val="00724067"/>
    <w:rsid w:val="00727BA6"/>
    <w:rsid w:val="00730B7E"/>
    <w:rsid w:val="007334A1"/>
    <w:rsid w:val="00734272"/>
    <w:rsid w:val="0076151D"/>
    <w:rsid w:val="00763EED"/>
    <w:rsid w:val="007838DD"/>
    <w:rsid w:val="00791E71"/>
    <w:rsid w:val="007C57C7"/>
    <w:rsid w:val="007D24C4"/>
    <w:rsid w:val="007E22DB"/>
    <w:rsid w:val="007E35F0"/>
    <w:rsid w:val="007E3D76"/>
    <w:rsid w:val="007F3643"/>
    <w:rsid w:val="007F6605"/>
    <w:rsid w:val="007F6C03"/>
    <w:rsid w:val="00806DD6"/>
    <w:rsid w:val="008137CE"/>
    <w:rsid w:val="00816774"/>
    <w:rsid w:val="0082305C"/>
    <w:rsid w:val="00823086"/>
    <w:rsid w:val="00824404"/>
    <w:rsid w:val="008330DC"/>
    <w:rsid w:val="00834ABC"/>
    <w:rsid w:val="00845C6F"/>
    <w:rsid w:val="008464CE"/>
    <w:rsid w:val="00853F9A"/>
    <w:rsid w:val="00857944"/>
    <w:rsid w:val="00861C85"/>
    <w:rsid w:val="00861CFB"/>
    <w:rsid w:val="008721F0"/>
    <w:rsid w:val="008810AF"/>
    <w:rsid w:val="0088235F"/>
    <w:rsid w:val="00882426"/>
    <w:rsid w:val="00883340"/>
    <w:rsid w:val="008A562F"/>
    <w:rsid w:val="008B0D04"/>
    <w:rsid w:val="008B62CA"/>
    <w:rsid w:val="008B710E"/>
    <w:rsid w:val="008C2601"/>
    <w:rsid w:val="008C65CC"/>
    <w:rsid w:val="008D2457"/>
    <w:rsid w:val="008E3C3A"/>
    <w:rsid w:val="008E5E10"/>
    <w:rsid w:val="008F0F78"/>
    <w:rsid w:val="009300B2"/>
    <w:rsid w:val="00931D19"/>
    <w:rsid w:val="00942A27"/>
    <w:rsid w:val="00960C19"/>
    <w:rsid w:val="00965F55"/>
    <w:rsid w:val="00967A37"/>
    <w:rsid w:val="00973C8C"/>
    <w:rsid w:val="00990709"/>
    <w:rsid w:val="00994566"/>
    <w:rsid w:val="00997DDA"/>
    <w:rsid w:val="009A5356"/>
    <w:rsid w:val="009B440D"/>
    <w:rsid w:val="009C2787"/>
    <w:rsid w:val="009E6D90"/>
    <w:rsid w:val="009F12AE"/>
    <w:rsid w:val="009F3527"/>
    <w:rsid w:val="009F4A64"/>
    <w:rsid w:val="00A0068A"/>
    <w:rsid w:val="00A43724"/>
    <w:rsid w:val="00A53150"/>
    <w:rsid w:val="00A64A6D"/>
    <w:rsid w:val="00A65705"/>
    <w:rsid w:val="00A6798D"/>
    <w:rsid w:val="00A726DF"/>
    <w:rsid w:val="00A77474"/>
    <w:rsid w:val="00A87002"/>
    <w:rsid w:val="00A94113"/>
    <w:rsid w:val="00A959B8"/>
    <w:rsid w:val="00AB4A1E"/>
    <w:rsid w:val="00AC0104"/>
    <w:rsid w:val="00AD13A4"/>
    <w:rsid w:val="00AD2050"/>
    <w:rsid w:val="00AD4CC3"/>
    <w:rsid w:val="00AD6E72"/>
    <w:rsid w:val="00AD76CD"/>
    <w:rsid w:val="00AE0300"/>
    <w:rsid w:val="00AF167E"/>
    <w:rsid w:val="00AF755B"/>
    <w:rsid w:val="00B057A0"/>
    <w:rsid w:val="00B10E20"/>
    <w:rsid w:val="00B11294"/>
    <w:rsid w:val="00B2049C"/>
    <w:rsid w:val="00B20C82"/>
    <w:rsid w:val="00B249BF"/>
    <w:rsid w:val="00B37939"/>
    <w:rsid w:val="00B37F86"/>
    <w:rsid w:val="00B42D40"/>
    <w:rsid w:val="00B4719D"/>
    <w:rsid w:val="00B50F20"/>
    <w:rsid w:val="00B53E08"/>
    <w:rsid w:val="00B540D9"/>
    <w:rsid w:val="00B56044"/>
    <w:rsid w:val="00B83638"/>
    <w:rsid w:val="00B87E56"/>
    <w:rsid w:val="00B94CEB"/>
    <w:rsid w:val="00B97BD7"/>
    <w:rsid w:val="00BA72D9"/>
    <w:rsid w:val="00BB27E9"/>
    <w:rsid w:val="00BC1611"/>
    <w:rsid w:val="00BC1AAC"/>
    <w:rsid w:val="00BC57D4"/>
    <w:rsid w:val="00BC6975"/>
    <w:rsid w:val="00BD527C"/>
    <w:rsid w:val="00BE0F6A"/>
    <w:rsid w:val="00BE211F"/>
    <w:rsid w:val="00BE48AB"/>
    <w:rsid w:val="00BF5912"/>
    <w:rsid w:val="00C15733"/>
    <w:rsid w:val="00C157EF"/>
    <w:rsid w:val="00C17BE1"/>
    <w:rsid w:val="00C2248F"/>
    <w:rsid w:val="00C234DD"/>
    <w:rsid w:val="00C36EF5"/>
    <w:rsid w:val="00C372E1"/>
    <w:rsid w:val="00C4027D"/>
    <w:rsid w:val="00C509FD"/>
    <w:rsid w:val="00C565CE"/>
    <w:rsid w:val="00C62B54"/>
    <w:rsid w:val="00C64EB1"/>
    <w:rsid w:val="00C70A96"/>
    <w:rsid w:val="00C750C7"/>
    <w:rsid w:val="00C75ADD"/>
    <w:rsid w:val="00C80DD5"/>
    <w:rsid w:val="00C83164"/>
    <w:rsid w:val="00C96767"/>
    <w:rsid w:val="00CA1ADD"/>
    <w:rsid w:val="00CA317A"/>
    <w:rsid w:val="00CB6A03"/>
    <w:rsid w:val="00CC22AF"/>
    <w:rsid w:val="00CD0A69"/>
    <w:rsid w:val="00CD35AF"/>
    <w:rsid w:val="00CD35D2"/>
    <w:rsid w:val="00CE3327"/>
    <w:rsid w:val="00CE4BEE"/>
    <w:rsid w:val="00CF7308"/>
    <w:rsid w:val="00CF77F7"/>
    <w:rsid w:val="00D00CCB"/>
    <w:rsid w:val="00D017CF"/>
    <w:rsid w:val="00D040CE"/>
    <w:rsid w:val="00D14255"/>
    <w:rsid w:val="00D2484D"/>
    <w:rsid w:val="00D31286"/>
    <w:rsid w:val="00D324B6"/>
    <w:rsid w:val="00D32784"/>
    <w:rsid w:val="00D454D4"/>
    <w:rsid w:val="00D47424"/>
    <w:rsid w:val="00D549DE"/>
    <w:rsid w:val="00D61471"/>
    <w:rsid w:val="00D61AE6"/>
    <w:rsid w:val="00D81F40"/>
    <w:rsid w:val="00D858E6"/>
    <w:rsid w:val="00D8712C"/>
    <w:rsid w:val="00D937E9"/>
    <w:rsid w:val="00D94EC1"/>
    <w:rsid w:val="00DB7966"/>
    <w:rsid w:val="00DC3826"/>
    <w:rsid w:val="00DE1010"/>
    <w:rsid w:val="00DF1DE8"/>
    <w:rsid w:val="00DF65EE"/>
    <w:rsid w:val="00DF6A1E"/>
    <w:rsid w:val="00E075FD"/>
    <w:rsid w:val="00E11A25"/>
    <w:rsid w:val="00E20B55"/>
    <w:rsid w:val="00E227A6"/>
    <w:rsid w:val="00E232F9"/>
    <w:rsid w:val="00E37B7D"/>
    <w:rsid w:val="00E41B56"/>
    <w:rsid w:val="00E41CDB"/>
    <w:rsid w:val="00E44888"/>
    <w:rsid w:val="00E453C5"/>
    <w:rsid w:val="00E45828"/>
    <w:rsid w:val="00E458E7"/>
    <w:rsid w:val="00E548DA"/>
    <w:rsid w:val="00E55AE0"/>
    <w:rsid w:val="00E64CD4"/>
    <w:rsid w:val="00E74058"/>
    <w:rsid w:val="00E76219"/>
    <w:rsid w:val="00E76583"/>
    <w:rsid w:val="00E76AAE"/>
    <w:rsid w:val="00E82AB4"/>
    <w:rsid w:val="00E9428B"/>
    <w:rsid w:val="00EA46F5"/>
    <w:rsid w:val="00EA67A9"/>
    <w:rsid w:val="00EB1398"/>
    <w:rsid w:val="00EB44B2"/>
    <w:rsid w:val="00EB6F46"/>
    <w:rsid w:val="00EC4AE4"/>
    <w:rsid w:val="00ED03B8"/>
    <w:rsid w:val="00ED18AB"/>
    <w:rsid w:val="00EE295C"/>
    <w:rsid w:val="00EF0E8D"/>
    <w:rsid w:val="00F01515"/>
    <w:rsid w:val="00F11C1A"/>
    <w:rsid w:val="00F2543D"/>
    <w:rsid w:val="00F25FD4"/>
    <w:rsid w:val="00F343D5"/>
    <w:rsid w:val="00F3510C"/>
    <w:rsid w:val="00F43ABD"/>
    <w:rsid w:val="00F43B52"/>
    <w:rsid w:val="00F4400A"/>
    <w:rsid w:val="00F44235"/>
    <w:rsid w:val="00F50A57"/>
    <w:rsid w:val="00F53F5F"/>
    <w:rsid w:val="00F54DBF"/>
    <w:rsid w:val="00F559AD"/>
    <w:rsid w:val="00F55C60"/>
    <w:rsid w:val="00F605FD"/>
    <w:rsid w:val="00F6062E"/>
    <w:rsid w:val="00F722E8"/>
    <w:rsid w:val="00F75107"/>
    <w:rsid w:val="00F773E0"/>
    <w:rsid w:val="00F83AAA"/>
    <w:rsid w:val="00F967C9"/>
    <w:rsid w:val="00FA0A56"/>
    <w:rsid w:val="00FA6684"/>
    <w:rsid w:val="00FC29EC"/>
    <w:rsid w:val="00FC3DB6"/>
    <w:rsid w:val="00FD1E35"/>
    <w:rsid w:val="00FE55FE"/>
    <w:rsid w:val="00FE75A8"/>
    <w:rsid w:val="00FF151E"/>
    <w:rsid w:val="00FF21DF"/>
    <w:rsid w:val="00FF6308"/>
    <w:rsid w:val="00FF79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A54C6"/>
  <w15:chartTrackingRefBased/>
  <w15:docId w15:val="{52EABCD0-35F1-48C1-A223-13B509C9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AE0300"/>
  </w:style>
  <w:style w:type="paragraph" w:styleId="Kopfzeile">
    <w:name w:val="header"/>
    <w:basedOn w:val="Standard"/>
    <w:link w:val="KopfzeileZchn"/>
    <w:uiPriority w:val="99"/>
    <w:unhideWhenUsed/>
    <w:rsid w:val="00AE030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0300"/>
  </w:style>
  <w:style w:type="paragraph" w:styleId="Fuzeile">
    <w:name w:val="footer"/>
    <w:basedOn w:val="Standard"/>
    <w:link w:val="FuzeileZchn"/>
    <w:uiPriority w:val="99"/>
    <w:unhideWhenUsed/>
    <w:rsid w:val="00AE030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0300"/>
  </w:style>
  <w:style w:type="character" w:styleId="Hyperlink">
    <w:name w:val="Hyperlink"/>
    <w:basedOn w:val="Absatz-Standardschriftart"/>
    <w:uiPriority w:val="99"/>
    <w:unhideWhenUsed/>
    <w:rsid w:val="00F343D5"/>
    <w:rPr>
      <w:color w:val="0563C1" w:themeColor="hyperlink"/>
      <w:u w:val="single"/>
    </w:rPr>
  </w:style>
  <w:style w:type="character" w:styleId="NichtaufgelsteErwhnung">
    <w:name w:val="Unresolved Mention"/>
    <w:basedOn w:val="Absatz-Standardschriftart"/>
    <w:uiPriority w:val="99"/>
    <w:semiHidden/>
    <w:unhideWhenUsed/>
    <w:rsid w:val="00F343D5"/>
    <w:rPr>
      <w:color w:val="605E5C"/>
      <w:shd w:val="clear" w:color="auto" w:fill="E1DFDD"/>
    </w:rPr>
  </w:style>
  <w:style w:type="character" w:styleId="Kommentarzeichen">
    <w:name w:val="annotation reference"/>
    <w:basedOn w:val="Absatz-Standardschriftart"/>
    <w:uiPriority w:val="99"/>
    <w:semiHidden/>
    <w:unhideWhenUsed/>
    <w:rsid w:val="00F343D5"/>
    <w:rPr>
      <w:sz w:val="16"/>
      <w:szCs w:val="16"/>
    </w:rPr>
  </w:style>
  <w:style w:type="paragraph" w:styleId="Kommentartext">
    <w:name w:val="annotation text"/>
    <w:basedOn w:val="Standard"/>
    <w:link w:val="KommentartextZchn"/>
    <w:uiPriority w:val="99"/>
    <w:unhideWhenUsed/>
    <w:rsid w:val="00F343D5"/>
    <w:pPr>
      <w:spacing w:line="240" w:lineRule="auto"/>
    </w:pPr>
    <w:rPr>
      <w:sz w:val="20"/>
      <w:szCs w:val="20"/>
    </w:rPr>
  </w:style>
  <w:style w:type="character" w:customStyle="1" w:styleId="KommentartextZchn">
    <w:name w:val="Kommentartext Zchn"/>
    <w:basedOn w:val="Absatz-Standardschriftart"/>
    <w:link w:val="Kommentartext"/>
    <w:uiPriority w:val="99"/>
    <w:rsid w:val="00F343D5"/>
    <w:rPr>
      <w:sz w:val="20"/>
      <w:szCs w:val="20"/>
    </w:rPr>
  </w:style>
  <w:style w:type="paragraph" w:styleId="Kommentarthema">
    <w:name w:val="annotation subject"/>
    <w:basedOn w:val="Kommentartext"/>
    <w:next w:val="Kommentartext"/>
    <w:link w:val="KommentarthemaZchn"/>
    <w:uiPriority w:val="99"/>
    <w:semiHidden/>
    <w:unhideWhenUsed/>
    <w:rsid w:val="00F343D5"/>
    <w:rPr>
      <w:b/>
      <w:bCs/>
    </w:rPr>
  </w:style>
  <w:style w:type="character" w:customStyle="1" w:styleId="KommentarthemaZchn">
    <w:name w:val="Kommentarthema Zchn"/>
    <w:basedOn w:val="KommentartextZchn"/>
    <w:link w:val="Kommentarthema"/>
    <w:uiPriority w:val="99"/>
    <w:semiHidden/>
    <w:rsid w:val="00F343D5"/>
    <w:rPr>
      <w:b/>
      <w:bCs/>
      <w:sz w:val="20"/>
      <w:szCs w:val="20"/>
    </w:rPr>
  </w:style>
  <w:style w:type="paragraph" w:styleId="Sprechblasentext">
    <w:name w:val="Balloon Text"/>
    <w:basedOn w:val="Standard"/>
    <w:link w:val="SprechblasentextZchn"/>
    <w:uiPriority w:val="99"/>
    <w:semiHidden/>
    <w:unhideWhenUsed/>
    <w:rsid w:val="00F343D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43D5"/>
    <w:rPr>
      <w:rFonts w:ascii="Segoe UI" w:hAnsi="Segoe UI" w:cs="Segoe UI"/>
      <w:sz w:val="18"/>
      <w:szCs w:val="18"/>
    </w:rPr>
  </w:style>
  <w:style w:type="table" w:styleId="Tabellenraster">
    <w:name w:val="Table Grid"/>
    <w:basedOn w:val="NormaleTabelle"/>
    <w:uiPriority w:val="39"/>
    <w:rsid w:val="00F5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bsatz-Standardschriftart"/>
    <w:rsid w:val="00026035"/>
  </w:style>
  <w:style w:type="paragraph" w:styleId="berarbeitung">
    <w:name w:val="Revision"/>
    <w:hidden/>
    <w:uiPriority w:val="99"/>
    <w:semiHidden/>
    <w:rsid w:val="00591628"/>
    <w:pPr>
      <w:spacing w:after="0" w:line="240" w:lineRule="auto"/>
    </w:pPr>
  </w:style>
  <w:style w:type="character" w:customStyle="1" w:styleId="anchor-text">
    <w:name w:val="anchor-text"/>
    <w:basedOn w:val="Absatz-Standardschriftart"/>
    <w:rsid w:val="006268AB"/>
  </w:style>
  <w:style w:type="paragraph" w:styleId="Listenabsatz">
    <w:name w:val="List Paragraph"/>
    <w:basedOn w:val="Standard"/>
    <w:uiPriority w:val="34"/>
    <w:qFormat/>
    <w:rsid w:val="00B83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9372">
      <w:bodyDiv w:val="1"/>
      <w:marLeft w:val="0"/>
      <w:marRight w:val="0"/>
      <w:marTop w:val="0"/>
      <w:marBottom w:val="0"/>
      <w:divBdr>
        <w:top w:val="none" w:sz="0" w:space="0" w:color="auto"/>
        <w:left w:val="none" w:sz="0" w:space="0" w:color="auto"/>
        <w:bottom w:val="none" w:sz="0" w:space="0" w:color="auto"/>
        <w:right w:val="none" w:sz="0" w:space="0" w:color="auto"/>
      </w:divBdr>
    </w:div>
    <w:div w:id="248270408">
      <w:bodyDiv w:val="1"/>
      <w:marLeft w:val="0"/>
      <w:marRight w:val="0"/>
      <w:marTop w:val="0"/>
      <w:marBottom w:val="0"/>
      <w:divBdr>
        <w:top w:val="none" w:sz="0" w:space="0" w:color="auto"/>
        <w:left w:val="none" w:sz="0" w:space="0" w:color="auto"/>
        <w:bottom w:val="none" w:sz="0" w:space="0" w:color="auto"/>
        <w:right w:val="none" w:sz="0" w:space="0" w:color="auto"/>
      </w:divBdr>
    </w:div>
    <w:div w:id="836380072">
      <w:bodyDiv w:val="1"/>
      <w:marLeft w:val="0"/>
      <w:marRight w:val="0"/>
      <w:marTop w:val="0"/>
      <w:marBottom w:val="0"/>
      <w:divBdr>
        <w:top w:val="none" w:sz="0" w:space="0" w:color="auto"/>
        <w:left w:val="none" w:sz="0" w:space="0" w:color="auto"/>
        <w:bottom w:val="none" w:sz="0" w:space="0" w:color="auto"/>
        <w:right w:val="none" w:sz="0" w:space="0" w:color="auto"/>
      </w:divBdr>
    </w:div>
    <w:div w:id="1129981152">
      <w:bodyDiv w:val="1"/>
      <w:marLeft w:val="0"/>
      <w:marRight w:val="0"/>
      <w:marTop w:val="0"/>
      <w:marBottom w:val="0"/>
      <w:divBdr>
        <w:top w:val="none" w:sz="0" w:space="0" w:color="auto"/>
        <w:left w:val="none" w:sz="0" w:space="0" w:color="auto"/>
        <w:bottom w:val="none" w:sz="0" w:space="0" w:color="auto"/>
        <w:right w:val="none" w:sz="0" w:space="0" w:color="auto"/>
      </w:divBdr>
    </w:div>
    <w:div w:id="1248269726">
      <w:bodyDiv w:val="1"/>
      <w:marLeft w:val="0"/>
      <w:marRight w:val="0"/>
      <w:marTop w:val="0"/>
      <w:marBottom w:val="0"/>
      <w:divBdr>
        <w:top w:val="none" w:sz="0" w:space="0" w:color="auto"/>
        <w:left w:val="none" w:sz="0" w:space="0" w:color="auto"/>
        <w:bottom w:val="none" w:sz="0" w:space="0" w:color="auto"/>
        <w:right w:val="none" w:sz="0" w:space="0" w:color="auto"/>
      </w:divBdr>
    </w:div>
    <w:div w:id="1294825511">
      <w:bodyDiv w:val="1"/>
      <w:marLeft w:val="0"/>
      <w:marRight w:val="0"/>
      <w:marTop w:val="0"/>
      <w:marBottom w:val="0"/>
      <w:divBdr>
        <w:top w:val="none" w:sz="0" w:space="0" w:color="auto"/>
        <w:left w:val="none" w:sz="0" w:space="0" w:color="auto"/>
        <w:bottom w:val="none" w:sz="0" w:space="0" w:color="auto"/>
        <w:right w:val="none" w:sz="0" w:space="0" w:color="auto"/>
      </w:divBdr>
    </w:div>
    <w:div w:id="1502357679">
      <w:bodyDiv w:val="1"/>
      <w:marLeft w:val="0"/>
      <w:marRight w:val="0"/>
      <w:marTop w:val="0"/>
      <w:marBottom w:val="0"/>
      <w:divBdr>
        <w:top w:val="none" w:sz="0" w:space="0" w:color="auto"/>
        <w:left w:val="none" w:sz="0" w:space="0" w:color="auto"/>
        <w:bottom w:val="none" w:sz="0" w:space="0" w:color="auto"/>
        <w:right w:val="none" w:sz="0" w:space="0" w:color="auto"/>
      </w:divBdr>
    </w:div>
    <w:div w:id="1572889843">
      <w:bodyDiv w:val="1"/>
      <w:marLeft w:val="0"/>
      <w:marRight w:val="0"/>
      <w:marTop w:val="0"/>
      <w:marBottom w:val="0"/>
      <w:divBdr>
        <w:top w:val="none" w:sz="0" w:space="0" w:color="auto"/>
        <w:left w:val="none" w:sz="0" w:space="0" w:color="auto"/>
        <w:bottom w:val="none" w:sz="0" w:space="0" w:color="auto"/>
        <w:right w:val="none" w:sz="0" w:space="0" w:color="auto"/>
      </w:divBdr>
    </w:div>
    <w:div w:id="1750276260">
      <w:bodyDiv w:val="1"/>
      <w:marLeft w:val="0"/>
      <w:marRight w:val="0"/>
      <w:marTop w:val="0"/>
      <w:marBottom w:val="0"/>
      <w:divBdr>
        <w:top w:val="none" w:sz="0" w:space="0" w:color="auto"/>
        <w:left w:val="none" w:sz="0" w:space="0" w:color="auto"/>
        <w:bottom w:val="none" w:sz="0" w:space="0" w:color="auto"/>
        <w:right w:val="none" w:sz="0" w:space="0" w:color="auto"/>
      </w:divBdr>
    </w:div>
    <w:div w:id="1783374845">
      <w:bodyDiv w:val="1"/>
      <w:marLeft w:val="0"/>
      <w:marRight w:val="0"/>
      <w:marTop w:val="0"/>
      <w:marBottom w:val="0"/>
      <w:divBdr>
        <w:top w:val="none" w:sz="0" w:space="0" w:color="auto"/>
        <w:left w:val="none" w:sz="0" w:space="0" w:color="auto"/>
        <w:bottom w:val="none" w:sz="0" w:space="0" w:color="auto"/>
        <w:right w:val="none" w:sz="0" w:space="0" w:color="auto"/>
      </w:divBdr>
    </w:div>
    <w:div w:id="18400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16/j.foreco.2005.02.032" TargetMode="External"/><Relationship Id="rId18" Type="http://schemas.openxmlformats.org/officeDocument/2006/relationships/hyperlink" Target="https://doi.org/10.3389/ffgc.2023.109955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16/S0378-1127(98)00263-1"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1016/0378-1127(87)90155-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16/j.foreco.2009.01.008" TargetMode="External"/><Relationship Id="rId20" Type="http://schemas.openxmlformats.org/officeDocument/2006/relationships/hyperlink" Target="https://doi.org/10.1016/S0378-1127(01)0048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93/forestry/cpu042" TargetMode="External"/><Relationship Id="rId5" Type="http://schemas.openxmlformats.org/officeDocument/2006/relationships/webSettings" Target="webSettings.xml"/><Relationship Id="rId15" Type="http://schemas.openxmlformats.org/officeDocument/2006/relationships/hyperlink" Target="https://doi.org/10.1016/S0378-1127(97)00106-0" TargetMode="External"/><Relationship Id="rId23" Type="http://schemas.openxmlformats.org/officeDocument/2006/relationships/hyperlink" Target="https://doi.org/10.1016/j.foreco.2005.03.033" TargetMode="External"/><Relationship Id="rId10" Type="http://schemas.openxmlformats.org/officeDocument/2006/relationships/image" Target="media/image3.jpeg"/><Relationship Id="rId19" Type="http://schemas.openxmlformats.org/officeDocument/2006/relationships/hyperlink" Target="https://doi.org/10.1046/j.1439-0337.2003.02041.x"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doi.org/10.1007/s10342-018-1105-4" TargetMode="External"/><Relationship Id="rId22" Type="http://schemas.openxmlformats.org/officeDocument/2006/relationships/hyperlink" Target="https://doi.org/10.1016/j.foreco.2018.02.033"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53F22-EDD3-42B7-8427-90557900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2057</Words>
  <Characters>11725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TU Darmstadt</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Staab</dc:creator>
  <cp:keywords/>
  <dc:description/>
  <cp:lastModifiedBy>Michael Staab</cp:lastModifiedBy>
  <cp:revision>75</cp:revision>
  <dcterms:created xsi:type="dcterms:W3CDTF">2023-05-05T15:51:00Z</dcterms:created>
  <dcterms:modified xsi:type="dcterms:W3CDTF">2025-10-13T08:12:00Z</dcterms:modified>
</cp:coreProperties>
</file>