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F85CC" w14:textId="52F5964A" w:rsidR="004533B1" w:rsidRDefault="004533B1" w:rsidP="001A3F06">
      <w:pPr>
        <w:spacing w:after="0" w:line="480" w:lineRule="auto"/>
        <w:rPr>
          <w:b/>
          <w:bCs/>
          <w:sz w:val="24"/>
          <w:szCs w:val="24"/>
          <w:lang w:val="en-GB"/>
        </w:rPr>
      </w:pPr>
      <w:r w:rsidRPr="004533B1">
        <w:rPr>
          <w:b/>
          <w:bCs/>
          <w:sz w:val="24"/>
          <w:szCs w:val="24"/>
          <w:lang w:val="en-GB"/>
        </w:rPr>
        <w:t>Supplementary materials</w:t>
      </w:r>
    </w:p>
    <w:p w14:paraId="5E8FD7BD" w14:textId="473DCA47" w:rsidR="001A3F06" w:rsidRPr="00C2647A" w:rsidRDefault="001A3F06" w:rsidP="001A3F06">
      <w:pPr>
        <w:spacing w:after="0" w:line="480" w:lineRule="auto"/>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b/>
          <w:sz w:val="20"/>
          <w:szCs w:val="20"/>
          <w:lang w:val="en-GB" w:eastAsia="fr-FR"/>
        </w:rPr>
        <w:t xml:space="preserve">Table </w:t>
      </w:r>
      <w:r w:rsidR="004533B1" w:rsidRPr="00C2647A">
        <w:rPr>
          <w:rFonts w:ascii="Times New Roman" w:eastAsia="Palatino Linotype" w:hAnsi="Times New Roman" w:cs="Times New Roman"/>
          <w:b/>
          <w:sz w:val="20"/>
          <w:szCs w:val="20"/>
          <w:lang w:val="en-GB" w:eastAsia="fr-FR"/>
        </w:rPr>
        <w:t>S1</w:t>
      </w:r>
      <w:r w:rsidRPr="00C2647A">
        <w:rPr>
          <w:rFonts w:ascii="Times New Roman" w:eastAsia="Palatino Linotype" w:hAnsi="Times New Roman" w:cs="Times New Roman"/>
          <w:sz w:val="20"/>
          <w:szCs w:val="20"/>
          <w:lang w:val="en-GB" w:eastAsia="fr-FR"/>
        </w:rPr>
        <w:t xml:space="preserve"> Estimates of detection rate and naïve occupancy obtained from camera-traps surveys of ground-dwelling forest bird species of various conservation status (LC = Least Concern; NT = Near Threatened; VU = Vulnerable)</w:t>
      </w:r>
    </w:p>
    <w:tbl>
      <w:tblPr>
        <w:tblStyle w:val="Grilledutableau"/>
        <w:tblW w:w="14737" w:type="dxa"/>
        <w:tblLook w:val="04A0" w:firstRow="1" w:lastRow="0" w:firstColumn="1" w:lastColumn="0" w:noHBand="0" w:noVBand="1"/>
      </w:tblPr>
      <w:tblGrid>
        <w:gridCol w:w="2547"/>
        <w:gridCol w:w="3118"/>
        <w:gridCol w:w="1418"/>
        <w:gridCol w:w="2126"/>
        <w:gridCol w:w="1985"/>
        <w:gridCol w:w="3543"/>
      </w:tblGrid>
      <w:tr w:rsidR="00702157" w:rsidRPr="00C2647A" w14:paraId="70D73D31" w14:textId="77777777" w:rsidTr="00702157">
        <w:tc>
          <w:tcPr>
            <w:tcW w:w="5665" w:type="dxa"/>
            <w:gridSpan w:val="2"/>
          </w:tcPr>
          <w:p w14:paraId="4F544793"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Species</w:t>
            </w:r>
          </w:p>
        </w:tc>
        <w:tc>
          <w:tcPr>
            <w:tcW w:w="1418" w:type="dxa"/>
          </w:tcPr>
          <w:p w14:paraId="6F4AAB0A" w14:textId="45AC4A99" w:rsidR="001A3F06" w:rsidRPr="00C2647A" w:rsidRDefault="00702157"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 xml:space="preserve">UICN red list </w:t>
            </w:r>
            <w:r w:rsidR="001A3F06" w:rsidRPr="00C2647A">
              <w:rPr>
                <w:rFonts w:ascii="Times New Roman" w:eastAsia="Palatino Linotype" w:hAnsi="Times New Roman" w:cs="Times New Roman"/>
                <w:sz w:val="20"/>
                <w:szCs w:val="20"/>
                <w:lang w:val="en-GB" w:eastAsia="fr-FR"/>
              </w:rPr>
              <w:t>status</w:t>
            </w:r>
          </w:p>
        </w:tc>
        <w:tc>
          <w:tcPr>
            <w:tcW w:w="2126" w:type="dxa"/>
          </w:tcPr>
          <w:p w14:paraId="1E909A44"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Detections/100 trap-days</w:t>
            </w:r>
          </w:p>
        </w:tc>
        <w:tc>
          <w:tcPr>
            <w:tcW w:w="1985" w:type="dxa"/>
          </w:tcPr>
          <w:p w14:paraId="2C7AF174"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Naïve occupancy</w:t>
            </w:r>
          </w:p>
        </w:tc>
        <w:tc>
          <w:tcPr>
            <w:tcW w:w="3543" w:type="dxa"/>
          </w:tcPr>
          <w:p w14:paraId="038DC550"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Reference</w:t>
            </w:r>
          </w:p>
        </w:tc>
      </w:tr>
      <w:tr w:rsidR="00702157" w:rsidRPr="00C2647A" w14:paraId="5B24007B" w14:textId="77777777" w:rsidTr="00702157">
        <w:tc>
          <w:tcPr>
            <w:tcW w:w="2547" w:type="dxa"/>
          </w:tcPr>
          <w:p w14:paraId="0C53644F"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Lemon Dove</w:t>
            </w:r>
          </w:p>
        </w:tc>
        <w:tc>
          <w:tcPr>
            <w:tcW w:w="3118" w:type="dxa"/>
          </w:tcPr>
          <w:p w14:paraId="763BE690"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proofErr w:type="spellStart"/>
            <w:r w:rsidRPr="00C2647A">
              <w:rPr>
                <w:rFonts w:ascii="Times New Roman" w:eastAsia="Palatino Linotype" w:hAnsi="Times New Roman" w:cs="Times New Roman"/>
                <w:i/>
                <w:iCs/>
                <w:sz w:val="20"/>
                <w:szCs w:val="20"/>
                <w:lang w:val="en-GB"/>
              </w:rPr>
              <w:t>Aplopelia</w:t>
            </w:r>
            <w:proofErr w:type="spellEnd"/>
            <w:r w:rsidRPr="00C2647A">
              <w:rPr>
                <w:rFonts w:ascii="Times New Roman" w:eastAsia="Palatino Linotype" w:hAnsi="Times New Roman" w:cs="Times New Roman"/>
                <w:i/>
                <w:iCs/>
                <w:sz w:val="20"/>
                <w:szCs w:val="20"/>
                <w:lang w:val="en-GB"/>
              </w:rPr>
              <w:t xml:space="preserve"> </w:t>
            </w:r>
            <w:proofErr w:type="spellStart"/>
            <w:r w:rsidRPr="00C2647A">
              <w:rPr>
                <w:rFonts w:ascii="Times New Roman" w:eastAsia="Palatino Linotype" w:hAnsi="Times New Roman" w:cs="Times New Roman"/>
                <w:i/>
                <w:iCs/>
                <w:sz w:val="20"/>
                <w:szCs w:val="20"/>
                <w:lang w:val="en-GB"/>
              </w:rPr>
              <w:t>larvata</w:t>
            </w:r>
            <w:proofErr w:type="spellEnd"/>
          </w:p>
        </w:tc>
        <w:tc>
          <w:tcPr>
            <w:tcW w:w="1418" w:type="dxa"/>
          </w:tcPr>
          <w:p w14:paraId="73092788"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LC</w:t>
            </w:r>
          </w:p>
        </w:tc>
        <w:tc>
          <w:tcPr>
            <w:tcW w:w="2126" w:type="dxa"/>
          </w:tcPr>
          <w:p w14:paraId="413E8B1C"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3</w:t>
            </w:r>
          </w:p>
        </w:tc>
        <w:tc>
          <w:tcPr>
            <w:tcW w:w="1985" w:type="dxa"/>
          </w:tcPr>
          <w:p w14:paraId="176B9102"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0.29</w:t>
            </w:r>
          </w:p>
        </w:tc>
        <w:tc>
          <w:tcPr>
            <w:tcW w:w="3543" w:type="dxa"/>
          </w:tcPr>
          <w:p w14:paraId="14A6B96B" w14:textId="4D955B4F" w:rsidR="001A3F06" w:rsidRPr="00C2647A" w:rsidRDefault="00645679"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 xml:space="preserve">Smith </w:t>
            </w:r>
            <w:r w:rsidRPr="00C2647A">
              <w:rPr>
                <w:rFonts w:ascii="Times New Roman" w:eastAsia="Palatino Linotype" w:hAnsi="Times New Roman" w:cs="Times New Roman"/>
                <w:sz w:val="20"/>
                <w:szCs w:val="20"/>
                <w:lang w:val="en-GB" w:eastAsia="fr-FR"/>
              </w:rPr>
              <w:t>et al. 2017</w:t>
            </w:r>
          </w:p>
        </w:tc>
      </w:tr>
      <w:tr w:rsidR="00702157" w:rsidRPr="00C2647A" w14:paraId="133BE32D" w14:textId="77777777" w:rsidTr="00702157">
        <w:tc>
          <w:tcPr>
            <w:tcW w:w="2547" w:type="dxa"/>
          </w:tcPr>
          <w:p w14:paraId="0F335AE2"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Partridge Pigeon</w:t>
            </w:r>
          </w:p>
        </w:tc>
        <w:tc>
          <w:tcPr>
            <w:tcW w:w="3118" w:type="dxa"/>
          </w:tcPr>
          <w:p w14:paraId="40324EAB"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proofErr w:type="spellStart"/>
            <w:r w:rsidRPr="00C2647A">
              <w:rPr>
                <w:rFonts w:ascii="Times New Roman" w:eastAsia="Palatino Linotype" w:hAnsi="Times New Roman" w:cs="Times New Roman"/>
                <w:i/>
                <w:iCs/>
                <w:sz w:val="20"/>
                <w:szCs w:val="20"/>
                <w:lang w:val="en-GB"/>
              </w:rPr>
              <w:t>Geophaps</w:t>
            </w:r>
            <w:proofErr w:type="spellEnd"/>
            <w:r w:rsidRPr="00C2647A">
              <w:rPr>
                <w:rFonts w:ascii="Times New Roman" w:eastAsia="Palatino Linotype" w:hAnsi="Times New Roman" w:cs="Times New Roman"/>
                <w:i/>
                <w:iCs/>
                <w:sz w:val="20"/>
                <w:szCs w:val="20"/>
                <w:lang w:val="en-GB"/>
              </w:rPr>
              <w:t xml:space="preserve"> </w:t>
            </w:r>
            <w:proofErr w:type="spellStart"/>
            <w:r w:rsidRPr="00C2647A">
              <w:rPr>
                <w:rFonts w:ascii="Times New Roman" w:eastAsia="Palatino Linotype" w:hAnsi="Times New Roman" w:cs="Times New Roman"/>
                <w:i/>
                <w:iCs/>
                <w:sz w:val="20"/>
                <w:szCs w:val="20"/>
                <w:lang w:val="en-GB"/>
              </w:rPr>
              <w:t>smithii</w:t>
            </w:r>
            <w:proofErr w:type="spellEnd"/>
          </w:p>
        </w:tc>
        <w:tc>
          <w:tcPr>
            <w:tcW w:w="1418" w:type="dxa"/>
          </w:tcPr>
          <w:p w14:paraId="6500C34C"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LC</w:t>
            </w:r>
          </w:p>
        </w:tc>
        <w:tc>
          <w:tcPr>
            <w:tcW w:w="2126" w:type="dxa"/>
          </w:tcPr>
          <w:p w14:paraId="695117E5"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15</w:t>
            </w:r>
          </w:p>
        </w:tc>
        <w:tc>
          <w:tcPr>
            <w:tcW w:w="1985" w:type="dxa"/>
          </w:tcPr>
          <w:p w14:paraId="670E8B80"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0.30</w:t>
            </w:r>
          </w:p>
        </w:tc>
        <w:tc>
          <w:tcPr>
            <w:tcW w:w="3543" w:type="dxa"/>
          </w:tcPr>
          <w:p w14:paraId="340A8923" w14:textId="19070395"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fldChar w:fldCharType="begin" w:fldLock="1"/>
            </w:r>
            <w:r w:rsidRPr="00C2647A">
              <w:rPr>
                <w:rFonts w:ascii="Times New Roman" w:eastAsia="Palatino Linotype" w:hAnsi="Times New Roman" w:cs="Times New Roman"/>
                <w:sz w:val="20"/>
                <w:szCs w:val="20"/>
                <w:lang w:val="en-GB" w:eastAsia="fr-FR"/>
              </w:rPr>
              <w:instrText>ADDIN CSL_CITATION {"citationItems":[{"id":"ITEM-1","itemData":{"DOI":"10.1111/AEC.12755","ISSN":"1442-9993","abstract":"Since European settlement, many granivorous birds of northern Australia's savanna landscapes have declined. One such example, the partridge pigeon (Geophaps smithii), has suffered a significant range contraction, disappearing from at least half of its pre-European range. Multiple factors have been implicated in this decline, including the loss of traditional Aboriginal burning practices, grazing by large exotic herbivores and predation by feral cats (Felis catus). While populations of partridge pigeon on the Tiwi Islands may be particularly important for the long-term persistence of this species, they too may be at risk of decline. However, as a reliable method to detect this species has not yet been developed and tested, we lack the ability to identify, at an early stage, the species' decline in a given location or region. This severely limits our capacity to make informed management decisions. Here, we demonstrate that the standard camera trapping approach for native mammal monitoring in northern Australia attained an overall probability of detecting partridge pigeon greater than 0.98. We thus provide a robust estimate of partridge pigeon site occupancy (0.30) on Melville Island, the larger of the two main Tiwi Islands. The information presented here for the partridge pigeon represents a critical first step towards the development of optimal monitoring programmes with which to gauge population trajectories, as well as the response to remedial management actions. In the face of ongoing biodiversity loss, such baseline information is vital for management agencies to make informed decisions and should therefore be sought for as many species as possible.","author":[{"dropping-particle":"","family":"Davies","given":"Hugh F.","non-dropping-particle":"","parse-names":false,"suffix":""},{"dropping-particle":"","family":"Rioli","given":"Willie","non-dropping-particle":"","parse-names":false,"suffix":""},{"dropping-particle":"","family":"Puruntatameri","given":"José","non-dropping-particle":"","parse-names":false,"suffix":""},{"dropping-particle":"","family":"Roberts","given":"Willie","non-dropping-particle":"","parse-names":false,"suffix":""},{"dropping-particle":"","family":"Kerinaiua","given":"Colin","non-dropping-particle":"","parse-names":false,"suffix":""},{"dropping-particle":"","family":"Kerinauia","given":"Vivian","non-dropping-particle":"","parse-names":false,"suffix":""},{"dropping-particle":"","family":"Womatakimi","given":"Kim Brooks","non-dropping-particle":"","parse-names":false,"suffix":""},{"dropping-particle":"","family":"Gillespie","given":"Graeme R.","non-dropping-particle":"","parse-names":false,"suffix":""},{"dropping-particle":"","family":"Murphy","given":"Brett P.","non-dropping-particle":"","parse-names":false,"suffix":""}],"container-title":"Austral Ecology","id":"ITEM-1","issue":"5","issued":{"date-parts":[["2019","8","1"]]},"page":"868-879","publisher":"John Wiley &amp; Sons, Ltd","title":"Estimating site occupancy and detectability of the threatened partridge pigeon (Geophaps smithii) using camera traps","type":"article-journal","volume":"44"},"uris":["http://www.mendeley.com/documents/?uuid=a267d9f7-5f34-31f6-8b3c-65068ca1d4b6"]}],"mendeley":{"formattedCitation":"(Davies et al., 2019)","plainTextFormattedCitation":"(Davies et al., 2019)","previouslyFormattedCitation":"(Davies et al., 2019)"},"properties":{"noteIndex":0},"schema":"https://github.com/citation-style-language/schema/raw/master/csl-citation.json"}</w:instrText>
            </w:r>
            <w:r w:rsidRPr="00C2647A">
              <w:rPr>
                <w:rFonts w:ascii="Times New Roman" w:eastAsia="Palatino Linotype" w:hAnsi="Times New Roman" w:cs="Times New Roman"/>
                <w:sz w:val="20"/>
                <w:szCs w:val="20"/>
                <w:lang w:val="en-GB" w:eastAsia="fr-FR"/>
              </w:rPr>
              <w:fldChar w:fldCharType="separate"/>
            </w:r>
            <w:r w:rsidRPr="00C2647A">
              <w:rPr>
                <w:rFonts w:ascii="Times New Roman" w:eastAsia="Palatino Linotype" w:hAnsi="Times New Roman" w:cs="Times New Roman"/>
                <w:noProof/>
                <w:sz w:val="20"/>
                <w:szCs w:val="20"/>
                <w:lang w:val="en-GB" w:eastAsia="fr-FR"/>
              </w:rPr>
              <w:t>Davies et al. 2019</w:t>
            </w:r>
            <w:r w:rsidRPr="00C2647A">
              <w:rPr>
                <w:rFonts w:ascii="Times New Roman" w:eastAsia="Palatino Linotype" w:hAnsi="Times New Roman" w:cs="Times New Roman"/>
                <w:sz w:val="20"/>
                <w:szCs w:val="20"/>
                <w:lang w:val="en-GB" w:eastAsia="fr-FR"/>
              </w:rPr>
              <w:fldChar w:fldCharType="end"/>
            </w:r>
          </w:p>
        </w:tc>
      </w:tr>
      <w:tr w:rsidR="00702157" w:rsidRPr="00C2647A" w14:paraId="69CFD549" w14:textId="77777777" w:rsidTr="00702157">
        <w:tc>
          <w:tcPr>
            <w:tcW w:w="2547" w:type="dxa"/>
          </w:tcPr>
          <w:p w14:paraId="7B86F88E"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rPr>
              <w:t>Bridled Quail-Dove</w:t>
            </w:r>
          </w:p>
        </w:tc>
        <w:tc>
          <w:tcPr>
            <w:tcW w:w="3118" w:type="dxa"/>
          </w:tcPr>
          <w:p w14:paraId="03FA5D2B" w14:textId="77777777" w:rsidR="001A3F06" w:rsidRPr="00C2647A" w:rsidRDefault="001A3F06" w:rsidP="00F15483">
            <w:pPr>
              <w:spacing w:line="480" w:lineRule="auto"/>
              <w:jc w:val="center"/>
              <w:rPr>
                <w:rFonts w:ascii="Times New Roman" w:eastAsia="Palatino Linotype" w:hAnsi="Times New Roman" w:cs="Times New Roman"/>
                <w:i/>
                <w:iCs/>
                <w:sz w:val="20"/>
                <w:szCs w:val="20"/>
                <w:lang w:val="en-GB"/>
              </w:rPr>
            </w:pPr>
            <w:proofErr w:type="spellStart"/>
            <w:r w:rsidRPr="00C2647A">
              <w:rPr>
                <w:rFonts w:ascii="Times New Roman" w:eastAsia="Palatino Linotype" w:hAnsi="Times New Roman" w:cs="Times New Roman"/>
                <w:i/>
                <w:iCs/>
                <w:sz w:val="20"/>
                <w:szCs w:val="20"/>
                <w:lang w:val="en-GB"/>
              </w:rPr>
              <w:t>Geotrygon</w:t>
            </w:r>
            <w:proofErr w:type="spellEnd"/>
            <w:r w:rsidRPr="00C2647A">
              <w:rPr>
                <w:rFonts w:ascii="Times New Roman" w:eastAsia="Palatino Linotype" w:hAnsi="Times New Roman" w:cs="Times New Roman"/>
                <w:i/>
                <w:iCs/>
                <w:sz w:val="20"/>
                <w:szCs w:val="20"/>
                <w:lang w:val="en-GB"/>
              </w:rPr>
              <w:t xml:space="preserve"> </w:t>
            </w:r>
            <w:proofErr w:type="spellStart"/>
            <w:r w:rsidRPr="00C2647A">
              <w:rPr>
                <w:rFonts w:ascii="Times New Roman" w:eastAsia="Palatino Linotype" w:hAnsi="Times New Roman" w:cs="Times New Roman"/>
                <w:i/>
                <w:iCs/>
                <w:sz w:val="20"/>
                <w:szCs w:val="20"/>
                <w:lang w:val="en-GB"/>
              </w:rPr>
              <w:t>mystacea</w:t>
            </w:r>
            <w:proofErr w:type="spellEnd"/>
          </w:p>
        </w:tc>
        <w:tc>
          <w:tcPr>
            <w:tcW w:w="1418" w:type="dxa"/>
          </w:tcPr>
          <w:p w14:paraId="36D4FE95"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LC</w:t>
            </w:r>
          </w:p>
        </w:tc>
        <w:tc>
          <w:tcPr>
            <w:tcW w:w="2126" w:type="dxa"/>
          </w:tcPr>
          <w:p w14:paraId="24376A4E"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16</w:t>
            </w:r>
          </w:p>
        </w:tc>
        <w:tc>
          <w:tcPr>
            <w:tcW w:w="1985" w:type="dxa"/>
          </w:tcPr>
          <w:p w14:paraId="7CF5F372"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0.67</w:t>
            </w:r>
          </w:p>
        </w:tc>
        <w:tc>
          <w:tcPr>
            <w:tcW w:w="3543" w:type="dxa"/>
          </w:tcPr>
          <w:p w14:paraId="028956B3" w14:textId="4DBE678E" w:rsidR="001A3F06" w:rsidRPr="00C2647A" w:rsidRDefault="001A3F06" w:rsidP="00F15483">
            <w:pPr>
              <w:spacing w:line="480" w:lineRule="auto"/>
              <w:jc w:val="center"/>
              <w:rPr>
                <w:rFonts w:ascii="Times New Roman" w:eastAsia="Palatino Linotype" w:hAnsi="Times New Roman" w:cs="Times New Roman"/>
                <w:sz w:val="20"/>
                <w:szCs w:val="20"/>
                <w:lang w:val="en-GB"/>
              </w:rPr>
            </w:pPr>
            <w:r w:rsidRPr="00C2647A">
              <w:rPr>
                <w:rFonts w:ascii="Times New Roman" w:eastAsia="Palatino Linotype" w:hAnsi="Times New Roman" w:cs="Times New Roman"/>
                <w:sz w:val="20"/>
                <w:szCs w:val="20"/>
                <w:lang w:val="en-GB"/>
              </w:rPr>
              <w:fldChar w:fldCharType="begin" w:fldLock="1"/>
            </w:r>
            <w:r w:rsidRPr="00C2647A">
              <w:rPr>
                <w:rFonts w:ascii="Times New Roman" w:eastAsia="Palatino Linotype" w:hAnsi="Times New Roman" w:cs="Times New Roman"/>
                <w:sz w:val="20"/>
                <w:szCs w:val="20"/>
                <w:lang w:val="en-GB"/>
              </w:rPr>
              <w:instrText>ADDIN CSL_CITATION {"citationItems":[{"id":"ITEM-1","itemData":{"DOI":"10.3390/D14060480","ISSN":"1424-2818","abstract":"Although forest-dependent, tropical island endemic birds are particularly at risk of extinction, they remain largely understudied. In this context, we assessed the spatial occupancy, local abundance, and diel activity in three forest columbid species of hunting interest, the Ruddy Quail-Dove (RQD), Geotrygon montana; the Bridled Quail-Dove (BQD), Geotrygon mystacea; and the Zenaida Dove (ZD), Zenaida aurita, in Guadeloupe (French West Indies), using 5 camera-traps over 14 days on 24 survey stations, resulting in 1680 trap days. The number of observed RQD was too small to allow for a statistical comparison between habitats. BQD were more frequently observed at camera-trap stations that were dominated by tropical rainforest than those that were dominated by flooded forest. Conversely, ZD were more frequently observed at stations that were dominated by flooded forest and dry forest than at those that were dominated by tropical rainforest. High temperatures negatively affected the abundance of BQD, while the abundance of ZD was significantly lower in tropical rainforests compared to dry and flooded forests and tended to increase with canopy openness. The three species were diurnal. BQD significantly positively co-occurred spatially and temporally with small Indian mongooses, Urva auropunctata, whereas the temporal and spatial distribution of ZD overlapped significantly with that of domestic dogs, Canis familiaris, and domestic cats, Felis catus. Our results provide firm evidence that RQD remains scarce and is largely outnumbered by BQD in Guadeloupe which is in contrast with has been reported for other Caribbean islands.","author":[{"dropping-particle":"","family":"Jean-Pierre","given":"Aurélie","non-dropping-particle":"","parse-names":false,"suffix":""},{"dropping-particle":"","family":"Loranger-Merciris","given":"Gladys","non-dropping-particle":"","parse-names":false,"suffix":""},{"dropping-particle":"","family":"Cézilly","given":"Frank","non-dropping-particle":"","parse-names":false,"suffix":""}],"container-title":"Diversity 2022, Vol. 14, Page 480","id":"ITEM-1","issue":"6","issued":{"date-parts":[["2022","6","14"]]},"page":"480","publisher":"Multidisciplinary Digital Publishing Institute","title":"Spatial Occupancy, Local Abundance and Activity Rhythm of Three Ground Dwelling Columbid Species in the Forests of Guadeloupe in Relation to Environmental Factors","type":"article-journal","volume":"14"},"uris":["http://www.mendeley.com/documents/?uuid=d223ac9a-4326-3a7b-914f-6f8c6d8ac268"]}],"mendeley":{"formattedCitation":"(Jean-Pierre et al., 2022)","plainTextFormattedCitation":"(Jean-Pierre et al., 2022)","previouslyFormattedCitation":"(Jean-Pierre et al., 2022)"},"properties":{"noteIndex":0},"schema":"https://github.com/citation-style-language/schema/raw/master/csl-citation.json"}</w:instrText>
            </w:r>
            <w:r w:rsidRPr="00C2647A">
              <w:rPr>
                <w:rFonts w:ascii="Times New Roman" w:eastAsia="Palatino Linotype" w:hAnsi="Times New Roman" w:cs="Times New Roman"/>
                <w:sz w:val="20"/>
                <w:szCs w:val="20"/>
                <w:lang w:val="en-GB"/>
              </w:rPr>
              <w:fldChar w:fldCharType="separate"/>
            </w:r>
            <w:r w:rsidRPr="00C2647A">
              <w:rPr>
                <w:rFonts w:ascii="Times New Roman" w:eastAsia="Palatino Linotype" w:hAnsi="Times New Roman" w:cs="Times New Roman"/>
                <w:noProof/>
                <w:sz w:val="20"/>
                <w:szCs w:val="20"/>
                <w:lang w:val="en-GB"/>
              </w:rPr>
              <w:t>Jean-Pierre et al. 2022</w:t>
            </w:r>
            <w:r w:rsidRPr="00C2647A">
              <w:rPr>
                <w:rFonts w:ascii="Times New Roman" w:eastAsia="Palatino Linotype" w:hAnsi="Times New Roman" w:cs="Times New Roman"/>
                <w:sz w:val="20"/>
                <w:szCs w:val="20"/>
                <w:lang w:val="en-GB"/>
              </w:rPr>
              <w:fldChar w:fldCharType="end"/>
            </w:r>
          </w:p>
        </w:tc>
      </w:tr>
      <w:tr w:rsidR="00702157" w:rsidRPr="00C2647A" w14:paraId="29278B0E" w14:textId="77777777" w:rsidTr="00702157">
        <w:trPr>
          <w:trHeight w:val="637"/>
        </w:trPr>
        <w:tc>
          <w:tcPr>
            <w:tcW w:w="2547" w:type="dxa"/>
          </w:tcPr>
          <w:p w14:paraId="65363D91"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Ruddy quail-dove</w:t>
            </w:r>
          </w:p>
        </w:tc>
        <w:tc>
          <w:tcPr>
            <w:tcW w:w="3118" w:type="dxa"/>
          </w:tcPr>
          <w:p w14:paraId="6CE4D1AB" w14:textId="77777777" w:rsidR="001A3F06" w:rsidRPr="00C2647A" w:rsidRDefault="001A3F06" w:rsidP="00F15483">
            <w:pPr>
              <w:spacing w:line="480" w:lineRule="auto"/>
              <w:jc w:val="center"/>
              <w:rPr>
                <w:rFonts w:ascii="Times New Roman" w:eastAsia="Palatino Linotype" w:hAnsi="Times New Roman" w:cs="Times New Roman"/>
                <w:i/>
                <w:sz w:val="20"/>
                <w:szCs w:val="20"/>
                <w:lang w:val="en-GB" w:eastAsia="fr-FR"/>
              </w:rPr>
            </w:pPr>
            <w:proofErr w:type="spellStart"/>
            <w:r w:rsidRPr="00C2647A">
              <w:rPr>
                <w:rFonts w:ascii="Times New Roman" w:eastAsia="Palatino Linotype" w:hAnsi="Times New Roman" w:cs="Times New Roman"/>
                <w:i/>
                <w:sz w:val="20"/>
                <w:szCs w:val="20"/>
                <w:lang w:val="en-GB" w:eastAsia="fr-FR"/>
              </w:rPr>
              <w:t>Geotrygon</w:t>
            </w:r>
            <w:proofErr w:type="spellEnd"/>
            <w:r w:rsidRPr="00C2647A">
              <w:rPr>
                <w:rFonts w:ascii="Times New Roman" w:eastAsia="Palatino Linotype" w:hAnsi="Times New Roman" w:cs="Times New Roman"/>
                <w:i/>
                <w:sz w:val="20"/>
                <w:szCs w:val="20"/>
                <w:lang w:val="en-GB" w:eastAsia="fr-FR"/>
              </w:rPr>
              <w:t xml:space="preserve"> </w:t>
            </w:r>
            <w:proofErr w:type="spellStart"/>
            <w:r w:rsidRPr="00C2647A">
              <w:rPr>
                <w:rFonts w:ascii="Times New Roman" w:eastAsia="Palatino Linotype" w:hAnsi="Times New Roman" w:cs="Times New Roman"/>
                <w:i/>
                <w:sz w:val="20"/>
                <w:szCs w:val="20"/>
                <w:lang w:val="en-GB" w:eastAsia="fr-FR"/>
              </w:rPr>
              <w:t>montana</w:t>
            </w:r>
            <w:proofErr w:type="spellEnd"/>
          </w:p>
        </w:tc>
        <w:tc>
          <w:tcPr>
            <w:tcW w:w="1418" w:type="dxa"/>
          </w:tcPr>
          <w:p w14:paraId="214C7FD7"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LC</w:t>
            </w:r>
          </w:p>
        </w:tc>
        <w:tc>
          <w:tcPr>
            <w:tcW w:w="2126" w:type="dxa"/>
          </w:tcPr>
          <w:p w14:paraId="05B33599" w14:textId="2E950A90"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0.10</w:t>
            </w:r>
          </w:p>
        </w:tc>
        <w:tc>
          <w:tcPr>
            <w:tcW w:w="1985" w:type="dxa"/>
          </w:tcPr>
          <w:p w14:paraId="471BDB9D"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0.03</w:t>
            </w:r>
          </w:p>
        </w:tc>
        <w:tc>
          <w:tcPr>
            <w:tcW w:w="3543" w:type="dxa"/>
          </w:tcPr>
          <w:p w14:paraId="12C4F63F"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rPr>
            </w:pPr>
            <w:r w:rsidRPr="00C2647A">
              <w:rPr>
                <w:rFonts w:ascii="Times New Roman" w:eastAsia="Palatino Linotype" w:hAnsi="Times New Roman" w:cs="Times New Roman"/>
                <w:sz w:val="20"/>
                <w:szCs w:val="20"/>
                <w:lang w:val="en-GB"/>
              </w:rPr>
              <w:t>Hallett et al. 2021</w:t>
            </w:r>
          </w:p>
        </w:tc>
      </w:tr>
      <w:tr w:rsidR="00702157" w:rsidRPr="00C2647A" w14:paraId="0DBB5C1D" w14:textId="77777777" w:rsidTr="00702157">
        <w:tc>
          <w:tcPr>
            <w:tcW w:w="2547" w:type="dxa"/>
          </w:tcPr>
          <w:p w14:paraId="6D0E6C74"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Grey-fronted dove</w:t>
            </w:r>
          </w:p>
        </w:tc>
        <w:tc>
          <w:tcPr>
            <w:tcW w:w="3118" w:type="dxa"/>
          </w:tcPr>
          <w:p w14:paraId="5D638C35" w14:textId="77777777" w:rsidR="001A3F06" w:rsidRPr="00C2647A" w:rsidRDefault="001A3F06" w:rsidP="00F15483">
            <w:pPr>
              <w:spacing w:line="480" w:lineRule="auto"/>
              <w:jc w:val="center"/>
              <w:rPr>
                <w:rFonts w:ascii="Times New Roman" w:eastAsia="Palatino Linotype" w:hAnsi="Times New Roman" w:cs="Times New Roman"/>
                <w:i/>
                <w:sz w:val="20"/>
                <w:szCs w:val="20"/>
                <w:lang w:val="en-GB" w:eastAsia="fr-FR"/>
              </w:rPr>
            </w:pPr>
            <w:proofErr w:type="spellStart"/>
            <w:r w:rsidRPr="00C2647A">
              <w:rPr>
                <w:rFonts w:ascii="Times New Roman" w:eastAsia="Palatino Linotype" w:hAnsi="Times New Roman" w:cs="Times New Roman"/>
                <w:i/>
                <w:sz w:val="20"/>
                <w:szCs w:val="20"/>
                <w:lang w:val="en-GB" w:eastAsia="fr-FR"/>
              </w:rPr>
              <w:t>Leptotila</w:t>
            </w:r>
            <w:proofErr w:type="spellEnd"/>
            <w:r w:rsidRPr="00C2647A">
              <w:rPr>
                <w:rFonts w:ascii="Times New Roman" w:eastAsia="Palatino Linotype" w:hAnsi="Times New Roman" w:cs="Times New Roman"/>
                <w:i/>
                <w:sz w:val="20"/>
                <w:szCs w:val="20"/>
                <w:lang w:val="en-GB" w:eastAsia="fr-FR"/>
              </w:rPr>
              <w:t xml:space="preserve"> </w:t>
            </w:r>
            <w:proofErr w:type="spellStart"/>
            <w:r w:rsidRPr="00C2647A">
              <w:rPr>
                <w:rFonts w:ascii="Times New Roman" w:eastAsia="Palatino Linotype" w:hAnsi="Times New Roman" w:cs="Times New Roman"/>
                <w:i/>
                <w:sz w:val="20"/>
                <w:szCs w:val="20"/>
                <w:lang w:val="en-GB" w:eastAsia="fr-FR"/>
              </w:rPr>
              <w:t>rufaxilla</w:t>
            </w:r>
            <w:proofErr w:type="spellEnd"/>
          </w:p>
        </w:tc>
        <w:tc>
          <w:tcPr>
            <w:tcW w:w="1418" w:type="dxa"/>
          </w:tcPr>
          <w:p w14:paraId="4F06C703"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LC</w:t>
            </w:r>
          </w:p>
        </w:tc>
        <w:tc>
          <w:tcPr>
            <w:tcW w:w="2126" w:type="dxa"/>
          </w:tcPr>
          <w:p w14:paraId="6F7EAC23" w14:textId="62AB501F"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5.93</w:t>
            </w:r>
          </w:p>
        </w:tc>
        <w:tc>
          <w:tcPr>
            <w:tcW w:w="1985" w:type="dxa"/>
          </w:tcPr>
          <w:p w14:paraId="699EB572"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0.67</w:t>
            </w:r>
          </w:p>
        </w:tc>
        <w:tc>
          <w:tcPr>
            <w:tcW w:w="3543" w:type="dxa"/>
          </w:tcPr>
          <w:p w14:paraId="08A3C4A3"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rPr>
            </w:pPr>
            <w:r w:rsidRPr="00C2647A">
              <w:rPr>
                <w:rFonts w:ascii="Times New Roman" w:eastAsia="Palatino Linotype" w:hAnsi="Times New Roman" w:cs="Times New Roman"/>
                <w:sz w:val="20"/>
                <w:szCs w:val="20"/>
                <w:lang w:val="en-GB"/>
              </w:rPr>
              <w:t>Hallett et al. 2021</w:t>
            </w:r>
          </w:p>
        </w:tc>
      </w:tr>
      <w:tr w:rsidR="00702157" w:rsidRPr="00C2647A" w14:paraId="02009E51" w14:textId="77777777" w:rsidTr="00702157">
        <w:tc>
          <w:tcPr>
            <w:tcW w:w="2547" w:type="dxa"/>
          </w:tcPr>
          <w:p w14:paraId="67C96F2B"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Pale-vented pigeon</w:t>
            </w:r>
          </w:p>
        </w:tc>
        <w:tc>
          <w:tcPr>
            <w:tcW w:w="3118" w:type="dxa"/>
          </w:tcPr>
          <w:p w14:paraId="35BAAC06" w14:textId="77777777" w:rsidR="001A3F06" w:rsidRPr="00C2647A" w:rsidRDefault="001A3F06" w:rsidP="00F15483">
            <w:pPr>
              <w:spacing w:line="480" w:lineRule="auto"/>
              <w:jc w:val="center"/>
              <w:rPr>
                <w:rFonts w:ascii="Times New Roman" w:eastAsia="Palatino Linotype" w:hAnsi="Times New Roman" w:cs="Times New Roman"/>
                <w:i/>
                <w:iCs/>
                <w:sz w:val="20"/>
                <w:szCs w:val="20"/>
                <w:lang w:val="en-GB"/>
              </w:rPr>
            </w:pPr>
            <w:proofErr w:type="spellStart"/>
            <w:r w:rsidRPr="00C2647A">
              <w:rPr>
                <w:rFonts w:ascii="Times New Roman" w:eastAsia="Palatino Linotype" w:hAnsi="Times New Roman" w:cs="Times New Roman"/>
                <w:i/>
                <w:sz w:val="20"/>
                <w:szCs w:val="20"/>
                <w:lang w:val="en-GB" w:eastAsia="fr-FR"/>
              </w:rPr>
              <w:t>Patagioenas</w:t>
            </w:r>
            <w:proofErr w:type="spellEnd"/>
            <w:r w:rsidRPr="00C2647A">
              <w:rPr>
                <w:rFonts w:ascii="Times New Roman" w:eastAsia="Palatino Linotype" w:hAnsi="Times New Roman" w:cs="Times New Roman"/>
                <w:i/>
                <w:sz w:val="20"/>
                <w:szCs w:val="20"/>
                <w:lang w:val="en-GB" w:eastAsia="fr-FR"/>
              </w:rPr>
              <w:t xml:space="preserve"> </w:t>
            </w:r>
            <w:proofErr w:type="spellStart"/>
            <w:r w:rsidRPr="00C2647A">
              <w:rPr>
                <w:rFonts w:ascii="Times New Roman" w:eastAsia="Palatino Linotype" w:hAnsi="Times New Roman" w:cs="Times New Roman"/>
                <w:i/>
                <w:sz w:val="20"/>
                <w:szCs w:val="20"/>
                <w:lang w:val="en-GB" w:eastAsia="fr-FR"/>
              </w:rPr>
              <w:t>cayennensis</w:t>
            </w:r>
            <w:proofErr w:type="spellEnd"/>
          </w:p>
        </w:tc>
        <w:tc>
          <w:tcPr>
            <w:tcW w:w="1418" w:type="dxa"/>
          </w:tcPr>
          <w:p w14:paraId="55662F21"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LC</w:t>
            </w:r>
          </w:p>
        </w:tc>
        <w:tc>
          <w:tcPr>
            <w:tcW w:w="2126" w:type="dxa"/>
          </w:tcPr>
          <w:p w14:paraId="4C2AF3BB"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0.03</w:t>
            </w:r>
          </w:p>
        </w:tc>
        <w:tc>
          <w:tcPr>
            <w:tcW w:w="1985" w:type="dxa"/>
          </w:tcPr>
          <w:p w14:paraId="26D5389B"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0.03</w:t>
            </w:r>
          </w:p>
        </w:tc>
        <w:tc>
          <w:tcPr>
            <w:tcW w:w="3543" w:type="dxa"/>
          </w:tcPr>
          <w:p w14:paraId="5CE96CD2"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rPr>
            </w:pPr>
            <w:r w:rsidRPr="00C2647A">
              <w:rPr>
                <w:rFonts w:ascii="Times New Roman" w:eastAsia="Palatino Linotype" w:hAnsi="Times New Roman" w:cs="Times New Roman"/>
                <w:sz w:val="20"/>
                <w:szCs w:val="20"/>
                <w:lang w:val="en-GB"/>
              </w:rPr>
              <w:t>Hallett et al. 2021</w:t>
            </w:r>
          </w:p>
        </w:tc>
      </w:tr>
      <w:tr w:rsidR="00702157" w:rsidRPr="00C2647A" w14:paraId="517432C9" w14:textId="77777777" w:rsidTr="00702157">
        <w:tc>
          <w:tcPr>
            <w:tcW w:w="2547" w:type="dxa"/>
          </w:tcPr>
          <w:p w14:paraId="6CC63DB9"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Cocoa Thrush</w:t>
            </w:r>
          </w:p>
        </w:tc>
        <w:tc>
          <w:tcPr>
            <w:tcW w:w="3118" w:type="dxa"/>
          </w:tcPr>
          <w:p w14:paraId="0C3ADA2C" w14:textId="77777777" w:rsidR="001A3F06" w:rsidRPr="00C2647A" w:rsidRDefault="001A3F06" w:rsidP="00F15483">
            <w:pPr>
              <w:spacing w:line="480" w:lineRule="auto"/>
              <w:jc w:val="center"/>
              <w:rPr>
                <w:rFonts w:ascii="Times New Roman" w:eastAsia="Palatino Linotype" w:hAnsi="Times New Roman" w:cs="Times New Roman"/>
                <w:i/>
                <w:iCs/>
                <w:sz w:val="20"/>
                <w:szCs w:val="20"/>
                <w:lang w:val="en-GB"/>
              </w:rPr>
            </w:pPr>
            <w:r w:rsidRPr="00C2647A">
              <w:rPr>
                <w:rFonts w:ascii="Times New Roman" w:eastAsia="Palatino Linotype" w:hAnsi="Times New Roman" w:cs="Times New Roman"/>
                <w:i/>
                <w:iCs/>
                <w:sz w:val="20"/>
                <w:szCs w:val="20"/>
                <w:lang w:val="en-GB"/>
              </w:rPr>
              <w:t>Turdus fumigatus</w:t>
            </w:r>
          </w:p>
        </w:tc>
        <w:tc>
          <w:tcPr>
            <w:tcW w:w="1418" w:type="dxa"/>
          </w:tcPr>
          <w:p w14:paraId="48D08D0C"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LC</w:t>
            </w:r>
          </w:p>
        </w:tc>
        <w:tc>
          <w:tcPr>
            <w:tcW w:w="2126" w:type="dxa"/>
          </w:tcPr>
          <w:p w14:paraId="03BFCEA5"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0.03</w:t>
            </w:r>
          </w:p>
        </w:tc>
        <w:tc>
          <w:tcPr>
            <w:tcW w:w="1985" w:type="dxa"/>
          </w:tcPr>
          <w:p w14:paraId="706735C7"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0.03</w:t>
            </w:r>
          </w:p>
        </w:tc>
        <w:tc>
          <w:tcPr>
            <w:tcW w:w="3543" w:type="dxa"/>
          </w:tcPr>
          <w:p w14:paraId="42870915"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rPr>
            </w:pPr>
            <w:r w:rsidRPr="00C2647A">
              <w:rPr>
                <w:rFonts w:ascii="Times New Roman" w:eastAsia="Palatino Linotype" w:hAnsi="Times New Roman" w:cs="Times New Roman"/>
                <w:sz w:val="20"/>
                <w:szCs w:val="20"/>
                <w:lang w:val="en-GB"/>
              </w:rPr>
              <w:t>Hallett et al. 2021</w:t>
            </w:r>
          </w:p>
        </w:tc>
      </w:tr>
      <w:tr w:rsidR="00702157" w:rsidRPr="00C2647A" w14:paraId="6A697E82" w14:textId="77777777" w:rsidTr="00702157">
        <w:tc>
          <w:tcPr>
            <w:tcW w:w="2547" w:type="dxa"/>
          </w:tcPr>
          <w:p w14:paraId="71CD1FC9"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Pale-breasted thrush</w:t>
            </w:r>
          </w:p>
        </w:tc>
        <w:tc>
          <w:tcPr>
            <w:tcW w:w="3118" w:type="dxa"/>
          </w:tcPr>
          <w:p w14:paraId="654948E5" w14:textId="77777777" w:rsidR="001A3F06" w:rsidRPr="00C2647A" w:rsidRDefault="001A3F06" w:rsidP="00F15483">
            <w:pPr>
              <w:spacing w:line="480" w:lineRule="auto"/>
              <w:jc w:val="center"/>
              <w:rPr>
                <w:rFonts w:ascii="Times New Roman" w:eastAsia="Palatino Linotype" w:hAnsi="Times New Roman" w:cs="Times New Roman"/>
                <w:i/>
                <w:iCs/>
                <w:sz w:val="20"/>
                <w:szCs w:val="20"/>
                <w:lang w:val="en-GB"/>
              </w:rPr>
            </w:pPr>
            <w:r w:rsidRPr="00C2647A">
              <w:rPr>
                <w:rFonts w:ascii="Times New Roman" w:eastAsia="Palatino Linotype" w:hAnsi="Times New Roman" w:cs="Times New Roman"/>
                <w:i/>
                <w:sz w:val="20"/>
                <w:szCs w:val="20"/>
                <w:lang w:val="en-GB" w:eastAsia="fr-FR"/>
              </w:rPr>
              <w:t xml:space="preserve">Turdus </w:t>
            </w:r>
            <w:proofErr w:type="spellStart"/>
            <w:r w:rsidRPr="00C2647A">
              <w:rPr>
                <w:rFonts w:ascii="Times New Roman" w:eastAsia="Palatino Linotype" w:hAnsi="Times New Roman" w:cs="Times New Roman"/>
                <w:i/>
                <w:sz w:val="20"/>
                <w:szCs w:val="20"/>
                <w:lang w:val="en-GB" w:eastAsia="fr-FR"/>
              </w:rPr>
              <w:t>leucomelas</w:t>
            </w:r>
            <w:proofErr w:type="spellEnd"/>
          </w:p>
        </w:tc>
        <w:tc>
          <w:tcPr>
            <w:tcW w:w="1418" w:type="dxa"/>
          </w:tcPr>
          <w:p w14:paraId="477E622A"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LC</w:t>
            </w:r>
          </w:p>
        </w:tc>
        <w:tc>
          <w:tcPr>
            <w:tcW w:w="2126" w:type="dxa"/>
          </w:tcPr>
          <w:p w14:paraId="2307C896" w14:textId="28C44D40" w:rsidR="001A3F06" w:rsidRPr="00C2647A" w:rsidRDefault="001A3F06" w:rsidP="00702157">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0.07</w:t>
            </w:r>
          </w:p>
        </w:tc>
        <w:tc>
          <w:tcPr>
            <w:tcW w:w="1985" w:type="dxa"/>
          </w:tcPr>
          <w:p w14:paraId="565263B7" w14:textId="0DD447A0" w:rsidR="001A3F06" w:rsidRPr="00C2647A" w:rsidRDefault="001A3F06" w:rsidP="00702157">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0.03</w:t>
            </w:r>
          </w:p>
        </w:tc>
        <w:tc>
          <w:tcPr>
            <w:tcW w:w="3543" w:type="dxa"/>
          </w:tcPr>
          <w:p w14:paraId="31C840C4"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rPr>
            </w:pPr>
            <w:r w:rsidRPr="00C2647A">
              <w:rPr>
                <w:rFonts w:ascii="Times New Roman" w:eastAsia="Palatino Linotype" w:hAnsi="Times New Roman" w:cs="Times New Roman"/>
                <w:sz w:val="20"/>
                <w:szCs w:val="20"/>
                <w:lang w:val="en-GB"/>
              </w:rPr>
              <w:t>Hallett et al. 2021</w:t>
            </w:r>
          </w:p>
        </w:tc>
      </w:tr>
      <w:tr w:rsidR="00702157" w:rsidRPr="00C2647A" w14:paraId="5E2B956F" w14:textId="77777777" w:rsidTr="00702157">
        <w:tc>
          <w:tcPr>
            <w:tcW w:w="2547" w:type="dxa"/>
          </w:tcPr>
          <w:p w14:paraId="6C27433A"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Forest Thrush</w:t>
            </w:r>
          </w:p>
        </w:tc>
        <w:tc>
          <w:tcPr>
            <w:tcW w:w="3118" w:type="dxa"/>
          </w:tcPr>
          <w:p w14:paraId="394AE788" w14:textId="77777777" w:rsidR="001A3F06" w:rsidRPr="00C2647A" w:rsidRDefault="001A3F06" w:rsidP="00F15483">
            <w:pPr>
              <w:spacing w:line="480" w:lineRule="auto"/>
              <w:jc w:val="center"/>
              <w:rPr>
                <w:rFonts w:ascii="Times New Roman" w:eastAsia="Palatino Linotype" w:hAnsi="Times New Roman" w:cs="Times New Roman"/>
                <w:i/>
                <w:iCs/>
                <w:sz w:val="20"/>
                <w:szCs w:val="20"/>
                <w:lang w:val="en-GB"/>
              </w:rPr>
            </w:pPr>
            <w:r w:rsidRPr="00C2647A">
              <w:rPr>
                <w:rFonts w:ascii="Times New Roman" w:eastAsia="Palatino Linotype" w:hAnsi="Times New Roman" w:cs="Times New Roman"/>
                <w:i/>
                <w:iCs/>
                <w:sz w:val="20"/>
                <w:szCs w:val="20"/>
                <w:lang w:val="en-GB"/>
              </w:rPr>
              <w:t xml:space="preserve">Turdus </w:t>
            </w:r>
            <w:proofErr w:type="spellStart"/>
            <w:r w:rsidRPr="00C2647A">
              <w:rPr>
                <w:rFonts w:ascii="Times New Roman" w:eastAsia="Palatino Linotype" w:hAnsi="Times New Roman" w:cs="Times New Roman"/>
                <w:i/>
                <w:iCs/>
                <w:sz w:val="20"/>
                <w:szCs w:val="20"/>
                <w:lang w:val="en-GB"/>
              </w:rPr>
              <w:t>lherminieri</w:t>
            </w:r>
            <w:proofErr w:type="spellEnd"/>
          </w:p>
        </w:tc>
        <w:tc>
          <w:tcPr>
            <w:tcW w:w="1418" w:type="dxa"/>
          </w:tcPr>
          <w:p w14:paraId="09A10FC5"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NT</w:t>
            </w:r>
          </w:p>
        </w:tc>
        <w:tc>
          <w:tcPr>
            <w:tcW w:w="2126" w:type="dxa"/>
          </w:tcPr>
          <w:p w14:paraId="02E6B75C"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18</w:t>
            </w:r>
          </w:p>
        </w:tc>
        <w:tc>
          <w:tcPr>
            <w:tcW w:w="1985" w:type="dxa"/>
          </w:tcPr>
          <w:p w14:paraId="68150023"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0.67</w:t>
            </w:r>
          </w:p>
        </w:tc>
        <w:tc>
          <w:tcPr>
            <w:tcW w:w="3543" w:type="dxa"/>
          </w:tcPr>
          <w:p w14:paraId="08B33602"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rPr>
            </w:pPr>
            <w:r w:rsidRPr="00C2647A">
              <w:rPr>
                <w:rFonts w:ascii="Times New Roman" w:eastAsia="Palatino Linotype" w:hAnsi="Times New Roman" w:cs="Times New Roman"/>
                <w:sz w:val="20"/>
                <w:szCs w:val="20"/>
                <w:lang w:val="en-GB"/>
              </w:rPr>
              <w:t>This study</w:t>
            </w:r>
          </w:p>
        </w:tc>
      </w:tr>
      <w:tr w:rsidR="00702157" w:rsidRPr="00C2647A" w14:paraId="292C2BAC" w14:textId="77777777" w:rsidTr="00702157">
        <w:tc>
          <w:tcPr>
            <w:tcW w:w="2547" w:type="dxa"/>
          </w:tcPr>
          <w:p w14:paraId="4910B1B2"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Eyebrowed Thrush</w:t>
            </w:r>
          </w:p>
        </w:tc>
        <w:tc>
          <w:tcPr>
            <w:tcW w:w="3118" w:type="dxa"/>
          </w:tcPr>
          <w:p w14:paraId="207DC27F"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i/>
                <w:iCs/>
                <w:sz w:val="20"/>
                <w:szCs w:val="20"/>
                <w:lang w:val="en-GB"/>
              </w:rPr>
              <w:t>Turdus obscurus</w:t>
            </w:r>
          </w:p>
        </w:tc>
        <w:tc>
          <w:tcPr>
            <w:tcW w:w="1418" w:type="dxa"/>
          </w:tcPr>
          <w:p w14:paraId="139B4AE5"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LC</w:t>
            </w:r>
          </w:p>
        </w:tc>
        <w:tc>
          <w:tcPr>
            <w:tcW w:w="2126" w:type="dxa"/>
          </w:tcPr>
          <w:p w14:paraId="4794F4FA"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0.14</w:t>
            </w:r>
          </w:p>
        </w:tc>
        <w:tc>
          <w:tcPr>
            <w:tcW w:w="1985" w:type="dxa"/>
          </w:tcPr>
          <w:p w14:paraId="38870718"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w:t>
            </w:r>
          </w:p>
        </w:tc>
        <w:tc>
          <w:tcPr>
            <w:tcW w:w="3543" w:type="dxa"/>
          </w:tcPr>
          <w:p w14:paraId="2F27E941" w14:textId="720CC641"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fldChar w:fldCharType="begin" w:fldLock="1"/>
            </w:r>
            <w:r w:rsidRPr="00C2647A">
              <w:rPr>
                <w:rFonts w:ascii="Times New Roman" w:eastAsia="Palatino Linotype" w:hAnsi="Times New Roman" w:cs="Times New Roman"/>
                <w:sz w:val="20"/>
                <w:szCs w:val="20"/>
                <w:lang w:val="en-GB" w:eastAsia="fr-FR"/>
              </w:rPr>
              <w:instrText>ADDIN CSL_CITATION {"citationItems":[{"id":"ITEM-1","itemData":{"DOI":"10.7717/PEERJ.374/SUPP-2","ISSN":"21678359","abstract":"Camera traps is an important wildlife inventory tool for estimating species diversity at a site. Knowing what minimum trapping effort is needed to detect target species is also important to designing efficient studies, considering both the number of camera locations, and survey length. Here, we take advantage of a two-year camera trapping dataset from a small (24-ha) study plot in Gutianshan National Nature Reserve, eastern China to estimate the minimum trapping effort actually needed to sample the wildlife community. We also evaluated the relative value of adding new camera sites or running cameras for a longer period at one site. The full dataset includes 1727 independent photographs captured during 13,824 camera days, documenting 10 resident terrestrial species of birds and mammals. Our rarefaction analysis shows that a minimum of 931 camera days would be needed to detect the resident species sufficiently in the plot, and c. 8700 camera days to detect all 10 resident species. In terms of detecting a diversity of species, the optimal sampling period for one camera site was c. 40, or long enough to record about 20 independent photographs. Our analysis of evaluating the increasing number of additional camera sites shows that rotating cameras to new sites would be more efficient for measuring species richness than leaving cameras at fewer sites for a longer period. © 2014 Si et al.","author":[{"dropping-particle":"","family":"Si","given":"Xingfeng","non-dropping-particle":"","parse-names":false,"suffix":""},{"dropping-particle":"","family":"Kays","given":"Roland","non-dropping-particle":"","parse-names":false,"suffix":""},{"dropping-particle":"","family":"Ding","given":"Ping","non-dropping-particle":"","parse-names":false,"suffix":""}],"container-title":"PeerJ","id":"ITEM-1","issue":"1","issued":{"date-parts":[["2014","5","8"]]},"page":"e374","publisher":"PeerJ Inc.","title":"How long is enough to detect terrestrial animals? Estimating the minimum trapping effort on camera traps","type":"article-journal","volume":"2014"},"uris":["http://www.mendeley.com/documents/?uuid=4baee221-9404-3296-ba62-4db5796477ea"]}],"mendeley":{"formattedCitation":"(Si et al., 2014)","plainTextFormattedCitation":"(Si et al., 2014)","previouslyFormattedCitation":"(Si et al., 2014)"},"properties":{"noteIndex":0},"schema":"https://github.com/citation-style-language/schema/raw/master/csl-citation.json"}</w:instrText>
            </w:r>
            <w:r w:rsidRPr="00C2647A">
              <w:rPr>
                <w:rFonts w:ascii="Times New Roman" w:eastAsia="Palatino Linotype" w:hAnsi="Times New Roman" w:cs="Times New Roman"/>
                <w:sz w:val="20"/>
                <w:szCs w:val="20"/>
                <w:lang w:val="en-GB" w:eastAsia="fr-FR"/>
              </w:rPr>
              <w:fldChar w:fldCharType="separate"/>
            </w:r>
            <w:r w:rsidRPr="00C2647A">
              <w:rPr>
                <w:rFonts w:ascii="Times New Roman" w:eastAsia="Palatino Linotype" w:hAnsi="Times New Roman" w:cs="Times New Roman"/>
                <w:noProof/>
                <w:sz w:val="20"/>
                <w:szCs w:val="20"/>
                <w:lang w:val="en-GB" w:eastAsia="fr-FR"/>
              </w:rPr>
              <w:t>Si et al. 2014</w:t>
            </w:r>
            <w:r w:rsidRPr="00C2647A">
              <w:rPr>
                <w:rFonts w:ascii="Times New Roman" w:eastAsia="Palatino Linotype" w:hAnsi="Times New Roman" w:cs="Times New Roman"/>
                <w:sz w:val="20"/>
                <w:szCs w:val="20"/>
                <w:lang w:val="en-GB" w:eastAsia="fr-FR"/>
              </w:rPr>
              <w:fldChar w:fldCharType="end"/>
            </w:r>
          </w:p>
        </w:tc>
      </w:tr>
      <w:tr w:rsidR="00702157" w:rsidRPr="00C2647A" w14:paraId="0181A027" w14:textId="77777777" w:rsidTr="00702157">
        <w:tc>
          <w:tcPr>
            <w:tcW w:w="2547" w:type="dxa"/>
          </w:tcPr>
          <w:p w14:paraId="1E941CC9"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Pale Thrush</w:t>
            </w:r>
          </w:p>
        </w:tc>
        <w:tc>
          <w:tcPr>
            <w:tcW w:w="3118" w:type="dxa"/>
          </w:tcPr>
          <w:p w14:paraId="33210072" w14:textId="77777777" w:rsidR="001A3F06" w:rsidRPr="00C2647A" w:rsidRDefault="001A3F06" w:rsidP="00F15483">
            <w:pPr>
              <w:spacing w:line="480" w:lineRule="auto"/>
              <w:jc w:val="center"/>
              <w:rPr>
                <w:rFonts w:ascii="Times New Roman" w:eastAsia="Palatino Linotype" w:hAnsi="Times New Roman" w:cs="Times New Roman"/>
                <w:i/>
                <w:sz w:val="20"/>
                <w:szCs w:val="20"/>
                <w:lang w:val="en-GB" w:eastAsia="fr-FR"/>
              </w:rPr>
            </w:pPr>
            <w:r w:rsidRPr="00C2647A">
              <w:rPr>
                <w:rFonts w:ascii="Times New Roman" w:eastAsia="Palatino Linotype" w:hAnsi="Times New Roman" w:cs="Times New Roman"/>
                <w:i/>
                <w:sz w:val="20"/>
                <w:szCs w:val="20"/>
                <w:lang w:val="en-GB" w:eastAsia="fr-FR"/>
              </w:rPr>
              <w:t>Turdus pallidus</w:t>
            </w:r>
          </w:p>
        </w:tc>
        <w:tc>
          <w:tcPr>
            <w:tcW w:w="1418" w:type="dxa"/>
          </w:tcPr>
          <w:p w14:paraId="141ADC73"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LC</w:t>
            </w:r>
          </w:p>
        </w:tc>
        <w:tc>
          <w:tcPr>
            <w:tcW w:w="2126" w:type="dxa"/>
          </w:tcPr>
          <w:p w14:paraId="6587E2BE"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0.55</w:t>
            </w:r>
          </w:p>
        </w:tc>
        <w:tc>
          <w:tcPr>
            <w:tcW w:w="1985" w:type="dxa"/>
          </w:tcPr>
          <w:p w14:paraId="2912915B"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w:t>
            </w:r>
          </w:p>
        </w:tc>
        <w:tc>
          <w:tcPr>
            <w:tcW w:w="3543" w:type="dxa"/>
          </w:tcPr>
          <w:p w14:paraId="485F0CFA" w14:textId="2BE6EE1F" w:rsidR="001A3F06" w:rsidRPr="00C2647A" w:rsidRDefault="00645679"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fldChar w:fldCharType="begin" w:fldLock="1"/>
            </w:r>
            <w:r w:rsidRPr="00C2647A">
              <w:rPr>
                <w:rFonts w:ascii="Times New Roman" w:eastAsia="Palatino Linotype" w:hAnsi="Times New Roman" w:cs="Times New Roman"/>
                <w:sz w:val="20"/>
                <w:szCs w:val="20"/>
                <w:lang w:val="en-GB" w:eastAsia="fr-FR"/>
              </w:rPr>
              <w:instrText>ADDIN CSL_CITATION {"citationItems":[{"id":"ITEM-1","itemData":{"DOI":"10.7717/PEERJ.374/SUPP-2","ISSN":"21678359","abstract":"Camera traps is an important wildlife inventory tool for estimating species diversity at a site. Knowing what minimum trapping effort is needed to detect target species is also important to designing efficient studies, considering both the number of camera locations, and survey length. Here, we take advantage of a two-year camera trapping dataset from a small (24-ha) study plot in Gutianshan National Nature Reserve, eastern China to estimate the minimum trapping effort actually needed to sample the wildlife community. We also evaluated the relative value of adding new camera sites or running cameras for a longer period at one site. The full dataset includes 1727 independent photographs captured during 13,824 camera days, documenting 10 resident terrestrial species of birds and mammals. Our rarefaction analysis shows that a minimum of 931 camera days would be needed to detect the resident species sufficiently in the plot, and c. 8700 camera days to detect all 10 resident species. In terms of detecting a diversity of species, the optimal sampling period for one camera site was c. 40, or long enough to record about 20 independent photographs. Our analysis of evaluating the increasing number of additional camera sites shows that rotating cameras to new sites would be more efficient for measuring species richness than leaving cameras at fewer sites for a longer period. © 2014 Si et al.","author":[{"dropping-particle":"","family":"Si","given":"Xingfeng","non-dropping-particle":"","parse-names":false,"suffix":""},{"dropping-particle":"","family":"Kays","given":"Roland","non-dropping-particle":"","parse-names":false,"suffix":""},{"dropping-particle":"","family":"Ding","given":"Ping","non-dropping-particle":"","parse-names":false,"suffix":""}],"container-title":"PeerJ","id":"ITEM-1","issue":"1","issued":{"date-parts":[["2014","5","8"]]},"page":"e374","publisher":"PeerJ Inc.","title":"How long is enough to detect terrestrial animals? Estimating the minimum trapping effort on camera traps","type":"article-journal","volume":"2014"},"uris":["http://www.mendeley.com/documents/?uuid=4baee221-9404-3296-ba62-4db5796477ea"]}],"mendeley":{"formattedCitation":"(Si et al., 2014)","plainTextFormattedCitation":"(Si et al., 2014)","previouslyFormattedCitation":"(Si et al., 2014)"},"properties":{"noteIndex":0},"schema":"https://github.com/citation-style-language/schema/raw/master/csl-citation.json"}</w:instrText>
            </w:r>
            <w:r w:rsidRPr="00C2647A">
              <w:rPr>
                <w:rFonts w:ascii="Times New Roman" w:eastAsia="Palatino Linotype" w:hAnsi="Times New Roman" w:cs="Times New Roman"/>
                <w:sz w:val="20"/>
                <w:szCs w:val="20"/>
                <w:lang w:val="en-GB" w:eastAsia="fr-FR"/>
              </w:rPr>
              <w:fldChar w:fldCharType="separate"/>
            </w:r>
            <w:r w:rsidRPr="00C2647A">
              <w:rPr>
                <w:rFonts w:ascii="Times New Roman" w:eastAsia="Palatino Linotype" w:hAnsi="Times New Roman" w:cs="Times New Roman"/>
                <w:noProof/>
                <w:sz w:val="20"/>
                <w:szCs w:val="20"/>
                <w:lang w:val="en-GB" w:eastAsia="fr-FR"/>
              </w:rPr>
              <w:t>Si et al. 2014</w:t>
            </w:r>
            <w:r w:rsidRPr="00C2647A">
              <w:rPr>
                <w:rFonts w:ascii="Times New Roman" w:eastAsia="Palatino Linotype" w:hAnsi="Times New Roman" w:cs="Times New Roman"/>
                <w:sz w:val="20"/>
                <w:szCs w:val="20"/>
                <w:lang w:val="en-GB" w:eastAsia="fr-FR"/>
              </w:rPr>
              <w:fldChar w:fldCharType="end"/>
            </w:r>
          </w:p>
        </w:tc>
      </w:tr>
      <w:tr w:rsidR="00702157" w:rsidRPr="00C2647A" w14:paraId="68E0C7C9" w14:textId="77777777" w:rsidTr="00702157">
        <w:tc>
          <w:tcPr>
            <w:tcW w:w="2547" w:type="dxa"/>
          </w:tcPr>
          <w:p w14:paraId="64E996A9"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Scaly Thrush</w:t>
            </w:r>
          </w:p>
        </w:tc>
        <w:tc>
          <w:tcPr>
            <w:tcW w:w="3118" w:type="dxa"/>
          </w:tcPr>
          <w:p w14:paraId="7045CED3" w14:textId="77777777" w:rsidR="001A3F06" w:rsidRPr="00C2647A" w:rsidRDefault="001A3F06" w:rsidP="00F15483">
            <w:pPr>
              <w:spacing w:line="480" w:lineRule="auto"/>
              <w:jc w:val="center"/>
              <w:rPr>
                <w:rFonts w:ascii="Times New Roman" w:eastAsia="Palatino Linotype" w:hAnsi="Times New Roman" w:cs="Times New Roman"/>
                <w:i/>
                <w:sz w:val="20"/>
                <w:szCs w:val="20"/>
                <w:lang w:val="en-GB" w:eastAsia="fr-FR"/>
              </w:rPr>
            </w:pPr>
            <w:proofErr w:type="spellStart"/>
            <w:r w:rsidRPr="00C2647A">
              <w:rPr>
                <w:rFonts w:ascii="Times New Roman" w:eastAsia="Palatino Linotype" w:hAnsi="Times New Roman" w:cs="Times New Roman"/>
                <w:i/>
                <w:iCs/>
                <w:sz w:val="20"/>
                <w:szCs w:val="20"/>
                <w:lang w:val="en-GB"/>
              </w:rPr>
              <w:t>Zoothera</w:t>
            </w:r>
            <w:proofErr w:type="spellEnd"/>
            <w:r w:rsidRPr="00C2647A">
              <w:rPr>
                <w:rFonts w:ascii="Times New Roman" w:eastAsia="Palatino Linotype" w:hAnsi="Times New Roman" w:cs="Times New Roman"/>
                <w:i/>
                <w:iCs/>
                <w:sz w:val="20"/>
                <w:szCs w:val="20"/>
                <w:lang w:val="en-GB"/>
              </w:rPr>
              <w:t xml:space="preserve"> </w:t>
            </w:r>
            <w:proofErr w:type="spellStart"/>
            <w:r w:rsidRPr="00C2647A">
              <w:rPr>
                <w:rFonts w:ascii="Times New Roman" w:eastAsia="Palatino Linotype" w:hAnsi="Times New Roman" w:cs="Times New Roman"/>
                <w:i/>
                <w:iCs/>
                <w:sz w:val="20"/>
                <w:szCs w:val="20"/>
                <w:lang w:val="en-GB"/>
              </w:rPr>
              <w:t>dauma</w:t>
            </w:r>
            <w:proofErr w:type="spellEnd"/>
          </w:p>
        </w:tc>
        <w:tc>
          <w:tcPr>
            <w:tcW w:w="1418" w:type="dxa"/>
          </w:tcPr>
          <w:p w14:paraId="411C5C81"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LC</w:t>
            </w:r>
          </w:p>
        </w:tc>
        <w:tc>
          <w:tcPr>
            <w:tcW w:w="2126" w:type="dxa"/>
          </w:tcPr>
          <w:p w14:paraId="78159168"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2.20</w:t>
            </w:r>
          </w:p>
        </w:tc>
        <w:tc>
          <w:tcPr>
            <w:tcW w:w="1985" w:type="dxa"/>
          </w:tcPr>
          <w:p w14:paraId="6E784D19"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w:t>
            </w:r>
          </w:p>
        </w:tc>
        <w:tc>
          <w:tcPr>
            <w:tcW w:w="3543" w:type="dxa"/>
          </w:tcPr>
          <w:p w14:paraId="18329DEA" w14:textId="1118FA73" w:rsidR="001A3F06" w:rsidRPr="00C2647A" w:rsidRDefault="00645679" w:rsidP="00F15483">
            <w:pPr>
              <w:spacing w:line="480" w:lineRule="auto"/>
              <w:jc w:val="center"/>
              <w:rPr>
                <w:rFonts w:ascii="Times New Roman" w:eastAsia="Palatino Linotype" w:hAnsi="Times New Roman" w:cs="Times New Roman"/>
                <w:sz w:val="20"/>
                <w:szCs w:val="20"/>
                <w:lang w:val="en-GB"/>
              </w:rPr>
            </w:pPr>
            <w:r w:rsidRPr="00C2647A">
              <w:rPr>
                <w:rFonts w:ascii="Times New Roman" w:eastAsia="Palatino Linotype" w:hAnsi="Times New Roman" w:cs="Times New Roman"/>
                <w:sz w:val="20"/>
                <w:szCs w:val="20"/>
                <w:lang w:val="en-GB" w:eastAsia="fr-FR"/>
              </w:rPr>
              <w:fldChar w:fldCharType="begin" w:fldLock="1"/>
            </w:r>
            <w:r w:rsidRPr="00C2647A">
              <w:rPr>
                <w:rFonts w:ascii="Times New Roman" w:eastAsia="Palatino Linotype" w:hAnsi="Times New Roman" w:cs="Times New Roman"/>
                <w:sz w:val="20"/>
                <w:szCs w:val="20"/>
                <w:lang w:val="en-GB" w:eastAsia="fr-FR"/>
              </w:rPr>
              <w:instrText>ADDIN CSL_CITATION {"citationItems":[{"id":"ITEM-1","itemData":{"DOI":"10.7717/PEERJ.374/SUPP-2","ISSN":"21678359","abstract":"Camera traps is an important wildlife inventory tool for estimating species diversity at a site. Knowing what minimum trapping effort is needed to detect target species is also important to designing efficient studies, considering both the number of camera locations, and survey length. Here, we take advantage of a two-year camera trapping dataset from a small (24-ha) study plot in Gutianshan National Nature Reserve, eastern China to estimate the minimum trapping effort actually needed to sample the wildlife community. We also evaluated the relative value of adding new camera sites or running cameras for a longer period at one site. The full dataset includes 1727 independent photographs captured during 13,824 camera days, documenting 10 resident terrestrial species of birds and mammals. Our rarefaction analysis shows that a minimum of 931 camera days would be needed to detect the resident species sufficiently in the plot, and c. 8700 camera days to detect all 10 resident species. In terms of detecting a diversity of species, the optimal sampling period for one camera site was c. 40, or long enough to record about 20 independent photographs. Our analysis of evaluating the increasing number of additional camera sites shows that rotating cameras to new sites would be more efficient for measuring species richness than leaving cameras at fewer sites for a longer period. © 2014 Si et al.","author":[{"dropping-particle":"","family":"Si","given":"Xingfeng","non-dropping-particle":"","parse-names":false,"suffix":""},{"dropping-particle":"","family":"Kays","given":"Roland","non-dropping-particle":"","parse-names":false,"suffix":""},{"dropping-particle":"","family":"Ding","given":"Ping","non-dropping-particle":"","parse-names":false,"suffix":""}],"container-title":"PeerJ","id":"ITEM-1","issue":"1","issued":{"date-parts":[["2014","5","8"]]},"page":"e374","publisher":"PeerJ Inc.","title":"How long is enough to detect terrestrial animals? Estimating the minimum trapping effort on camera traps","type":"article-journal","volume":"2014"},"uris":["http://www.mendeley.com/documents/?uuid=4baee221-9404-3296-ba62-4db5796477ea"]}],"mendeley":{"formattedCitation":"(Si et al., 2014)","plainTextFormattedCitation":"(Si et al., 2014)","previouslyFormattedCitation":"(Si et al., 2014)"},"properties":{"noteIndex":0},"schema":"https://github.com/citation-style-language/schema/raw/master/csl-citation.json"}</w:instrText>
            </w:r>
            <w:r w:rsidRPr="00C2647A">
              <w:rPr>
                <w:rFonts w:ascii="Times New Roman" w:eastAsia="Palatino Linotype" w:hAnsi="Times New Roman" w:cs="Times New Roman"/>
                <w:sz w:val="20"/>
                <w:szCs w:val="20"/>
                <w:lang w:val="en-GB" w:eastAsia="fr-FR"/>
              </w:rPr>
              <w:fldChar w:fldCharType="separate"/>
            </w:r>
            <w:r w:rsidRPr="00C2647A">
              <w:rPr>
                <w:rFonts w:ascii="Times New Roman" w:eastAsia="Palatino Linotype" w:hAnsi="Times New Roman" w:cs="Times New Roman"/>
                <w:noProof/>
                <w:sz w:val="20"/>
                <w:szCs w:val="20"/>
                <w:lang w:val="en-GB" w:eastAsia="fr-FR"/>
              </w:rPr>
              <w:t>Si et al. 2014</w:t>
            </w:r>
            <w:r w:rsidRPr="00C2647A">
              <w:rPr>
                <w:rFonts w:ascii="Times New Roman" w:eastAsia="Palatino Linotype" w:hAnsi="Times New Roman" w:cs="Times New Roman"/>
                <w:sz w:val="20"/>
                <w:szCs w:val="20"/>
                <w:lang w:val="en-GB" w:eastAsia="fr-FR"/>
              </w:rPr>
              <w:fldChar w:fldCharType="end"/>
            </w:r>
          </w:p>
        </w:tc>
      </w:tr>
      <w:tr w:rsidR="00702157" w:rsidRPr="00C2647A" w14:paraId="495466C6" w14:textId="77777777" w:rsidTr="00702157">
        <w:tc>
          <w:tcPr>
            <w:tcW w:w="2547" w:type="dxa"/>
          </w:tcPr>
          <w:p w14:paraId="24A6FF8B" w14:textId="23CC8185" w:rsidR="001A3F06" w:rsidRPr="00C2647A" w:rsidRDefault="001A3F06" w:rsidP="00702157">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Spotted Ground Thrush</w:t>
            </w:r>
          </w:p>
        </w:tc>
        <w:tc>
          <w:tcPr>
            <w:tcW w:w="3118" w:type="dxa"/>
          </w:tcPr>
          <w:p w14:paraId="35A64F9D" w14:textId="77777777" w:rsidR="001A3F06" w:rsidRPr="00C2647A" w:rsidRDefault="001A3F06" w:rsidP="00F15483">
            <w:pPr>
              <w:spacing w:line="480" w:lineRule="auto"/>
              <w:jc w:val="center"/>
              <w:rPr>
                <w:rFonts w:ascii="Times New Roman" w:eastAsia="Palatino Linotype" w:hAnsi="Times New Roman" w:cs="Times New Roman"/>
                <w:i/>
                <w:sz w:val="20"/>
                <w:szCs w:val="20"/>
                <w:lang w:val="en-GB" w:eastAsia="fr-FR"/>
              </w:rPr>
            </w:pPr>
            <w:proofErr w:type="spellStart"/>
            <w:r w:rsidRPr="00C2647A">
              <w:rPr>
                <w:rFonts w:ascii="Times New Roman" w:eastAsia="Palatino Linotype" w:hAnsi="Times New Roman" w:cs="Times New Roman"/>
                <w:i/>
                <w:sz w:val="20"/>
                <w:szCs w:val="20"/>
                <w:lang w:val="en-GB" w:eastAsia="fr-FR"/>
              </w:rPr>
              <w:t>Zoothera</w:t>
            </w:r>
            <w:proofErr w:type="spellEnd"/>
            <w:r w:rsidRPr="00C2647A">
              <w:rPr>
                <w:rFonts w:ascii="Times New Roman" w:eastAsia="Palatino Linotype" w:hAnsi="Times New Roman" w:cs="Times New Roman"/>
                <w:i/>
                <w:sz w:val="20"/>
                <w:szCs w:val="20"/>
                <w:lang w:val="en-GB" w:eastAsia="fr-FR"/>
              </w:rPr>
              <w:t xml:space="preserve"> guttata</w:t>
            </w:r>
          </w:p>
        </w:tc>
        <w:tc>
          <w:tcPr>
            <w:tcW w:w="1418" w:type="dxa"/>
          </w:tcPr>
          <w:p w14:paraId="484904E3"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VU</w:t>
            </w:r>
          </w:p>
        </w:tc>
        <w:tc>
          <w:tcPr>
            <w:tcW w:w="2126" w:type="dxa"/>
          </w:tcPr>
          <w:p w14:paraId="344D63EA"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1.31</w:t>
            </w:r>
          </w:p>
        </w:tc>
        <w:tc>
          <w:tcPr>
            <w:tcW w:w="1985" w:type="dxa"/>
          </w:tcPr>
          <w:p w14:paraId="17FECD9E" w14:textId="77777777" w:rsidR="001A3F06" w:rsidRPr="00C2647A" w:rsidRDefault="001A3F06" w:rsidP="00F15483">
            <w:pPr>
              <w:spacing w:line="480" w:lineRule="auto"/>
              <w:jc w:val="center"/>
              <w:rPr>
                <w:rFonts w:ascii="Times New Roman" w:eastAsia="Palatino Linotype" w:hAnsi="Times New Roman" w:cs="Times New Roman"/>
                <w:sz w:val="20"/>
                <w:szCs w:val="20"/>
                <w:lang w:val="en-GB" w:eastAsia="fr-FR"/>
              </w:rPr>
            </w:pPr>
            <w:r w:rsidRPr="00C2647A">
              <w:rPr>
                <w:rFonts w:ascii="Times New Roman" w:eastAsia="Palatino Linotype" w:hAnsi="Times New Roman" w:cs="Times New Roman"/>
                <w:sz w:val="20"/>
                <w:szCs w:val="20"/>
                <w:lang w:val="en-GB" w:eastAsia="fr-FR"/>
              </w:rPr>
              <w:t>0.28</w:t>
            </w:r>
          </w:p>
        </w:tc>
        <w:tc>
          <w:tcPr>
            <w:tcW w:w="3543" w:type="dxa"/>
          </w:tcPr>
          <w:p w14:paraId="2522F66C" w14:textId="7E3D9500" w:rsidR="001A3F06" w:rsidRPr="00C2647A" w:rsidRDefault="001A3F06" w:rsidP="00F15483">
            <w:pPr>
              <w:spacing w:line="480" w:lineRule="auto"/>
              <w:jc w:val="center"/>
              <w:rPr>
                <w:rFonts w:ascii="Times New Roman" w:eastAsia="Palatino Linotype" w:hAnsi="Times New Roman" w:cs="Times New Roman"/>
                <w:sz w:val="20"/>
                <w:szCs w:val="20"/>
                <w:lang w:val="en-GB"/>
              </w:rPr>
            </w:pPr>
            <w:r w:rsidRPr="00C2647A">
              <w:rPr>
                <w:rFonts w:ascii="Times New Roman" w:eastAsia="Palatino Linotype" w:hAnsi="Times New Roman" w:cs="Times New Roman"/>
                <w:sz w:val="20"/>
                <w:szCs w:val="20"/>
                <w:lang w:val="en-GB"/>
              </w:rPr>
              <w:fldChar w:fldCharType="begin" w:fldLock="1"/>
            </w:r>
            <w:r w:rsidRPr="00C2647A">
              <w:rPr>
                <w:rFonts w:ascii="Times New Roman" w:eastAsia="Palatino Linotype" w:hAnsi="Times New Roman" w:cs="Times New Roman"/>
                <w:sz w:val="20"/>
                <w:szCs w:val="20"/>
                <w:lang w:val="en-GB"/>
              </w:rPr>
              <w:instrText>ADDIN CSL_CITATION {"citationItems":[{"id":"ITEM-1","itemData":{"DOI":"10.1016/J.FORECO.2017.06.045","ISSN":"0378-1127","abstract":"The spotted ground thrush (Zoothera guttata; SGT) is a globally endangered forest specialist whose distribution is poorly understood in the critically endangered Indian Ocean Coastal Belt Forest (IOCBF) biome on the east coast of southern Africa. More than 70% of the IOCBF has been lost to development, resulting in fragmented forest remnants within a mosaic of different land uses. We conducted camera-trap surveys with 5796 trap-days in 82 forest patches of various sizes across a gradient of land-use types in the IOCBF during the winter seasons of 2014–2016 to establish occupancy (Ψ) of SGT. We used occupancy modelling and incorporated forest microhabitat characteristics and surrounding land-use classifications to compare sites and determine SGT distribution across the habitat mosaic. The top model estimated an average Ψ = 0.39 ± 0.09, and detection probability (P) = 0.11 ± 0.03. At the landscape scale, larger, less isolated patches had a higher Ψ of SGT while P decreased with proximity to cultivated land. At the microhabitat scale, a high percentage of bare ground influenced Ψ positively but P negatively, as did short grass cover. However, short herbaceous cover and high stem density of large (11–15 m) trees influenced P positively. These results detail the influence of landscape-scale factors including forest fragmentation and conversion to agriculture in conjunction with forest microhabitat-scale characteristics, on patch selection and distribution of a cryptic, ground-dwelling species that is both threatened and under-studied. Given its endangered status and dependence on larger and more mature forest patches, SGT may be an effective flagship species for the conservation of threatened IOCBF patches.","author":[{"dropping-particle":"","family":"Ehlers Smith","given":"David A.","non-dropping-particle":"","parse-names":false,"suffix":""},{"dropping-particle":"","family":"Ehlers Smith","given":"Yvette C.","non-dropping-particle":"","parse-names":false,"suffix":""},{"dropping-particle":"","family":"Ramesh","given":"T.","non-dropping-particle":"","parse-names":false,"suffix":""},{"dropping-particle":"","family":"Downs","given":"Colleen T.","non-dropping-particle":"","parse-names":false,"suffix":""}],"container-title":"Forest Ecology and Management","id":"ITEM-1","issued":{"date-parts":[["2017","9","15"]]},"page":"523-530","publisher":"Elsevier","title":"Camera-trap data elucidate habitat requirements and conservation threats to an endangered forest specialist, the Spotted Ground Thrush (Zoothera guttata)","type":"article-journal","volume":"400"},"uris":["http://www.mendeley.com/documents/?uuid=2cb658f7-3614-3e7b-9c34-75dfa9566dff"]}],"mendeley":{"formattedCitation":"(Ehlers Smith et al., 2017)","plainTextFormattedCitation":"(Ehlers Smith et al., 2017)","previouslyFormattedCitation":"(Ehlers Smith et al., 2017)"},"properties":{"noteIndex":0},"schema":"https://github.com/citation-style-language/schema/raw/master/csl-citation.json"}</w:instrText>
            </w:r>
            <w:r w:rsidRPr="00C2647A">
              <w:rPr>
                <w:rFonts w:ascii="Times New Roman" w:eastAsia="Palatino Linotype" w:hAnsi="Times New Roman" w:cs="Times New Roman"/>
                <w:sz w:val="20"/>
                <w:szCs w:val="20"/>
                <w:lang w:val="en-GB"/>
              </w:rPr>
              <w:fldChar w:fldCharType="separate"/>
            </w:r>
            <w:r w:rsidRPr="00C2647A">
              <w:rPr>
                <w:rFonts w:ascii="Times New Roman" w:eastAsia="Palatino Linotype" w:hAnsi="Times New Roman" w:cs="Times New Roman"/>
                <w:noProof/>
                <w:sz w:val="20"/>
                <w:szCs w:val="20"/>
                <w:lang w:val="en-GB"/>
              </w:rPr>
              <w:t>Ehlers Smith et al. 2017</w:t>
            </w:r>
            <w:r w:rsidRPr="00C2647A">
              <w:rPr>
                <w:rFonts w:ascii="Times New Roman" w:eastAsia="Palatino Linotype" w:hAnsi="Times New Roman" w:cs="Times New Roman"/>
                <w:sz w:val="20"/>
                <w:szCs w:val="20"/>
                <w:lang w:val="en-GB"/>
              </w:rPr>
              <w:fldChar w:fldCharType="end"/>
            </w:r>
          </w:p>
        </w:tc>
      </w:tr>
    </w:tbl>
    <w:p w14:paraId="5C5C3596" w14:textId="77777777" w:rsidR="001A3F06" w:rsidRPr="001A3F06" w:rsidRDefault="001A3F06">
      <w:pPr>
        <w:rPr>
          <w:b/>
          <w:bCs/>
          <w:sz w:val="24"/>
          <w:szCs w:val="24"/>
        </w:rPr>
      </w:pPr>
    </w:p>
    <w:sectPr w:rsidR="001A3F06" w:rsidRPr="001A3F06" w:rsidSect="00702157">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F06"/>
    <w:rsid w:val="001A3F06"/>
    <w:rsid w:val="004533B1"/>
    <w:rsid w:val="00645679"/>
    <w:rsid w:val="00702157"/>
    <w:rsid w:val="00A11083"/>
    <w:rsid w:val="00A44E95"/>
    <w:rsid w:val="00C264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6FB59"/>
  <w15:chartTrackingRefBased/>
  <w15:docId w15:val="{511D848C-76E1-4A24-9045-B682ADF15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A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2846</Words>
  <Characters>15659</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 JEAN-PIERRE</dc:creator>
  <cp:keywords/>
  <dc:description/>
  <cp:lastModifiedBy>Aurélie JEAN-PIERRE</cp:lastModifiedBy>
  <cp:revision>6</cp:revision>
  <dcterms:created xsi:type="dcterms:W3CDTF">2022-10-05T15:24:00Z</dcterms:created>
  <dcterms:modified xsi:type="dcterms:W3CDTF">2022-10-14T01:21:00Z</dcterms:modified>
</cp:coreProperties>
</file>