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7AA5" w14:textId="6B1D5806" w:rsidR="00684ECB" w:rsidRDefault="33B4CD43" w:rsidP="36A84960">
      <w:pPr>
        <w:spacing w:after="200" w:line="480" w:lineRule="auto"/>
        <w:rPr>
          <w:rFonts w:ascii="Cambria" w:eastAsia="Cambria" w:hAnsi="Cambria" w:cs="Cambria"/>
          <w:color w:val="000000" w:themeColor="text1"/>
        </w:rPr>
      </w:pPr>
      <w:r w:rsidRPr="36A84960">
        <w:rPr>
          <w:rFonts w:ascii="Cambria" w:eastAsia="Cambria" w:hAnsi="Cambria" w:cs="Cambria"/>
          <w:color w:val="000000" w:themeColor="text1"/>
        </w:rPr>
        <w:t xml:space="preserve">Supplementary info </w:t>
      </w:r>
    </w:p>
    <w:p w14:paraId="1E2FC97B" w14:textId="5480F658" w:rsidR="00684ECB" w:rsidRDefault="33B4CD43" w:rsidP="36A84960">
      <w:pPr>
        <w:pStyle w:val="TableCaption"/>
        <w:spacing w:line="480" w:lineRule="auto"/>
        <w:rPr>
          <w:rFonts w:ascii="Cambria" w:eastAsia="Cambria" w:hAnsi="Cambria" w:cs="Cambria"/>
          <w:color w:val="000000" w:themeColor="text1"/>
        </w:rPr>
      </w:pPr>
      <w:r w:rsidRPr="36A84960">
        <w:rPr>
          <w:rFonts w:ascii="Cambria" w:eastAsia="Cambria" w:hAnsi="Cambria" w:cs="Cambria"/>
          <w:color w:val="000000" w:themeColor="text1"/>
        </w:rPr>
        <w:t>Table S1. Hypotheses put forward to explain group living in Badgers.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3495"/>
        <w:gridCol w:w="3660"/>
      </w:tblGrid>
      <w:tr w:rsidR="36A84960" w14:paraId="05650374"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9FA504" w14:textId="54BEA6D0"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Hypothesis Proponents</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5C467E" w14:textId="7659561F"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Mechanism</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23FCDB" w14:textId="40EA59BC"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Predictions and Interpretations</w:t>
            </w:r>
          </w:p>
        </w:tc>
      </w:tr>
      <w:tr w:rsidR="36A84960" w14:paraId="644BF256"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013FAB" w14:textId="584C1725"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 xml:space="preserve">Resource Dispersion Hypothesis (RDH). </w:t>
            </w:r>
            <w:proofErr w:type="spellStart"/>
            <w:r w:rsidRPr="36A84960">
              <w:rPr>
                <w:rFonts w:ascii="Cambria" w:eastAsia="Cambria" w:hAnsi="Cambria" w:cs="Cambria"/>
              </w:rPr>
              <w:t>Kruuk</w:t>
            </w:r>
            <w:proofErr w:type="spellEnd"/>
            <w:r w:rsidRPr="36A84960">
              <w:rPr>
                <w:rFonts w:ascii="Cambria" w:eastAsia="Cambria" w:hAnsi="Cambria" w:cs="Cambria"/>
              </w:rPr>
              <w:t xml:space="preserve"> (1978)</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0B7364" w14:textId="239BD836"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Resource availability varies with space and time and animals will hold territories that account for this variability by sometimes defending extra resources.</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00B12D" w14:textId="24B9C9FE"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Territory size is determined by dispersion of resource patches. Larger territories will be seen where the distances between resource patches are greater. Group size is determined by the heterogeneity of resources and the richness of resource patches. Larger groups will be observed where resource patches are richer. Territory size and group size are unrelated.</w:t>
            </w:r>
          </w:p>
        </w:tc>
      </w:tr>
      <w:tr w:rsidR="36A84960" w14:paraId="34B30C65"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C9529C" w14:textId="4C018B24"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Constant Territory Size Hypothesis (CTSH). Lindstrom (1980)</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66AC6E" w14:textId="69AADF40"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 xml:space="preserve">Larger group sizes can exist in better years owing to the availability of more food resources. The group should be reduced to its primary members at least once every lifetime, with group size limited </w:t>
            </w:r>
            <w:r w:rsidRPr="36A84960">
              <w:rPr>
                <w:rFonts w:ascii="Cambria" w:eastAsia="Cambria" w:hAnsi="Cambria" w:cs="Cambria"/>
              </w:rPr>
              <w:lastRenderedPageBreak/>
              <w:t>by emigration of subordinate animals under poor conditions.</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A931AA" w14:textId="5DFF9C52"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lastRenderedPageBreak/>
              <w:t>Territory size is constant despite interannual variation in food supply. Group size is dependent on resources. Regarded as a temporal extreme of the RDH.</w:t>
            </w:r>
          </w:p>
        </w:tc>
      </w:tr>
      <w:tr w:rsidR="36A84960" w14:paraId="5272BC05"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8A087C" w14:textId="3B1D08B4"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Prey Renewal Hypothesis (PRH). Waser (1981)</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188C7D" w14:textId="3C6B909E"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Prey renewal rate determines territoriality.</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9E13E0" w14:textId="53B60474"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Low rates of prey renewal favour territoriality. Rapid rates of prey renewal increase the number of conspecifics that can be tolerated in the territory.</w:t>
            </w:r>
          </w:p>
        </w:tc>
      </w:tr>
      <w:tr w:rsidR="36A84960" w14:paraId="1F6D24F4"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71D046" w14:textId="5FD7DEA3"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Territory Inheritance Hypothesis (TIH). Lindstrom (1986)</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C13ECD" w14:textId="6AF36E0E"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Subordinate animals reach reproductive status by inheriting natal territory. Group formation depends exclusively on food abundance.</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30A612" w14:textId="67B62915"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Groups only form in small territories. Maximum group size is 4-5 adults. Assumes no cost to an adult maintaining a territory that is sustaining a group even before it has assembled a group - the model is concerned with the maintenance rather than the origin of group living (Woodroffe and Macdonald, 1993). Thought to require resource dispersion as an underlying driver.</w:t>
            </w:r>
          </w:p>
        </w:tc>
      </w:tr>
      <w:tr w:rsidR="36A84960" w14:paraId="241E88D2"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CC0B5F" w14:textId="17F07C7D"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Anti-</w:t>
            </w:r>
            <w:proofErr w:type="spellStart"/>
            <w:r w:rsidRPr="36A84960">
              <w:rPr>
                <w:rFonts w:ascii="Cambria" w:eastAsia="Cambria" w:hAnsi="Cambria" w:cs="Cambria"/>
              </w:rPr>
              <w:t>kleptogamy</w:t>
            </w:r>
            <w:proofErr w:type="spellEnd"/>
            <w:r w:rsidRPr="36A84960">
              <w:rPr>
                <w:rFonts w:ascii="Cambria" w:eastAsia="Cambria" w:hAnsi="Cambria" w:cs="Cambria"/>
              </w:rPr>
              <w:t xml:space="preserve"> Hypothesis (AKH). Roper et al. (1986)</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E6E069" w14:textId="7DBF4ECB"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Territories are maintained by males and act to prevent access to females.</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51D4F0" w14:textId="05613004"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 xml:space="preserve">Predicts seasonal changes in territory defence and latrines on borders between groups. Older females have been found to spend more time visiting latrines </w:t>
            </w:r>
            <w:r w:rsidRPr="36A84960">
              <w:rPr>
                <w:rFonts w:ascii="Cambria" w:eastAsia="Cambria" w:hAnsi="Cambria" w:cs="Cambria"/>
              </w:rPr>
              <w:lastRenderedPageBreak/>
              <w:t xml:space="preserve">than males. Both males and females are found living in exclusive territories defended against both sexes (Latour, 1990; </w:t>
            </w:r>
            <w:proofErr w:type="spellStart"/>
            <w:r w:rsidRPr="36A84960">
              <w:rPr>
                <w:rFonts w:ascii="Cambria" w:eastAsia="Cambria" w:hAnsi="Cambria" w:cs="Cambria"/>
              </w:rPr>
              <w:t>Pigozzi</w:t>
            </w:r>
            <w:proofErr w:type="spellEnd"/>
            <w:r w:rsidRPr="36A84960">
              <w:rPr>
                <w:rFonts w:ascii="Cambria" w:eastAsia="Cambria" w:hAnsi="Cambria" w:cs="Cambria"/>
              </w:rPr>
              <w:t>, 1987). Gives no explanation of the lack of correlation between group size and territory size.</w:t>
            </w:r>
          </w:p>
        </w:tc>
      </w:tr>
      <w:tr w:rsidR="36A84960" w14:paraId="6B6A15A0"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05EE98" w14:textId="065CC0B9"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lastRenderedPageBreak/>
              <w:t>Cub Defence Hypothesis (CDH). Wolff (1993)</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8B69DD" w14:textId="3F55DC55"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Territoriality in females has evolved to reduce infanticide and is independent of the distribution and abundance of food. Predicts a seasonal pattern of defence and aggression.</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A433DE" w14:textId="0EAC867E"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 xml:space="preserve">A territory is defended to keep intruders as far as economically possible from the </w:t>
            </w:r>
            <w:proofErr w:type="spellStart"/>
            <w:r w:rsidRPr="36A84960">
              <w:rPr>
                <w:rFonts w:ascii="Cambria" w:eastAsia="Cambria" w:hAnsi="Cambria" w:cs="Cambria"/>
              </w:rPr>
              <w:t>sett</w:t>
            </w:r>
            <w:proofErr w:type="spellEnd"/>
            <w:r w:rsidRPr="36A84960">
              <w:rPr>
                <w:rFonts w:ascii="Cambria" w:eastAsia="Cambria" w:hAnsi="Cambria" w:cs="Cambria"/>
              </w:rPr>
              <w:t>. Assumes that the spacing of females is dependent on resources and that the spacing of males is dependent on the spacing of females. No explanation of male groupings that are seen in badgers.</w:t>
            </w:r>
          </w:p>
        </w:tc>
      </w:tr>
      <w:tr w:rsidR="36A84960" w14:paraId="640B9E57"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AA3DF2" w14:textId="763EEE07"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Den Site Hypothesis (DSH). Doncaster and Woodroffe (1993)</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01F7D3" w14:textId="45C10931"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Location and size of the den (sett) determine the asymmetrical configuration of territory borders and thus determine territory size and shape.</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8EABB4" w14:textId="051100B0"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The resource quantity and quality contained within a territory is dependent on the location of the main sett.</w:t>
            </w:r>
          </w:p>
        </w:tc>
      </w:tr>
      <w:tr w:rsidR="36A84960" w14:paraId="7E4C68E2"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DD36BA" w14:textId="556DA6DB"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lastRenderedPageBreak/>
              <w:t>Passive Range Exclusion Hypothesis (PREH). Stewart et al. (1997)</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CF4740" w14:textId="7F5F054E"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Central foraging place creates a gradient in resource availability which maintains territory size and shape which in turn regulates group size.</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D9CB20" w14:textId="4C5EB395"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Predicts that once a resource gradient is established, a strategy of preferential feeding optimizes food intake. Theory predicts that the presence of a territory owner signals unprofitable foraging which increases avoidance by intruders. Range exclusion theory is expected to break down at low food patch densities (regardless of patch richness). Range Exclusion should be strong in non-kin groups living in restricted locations (e.g. limited resting sites), where food is not highly mobile relative to the predator, where individuals forage solitarily or in subgroups and where food has a homogeneous or multi patch distribution.</w:t>
            </w:r>
          </w:p>
        </w:tc>
      </w:tr>
      <w:tr w:rsidR="36A84960" w14:paraId="55E1749F" w14:textId="77777777" w:rsidTr="36A84960">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668AB5" w14:textId="6DD05DD4"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t xml:space="preserve">Integrative Hypothesis (IH). </w:t>
            </w:r>
            <w:r w:rsidRPr="36A84960">
              <w:rPr>
                <w:rFonts w:ascii="Cambria" w:eastAsia="Cambria" w:hAnsi="Cambria" w:cs="Cambria"/>
              </w:rPr>
              <w:lastRenderedPageBreak/>
              <w:t>Revilla and Palomares (2002)</w:t>
            </w:r>
          </w:p>
        </w:tc>
        <w:tc>
          <w:tcPr>
            <w:tcW w:w="3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1E117D" w14:textId="4E1F819C"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lastRenderedPageBreak/>
              <w:t xml:space="preserve">Ecological constraints determined by the availability of key resources shapes the </w:t>
            </w:r>
            <w:r w:rsidRPr="36A84960">
              <w:rPr>
                <w:rFonts w:ascii="Cambria" w:eastAsia="Cambria" w:hAnsi="Cambria" w:cs="Cambria"/>
              </w:rPr>
              <w:lastRenderedPageBreak/>
              <w:t>degree of competition between individuals. Demographic constraints are defined by mortality rates of dominant individuals and of animals during dispersal. Behaviour is constrained by the same conditions that favour philopatry over dispersal.</w:t>
            </w:r>
          </w:p>
        </w:tc>
        <w:tc>
          <w:tcPr>
            <w:tcW w:w="3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AE84C2" w14:textId="2959BDC6" w:rsidR="36A84960" w:rsidRDefault="36A84960" w:rsidP="36A84960">
            <w:pPr>
              <w:pStyle w:val="Compact"/>
              <w:spacing w:line="480" w:lineRule="auto"/>
              <w:rPr>
                <w:rFonts w:ascii="Cambria" w:eastAsia="Cambria" w:hAnsi="Cambria" w:cs="Cambria"/>
              </w:rPr>
            </w:pPr>
            <w:r w:rsidRPr="36A84960">
              <w:rPr>
                <w:rFonts w:ascii="Cambria" w:eastAsia="Cambria" w:hAnsi="Cambria" w:cs="Cambria"/>
              </w:rPr>
              <w:lastRenderedPageBreak/>
              <w:t xml:space="preserve">Assumes the basic social unit is a pair, with high competition during periods of food stress </w:t>
            </w:r>
            <w:r w:rsidRPr="36A84960">
              <w:rPr>
                <w:rFonts w:ascii="Cambria" w:eastAsia="Cambria" w:hAnsi="Cambria" w:cs="Cambria"/>
              </w:rPr>
              <w:lastRenderedPageBreak/>
              <w:t>encouraging young animals to disperse from their natal territory. Predicts philopatry to be adopted where competition for food is low.</w:t>
            </w:r>
          </w:p>
        </w:tc>
      </w:tr>
    </w:tbl>
    <w:p w14:paraId="540B5C69" w14:textId="08FA6FDC" w:rsidR="00E269FD" w:rsidRPr="00EF4901" w:rsidRDefault="00E269FD"/>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693"/>
      </w:tblGrid>
      <w:tr w:rsidR="0019036C" w14:paraId="57A6FB75" w14:textId="77777777" w:rsidTr="00C73A0E">
        <w:tc>
          <w:tcPr>
            <w:tcW w:w="7650" w:type="dxa"/>
          </w:tcPr>
          <w:p w14:paraId="0F3DD786" w14:textId="77777777" w:rsidR="00863A47" w:rsidRPr="00E269FD" w:rsidRDefault="00863A47" w:rsidP="00863A47"/>
          <w:p w14:paraId="5281FB5B" w14:textId="77777777" w:rsidR="00863A47" w:rsidRPr="00EF4901" w:rsidRDefault="00000000" w:rsidP="00863A47">
            <m:oMathPara>
              <m:oMath>
                <m:sSup>
                  <m:sSupPr>
                    <m:ctrlPr>
                      <w:rPr>
                        <w:rFonts w:ascii="Cambria Math" w:hAnsi="Cambria Math"/>
                        <w:i/>
                      </w:rPr>
                    </m:ctrlPr>
                  </m:sSupPr>
                  <m:e>
                    <m:r>
                      <w:rPr>
                        <w:rFonts w:ascii="Cambria Math" w:hAnsi="Cambria Math"/>
                      </w:rPr>
                      <m:t>H</m:t>
                    </m:r>
                  </m:e>
                  <m:sup>
                    <m:r>
                      <w:rPr>
                        <w:rFonts w:ascii="Cambria Math" w:hAnsi="Cambria Math"/>
                      </w:rPr>
                      <m:t>'</m:t>
                    </m:r>
                  </m:sup>
                </m:sSup>
                <m:r>
                  <w:rPr>
                    <w:rFonts w:ascii="Cambria Math" w:hAnsi="Cambria Math"/>
                  </w:rPr>
                  <m:t xml:space="preserve">= - </m:t>
                </m:r>
                <m:nary>
                  <m:naryPr>
                    <m:chr m:val="∑"/>
                    <m:ctrlPr>
                      <w:rPr>
                        <w:rFonts w:ascii="Cambria Math" w:hAnsi="Cambria Math"/>
                        <w:i/>
                      </w:rPr>
                    </m:ctrlPr>
                  </m:naryPr>
                  <m:sub>
                    <m:d>
                      <m:dPr>
                        <m:begChr m:val="{"/>
                        <m:endChr m:val="}"/>
                        <m:ctrlPr>
                          <w:rPr>
                            <w:rFonts w:ascii="Cambria Math" w:hAnsi="Cambria Math"/>
                            <w:i/>
                          </w:rPr>
                        </m:ctrlPr>
                      </m:dPr>
                      <m:e>
                        <m:r>
                          <w:rPr>
                            <w:rFonts w:ascii="Cambria Math" w:hAnsi="Cambria Math"/>
                          </w:rPr>
                          <m:t>i=1</m:t>
                        </m:r>
                      </m:e>
                    </m:d>
                  </m:sub>
                  <m:sup>
                    <m:d>
                      <m:dPr>
                        <m:begChr m:val="{"/>
                        <m:endChr m:val="}"/>
                        <m:ctrlPr>
                          <w:rPr>
                            <w:rFonts w:ascii="Cambria Math" w:hAnsi="Cambria Math"/>
                            <w:i/>
                          </w:rPr>
                        </m:ctrlPr>
                      </m:dPr>
                      <m:e>
                        <m:r>
                          <w:rPr>
                            <w:rFonts w:ascii="Cambria Math" w:hAnsi="Cambria Math"/>
                          </w:rPr>
                          <m:t>S</m:t>
                        </m:r>
                      </m:e>
                    </m:d>
                  </m:sup>
                  <m:e>
                    <m:sSub>
                      <m:sSubPr>
                        <m:ctrlPr>
                          <w:rPr>
                            <w:rFonts w:ascii="Cambria Math" w:hAnsi="Cambria Math"/>
                            <w:i/>
                          </w:rPr>
                        </m:ctrlPr>
                      </m:sSubPr>
                      <m:e>
                        <m:r>
                          <w:rPr>
                            <w:rFonts w:ascii="Cambria Math" w:hAnsi="Cambria Math"/>
                          </w:rPr>
                          <m:t>p</m:t>
                        </m:r>
                      </m:e>
                      <m:sub>
                        <m:r>
                          <w:rPr>
                            <w:rFonts w:ascii="Cambria Math" w:hAnsi="Cambria Math"/>
                          </w:rPr>
                          <m:t>i</m:t>
                        </m:r>
                      </m:sub>
                    </m:sSub>
                    <m:r>
                      <m:rPr>
                        <m:lit/>
                      </m:rPr>
                      <w:rPr>
                        <w:rFonts w:ascii="Cambria Math" w:hAnsi="Cambria Math"/>
                      </w:rPr>
                      <m:t xml:space="preserve"> </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e>
                        </m:d>
                      </m:e>
                    </m:func>
                  </m:e>
                </m:nary>
              </m:oMath>
            </m:oMathPara>
          </w:p>
          <w:p w14:paraId="56B41FC0" w14:textId="77777777" w:rsidR="0019036C" w:rsidRDefault="0019036C"/>
        </w:tc>
        <w:tc>
          <w:tcPr>
            <w:tcW w:w="2693" w:type="dxa"/>
          </w:tcPr>
          <w:p w14:paraId="683409F6" w14:textId="77777777" w:rsidR="0019036C" w:rsidRDefault="0019036C"/>
          <w:p w14:paraId="54B3968A" w14:textId="77777777" w:rsidR="00863A47" w:rsidRDefault="00863A47"/>
          <w:p w14:paraId="46AB3B79" w14:textId="487CAF2F" w:rsidR="00863A47" w:rsidRDefault="00863A47">
            <w:r>
              <w:t>Equation S1</w:t>
            </w:r>
          </w:p>
          <w:p w14:paraId="48B3181C" w14:textId="77777777" w:rsidR="00B136B5" w:rsidRDefault="00B136B5"/>
          <w:p w14:paraId="5732EC7A" w14:textId="4479E428" w:rsidR="00837C35" w:rsidRDefault="00837C35"/>
        </w:tc>
      </w:tr>
      <w:tr w:rsidR="00B136B5" w14:paraId="476C6E51" w14:textId="77777777" w:rsidTr="00C73A0E">
        <w:tc>
          <w:tcPr>
            <w:tcW w:w="7650" w:type="dxa"/>
          </w:tcPr>
          <w:p w14:paraId="5E04B8FC" w14:textId="77777777" w:rsidR="008B1431" w:rsidRDefault="008B1431" w:rsidP="00B813BE"/>
          <w:p w14:paraId="3F576C2E" w14:textId="152C42A0" w:rsidR="00B813BE" w:rsidRPr="0039633B" w:rsidRDefault="00B813BE" w:rsidP="00B813BE">
            <w:pPr>
              <w:rPr>
                <w:rFonts w:ascii="Cambria Math" w:hAnsi="Cambria Math"/>
                <w:i/>
              </w:rPr>
            </w:pPr>
            <m:oMathPara>
              <m:oMath>
                <m:sSub>
                  <m:sSubPr>
                    <m:ctrlPr>
                      <w:rPr>
                        <w:rFonts w:ascii="Cambria Math" w:hAnsi="Cambria Math"/>
                        <w:i/>
                      </w:rPr>
                    </m:ctrlPr>
                  </m:sSubPr>
                  <m:e>
                    <m:r>
                      <m:rPr>
                        <m:nor/>
                      </m:rPr>
                      <w:rPr>
                        <w:rFonts w:ascii="Cambria Math" w:hAnsi="Cambria Math"/>
                      </w:rPr>
                      <m:t>TSA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1</m:t>
                    </m:r>
                  </m:sub>
                </m:sSub>
                <m:sSub>
                  <m:sSubPr>
                    <m:ctrlPr>
                      <w:rPr>
                        <w:rFonts w:ascii="Cambria Math" w:hAnsi="Cambria Math"/>
                        <w:i/>
                      </w:rPr>
                    </m:ctrlPr>
                  </m:sSubPr>
                  <m:e>
                    <m:r>
                      <m:rPr>
                        <m:nor/>
                      </m:rPr>
                      <w:rPr>
                        <w:rFonts w:ascii="Cambria Math" w:hAnsi="Cambria Math"/>
                      </w:rPr>
                      <m:t>Habitat</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2</m:t>
                    </m:r>
                  </m:sub>
                </m:sSub>
                <m:sSub>
                  <m:sSubPr>
                    <m:ctrlPr>
                      <w:rPr>
                        <w:rFonts w:ascii="Cambria Math" w:hAnsi="Cambria Math"/>
                        <w:i/>
                      </w:rPr>
                    </m:ctrlPr>
                  </m:sSubPr>
                  <m:e>
                    <m:r>
                      <m:rPr>
                        <m:nor/>
                      </m:rPr>
                      <w:rPr>
                        <w:rFonts w:ascii="Cambria Math" w:hAnsi="Cambria Math"/>
                      </w:rPr>
                      <m:t>Aspect</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3</m:t>
                    </m:r>
                  </m:sub>
                </m:sSub>
                <m:sSub>
                  <m:sSubPr>
                    <m:ctrlPr>
                      <w:rPr>
                        <w:rFonts w:ascii="Cambria Math" w:hAnsi="Cambria Math"/>
                        <w:i/>
                      </w:rPr>
                    </m:ctrlPr>
                  </m:sSubPr>
                  <m:e>
                    <m:r>
                      <m:rPr>
                        <m:nor/>
                      </m:rPr>
                      <w:rPr>
                        <w:rFonts w:ascii="Cambria Math" w:hAnsi="Cambria Math"/>
                      </w:rPr>
                      <m:t>Weather</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ε</m:t>
                    </m:r>
                  </m:e>
                  <m:sub>
                    <m:r>
                      <w:rPr>
                        <w:rFonts w:ascii="Cambria Math" w:hAnsi="Cambria Math"/>
                      </w:rPr>
                      <m:t>t</m:t>
                    </m:r>
                  </m:sub>
                </m:sSub>
              </m:oMath>
            </m:oMathPara>
          </w:p>
          <w:p w14:paraId="21346A8A" w14:textId="77777777" w:rsidR="008B1431" w:rsidRPr="00E269FD" w:rsidRDefault="008B1431" w:rsidP="00863A47"/>
        </w:tc>
        <w:tc>
          <w:tcPr>
            <w:tcW w:w="2693" w:type="dxa"/>
          </w:tcPr>
          <w:p w14:paraId="14EECD6D" w14:textId="77777777" w:rsidR="008B1431" w:rsidRDefault="008B1431"/>
          <w:p w14:paraId="72E7F344" w14:textId="7EE5B8C4" w:rsidR="00B136B5" w:rsidRDefault="00B813BE">
            <w:r>
              <w:t>Equation S2</w:t>
            </w:r>
          </w:p>
        </w:tc>
      </w:tr>
      <w:tr w:rsidR="00B136B5" w14:paraId="6004BA21" w14:textId="77777777" w:rsidTr="00C73A0E">
        <w:tc>
          <w:tcPr>
            <w:tcW w:w="7650" w:type="dxa"/>
          </w:tcPr>
          <w:p w14:paraId="739626E6" w14:textId="77777777" w:rsidR="00B136B5" w:rsidRDefault="00B136B5" w:rsidP="00863A47"/>
          <w:p w14:paraId="7B90FA65" w14:textId="38B50442" w:rsidR="008B1431" w:rsidRDefault="00025516" w:rsidP="00863A47">
            <m:oMathPara>
              <m:oMath>
                <m:sSub>
                  <m:sSubPr>
                    <m:ctrlPr>
                      <w:rPr>
                        <w:rFonts w:ascii="Cambria Math" w:hAnsi="Cambria Math"/>
                        <w:i/>
                      </w:rPr>
                    </m:ctrlPr>
                  </m:sSubPr>
                  <m:e>
                    <m:r>
                      <m:rPr>
                        <m:nor/>
                      </m:rPr>
                      <w:rPr>
                        <w:rFonts w:ascii="Cambria Math" w:hAnsi="Cambria Math"/>
                      </w:rPr>
                      <m:t>TSA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TSA</m:t>
                    </m:r>
                    <m:r>
                      <w:rPr>
                        <w:rFonts w:ascii="Cambria Math" w:hAnsi="Cambria Math"/>
                      </w:rPr>
                      <m:t>_lag</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Cubs</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Adults</m:t>
                    </m:r>
                  </m:e>
                  <m:sub>
                    <m:r>
                      <w:rPr>
                        <w:rFonts w:ascii="Cambria Math" w:hAnsi="Cambria Math"/>
                      </w:rPr>
                      <m:t>t</m:t>
                    </m:r>
                  </m:sub>
                </m:sSub>
                <m:r>
                  <w:rPr>
                    <w:rFonts w:ascii="Cambria Math" w:hAnsi="Cambria Math"/>
                  </w:rPr>
                  <m:t>+</m:t>
                </m:r>
                <m:r>
                  <w:rPr>
                    <w:rFonts w:ascii="Cambria Math" w:hAnsi="Cambria Math"/>
                  </w:rPr>
                  <m:t xml:space="preserve"> </m:t>
                </m:r>
                <m:sSub>
                  <m:sSubPr>
                    <m:ctrlPr>
                      <w:rPr>
                        <w:rFonts w:ascii="Cambria Math" w:hAnsi="Cambria Math"/>
                        <w:i/>
                      </w:rPr>
                    </m:ctrlPr>
                  </m:sSubPr>
                  <m:e>
                    <m:r>
                      <m:rPr>
                        <m:sty m:val="p"/>
                      </m:rP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Neighbours</m:t>
                    </m:r>
                  </m:e>
                  <m:sub>
                    <m:r>
                      <w:rPr>
                        <w:rFonts w:ascii="Cambria Math" w:hAnsi="Cambria Math"/>
                      </w:rPr>
                      <m:t>t</m:t>
                    </m:r>
                  </m:sub>
                </m:sSub>
                <m:r>
                  <w:rPr>
                    <w:rFonts w:ascii="Cambria Math" w:hAnsi="Cambria Math"/>
                  </w:rPr>
                  <m:t xml:space="preserve"> + </m:t>
                </m:r>
                <m:sSub>
                  <m:sSubPr>
                    <m:ctrlPr>
                      <w:rPr>
                        <w:rFonts w:ascii="Cambria Math" w:hAnsi="Cambria Math"/>
                        <w:i/>
                      </w:rPr>
                    </m:ctrlPr>
                  </m:sSubPr>
                  <m:e>
                    <m:r>
                      <m:rPr>
                        <m:sty m:val="p"/>
                      </m:rPr>
                      <w:rPr>
                        <w:rFonts w:ascii="Cambria Math" w:hAnsi="Cambria Math"/>
                      </w:rPr>
                      <m:t>ε</m:t>
                    </m:r>
                  </m:e>
                  <m:sub>
                    <m:r>
                      <w:rPr>
                        <w:rFonts w:ascii="Cambria Math" w:hAnsi="Cambria Math"/>
                      </w:rPr>
                      <m:t>t</m:t>
                    </m:r>
                  </m:sub>
                </m:sSub>
              </m:oMath>
            </m:oMathPara>
          </w:p>
          <w:p w14:paraId="754F2311" w14:textId="77777777" w:rsidR="008B1431" w:rsidRPr="00E269FD" w:rsidRDefault="008B1431" w:rsidP="00863A47"/>
        </w:tc>
        <w:tc>
          <w:tcPr>
            <w:tcW w:w="2693" w:type="dxa"/>
          </w:tcPr>
          <w:p w14:paraId="31C90A52" w14:textId="77777777" w:rsidR="008B1431" w:rsidRDefault="008B1431"/>
          <w:p w14:paraId="78012C13" w14:textId="03E2E071" w:rsidR="00B136B5" w:rsidRDefault="00B813BE">
            <w:r>
              <w:t>Equation S3</w:t>
            </w:r>
          </w:p>
        </w:tc>
      </w:tr>
      <w:tr w:rsidR="00125812" w14:paraId="794B57F9" w14:textId="77777777" w:rsidTr="00C73A0E">
        <w:tc>
          <w:tcPr>
            <w:tcW w:w="7650" w:type="dxa"/>
          </w:tcPr>
          <w:p w14:paraId="06C7B559" w14:textId="77777777" w:rsidR="00125812" w:rsidRDefault="00125812" w:rsidP="00863A47"/>
          <w:p w14:paraId="0C7FB44D" w14:textId="77777777" w:rsidR="00025516" w:rsidRPr="0039633B" w:rsidRDefault="00025516" w:rsidP="00025516">
            <w:pPr>
              <w:rPr>
                <w:rFonts w:ascii="Cambria Math" w:hAnsi="Cambria Math"/>
                <w:i/>
              </w:rPr>
            </w:pPr>
            <m:oMathPara>
              <m:oMath>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=ρ·</m:t>
                </m:r>
                <m:sSub>
                  <m:sSubPr>
                    <m:ctrlPr>
                      <w:rPr>
                        <w:rFonts w:ascii="Cambria Math" w:hAnsi="Cambria Math"/>
                        <w:i/>
                      </w:rPr>
                    </m:ctrlPr>
                  </m:sSubPr>
                  <m:e>
                    <m:r>
                      <w:rPr>
                        <w:rFonts w:ascii="Cambria Math" w:hAnsi="Cambria Math"/>
                      </w:rPr>
                      <m:t>ε</m:t>
                    </m:r>
                  </m:e>
                  <m:sub>
                    <m:d>
                      <m:dPr>
                        <m:ctrlPr>
                          <w:rPr>
                            <w:rFonts w:ascii="Cambria Math" w:hAnsi="Cambria Math"/>
                            <w:i/>
                          </w:rPr>
                        </m:ctrlPr>
                      </m:dPr>
                      <m:e>
                        <m:r>
                          <w:rPr>
                            <w:rFonts w:ascii="Cambria Math" w:hAnsi="Cambria Math"/>
                          </w:rPr>
                          <m:t>i-1</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oMath>
            </m:oMathPara>
          </w:p>
          <w:p w14:paraId="1DCD0B3D" w14:textId="77777777" w:rsidR="00025516" w:rsidRDefault="00025516" w:rsidP="00863A47"/>
          <w:p w14:paraId="59148619" w14:textId="77777777" w:rsidR="00025516" w:rsidRDefault="00025516" w:rsidP="00863A47"/>
        </w:tc>
        <w:tc>
          <w:tcPr>
            <w:tcW w:w="2693" w:type="dxa"/>
          </w:tcPr>
          <w:p w14:paraId="2D7F6CDA" w14:textId="77777777" w:rsidR="00025516" w:rsidRDefault="00025516"/>
          <w:p w14:paraId="03694A12" w14:textId="5E34DFED" w:rsidR="00125812" w:rsidRDefault="00125812">
            <w:r>
              <w:t>Error structure included in Equations S2 and S3</w:t>
            </w:r>
          </w:p>
        </w:tc>
      </w:tr>
    </w:tbl>
    <w:p w14:paraId="2D975B3D" w14:textId="182B93D1" w:rsidR="009D2E21" w:rsidRPr="007B2ABF" w:rsidRDefault="009D2E21"/>
    <w:p w14:paraId="660D1051" w14:textId="77777777" w:rsidR="007B2ABF" w:rsidRPr="007B2ABF" w:rsidRDefault="007B2ABF"/>
    <w:tbl>
      <w:tblPr>
        <w:tblStyle w:val="TableGrid"/>
        <w:tblW w:w="0" w:type="auto"/>
        <w:tblLook w:val="04A0" w:firstRow="1" w:lastRow="0" w:firstColumn="1" w:lastColumn="0" w:noHBand="0" w:noVBand="1"/>
      </w:tblPr>
      <w:tblGrid>
        <w:gridCol w:w="4508"/>
        <w:gridCol w:w="4508"/>
      </w:tblGrid>
      <w:tr w:rsidR="00A45A30" w14:paraId="7373F55C" w14:textId="77777777" w:rsidTr="00B03480">
        <w:tc>
          <w:tcPr>
            <w:tcW w:w="9016" w:type="dxa"/>
            <w:gridSpan w:val="2"/>
            <w:tcBorders>
              <w:top w:val="nil"/>
              <w:left w:val="nil"/>
              <w:bottom w:val="single" w:sz="4" w:space="0" w:color="auto"/>
              <w:right w:val="nil"/>
            </w:tcBorders>
          </w:tcPr>
          <w:p w14:paraId="5C6A4207" w14:textId="3E4C3B42" w:rsidR="00A45A30" w:rsidRDefault="00635C31">
            <w:r>
              <w:t xml:space="preserve">Table S2. </w:t>
            </w:r>
            <w:r w:rsidR="00A45A30">
              <w:t>Component models for Structural Equation Model</w:t>
            </w:r>
            <w:r>
              <w:t xml:space="preserve"> detailing response variable and predictor variables for each model</w:t>
            </w:r>
            <w:r w:rsidR="00A45A30">
              <w:t xml:space="preserve">. Each component model includes </w:t>
            </w:r>
            <w:r w:rsidR="00AD22EA">
              <w:t xml:space="preserve">a </w:t>
            </w:r>
            <w:r w:rsidR="00D95E59">
              <w:t>linear mixed effects model with social group as a random effect</w:t>
            </w:r>
          </w:p>
        </w:tc>
      </w:tr>
      <w:tr w:rsidR="00D40115" w14:paraId="35700ED7" w14:textId="77777777" w:rsidTr="00B03480">
        <w:tc>
          <w:tcPr>
            <w:tcW w:w="4508" w:type="dxa"/>
            <w:tcBorders>
              <w:top w:val="single" w:sz="4" w:space="0" w:color="auto"/>
            </w:tcBorders>
          </w:tcPr>
          <w:p w14:paraId="481E696D" w14:textId="094557CD" w:rsidR="00D40115" w:rsidRPr="00B03480" w:rsidRDefault="00D40115">
            <w:pPr>
              <w:rPr>
                <w:b/>
                <w:bCs/>
              </w:rPr>
            </w:pPr>
            <w:r w:rsidRPr="00B03480">
              <w:rPr>
                <w:b/>
                <w:bCs/>
              </w:rPr>
              <w:t>Response variable</w:t>
            </w:r>
          </w:p>
        </w:tc>
        <w:tc>
          <w:tcPr>
            <w:tcW w:w="4508" w:type="dxa"/>
            <w:tcBorders>
              <w:top w:val="single" w:sz="4" w:space="0" w:color="auto"/>
            </w:tcBorders>
          </w:tcPr>
          <w:p w14:paraId="51BF5D6D" w14:textId="77CBD817" w:rsidR="00D40115" w:rsidRPr="00B03480" w:rsidRDefault="00D40115">
            <w:pPr>
              <w:rPr>
                <w:b/>
                <w:bCs/>
              </w:rPr>
            </w:pPr>
            <w:r w:rsidRPr="00B03480">
              <w:rPr>
                <w:b/>
                <w:bCs/>
              </w:rPr>
              <w:t>Predictors</w:t>
            </w:r>
          </w:p>
        </w:tc>
      </w:tr>
      <w:tr w:rsidR="00D40115" w14:paraId="39E6426A" w14:textId="77777777" w:rsidTr="00D40115">
        <w:tc>
          <w:tcPr>
            <w:tcW w:w="4508" w:type="dxa"/>
          </w:tcPr>
          <w:p w14:paraId="26F62BB1" w14:textId="1715D104" w:rsidR="00D40115" w:rsidRDefault="00D40115">
            <w:r>
              <w:t>Territory Size</w:t>
            </w:r>
          </w:p>
        </w:tc>
        <w:tc>
          <w:tcPr>
            <w:tcW w:w="4508" w:type="dxa"/>
          </w:tcPr>
          <w:p w14:paraId="4CF6FA1F" w14:textId="37707123" w:rsidR="00D40115" w:rsidRDefault="00552036">
            <w:r>
              <w:t>Adults + Neighbours + Habitat + Land Aspect + Annual Variation</w:t>
            </w:r>
          </w:p>
        </w:tc>
      </w:tr>
      <w:tr w:rsidR="00D40115" w14:paraId="7109B95D" w14:textId="77777777" w:rsidTr="00D40115">
        <w:tc>
          <w:tcPr>
            <w:tcW w:w="4508" w:type="dxa"/>
          </w:tcPr>
          <w:p w14:paraId="518EBD77" w14:textId="3B004C96" w:rsidR="00D40115" w:rsidRDefault="00D40115">
            <w:r>
              <w:t>Cub</w:t>
            </w:r>
            <w:r w:rsidR="00AB3393">
              <w:t>s</w:t>
            </w:r>
          </w:p>
        </w:tc>
        <w:tc>
          <w:tcPr>
            <w:tcW w:w="4508" w:type="dxa"/>
          </w:tcPr>
          <w:p w14:paraId="6C0759B7" w14:textId="7D2016DD" w:rsidR="00D40115" w:rsidRDefault="00F5025E">
            <w:r>
              <w:t xml:space="preserve">Territory Size + Adults + </w:t>
            </w:r>
            <w:r w:rsidR="00B65841">
              <w:t>Weather + Land Aspect + Annual Variation</w:t>
            </w:r>
          </w:p>
        </w:tc>
      </w:tr>
      <w:tr w:rsidR="00D40115" w14:paraId="13D7D562" w14:textId="77777777" w:rsidTr="00D40115">
        <w:tc>
          <w:tcPr>
            <w:tcW w:w="4508" w:type="dxa"/>
          </w:tcPr>
          <w:p w14:paraId="1D19169B" w14:textId="040560D8" w:rsidR="00D40115" w:rsidRDefault="00AB3393">
            <w:r>
              <w:lastRenderedPageBreak/>
              <w:t>Adults</w:t>
            </w:r>
          </w:p>
        </w:tc>
        <w:tc>
          <w:tcPr>
            <w:tcW w:w="4508" w:type="dxa"/>
          </w:tcPr>
          <w:p w14:paraId="6684E87C" w14:textId="28E1F215" w:rsidR="00D40115" w:rsidRDefault="005B2032">
            <w:r>
              <w:t>Weather + Land Aspect + Annual Variation</w:t>
            </w:r>
          </w:p>
        </w:tc>
      </w:tr>
      <w:tr w:rsidR="00D40115" w14:paraId="5FB1A88F" w14:textId="77777777" w:rsidTr="00D40115">
        <w:tc>
          <w:tcPr>
            <w:tcW w:w="4508" w:type="dxa"/>
          </w:tcPr>
          <w:p w14:paraId="5A21DF80" w14:textId="3D210694" w:rsidR="00D40115" w:rsidRDefault="00AB3393">
            <w:r>
              <w:t>Neighbours</w:t>
            </w:r>
          </w:p>
        </w:tc>
        <w:tc>
          <w:tcPr>
            <w:tcW w:w="4508" w:type="dxa"/>
          </w:tcPr>
          <w:p w14:paraId="6088159A" w14:textId="3C44ADFD" w:rsidR="00D40115" w:rsidRDefault="005B2032">
            <w:r>
              <w:t>Weather + Annual Variation</w:t>
            </w:r>
          </w:p>
        </w:tc>
      </w:tr>
      <w:tr w:rsidR="00D40115" w14:paraId="7668D346" w14:textId="77777777" w:rsidTr="00D40115">
        <w:tc>
          <w:tcPr>
            <w:tcW w:w="4508" w:type="dxa"/>
          </w:tcPr>
          <w:p w14:paraId="3D9C5A34" w14:textId="7293E2C2" w:rsidR="00D40115" w:rsidRDefault="00AB3393">
            <w:r>
              <w:t>Habitat</w:t>
            </w:r>
          </w:p>
        </w:tc>
        <w:tc>
          <w:tcPr>
            <w:tcW w:w="4508" w:type="dxa"/>
          </w:tcPr>
          <w:p w14:paraId="323D5814" w14:textId="5617493C" w:rsidR="00D40115" w:rsidRDefault="00AB3393">
            <w:r>
              <w:t>Aspect</w:t>
            </w:r>
          </w:p>
        </w:tc>
      </w:tr>
    </w:tbl>
    <w:p w14:paraId="6109C45E" w14:textId="77777777" w:rsidR="00EC7B87" w:rsidRPr="00EC7B87" w:rsidRDefault="00EC7B87"/>
    <w:p w14:paraId="32EE0A60" w14:textId="77777777" w:rsidR="000760A0" w:rsidRPr="000760A0" w:rsidRDefault="000760A0"/>
    <w:p w14:paraId="7606AF00" w14:textId="77777777" w:rsidR="00BD1580" w:rsidRPr="00BD1580" w:rsidRDefault="00BD1580"/>
    <w:p w14:paraId="16399F8C" w14:textId="77777777" w:rsidR="00BD1580" w:rsidRPr="00BA052A" w:rsidRDefault="00BD1580"/>
    <w:p w14:paraId="31BE6705" w14:textId="77777777" w:rsidR="00BA052A" w:rsidRPr="00BA052A" w:rsidRDefault="00BA052A"/>
    <w:p w14:paraId="22E64C7C" w14:textId="77777777" w:rsidR="000F55B9" w:rsidRPr="000F55B9" w:rsidRDefault="000F55B9"/>
    <w:p w14:paraId="5012BCCB" w14:textId="287BB9E5" w:rsidR="00E9017E" w:rsidRPr="009D2E21" w:rsidRDefault="00230096">
      <w:r>
        <w:t xml:space="preserve"> </w:t>
      </w:r>
    </w:p>
    <w:p w14:paraId="073AC8B2" w14:textId="77777777" w:rsidR="00230096" w:rsidRPr="00230096" w:rsidRDefault="00230096"/>
    <w:sectPr w:rsidR="00230096" w:rsidRPr="002300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8A864B"/>
    <w:rsid w:val="00000AF3"/>
    <w:rsid w:val="00025516"/>
    <w:rsid w:val="000760A0"/>
    <w:rsid w:val="00085B82"/>
    <w:rsid w:val="0008681C"/>
    <w:rsid w:val="000C737C"/>
    <w:rsid w:val="000F3920"/>
    <w:rsid w:val="000F55B9"/>
    <w:rsid w:val="000F63CA"/>
    <w:rsid w:val="001026E7"/>
    <w:rsid w:val="00125812"/>
    <w:rsid w:val="0014148E"/>
    <w:rsid w:val="00152B63"/>
    <w:rsid w:val="0019036C"/>
    <w:rsid w:val="001C3FCD"/>
    <w:rsid w:val="001E40AC"/>
    <w:rsid w:val="0020437B"/>
    <w:rsid w:val="00221509"/>
    <w:rsid w:val="00230096"/>
    <w:rsid w:val="002C0182"/>
    <w:rsid w:val="002C125E"/>
    <w:rsid w:val="002E2D6D"/>
    <w:rsid w:val="0039633B"/>
    <w:rsid w:val="00421856"/>
    <w:rsid w:val="00481B18"/>
    <w:rsid w:val="004A376E"/>
    <w:rsid w:val="004A6F15"/>
    <w:rsid w:val="005279FD"/>
    <w:rsid w:val="00536D86"/>
    <w:rsid w:val="00552036"/>
    <w:rsid w:val="005B2032"/>
    <w:rsid w:val="005D73C2"/>
    <w:rsid w:val="00612AE3"/>
    <w:rsid w:val="006207A3"/>
    <w:rsid w:val="00635C31"/>
    <w:rsid w:val="0068171B"/>
    <w:rsid w:val="00684ECB"/>
    <w:rsid w:val="00704BEE"/>
    <w:rsid w:val="00724F3C"/>
    <w:rsid w:val="0074087A"/>
    <w:rsid w:val="00747E4E"/>
    <w:rsid w:val="007B2ABF"/>
    <w:rsid w:val="00837C35"/>
    <w:rsid w:val="00863A47"/>
    <w:rsid w:val="00882870"/>
    <w:rsid w:val="008B1431"/>
    <w:rsid w:val="009D2E21"/>
    <w:rsid w:val="00A07FDB"/>
    <w:rsid w:val="00A45A30"/>
    <w:rsid w:val="00A533AE"/>
    <w:rsid w:val="00A9714A"/>
    <w:rsid w:val="00AB3393"/>
    <w:rsid w:val="00AD22EA"/>
    <w:rsid w:val="00B03480"/>
    <w:rsid w:val="00B136B5"/>
    <w:rsid w:val="00B65841"/>
    <w:rsid w:val="00B813BE"/>
    <w:rsid w:val="00BA052A"/>
    <w:rsid w:val="00BD1580"/>
    <w:rsid w:val="00BE0FE1"/>
    <w:rsid w:val="00BF6ADB"/>
    <w:rsid w:val="00BF7D1A"/>
    <w:rsid w:val="00C233F4"/>
    <w:rsid w:val="00C4791E"/>
    <w:rsid w:val="00C73A0E"/>
    <w:rsid w:val="00C950DB"/>
    <w:rsid w:val="00CA5BFD"/>
    <w:rsid w:val="00CE699E"/>
    <w:rsid w:val="00D40115"/>
    <w:rsid w:val="00D679CE"/>
    <w:rsid w:val="00D95E59"/>
    <w:rsid w:val="00E269FD"/>
    <w:rsid w:val="00E30946"/>
    <w:rsid w:val="00E57B72"/>
    <w:rsid w:val="00E9017E"/>
    <w:rsid w:val="00EC7B87"/>
    <w:rsid w:val="00EF07F2"/>
    <w:rsid w:val="00EF4901"/>
    <w:rsid w:val="00EF5321"/>
    <w:rsid w:val="00EF7128"/>
    <w:rsid w:val="00F5025E"/>
    <w:rsid w:val="00F82F2C"/>
    <w:rsid w:val="00FB637B"/>
    <w:rsid w:val="00FF1936"/>
    <w:rsid w:val="288A864B"/>
    <w:rsid w:val="33B4CD43"/>
    <w:rsid w:val="36A84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A864B"/>
  <w15:chartTrackingRefBased/>
  <w15:docId w15:val="{F0328F6D-2E32-4EB2-B4F9-63A25FD7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aption">
    <w:name w:val="Table Caption"/>
    <w:basedOn w:val="Normal"/>
    <w:uiPriority w:val="1"/>
    <w:qFormat/>
    <w:rsid w:val="36A84960"/>
    <w:pPr>
      <w:keepNext/>
      <w:spacing w:after="120"/>
    </w:pPr>
    <w:rPr>
      <w:i/>
      <w:iCs/>
    </w:rPr>
  </w:style>
  <w:style w:type="paragraph" w:customStyle="1" w:styleId="Compact">
    <w:name w:val="Compact"/>
    <w:basedOn w:val="Normal"/>
    <w:uiPriority w:val="1"/>
    <w:qFormat/>
    <w:rsid w:val="36A84960"/>
    <w:pPr>
      <w:spacing w:before="36" w:after="36"/>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747E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5295">
      <w:bodyDiv w:val="1"/>
      <w:marLeft w:val="0"/>
      <w:marRight w:val="0"/>
      <w:marTop w:val="0"/>
      <w:marBottom w:val="0"/>
      <w:divBdr>
        <w:top w:val="none" w:sz="0" w:space="0" w:color="auto"/>
        <w:left w:val="none" w:sz="0" w:space="0" w:color="auto"/>
        <w:bottom w:val="none" w:sz="0" w:space="0" w:color="auto"/>
        <w:right w:val="none" w:sz="0" w:space="0" w:color="auto"/>
      </w:divBdr>
      <w:divsChild>
        <w:div w:id="1970823305">
          <w:marLeft w:val="0"/>
          <w:marRight w:val="0"/>
          <w:marTop w:val="0"/>
          <w:marBottom w:val="0"/>
          <w:divBdr>
            <w:top w:val="none" w:sz="0" w:space="0" w:color="auto"/>
            <w:left w:val="none" w:sz="0" w:space="0" w:color="auto"/>
            <w:bottom w:val="none" w:sz="0" w:space="0" w:color="auto"/>
            <w:right w:val="none" w:sz="0" w:space="0" w:color="auto"/>
          </w:divBdr>
        </w:div>
      </w:divsChild>
    </w:div>
    <w:div w:id="179394123">
      <w:bodyDiv w:val="1"/>
      <w:marLeft w:val="0"/>
      <w:marRight w:val="0"/>
      <w:marTop w:val="0"/>
      <w:marBottom w:val="0"/>
      <w:divBdr>
        <w:top w:val="none" w:sz="0" w:space="0" w:color="auto"/>
        <w:left w:val="none" w:sz="0" w:space="0" w:color="auto"/>
        <w:bottom w:val="none" w:sz="0" w:space="0" w:color="auto"/>
        <w:right w:val="none" w:sz="0" w:space="0" w:color="auto"/>
      </w:divBdr>
      <w:divsChild>
        <w:div w:id="2171990">
          <w:marLeft w:val="0"/>
          <w:marRight w:val="0"/>
          <w:marTop w:val="0"/>
          <w:marBottom w:val="0"/>
          <w:divBdr>
            <w:top w:val="none" w:sz="0" w:space="0" w:color="auto"/>
            <w:left w:val="none" w:sz="0" w:space="0" w:color="auto"/>
            <w:bottom w:val="none" w:sz="0" w:space="0" w:color="auto"/>
            <w:right w:val="none" w:sz="0" w:space="0" w:color="auto"/>
          </w:divBdr>
          <w:divsChild>
            <w:div w:id="5925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419">
      <w:bodyDiv w:val="1"/>
      <w:marLeft w:val="0"/>
      <w:marRight w:val="0"/>
      <w:marTop w:val="0"/>
      <w:marBottom w:val="0"/>
      <w:divBdr>
        <w:top w:val="none" w:sz="0" w:space="0" w:color="auto"/>
        <w:left w:val="none" w:sz="0" w:space="0" w:color="auto"/>
        <w:bottom w:val="none" w:sz="0" w:space="0" w:color="auto"/>
        <w:right w:val="none" w:sz="0" w:space="0" w:color="auto"/>
      </w:divBdr>
      <w:divsChild>
        <w:div w:id="1907373483">
          <w:marLeft w:val="0"/>
          <w:marRight w:val="0"/>
          <w:marTop w:val="0"/>
          <w:marBottom w:val="0"/>
          <w:divBdr>
            <w:top w:val="none" w:sz="0" w:space="0" w:color="auto"/>
            <w:left w:val="none" w:sz="0" w:space="0" w:color="auto"/>
            <w:bottom w:val="none" w:sz="0" w:space="0" w:color="auto"/>
            <w:right w:val="none" w:sz="0" w:space="0" w:color="auto"/>
          </w:divBdr>
        </w:div>
      </w:divsChild>
    </w:div>
    <w:div w:id="507062354">
      <w:bodyDiv w:val="1"/>
      <w:marLeft w:val="0"/>
      <w:marRight w:val="0"/>
      <w:marTop w:val="0"/>
      <w:marBottom w:val="0"/>
      <w:divBdr>
        <w:top w:val="none" w:sz="0" w:space="0" w:color="auto"/>
        <w:left w:val="none" w:sz="0" w:space="0" w:color="auto"/>
        <w:bottom w:val="none" w:sz="0" w:space="0" w:color="auto"/>
        <w:right w:val="none" w:sz="0" w:space="0" w:color="auto"/>
      </w:divBdr>
      <w:divsChild>
        <w:div w:id="18892222">
          <w:marLeft w:val="0"/>
          <w:marRight w:val="0"/>
          <w:marTop w:val="0"/>
          <w:marBottom w:val="0"/>
          <w:divBdr>
            <w:top w:val="none" w:sz="0" w:space="0" w:color="auto"/>
            <w:left w:val="none" w:sz="0" w:space="0" w:color="auto"/>
            <w:bottom w:val="none" w:sz="0" w:space="0" w:color="auto"/>
            <w:right w:val="none" w:sz="0" w:space="0" w:color="auto"/>
          </w:divBdr>
        </w:div>
      </w:divsChild>
    </w:div>
    <w:div w:id="652834191">
      <w:bodyDiv w:val="1"/>
      <w:marLeft w:val="0"/>
      <w:marRight w:val="0"/>
      <w:marTop w:val="0"/>
      <w:marBottom w:val="0"/>
      <w:divBdr>
        <w:top w:val="none" w:sz="0" w:space="0" w:color="auto"/>
        <w:left w:val="none" w:sz="0" w:space="0" w:color="auto"/>
        <w:bottom w:val="none" w:sz="0" w:space="0" w:color="auto"/>
        <w:right w:val="none" w:sz="0" w:space="0" w:color="auto"/>
      </w:divBdr>
      <w:divsChild>
        <w:div w:id="2099018575">
          <w:marLeft w:val="0"/>
          <w:marRight w:val="0"/>
          <w:marTop w:val="0"/>
          <w:marBottom w:val="0"/>
          <w:divBdr>
            <w:top w:val="none" w:sz="0" w:space="0" w:color="auto"/>
            <w:left w:val="none" w:sz="0" w:space="0" w:color="auto"/>
            <w:bottom w:val="none" w:sz="0" w:space="0" w:color="auto"/>
            <w:right w:val="none" w:sz="0" w:space="0" w:color="auto"/>
          </w:divBdr>
        </w:div>
      </w:divsChild>
    </w:div>
    <w:div w:id="764618926">
      <w:bodyDiv w:val="1"/>
      <w:marLeft w:val="0"/>
      <w:marRight w:val="0"/>
      <w:marTop w:val="0"/>
      <w:marBottom w:val="0"/>
      <w:divBdr>
        <w:top w:val="none" w:sz="0" w:space="0" w:color="auto"/>
        <w:left w:val="none" w:sz="0" w:space="0" w:color="auto"/>
        <w:bottom w:val="none" w:sz="0" w:space="0" w:color="auto"/>
        <w:right w:val="none" w:sz="0" w:space="0" w:color="auto"/>
      </w:divBdr>
      <w:divsChild>
        <w:div w:id="1656106175">
          <w:marLeft w:val="0"/>
          <w:marRight w:val="0"/>
          <w:marTop w:val="0"/>
          <w:marBottom w:val="0"/>
          <w:divBdr>
            <w:top w:val="none" w:sz="0" w:space="0" w:color="auto"/>
            <w:left w:val="none" w:sz="0" w:space="0" w:color="auto"/>
            <w:bottom w:val="none" w:sz="0" w:space="0" w:color="auto"/>
            <w:right w:val="none" w:sz="0" w:space="0" w:color="auto"/>
          </w:divBdr>
        </w:div>
      </w:divsChild>
    </w:div>
    <w:div w:id="991179952">
      <w:bodyDiv w:val="1"/>
      <w:marLeft w:val="0"/>
      <w:marRight w:val="0"/>
      <w:marTop w:val="0"/>
      <w:marBottom w:val="0"/>
      <w:divBdr>
        <w:top w:val="none" w:sz="0" w:space="0" w:color="auto"/>
        <w:left w:val="none" w:sz="0" w:space="0" w:color="auto"/>
        <w:bottom w:val="none" w:sz="0" w:space="0" w:color="auto"/>
        <w:right w:val="none" w:sz="0" w:space="0" w:color="auto"/>
      </w:divBdr>
      <w:divsChild>
        <w:div w:id="1819836089">
          <w:marLeft w:val="0"/>
          <w:marRight w:val="0"/>
          <w:marTop w:val="0"/>
          <w:marBottom w:val="0"/>
          <w:divBdr>
            <w:top w:val="none" w:sz="0" w:space="0" w:color="auto"/>
            <w:left w:val="none" w:sz="0" w:space="0" w:color="auto"/>
            <w:bottom w:val="none" w:sz="0" w:space="0" w:color="auto"/>
            <w:right w:val="none" w:sz="0" w:space="0" w:color="auto"/>
          </w:divBdr>
        </w:div>
      </w:divsChild>
    </w:div>
    <w:div w:id="1031106908">
      <w:bodyDiv w:val="1"/>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0"/>
          <w:divBdr>
            <w:top w:val="none" w:sz="0" w:space="0" w:color="auto"/>
            <w:left w:val="none" w:sz="0" w:space="0" w:color="auto"/>
            <w:bottom w:val="none" w:sz="0" w:space="0" w:color="auto"/>
            <w:right w:val="none" w:sz="0" w:space="0" w:color="auto"/>
          </w:divBdr>
        </w:div>
      </w:divsChild>
    </w:div>
    <w:div w:id="1031609760">
      <w:bodyDiv w:val="1"/>
      <w:marLeft w:val="0"/>
      <w:marRight w:val="0"/>
      <w:marTop w:val="0"/>
      <w:marBottom w:val="0"/>
      <w:divBdr>
        <w:top w:val="none" w:sz="0" w:space="0" w:color="auto"/>
        <w:left w:val="none" w:sz="0" w:space="0" w:color="auto"/>
        <w:bottom w:val="none" w:sz="0" w:space="0" w:color="auto"/>
        <w:right w:val="none" w:sz="0" w:space="0" w:color="auto"/>
      </w:divBdr>
      <w:divsChild>
        <w:div w:id="646394131">
          <w:marLeft w:val="0"/>
          <w:marRight w:val="0"/>
          <w:marTop w:val="0"/>
          <w:marBottom w:val="0"/>
          <w:divBdr>
            <w:top w:val="none" w:sz="0" w:space="0" w:color="auto"/>
            <w:left w:val="none" w:sz="0" w:space="0" w:color="auto"/>
            <w:bottom w:val="none" w:sz="0" w:space="0" w:color="auto"/>
            <w:right w:val="none" w:sz="0" w:space="0" w:color="auto"/>
          </w:divBdr>
        </w:div>
      </w:divsChild>
    </w:div>
    <w:div w:id="1091245699">
      <w:bodyDiv w:val="1"/>
      <w:marLeft w:val="0"/>
      <w:marRight w:val="0"/>
      <w:marTop w:val="0"/>
      <w:marBottom w:val="0"/>
      <w:divBdr>
        <w:top w:val="none" w:sz="0" w:space="0" w:color="auto"/>
        <w:left w:val="none" w:sz="0" w:space="0" w:color="auto"/>
        <w:bottom w:val="none" w:sz="0" w:space="0" w:color="auto"/>
        <w:right w:val="none" w:sz="0" w:space="0" w:color="auto"/>
      </w:divBdr>
      <w:divsChild>
        <w:div w:id="719862539">
          <w:marLeft w:val="0"/>
          <w:marRight w:val="0"/>
          <w:marTop w:val="0"/>
          <w:marBottom w:val="0"/>
          <w:divBdr>
            <w:top w:val="none" w:sz="0" w:space="0" w:color="auto"/>
            <w:left w:val="none" w:sz="0" w:space="0" w:color="auto"/>
            <w:bottom w:val="none" w:sz="0" w:space="0" w:color="auto"/>
            <w:right w:val="none" w:sz="0" w:space="0" w:color="auto"/>
          </w:divBdr>
        </w:div>
      </w:divsChild>
    </w:div>
    <w:div w:id="1098138726">
      <w:bodyDiv w:val="1"/>
      <w:marLeft w:val="0"/>
      <w:marRight w:val="0"/>
      <w:marTop w:val="0"/>
      <w:marBottom w:val="0"/>
      <w:divBdr>
        <w:top w:val="none" w:sz="0" w:space="0" w:color="auto"/>
        <w:left w:val="none" w:sz="0" w:space="0" w:color="auto"/>
        <w:bottom w:val="none" w:sz="0" w:space="0" w:color="auto"/>
        <w:right w:val="none" w:sz="0" w:space="0" w:color="auto"/>
      </w:divBdr>
      <w:divsChild>
        <w:div w:id="1761363674">
          <w:marLeft w:val="0"/>
          <w:marRight w:val="0"/>
          <w:marTop w:val="0"/>
          <w:marBottom w:val="0"/>
          <w:divBdr>
            <w:top w:val="none" w:sz="0" w:space="0" w:color="auto"/>
            <w:left w:val="none" w:sz="0" w:space="0" w:color="auto"/>
            <w:bottom w:val="none" w:sz="0" w:space="0" w:color="auto"/>
            <w:right w:val="none" w:sz="0" w:space="0" w:color="auto"/>
          </w:divBdr>
        </w:div>
      </w:divsChild>
    </w:div>
    <w:div w:id="1125731156">
      <w:bodyDiv w:val="1"/>
      <w:marLeft w:val="0"/>
      <w:marRight w:val="0"/>
      <w:marTop w:val="0"/>
      <w:marBottom w:val="0"/>
      <w:divBdr>
        <w:top w:val="none" w:sz="0" w:space="0" w:color="auto"/>
        <w:left w:val="none" w:sz="0" w:space="0" w:color="auto"/>
        <w:bottom w:val="none" w:sz="0" w:space="0" w:color="auto"/>
        <w:right w:val="none" w:sz="0" w:space="0" w:color="auto"/>
      </w:divBdr>
      <w:divsChild>
        <w:div w:id="1298608153">
          <w:marLeft w:val="0"/>
          <w:marRight w:val="0"/>
          <w:marTop w:val="0"/>
          <w:marBottom w:val="0"/>
          <w:divBdr>
            <w:top w:val="none" w:sz="0" w:space="0" w:color="auto"/>
            <w:left w:val="none" w:sz="0" w:space="0" w:color="auto"/>
            <w:bottom w:val="none" w:sz="0" w:space="0" w:color="auto"/>
            <w:right w:val="none" w:sz="0" w:space="0" w:color="auto"/>
          </w:divBdr>
        </w:div>
      </w:divsChild>
    </w:div>
    <w:div w:id="1466852272">
      <w:bodyDiv w:val="1"/>
      <w:marLeft w:val="0"/>
      <w:marRight w:val="0"/>
      <w:marTop w:val="0"/>
      <w:marBottom w:val="0"/>
      <w:divBdr>
        <w:top w:val="none" w:sz="0" w:space="0" w:color="auto"/>
        <w:left w:val="none" w:sz="0" w:space="0" w:color="auto"/>
        <w:bottom w:val="none" w:sz="0" w:space="0" w:color="auto"/>
        <w:right w:val="none" w:sz="0" w:space="0" w:color="auto"/>
      </w:divBdr>
      <w:divsChild>
        <w:div w:id="1595165126">
          <w:marLeft w:val="0"/>
          <w:marRight w:val="0"/>
          <w:marTop w:val="0"/>
          <w:marBottom w:val="0"/>
          <w:divBdr>
            <w:top w:val="none" w:sz="0" w:space="0" w:color="auto"/>
            <w:left w:val="none" w:sz="0" w:space="0" w:color="auto"/>
            <w:bottom w:val="none" w:sz="0" w:space="0" w:color="auto"/>
            <w:right w:val="none" w:sz="0" w:space="0" w:color="auto"/>
          </w:divBdr>
        </w:div>
      </w:divsChild>
    </w:div>
    <w:div w:id="1491560282">
      <w:bodyDiv w:val="1"/>
      <w:marLeft w:val="0"/>
      <w:marRight w:val="0"/>
      <w:marTop w:val="0"/>
      <w:marBottom w:val="0"/>
      <w:divBdr>
        <w:top w:val="none" w:sz="0" w:space="0" w:color="auto"/>
        <w:left w:val="none" w:sz="0" w:space="0" w:color="auto"/>
        <w:bottom w:val="none" w:sz="0" w:space="0" w:color="auto"/>
        <w:right w:val="none" w:sz="0" w:space="0" w:color="auto"/>
      </w:divBdr>
      <w:divsChild>
        <w:div w:id="245767993">
          <w:marLeft w:val="0"/>
          <w:marRight w:val="0"/>
          <w:marTop w:val="0"/>
          <w:marBottom w:val="0"/>
          <w:divBdr>
            <w:top w:val="none" w:sz="0" w:space="0" w:color="auto"/>
            <w:left w:val="none" w:sz="0" w:space="0" w:color="auto"/>
            <w:bottom w:val="none" w:sz="0" w:space="0" w:color="auto"/>
            <w:right w:val="none" w:sz="0" w:space="0" w:color="auto"/>
          </w:divBdr>
        </w:div>
      </w:divsChild>
    </w:div>
    <w:div w:id="1587879429">
      <w:bodyDiv w:val="1"/>
      <w:marLeft w:val="0"/>
      <w:marRight w:val="0"/>
      <w:marTop w:val="0"/>
      <w:marBottom w:val="0"/>
      <w:divBdr>
        <w:top w:val="none" w:sz="0" w:space="0" w:color="auto"/>
        <w:left w:val="none" w:sz="0" w:space="0" w:color="auto"/>
        <w:bottom w:val="none" w:sz="0" w:space="0" w:color="auto"/>
        <w:right w:val="none" w:sz="0" w:space="0" w:color="auto"/>
      </w:divBdr>
      <w:divsChild>
        <w:div w:id="2121795920">
          <w:marLeft w:val="0"/>
          <w:marRight w:val="0"/>
          <w:marTop w:val="0"/>
          <w:marBottom w:val="0"/>
          <w:divBdr>
            <w:top w:val="none" w:sz="0" w:space="0" w:color="auto"/>
            <w:left w:val="none" w:sz="0" w:space="0" w:color="auto"/>
            <w:bottom w:val="none" w:sz="0" w:space="0" w:color="auto"/>
            <w:right w:val="none" w:sz="0" w:space="0" w:color="auto"/>
          </w:divBdr>
        </w:div>
      </w:divsChild>
    </w:div>
    <w:div w:id="1590389558">
      <w:bodyDiv w:val="1"/>
      <w:marLeft w:val="0"/>
      <w:marRight w:val="0"/>
      <w:marTop w:val="0"/>
      <w:marBottom w:val="0"/>
      <w:divBdr>
        <w:top w:val="none" w:sz="0" w:space="0" w:color="auto"/>
        <w:left w:val="none" w:sz="0" w:space="0" w:color="auto"/>
        <w:bottom w:val="none" w:sz="0" w:space="0" w:color="auto"/>
        <w:right w:val="none" w:sz="0" w:space="0" w:color="auto"/>
      </w:divBdr>
      <w:divsChild>
        <w:div w:id="1640724648">
          <w:marLeft w:val="0"/>
          <w:marRight w:val="0"/>
          <w:marTop w:val="0"/>
          <w:marBottom w:val="0"/>
          <w:divBdr>
            <w:top w:val="none" w:sz="0" w:space="0" w:color="auto"/>
            <w:left w:val="none" w:sz="0" w:space="0" w:color="auto"/>
            <w:bottom w:val="none" w:sz="0" w:space="0" w:color="auto"/>
            <w:right w:val="none" w:sz="0" w:space="0" w:color="auto"/>
          </w:divBdr>
        </w:div>
      </w:divsChild>
    </w:div>
    <w:div w:id="1622102670">
      <w:bodyDiv w:val="1"/>
      <w:marLeft w:val="0"/>
      <w:marRight w:val="0"/>
      <w:marTop w:val="0"/>
      <w:marBottom w:val="0"/>
      <w:divBdr>
        <w:top w:val="none" w:sz="0" w:space="0" w:color="auto"/>
        <w:left w:val="none" w:sz="0" w:space="0" w:color="auto"/>
        <w:bottom w:val="none" w:sz="0" w:space="0" w:color="auto"/>
        <w:right w:val="none" w:sz="0" w:space="0" w:color="auto"/>
      </w:divBdr>
      <w:divsChild>
        <w:div w:id="1922327304">
          <w:marLeft w:val="0"/>
          <w:marRight w:val="0"/>
          <w:marTop w:val="0"/>
          <w:marBottom w:val="0"/>
          <w:divBdr>
            <w:top w:val="none" w:sz="0" w:space="0" w:color="auto"/>
            <w:left w:val="none" w:sz="0" w:space="0" w:color="auto"/>
            <w:bottom w:val="none" w:sz="0" w:space="0" w:color="auto"/>
            <w:right w:val="none" w:sz="0" w:space="0" w:color="auto"/>
          </w:divBdr>
        </w:div>
      </w:divsChild>
    </w:div>
    <w:div w:id="2004815475">
      <w:bodyDiv w:val="1"/>
      <w:marLeft w:val="0"/>
      <w:marRight w:val="0"/>
      <w:marTop w:val="0"/>
      <w:marBottom w:val="0"/>
      <w:divBdr>
        <w:top w:val="none" w:sz="0" w:space="0" w:color="auto"/>
        <w:left w:val="none" w:sz="0" w:space="0" w:color="auto"/>
        <w:bottom w:val="none" w:sz="0" w:space="0" w:color="auto"/>
        <w:right w:val="none" w:sz="0" w:space="0" w:color="auto"/>
      </w:divBdr>
      <w:divsChild>
        <w:div w:id="51739860">
          <w:marLeft w:val="0"/>
          <w:marRight w:val="0"/>
          <w:marTop w:val="0"/>
          <w:marBottom w:val="0"/>
          <w:divBdr>
            <w:top w:val="none" w:sz="0" w:space="0" w:color="auto"/>
            <w:left w:val="none" w:sz="0" w:space="0" w:color="auto"/>
            <w:bottom w:val="none" w:sz="0" w:space="0" w:color="auto"/>
            <w:right w:val="none" w:sz="0" w:space="0" w:color="auto"/>
          </w:divBdr>
        </w:div>
      </w:divsChild>
    </w:div>
    <w:div w:id="2049526996">
      <w:bodyDiv w:val="1"/>
      <w:marLeft w:val="0"/>
      <w:marRight w:val="0"/>
      <w:marTop w:val="0"/>
      <w:marBottom w:val="0"/>
      <w:divBdr>
        <w:top w:val="none" w:sz="0" w:space="0" w:color="auto"/>
        <w:left w:val="none" w:sz="0" w:space="0" w:color="auto"/>
        <w:bottom w:val="none" w:sz="0" w:space="0" w:color="auto"/>
        <w:right w:val="none" w:sz="0" w:space="0" w:color="auto"/>
      </w:divBdr>
      <w:divsChild>
        <w:div w:id="1864859036">
          <w:marLeft w:val="0"/>
          <w:marRight w:val="0"/>
          <w:marTop w:val="0"/>
          <w:marBottom w:val="0"/>
          <w:divBdr>
            <w:top w:val="none" w:sz="0" w:space="0" w:color="auto"/>
            <w:left w:val="none" w:sz="0" w:space="0" w:color="auto"/>
            <w:bottom w:val="none" w:sz="0" w:space="0" w:color="auto"/>
            <w:right w:val="none" w:sz="0" w:space="0" w:color="auto"/>
          </w:divBdr>
        </w:div>
      </w:divsChild>
    </w:div>
    <w:div w:id="2110198880">
      <w:bodyDiv w:val="1"/>
      <w:marLeft w:val="0"/>
      <w:marRight w:val="0"/>
      <w:marTop w:val="0"/>
      <w:marBottom w:val="0"/>
      <w:divBdr>
        <w:top w:val="none" w:sz="0" w:space="0" w:color="auto"/>
        <w:left w:val="none" w:sz="0" w:space="0" w:color="auto"/>
        <w:bottom w:val="none" w:sz="0" w:space="0" w:color="auto"/>
        <w:right w:val="none" w:sz="0" w:space="0" w:color="auto"/>
      </w:divBdr>
      <w:divsChild>
        <w:div w:id="2106267179">
          <w:marLeft w:val="0"/>
          <w:marRight w:val="0"/>
          <w:marTop w:val="0"/>
          <w:marBottom w:val="0"/>
          <w:divBdr>
            <w:top w:val="none" w:sz="0" w:space="0" w:color="auto"/>
            <w:left w:val="none" w:sz="0" w:space="0" w:color="auto"/>
            <w:bottom w:val="none" w:sz="0" w:space="0" w:color="auto"/>
            <w:right w:val="none" w:sz="0" w:space="0" w:color="auto"/>
          </w:divBdr>
          <w:divsChild>
            <w:div w:id="9622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cb88ed-4720-4b0d-9c4b-48ce18b6c45a">
      <Terms xmlns="http://schemas.microsoft.com/office/infopath/2007/PartnerControls"/>
    </lcf76f155ced4ddcb4097134ff3c332f>
    <TaxCatchAll xmlns="b434e8e6-166f-4402-b35a-e511754ee2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FF0C68371E4445BB3BEBC67B224555" ma:contentTypeVersion="15" ma:contentTypeDescription="Create a new document." ma:contentTypeScope="" ma:versionID="3ed0c8b97e2418e36a473299a8d6bfac">
  <xsd:schema xmlns:xsd="http://www.w3.org/2001/XMLSchema" xmlns:xs="http://www.w3.org/2001/XMLSchema" xmlns:p="http://schemas.microsoft.com/office/2006/metadata/properties" xmlns:ns2="22cb88ed-4720-4b0d-9c4b-48ce18b6c45a" xmlns:ns3="b434e8e6-166f-4402-b35a-e511754ee279" targetNamespace="http://schemas.microsoft.com/office/2006/metadata/properties" ma:root="true" ma:fieldsID="6372c74f3a995f3a5153923eeb403f62" ns2:_="" ns3:_="">
    <xsd:import namespace="22cb88ed-4720-4b0d-9c4b-48ce18b6c45a"/>
    <xsd:import namespace="b434e8e6-166f-4402-b35a-e511754ee2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b88ed-4720-4b0d-9c4b-48ce18b6c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7a97d3-a1e8-4e72-aadf-490c0711cbe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34e8e6-166f-4402-b35a-e511754ee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5900ee3-0f9f-4c4c-8886-a9661f6d6772}" ma:internalName="TaxCatchAll" ma:showField="CatchAllData" ma:web="b434e8e6-166f-4402-b35a-e511754ee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FFA2BE-3A56-4DEF-BF64-6D58C0F2D882}">
  <ds:schemaRefs>
    <ds:schemaRef ds:uri="http://schemas.microsoft.com/office/2006/metadata/properties"/>
    <ds:schemaRef ds:uri="http://schemas.microsoft.com/office/infopath/2007/PartnerControls"/>
    <ds:schemaRef ds:uri="22cb88ed-4720-4b0d-9c4b-48ce18b6c45a"/>
    <ds:schemaRef ds:uri="b434e8e6-166f-4402-b35a-e511754ee279"/>
  </ds:schemaRefs>
</ds:datastoreItem>
</file>

<file path=customXml/itemProps2.xml><?xml version="1.0" encoding="utf-8"?>
<ds:datastoreItem xmlns:ds="http://schemas.openxmlformats.org/officeDocument/2006/customXml" ds:itemID="{05E94E05-B62B-43A7-A2EB-E3B509F50E79}">
  <ds:schemaRefs>
    <ds:schemaRef ds:uri="http://schemas.microsoft.com/sharepoint/v3/contenttype/forms"/>
  </ds:schemaRefs>
</ds:datastoreItem>
</file>

<file path=customXml/itemProps3.xml><?xml version="1.0" encoding="utf-8"?>
<ds:datastoreItem xmlns:ds="http://schemas.openxmlformats.org/officeDocument/2006/customXml" ds:itemID="{4225B948-087B-4EA7-838D-9E922A2E5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b88ed-4720-4b0d-9c4b-48ce18b6c45a"/>
    <ds:schemaRef ds:uri="b434e8e6-166f-4402-b35a-e511754ee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Pages>
  <Words>842</Words>
  <Characters>4806</Characters>
  <Application>Microsoft Office Word</Application>
  <DocSecurity>0</DocSecurity>
  <Lines>40</Lines>
  <Paragraphs>11</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Ward</dc:creator>
  <cp:keywords/>
  <dc:description/>
  <cp:lastModifiedBy>Jess Ward</cp:lastModifiedBy>
  <cp:revision>84</cp:revision>
  <dcterms:created xsi:type="dcterms:W3CDTF">2025-09-04T13:24:00Z</dcterms:created>
  <dcterms:modified xsi:type="dcterms:W3CDTF">2025-12-09T12:45:00Z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0x010100A9FF0C68371E4445BB3BEBC67B224555</vt:lpwstr>
  </property>
  <property fmtid="{D5CDD505-2E9C-101B-9397-08002B2CF9AE}" pid="3" name="MediaServiceImageTags">
    <vt:lpwstr/>
  </property>
</Properties>
</file>