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AC9390C" w:rsidR="00EB3EBB" w:rsidRDefault="5C43FFA5" w:rsidP="609E172C">
      <w:pPr>
        <w:rPr>
          <w:rFonts w:ascii="Times New Roman" w:eastAsia="Times New Roman" w:hAnsi="Times New Roman" w:cs="Times New Roman"/>
          <w:b/>
          <w:bCs/>
        </w:rPr>
      </w:pPr>
      <w:r w:rsidRPr="609E172C">
        <w:rPr>
          <w:rFonts w:ascii="Times New Roman" w:eastAsia="Times New Roman" w:hAnsi="Times New Roman" w:cs="Times New Roman"/>
          <w:b/>
          <w:bCs/>
        </w:rPr>
        <w:t>Supplementary Materials</w:t>
      </w:r>
    </w:p>
    <w:p w14:paraId="55C61F65" w14:textId="2C6F0D44" w:rsidR="609E172C" w:rsidRDefault="609E172C"/>
    <w:p w14:paraId="055E098A" w14:textId="519DFFC7" w:rsidR="4225D931" w:rsidRDefault="4225D931">
      <w:r>
        <w:rPr>
          <w:noProof/>
        </w:rPr>
        <w:drawing>
          <wp:inline distT="0" distB="0" distL="0" distR="0" wp14:anchorId="035B0B80" wp14:editId="10243D8B">
            <wp:extent cx="4829175" cy="5943600"/>
            <wp:effectExtent l="0" t="0" r="0" b="0"/>
            <wp:docPr id="2337163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1636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E90A" w14:textId="7D431F90" w:rsidR="4225D931" w:rsidRDefault="4225D931" w:rsidP="609E172C">
      <w:pPr>
        <w:rPr>
          <w:rFonts w:ascii="Times New Roman" w:eastAsia="Times New Roman" w:hAnsi="Times New Roman" w:cs="Times New Roman"/>
        </w:rPr>
      </w:pPr>
      <w:r w:rsidRPr="609E172C">
        <w:rPr>
          <w:rFonts w:ascii="Times New Roman" w:eastAsia="Times New Roman" w:hAnsi="Times New Roman" w:cs="Times New Roman"/>
        </w:rPr>
        <w:t xml:space="preserve">Figure S1. Principal Component Analysis of the </w:t>
      </w:r>
      <w:r w:rsidR="094C20E2" w:rsidRPr="609E172C">
        <w:rPr>
          <w:rFonts w:ascii="Times New Roman" w:eastAsia="Times New Roman" w:hAnsi="Times New Roman" w:cs="Times New Roman"/>
        </w:rPr>
        <w:t xml:space="preserve">total </w:t>
      </w:r>
      <w:r w:rsidRPr="609E172C">
        <w:rPr>
          <w:rFonts w:ascii="Times New Roman" w:eastAsia="Times New Roman" w:hAnsi="Times New Roman" w:cs="Times New Roman"/>
        </w:rPr>
        <w:t>amount</w:t>
      </w:r>
      <w:r w:rsidR="29C817E2" w:rsidRPr="609E172C">
        <w:rPr>
          <w:rFonts w:ascii="Times New Roman" w:eastAsia="Times New Roman" w:hAnsi="Times New Roman" w:cs="Times New Roman"/>
        </w:rPr>
        <w:t>s</w:t>
      </w:r>
      <w:r w:rsidRPr="609E172C">
        <w:rPr>
          <w:rFonts w:ascii="Times New Roman" w:eastAsia="Times New Roman" w:hAnsi="Times New Roman" w:cs="Times New Roman"/>
        </w:rPr>
        <w:t xml:space="preserve"> of supplemental feeding provided at each year and site.</w:t>
      </w:r>
    </w:p>
    <w:p w14:paraId="31340B2D" w14:textId="0C4DF173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08C66D3C" w14:textId="79F1323D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537CD889" w14:textId="12C49EAC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794100A4" w14:textId="220F436C" w:rsidR="2352FF6F" w:rsidRDefault="2352FF6F">
      <w:r>
        <w:rPr>
          <w:noProof/>
        </w:rPr>
        <w:lastRenderedPageBreak/>
        <w:drawing>
          <wp:inline distT="0" distB="0" distL="0" distR="0" wp14:anchorId="1AF253D7" wp14:editId="2009FFE3">
            <wp:extent cx="4524375" cy="5715000"/>
            <wp:effectExtent l="0" t="0" r="0" b="0"/>
            <wp:docPr id="370244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441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995F5" w14:textId="71CEB5B2" w:rsidR="609E172C" w:rsidRDefault="609E172C"/>
    <w:p w14:paraId="27AA45F4" w14:textId="3BDB6114" w:rsidR="2352FF6F" w:rsidRDefault="2352FF6F" w:rsidP="609E172C">
      <w:pPr>
        <w:rPr>
          <w:rFonts w:ascii="Times New Roman" w:eastAsia="Times New Roman" w:hAnsi="Times New Roman" w:cs="Times New Roman"/>
        </w:rPr>
      </w:pPr>
      <w:r w:rsidRPr="609E172C">
        <w:rPr>
          <w:rFonts w:ascii="Times New Roman" w:eastAsia="Times New Roman" w:hAnsi="Times New Roman" w:cs="Times New Roman"/>
        </w:rPr>
        <w:t>Figure S</w:t>
      </w:r>
      <w:r w:rsidR="74A1BCBB" w:rsidRPr="609E172C">
        <w:rPr>
          <w:rFonts w:ascii="Times New Roman" w:eastAsia="Times New Roman" w:hAnsi="Times New Roman" w:cs="Times New Roman"/>
        </w:rPr>
        <w:t>2</w:t>
      </w:r>
      <w:r w:rsidRPr="609E172C">
        <w:rPr>
          <w:rFonts w:ascii="Times New Roman" w:eastAsia="Times New Roman" w:hAnsi="Times New Roman" w:cs="Times New Roman"/>
        </w:rPr>
        <w:t>. Axis loadings for each variable of Principal Component Analysis of the total amounts of supplemental feeding provided at each year and site.</w:t>
      </w:r>
    </w:p>
    <w:p w14:paraId="44C74B27" w14:textId="761E6884" w:rsidR="609E172C" w:rsidRDefault="609E172C"/>
    <w:p w14:paraId="29E701FB" w14:textId="389DB3B5" w:rsidR="609E172C" w:rsidRDefault="609E172C"/>
    <w:p w14:paraId="6DDD83D1" w14:textId="7FA57297" w:rsidR="5808237B" w:rsidRDefault="5808237B">
      <w:r>
        <w:rPr>
          <w:noProof/>
        </w:rPr>
        <w:lastRenderedPageBreak/>
        <w:drawing>
          <wp:inline distT="0" distB="0" distL="0" distR="0" wp14:anchorId="10533FFF" wp14:editId="7EF606AD">
            <wp:extent cx="4829175" cy="5943600"/>
            <wp:effectExtent l="0" t="0" r="0" b="0"/>
            <wp:docPr id="5211483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483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EA8A" w14:textId="722EF89F" w:rsidR="5D44B016" w:rsidRDefault="5D44B016" w:rsidP="609E172C">
      <w:pPr>
        <w:rPr>
          <w:rFonts w:ascii="Times New Roman" w:eastAsia="Times New Roman" w:hAnsi="Times New Roman" w:cs="Times New Roman"/>
        </w:rPr>
      </w:pPr>
      <w:r w:rsidRPr="609E172C">
        <w:rPr>
          <w:rFonts w:ascii="Times New Roman" w:eastAsia="Times New Roman" w:hAnsi="Times New Roman" w:cs="Times New Roman"/>
        </w:rPr>
        <w:t>Figure S</w:t>
      </w:r>
      <w:r w:rsidR="1ACF02F1" w:rsidRPr="609E172C">
        <w:rPr>
          <w:rFonts w:ascii="Times New Roman" w:eastAsia="Times New Roman" w:hAnsi="Times New Roman" w:cs="Times New Roman"/>
        </w:rPr>
        <w:t>3</w:t>
      </w:r>
      <w:r w:rsidRPr="609E172C">
        <w:rPr>
          <w:rFonts w:ascii="Times New Roman" w:eastAsia="Times New Roman" w:hAnsi="Times New Roman" w:cs="Times New Roman"/>
        </w:rPr>
        <w:t>. Principal Component Analysis of the amounts of supplemental feeding provided at each year and site</w:t>
      </w:r>
      <w:r w:rsidR="1D270F6A" w:rsidRPr="609E172C">
        <w:rPr>
          <w:rFonts w:ascii="Times New Roman" w:eastAsia="Times New Roman" w:hAnsi="Times New Roman" w:cs="Times New Roman"/>
        </w:rPr>
        <w:t xml:space="preserve"> during summer</w:t>
      </w:r>
      <w:r w:rsidRPr="609E172C">
        <w:rPr>
          <w:rFonts w:ascii="Times New Roman" w:eastAsia="Times New Roman" w:hAnsi="Times New Roman" w:cs="Times New Roman"/>
        </w:rPr>
        <w:t>.</w:t>
      </w:r>
    </w:p>
    <w:p w14:paraId="041D69D8" w14:textId="6A14C703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6D756626" w14:textId="717DCAFB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23A95394" w14:textId="60FEE782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3D282BE4" w14:textId="3F6F6577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52A4CAEC" w14:textId="0965F11A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06924D38" w14:textId="64F5BCD6" w:rsidR="248B4D0D" w:rsidRDefault="248B4D0D">
      <w:r>
        <w:rPr>
          <w:noProof/>
        </w:rPr>
        <w:lastRenderedPageBreak/>
        <w:drawing>
          <wp:inline distT="0" distB="0" distL="0" distR="0" wp14:anchorId="3E6C2391" wp14:editId="210CA3A6">
            <wp:extent cx="4524375" cy="5715000"/>
            <wp:effectExtent l="0" t="0" r="0" b="0"/>
            <wp:docPr id="3499964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9644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84E8B" w14:textId="10C42F69" w:rsidR="71BC2984" w:rsidRDefault="71BC2984" w:rsidP="609E172C">
      <w:pPr>
        <w:rPr>
          <w:rFonts w:ascii="Times New Roman" w:eastAsia="Times New Roman" w:hAnsi="Times New Roman" w:cs="Times New Roman"/>
        </w:rPr>
      </w:pPr>
      <w:r w:rsidRPr="4ACCE410">
        <w:rPr>
          <w:rFonts w:ascii="Times New Roman" w:eastAsia="Times New Roman" w:hAnsi="Times New Roman" w:cs="Times New Roman"/>
        </w:rPr>
        <w:t>Figure S4. Axis loadings for each variable of Principal Component Analysis of the total amounts of supplemental feeding provided at each year and site during summer.</w:t>
      </w:r>
    </w:p>
    <w:p w14:paraId="4145EE5D" w14:textId="42EBB73E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30BF0BD2" w14:textId="4B8979DC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03CF78EA" w14:textId="3C34FC64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53172A6B" w14:textId="2BEDAE88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33178774" w14:textId="099E6229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77759818" w14:textId="49D099C8" w:rsidR="4ACCE410" w:rsidRDefault="4ACCE410" w:rsidP="4ACCE410">
      <w:pPr>
        <w:rPr>
          <w:rFonts w:ascii="Times New Roman" w:eastAsia="Times New Roman" w:hAnsi="Times New Roman" w:cs="Times New Roman"/>
        </w:rPr>
      </w:pPr>
    </w:p>
    <w:p w14:paraId="32E9F3BF" w14:textId="5ED4922C" w:rsidR="69D03AD8" w:rsidRDefault="69D03AD8">
      <w:r>
        <w:rPr>
          <w:noProof/>
        </w:rPr>
        <w:lastRenderedPageBreak/>
        <w:drawing>
          <wp:inline distT="0" distB="0" distL="0" distR="0" wp14:anchorId="7C35D7B6" wp14:editId="4310B41B">
            <wp:extent cx="6077471" cy="5829445"/>
            <wp:effectExtent l="0" t="0" r="0" b="0"/>
            <wp:docPr id="13331274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274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471" cy="582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4EA8D" w14:textId="4E1D43E0" w:rsidR="609E172C" w:rsidRDefault="609E172C" w:rsidP="609E172C">
      <w:pPr>
        <w:rPr>
          <w:rFonts w:ascii="Times New Roman" w:eastAsia="Times New Roman" w:hAnsi="Times New Roman" w:cs="Times New Roman"/>
        </w:rPr>
      </w:pPr>
    </w:p>
    <w:p w14:paraId="3B7554F4" w14:textId="1FC18349" w:rsidR="609E172C" w:rsidRDefault="69D03AD8">
      <w:r>
        <w:t>Figure S5. Correlation among independent variables.</w:t>
      </w:r>
    </w:p>
    <w:p w14:paraId="0757C644" w14:textId="7A43613B" w:rsidR="5CECE970" w:rsidRDefault="5CECE970"/>
    <w:p w14:paraId="37F6307E" w14:textId="603EDAC4" w:rsidR="5CECE970" w:rsidRDefault="5CECE970"/>
    <w:p w14:paraId="5CFB9F94" w14:textId="6E0FF47B" w:rsidR="5CECE970" w:rsidRDefault="5CECE970"/>
    <w:p w14:paraId="6001558A" w14:textId="524C7100" w:rsidR="5CECE970" w:rsidRDefault="5CECE970"/>
    <w:p w14:paraId="78AA30B2" w14:textId="704BCC09" w:rsidR="5CECE970" w:rsidRDefault="5CECE970"/>
    <w:p w14:paraId="1DC878B2" w14:textId="7B6D9FCE" w:rsidR="5CECE970" w:rsidRDefault="5CECE970"/>
    <w:p w14:paraId="44A9B556" w14:textId="4551477D" w:rsidR="5CECE970" w:rsidRDefault="5CECE970"/>
    <w:p w14:paraId="78E300A2" w14:textId="3F2835DB" w:rsidR="13B85711" w:rsidRDefault="13B85711">
      <w:r>
        <w:rPr>
          <w:noProof/>
        </w:rPr>
        <w:drawing>
          <wp:inline distT="0" distB="0" distL="0" distR="0" wp14:anchorId="0C1298F4" wp14:editId="0D2C33FA">
            <wp:extent cx="6014946" cy="6762750"/>
            <wp:effectExtent l="0" t="0" r="0" b="0"/>
            <wp:docPr id="2360311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3118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946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F51633E">
        <w:t>Figure S6. Supplementary feeding</w:t>
      </w:r>
    </w:p>
    <w:p w14:paraId="022F5E70" w14:textId="53C9ACDF" w:rsidR="5CECE970" w:rsidRDefault="5CECE970"/>
    <w:p w14:paraId="61A27CBA" w14:textId="74048385" w:rsidR="5CECE970" w:rsidRDefault="5CECE970"/>
    <w:p w14:paraId="7F2D979C" w14:textId="6863C31D" w:rsidR="7F51633E" w:rsidRDefault="7F51633E">
      <w:r>
        <w:rPr>
          <w:noProof/>
        </w:rPr>
        <w:drawing>
          <wp:inline distT="0" distB="0" distL="0" distR="0" wp14:anchorId="2E70458A" wp14:editId="6136BA42">
            <wp:extent cx="5286375" cy="5943600"/>
            <wp:effectExtent l="0" t="0" r="0" b="0"/>
            <wp:docPr id="20847771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77711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65815" w14:textId="7D0A39D4" w:rsidR="006A1819" w:rsidRDefault="7F51633E">
      <w:r>
        <w:t>Figure S7. Vegetation</w:t>
      </w:r>
    </w:p>
    <w:p w14:paraId="0C597846" w14:textId="77777777" w:rsidR="006A1819" w:rsidRDefault="006A1819">
      <w:r>
        <w:br w:type="page"/>
      </w:r>
    </w:p>
    <w:p w14:paraId="5F67CB74" w14:textId="77777777" w:rsidR="006A1819" w:rsidRDefault="006A1819" w:rsidP="006A1819"/>
    <w:tbl>
      <w:tblPr>
        <w:tblStyle w:val="PlainTable2"/>
        <w:tblpPr w:leftFromText="141" w:rightFromText="141" w:vertAnchor="page" w:horzAnchor="margin" w:tblpY="2446"/>
        <w:tblW w:w="9760" w:type="dxa"/>
        <w:tblLook w:val="0420" w:firstRow="1" w:lastRow="0" w:firstColumn="0" w:lastColumn="0" w:noHBand="0" w:noVBand="1"/>
      </w:tblPr>
      <w:tblGrid>
        <w:gridCol w:w="3820"/>
        <w:gridCol w:w="1640"/>
        <w:gridCol w:w="4300"/>
      </w:tblGrid>
      <w:tr w:rsidR="006A1819" w:rsidRPr="00262F48" w14:paraId="784146CC" w14:textId="77777777" w:rsidTr="00A64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3820" w:type="dxa"/>
            <w:hideMark/>
          </w:tcPr>
          <w:p w14:paraId="2BF4F98F" w14:textId="77777777" w:rsidR="006A1819" w:rsidRPr="00262F48" w:rsidRDefault="006A1819" w:rsidP="00A64AE4">
            <w:pP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text1"/>
                <w:kern w:val="24"/>
                <w:sz w:val="36"/>
                <w:szCs w:val="36"/>
                <w:lang w:eastAsia="es-CO"/>
              </w:rPr>
              <w:t>Variable</w:t>
            </w:r>
          </w:p>
        </w:tc>
        <w:tc>
          <w:tcPr>
            <w:tcW w:w="1640" w:type="dxa"/>
            <w:hideMark/>
          </w:tcPr>
          <w:p w14:paraId="7016A34F" w14:textId="77777777" w:rsidR="006A1819" w:rsidRPr="00262F48" w:rsidRDefault="006A1819" w:rsidP="00A64AE4">
            <w:pP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text1"/>
                <w:kern w:val="24"/>
                <w:sz w:val="36"/>
                <w:szCs w:val="36"/>
                <w:lang w:eastAsia="es-CO"/>
              </w:rPr>
              <w:t>F-value</w:t>
            </w:r>
          </w:p>
        </w:tc>
        <w:tc>
          <w:tcPr>
            <w:tcW w:w="4300" w:type="dxa"/>
            <w:hideMark/>
          </w:tcPr>
          <w:p w14:paraId="2F840F07" w14:textId="77777777" w:rsidR="006A1819" w:rsidRPr="00262F48" w:rsidRDefault="006A1819" w:rsidP="00A64AE4">
            <w:pP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text1"/>
                <w:kern w:val="24"/>
                <w:sz w:val="36"/>
                <w:szCs w:val="36"/>
                <w:lang w:eastAsia="es-CO"/>
              </w:rPr>
              <w:t>P-</w:t>
            </w:r>
            <w:proofErr w:type="spellStart"/>
            <w:r w:rsidRPr="00262F48">
              <w:rPr>
                <w:rFonts w:ascii="Aptos" w:eastAsia="Times New Roman" w:hAnsi="Aptos" w:cs="Arial"/>
                <w:color w:val="000000" w:themeColor="text1"/>
                <w:kern w:val="24"/>
                <w:sz w:val="36"/>
                <w:szCs w:val="36"/>
                <w:lang w:eastAsia="es-CO"/>
              </w:rPr>
              <w:t>val</w:t>
            </w:r>
            <w:proofErr w:type="spellEnd"/>
          </w:p>
        </w:tc>
      </w:tr>
      <w:tr w:rsidR="006A1819" w:rsidRPr="00262F48" w14:paraId="16A3C5D9" w14:textId="77777777" w:rsidTr="00A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820" w:type="dxa"/>
            <w:hideMark/>
          </w:tcPr>
          <w:p w14:paraId="7B45F658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proofErr w:type="spellStart"/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yNDVI</w:t>
            </w:r>
            <w:proofErr w:type="spellEnd"/>
          </w:p>
        </w:tc>
        <w:tc>
          <w:tcPr>
            <w:tcW w:w="1640" w:type="dxa"/>
            <w:hideMark/>
          </w:tcPr>
          <w:p w14:paraId="46088016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8.275</w:t>
            </w:r>
          </w:p>
        </w:tc>
        <w:tc>
          <w:tcPr>
            <w:tcW w:w="4300" w:type="dxa"/>
            <w:hideMark/>
          </w:tcPr>
          <w:p w14:paraId="4F26980B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2.25e-07 ***</w:t>
            </w:r>
          </w:p>
        </w:tc>
      </w:tr>
      <w:tr w:rsidR="006A1819" w:rsidRPr="00262F48" w14:paraId="4831D069" w14:textId="77777777" w:rsidTr="00A64AE4">
        <w:trPr>
          <w:trHeight w:val="584"/>
        </w:trPr>
        <w:tc>
          <w:tcPr>
            <w:tcW w:w="3820" w:type="dxa"/>
            <w:hideMark/>
          </w:tcPr>
          <w:p w14:paraId="23E9E63B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proofErr w:type="spellStart"/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SummerEVI</w:t>
            </w:r>
            <w:proofErr w:type="spellEnd"/>
          </w:p>
        </w:tc>
        <w:tc>
          <w:tcPr>
            <w:tcW w:w="1640" w:type="dxa"/>
            <w:hideMark/>
          </w:tcPr>
          <w:p w14:paraId="5F323B73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12.84</w:t>
            </w:r>
          </w:p>
        </w:tc>
        <w:tc>
          <w:tcPr>
            <w:tcW w:w="4300" w:type="dxa"/>
            <w:hideMark/>
          </w:tcPr>
          <w:p w14:paraId="251F98B3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1.38e-10 ***</w:t>
            </w:r>
          </w:p>
        </w:tc>
      </w:tr>
      <w:tr w:rsidR="006A1819" w:rsidRPr="00262F48" w14:paraId="6D5FCE34" w14:textId="77777777" w:rsidTr="00A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820" w:type="dxa"/>
            <w:hideMark/>
          </w:tcPr>
          <w:p w14:paraId="3A152DA0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SpringEVI</w:t>
            </w:r>
          </w:p>
        </w:tc>
        <w:tc>
          <w:tcPr>
            <w:tcW w:w="1640" w:type="dxa"/>
            <w:hideMark/>
          </w:tcPr>
          <w:p w14:paraId="59843907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3.5</w:t>
            </w:r>
          </w:p>
        </w:tc>
        <w:tc>
          <w:tcPr>
            <w:tcW w:w="4300" w:type="dxa"/>
            <w:hideMark/>
          </w:tcPr>
          <w:p w14:paraId="408C9C95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0.00276 **</w:t>
            </w:r>
          </w:p>
        </w:tc>
      </w:tr>
      <w:tr w:rsidR="006A1819" w:rsidRPr="00262F48" w14:paraId="54EA5F20" w14:textId="77777777" w:rsidTr="00A64AE4">
        <w:trPr>
          <w:trHeight w:val="584"/>
        </w:trPr>
        <w:tc>
          <w:tcPr>
            <w:tcW w:w="3820" w:type="dxa"/>
            <w:hideMark/>
          </w:tcPr>
          <w:p w14:paraId="0F768513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Supplemental PC1</w:t>
            </w:r>
          </w:p>
        </w:tc>
        <w:tc>
          <w:tcPr>
            <w:tcW w:w="1640" w:type="dxa"/>
            <w:hideMark/>
          </w:tcPr>
          <w:p w14:paraId="50DBD7D5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12.1</w:t>
            </w:r>
          </w:p>
        </w:tc>
        <w:tc>
          <w:tcPr>
            <w:tcW w:w="4300" w:type="dxa"/>
            <w:hideMark/>
          </w:tcPr>
          <w:p w14:paraId="1CF3ED7C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9.9e-10 ***</w:t>
            </w:r>
          </w:p>
        </w:tc>
      </w:tr>
      <w:tr w:rsidR="006A1819" w:rsidRPr="00262F48" w14:paraId="708FEB49" w14:textId="77777777" w:rsidTr="00A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20" w:type="dxa"/>
            <w:hideMark/>
          </w:tcPr>
          <w:p w14:paraId="3E50277E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Supplemental PC2</w:t>
            </w:r>
          </w:p>
        </w:tc>
        <w:tc>
          <w:tcPr>
            <w:tcW w:w="1640" w:type="dxa"/>
            <w:hideMark/>
          </w:tcPr>
          <w:p w14:paraId="2407D096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14.04</w:t>
            </w:r>
          </w:p>
        </w:tc>
        <w:tc>
          <w:tcPr>
            <w:tcW w:w="4300" w:type="dxa"/>
            <w:hideMark/>
          </w:tcPr>
          <w:p w14:paraId="5AD9CCBA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7.03e-11 ***</w:t>
            </w:r>
          </w:p>
        </w:tc>
      </w:tr>
      <w:tr w:rsidR="006A1819" w:rsidRPr="00262F48" w14:paraId="0A41441A" w14:textId="77777777" w:rsidTr="00A64AE4">
        <w:trPr>
          <w:trHeight w:val="459"/>
        </w:trPr>
        <w:tc>
          <w:tcPr>
            <w:tcW w:w="3820" w:type="dxa"/>
            <w:hideMark/>
          </w:tcPr>
          <w:p w14:paraId="5C42490D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eastAsia="es-CO"/>
              </w:rPr>
              <w:t>Summer Supplemental PC1</w:t>
            </w:r>
          </w:p>
        </w:tc>
        <w:tc>
          <w:tcPr>
            <w:tcW w:w="1640" w:type="dxa"/>
            <w:hideMark/>
          </w:tcPr>
          <w:p w14:paraId="75F96989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12.31</w:t>
            </w:r>
          </w:p>
        </w:tc>
        <w:tc>
          <w:tcPr>
            <w:tcW w:w="4300" w:type="dxa"/>
            <w:hideMark/>
          </w:tcPr>
          <w:p w14:paraId="7C52A999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7.37e-10 ***</w:t>
            </w:r>
          </w:p>
        </w:tc>
      </w:tr>
      <w:tr w:rsidR="006A1819" w:rsidRPr="00262F48" w14:paraId="4DBF2FAD" w14:textId="77777777" w:rsidTr="00A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3820" w:type="dxa"/>
            <w:hideMark/>
          </w:tcPr>
          <w:p w14:paraId="04DE541E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eastAsia="es-CO"/>
              </w:rPr>
              <w:t>Summer Supplemental PC2</w:t>
            </w:r>
          </w:p>
        </w:tc>
        <w:tc>
          <w:tcPr>
            <w:tcW w:w="1640" w:type="dxa"/>
            <w:hideMark/>
          </w:tcPr>
          <w:p w14:paraId="604DBEFD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12.09</w:t>
            </w:r>
          </w:p>
        </w:tc>
        <w:tc>
          <w:tcPr>
            <w:tcW w:w="4300" w:type="dxa"/>
            <w:hideMark/>
          </w:tcPr>
          <w:p w14:paraId="21A4E3AD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1.01e-09 ***</w:t>
            </w:r>
          </w:p>
        </w:tc>
      </w:tr>
      <w:tr w:rsidR="006A1819" w:rsidRPr="00262F48" w14:paraId="41CA2975" w14:textId="77777777" w:rsidTr="00A64AE4">
        <w:trPr>
          <w:trHeight w:val="226"/>
        </w:trPr>
        <w:tc>
          <w:tcPr>
            <w:tcW w:w="3820" w:type="dxa"/>
            <w:hideMark/>
          </w:tcPr>
          <w:p w14:paraId="3A94D2CB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Total feed</w:t>
            </w:r>
          </w:p>
        </w:tc>
        <w:tc>
          <w:tcPr>
            <w:tcW w:w="1640" w:type="dxa"/>
            <w:hideMark/>
          </w:tcPr>
          <w:p w14:paraId="7A679281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6.62</w:t>
            </w:r>
          </w:p>
        </w:tc>
        <w:tc>
          <w:tcPr>
            <w:tcW w:w="4300" w:type="dxa"/>
            <w:hideMark/>
          </w:tcPr>
          <w:p w14:paraId="726C5A1E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6.77e-06 ***</w:t>
            </w:r>
          </w:p>
        </w:tc>
      </w:tr>
      <w:tr w:rsidR="006A1819" w:rsidRPr="00262F48" w14:paraId="2F9E5B91" w14:textId="77777777" w:rsidTr="00A6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20" w:type="dxa"/>
            <w:hideMark/>
          </w:tcPr>
          <w:p w14:paraId="03A55163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Summer feed</w:t>
            </w:r>
          </w:p>
        </w:tc>
        <w:tc>
          <w:tcPr>
            <w:tcW w:w="1640" w:type="dxa"/>
            <w:hideMark/>
          </w:tcPr>
          <w:p w14:paraId="782FFB4F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ascii="Aptos" w:eastAsia="Times New Roman" w:hAnsi="Aptos" w:cs="Arial"/>
                <w:color w:val="000000" w:themeColor="dark1"/>
                <w:kern w:val="24"/>
                <w:sz w:val="36"/>
                <w:szCs w:val="36"/>
                <w:lang w:eastAsia="es-CO"/>
              </w:rPr>
              <w:t>20.55</w:t>
            </w:r>
          </w:p>
        </w:tc>
        <w:tc>
          <w:tcPr>
            <w:tcW w:w="4300" w:type="dxa"/>
            <w:hideMark/>
          </w:tcPr>
          <w:p w14:paraId="63C8F651" w14:textId="77777777" w:rsidR="006A1819" w:rsidRPr="00262F48" w:rsidRDefault="006A1819" w:rsidP="00A64AE4">
            <w:pPr>
              <w:rPr>
                <w:rFonts w:ascii="Arial" w:eastAsia="Times New Roman" w:hAnsi="Arial" w:cs="Arial"/>
                <w:sz w:val="36"/>
                <w:szCs w:val="36"/>
                <w:lang w:val="es-CO" w:eastAsia="es-CO"/>
              </w:rPr>
            </w:pPr>
            <w:r w:rsidRPr="00262F48">
              <w:rPr>
                <w:rFonts w:hAnsi="Aptos"/>
                <w:color w:val="000000" w:themeColor="dark1"/>
                <w:kern w:val="24"/>
                <w:sz w:val="36"/>
                <w:szCs w:val="36"/>
                <w:lang w:val="es-CO" w:eastAsia="es-CO"/>
              </w:rPr>
              <w:t>20.55 3.5e-14 ***</w:t>
            </w:r>
          </w:p>
        </w:tc>
      </w:tr>
    </w:tbl>
    <w:p w14:paraId="71CF64BD" w14:textId="77777777" w:rsidR="006A1819" w:rsidRDefault="006A1819" w:rsidP="006A1819"/>
    <w:p w14:paraId="2BCD6EA9" w14:textId="77777777" w:rsidR="006A1819" w:rsidRDefault="006A1819" w:rsidP="006A1819"/>
    <w:p w14:paraId="692B90DB" w14:textId="3C588AB1" w:rsidR="006A1819" w:rsidRDefault="006A1819" w:rsidP="006A1819">
      <w:r>
        <w:t xml:space="preserve">Table S1. Results of ANOVA </w:t>
      </w:r>
      <w:proofErr w:type="gramStart"/>
      <w:r>
        <w:t>analyses</w:t>
      </w:r>
      <w:proofErr w:type="gramEnd"/>
      <w:r>
        <w:t xml:space="preserve"> assessing the variation in the values of the predictor covariables among sites.</w:t>
      </w:r>
    </w:p>
    <w:p w14:paraId="22324192" w14:textId="77777777" w:rsidR="7F51633E" w:rsidRDefault="7F51633E"/>
    <w:sectPr w:rsidR="7F516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65BA88"/>
    <w:rsid w:val="0014718C"/>
    <w:rsid w:val="00496343"/>
    <w:rsid w:val="00577AAC"/>
    <w:rsid w:val="006A1819"/>
    <w:rsid w:val="006C48E0"/>
    <w:rsid w:val="00B9305D"/>
    <w:rsid w:val="00EB3EBB"/>
    <w:rsid w:val="00FB1DC7"/>
    <w:rsid w:val="06E3583D"/>
    <w:rsid w:val="092FE029"/>
    <w:rsid w:val="094C20E2"/>
    <w:rsid w:val="0965BA88"/>
    <w:rsid w:val="0F795EE4"/>
    <w:rsid w:val="13B85711"/>
    <w:rsid w:val="1ACF02F1"/>
    <w:rsid w:val="1D270F6A"/>
    <w:rsid w:val="23365F8D"/>
    <w:rsid w:val="2352FF6F"/>
    <w:rsid w:val="248B4D0D"/>
    <w:rsid w:val="251FE885"/>
    <w:rsid w:val="29C817E2"/>
    <w:rsid w:val="2CC3B653"/>
    <w:rsid w:val="361C9F33"/>
    <w:rsid w:val="4225D931"/>
    <w:rsid w:val="462B52A6"/>
    <w:rsid w:val="4ACCE410"/>
    <w:rsid w:val="513631EF"/>
    <w:rsid w:val="51D0488E"/>
    <w:rsid w:val="5808237B"/>
    <w:rsid w:val="5A339B0F"/>
    <w:rsid w:val="5C43FFA5"/>
    <w:rsid w:val="5CECE970"/>
    <w:rsid w:val="5D44B016"/>
    <w:rsid w:val="609B11E5"/>
    <w:rsid w:val="609E172C"/>
    <w:rsid w:val="69A6EE75"/>
    <w:rsid w:val="69D03AD8"/>
    <w:rsid w:val="71BC2984"/>
    <w:rsid w:val="74A1BCBB"/>
    <w:rsid w:val="78877996"/>
    <w:rsid w:val="7EA7D12A"/>
    <w:rsid w:val="7F51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5BA88"/>
  <w15:chartTrackingRefBased/>
  <w15:docId w15:val="{1628A8B1-AFE3-4071-9B54-C0056A09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A18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Botero, Sebastian</dc:creator>
  <cp:keywords/>
  <dc:description/>
  <cp:lastModifiedBy>Wisely,Samantha M</cp:lastModifiedBy>
  <cp:revision>3</cp:revision>
  <dcterms:created xsi:type="dcterms:W3CDTF">2026-03-03T19:21:00Z</dcterms:created>
  <dcterms:modified xsi:type="dcterms:W3CDTF">2026-03-03T19:21:00Z</dcterms:modified>
</cp:coreProperties>
</file>