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0646D" w14:textId="70CCDF0C" w:rsidR="00A36044" w:rsidRPr="00A36044" w:rsidRDefault="00A36044" w:rsidP="00A36044">
      <w:pPr>
        <w:spacing w:line="360" w:lineRule="auto"/>
        <w:jc w:val="center"/>
        <w:rPr>
          <w:sz w:val="28"/>
          <w:szCs w:val="28"/>
        </w:rPr>
      </w:pPr>
      <w:bookmarkStart w:id="0" w:name="_Hlk205230674"/>
      <w:r w:rsidRPr="00A36044">
        <w:rPr>
          <w:sz w:val="28"/>
          <w:szCs w:val="28"/>
          <w:u w:val="single"/>
        </w:rPr>
        <w:t>SUPPLEMENTARY MATERIAL FOR</w:t>
      </w:r>
    </w:p>
    <w:p w14:paraId="608005DA" w14:textId="194F546A" w:rsidR="008C1504" w:rsidRPr="009474C3" w:rsidRDefault="008C1504" w:rsidP="008C1504">
      <w:pPr>
        <w:spacing w:line="360" w:lineRule="auto"/>
        <w:rPr>
          <w:b/>
          <w:bCs/>
          <w:sz w:val="28"/>
          <w:szCs w:val="28"/>
        </w:rPr>
      </w:pPr>
      <w:r w:rsidRPr="009474C3">
        <w:rPr>
          <w:b/>
          <w:bCs/>
          <w:sz w:val="28"/>
          <w:szCs w:val="28"/>
        </w:rPr>
        <w:t xml:space="preserve">Numerical modelling of static and dynamic factors controlling the progressive retreat of rocky coastal cliffs </w:t>
      </w:r>
      <w:bookmarkEnd w:id="0"/>
    </w:p>
    <w:p w14:paraId="41451507" w14:textId="7CE93A31" w:rsidR="008C1504" w:rsidRPr="00F45336" w:rsidRDefault="008C1504" w:rsidP="008C1504">
      <w:pPr>
        <w:spacing w:line="360" w:lineRule="auto"/>
        <w:rPr>
          <w:vertAlign w:val="superscript"/>
          <w:lang w:val="it-IT"/>
        </w:rPr>
      </w:pPr>
      <w:r w:rsidRPr="00F45336">
        <w:rPr>
          <w:lang w:val="it-IT"/>
        </w:rPr>
        <w:t>Feliziani F.</w:t>
      </w:r>
      <w:r w:rsidRPr="00F45336">
        <w:rPr>
          <w:vertAlign w:val="superscript"/>
          <w:lang w:val="it-IT"/>
        </w:rPr>
        <w:t>1</w:t>
      </w:r>
      <w:r w:rsidRPr="00F45336">
        <w:rPr>
          <w:lang w:val="it-IT"/>
        </w:rPr>
        <w:t>, Marmoni G.M.</w:t>
      </w:r>
      <w:r w:rsidRPr="00F45336">
        <w:rPr>
          <w:vertAlign w:val="superscript"/>
          <w:lang w:val="it-IT"/>
        </w:rPr>
        <w:t xml:space="preserve"> 1</w:t>
      </w:r>
      <w:r w:rsidRPr="00F45336">
        <w:rPr>
          <w:lang w:val="it-IT"/>
        </w:rPr>
        <w:t>*, Montagnese M .</w:t>
      </w:r>
      <w:r w:rsidRPr="00F45336">
        <w:rPr>
          <w:vertAlign w:val="superscript"/>
          <w:lang w:val="it-IT"/>
        </w:rPr>
        <w:t xml:space="preserve"> 1</w:t>
      </w:r>
      <w:r w:rsidRPr="00F45336">
        <w:rPr>
          <w:lang w:val="it-IT"/>
        </w:rPr>
        <w:t>, Sobhani R.</w:t>
      </w:r>
      <w:r w:rsidRPr="00F45336">
        <w:rPr>
          <w:vertAlign w:val="superscript"/>
          <w:lang w:val="it-IT"/>
        </w:rPr>
        <w:t>2</w:t>
      </w:r>
      <w:r w:rsidRPr="00F45336">
        <w:rPr>
          <w:lang w:val="it-IT"/>
        </w:rPr>
        <w:t>,</w:t>
      </w:r>
      <w:r w:rsidRPr="00F45336">
        <w:rPr>
          <w:vertAlign w:val="superscript"/>
          <w:lang w:val="it-IT"/>
        </w:rPr>
        <w:t xml:space="preserve"> </w:t>
      </w:r>
      <w:r w:rsidRPr="00F45336">
        <w:rPr>
          <w:lang w:val="it-IT"/>
        </w:rPr>
        <w:t>Istrati D.</w:t>
      </w:r>
      <w:r w:rsidRPr="00F45336">
        <w:rPr>
          <w:vertAlign w:val="superscript"/>
          <w:lang w:val="it-IT"/>
        </w:rPr>
        <w:t>2, 3</w:t>
      </w:r>
      <w:r w:rsidR="00C1036F">
        <w:rPr>
          <w:vertAlign w:val="superscript"/>
          <w:lang w:val="it-IT"/>
        </w:rPr>
        <w:t>,4</w:t>
      </w:r>
      <w:r w:rsidRPr="00F45336">
        <w:rPr>
          <w:lang w:val="it-IT"/>
        </w:rPr>
        <w:t>, Eberhardt E.</w:t>
      </w:r>
      <w:r w:rsidR="00C1036F">
        <w:rPr>
          <w:vertAlign w:val="superscript"/>
          <w:lang w:val="it-IT"/>
        </w:rPr>
        <w:t>5</w:t>
      </w:r>
      <w:bookmarkStart w:id="1" w:name="_GoBack"/>
      <w:bookmarkEnd w:id="1"/>
      <w:r w:rsidRPr="00F45336">
        <w:rPr>
          <w:vertAlign w:val="superscript"/>
          <w:lang w:val="it-IT"/>
        </w:rPr>
        <w:t xml:space="preserve"> </w:t>
      </w:r>
      <w:r w:rsidRPr="00F45336">
        <w:rPr>
          <w:lang w:val="it-IT"/>
        </w:rPr>
        <w:t>&amp; Martino S.</w:t>
      </w:r>
      <w:r w:rsidRPr="00F45336">
        <w:rPr>
          <w:vertAlign w:val="superscript"/>
          <w:lang w:val="it-IT"/>
        </w:rPr>
        <w:t>1</w:t>
      </w:r>
    </w:p>
    <w:p w14:paraId="1244721B" w14:textId="77777777" w:rsidR="008C1504" w:rsidRPr="00F45336" w:rsidRDefault="008C1504" w:rsidP="008C1504">
      <w:pPr>
        <w:spacing w:line="360" w:lineRule="auto"/>
        <w:rPr>
          <w:vertAlign w:val="superscript"/>
          <w:lang w:val="it-IT"/>
        </w:rPr>
      </w:pPr>
    </w:p>
    <w:p w14:paraId="66DA3100" w14:textId="77777777" w:rsidR="008C1504" w:rsidRPr="009474C3" w:rsidRDefault="008C1504" w:rsidP="008C1504">
      <w:pPr>
        <w:spacing w:line="360" w:lineRule="auto"/>
      </w:pPr>
      <w:r w:rsidRPr="009474C3">
        <w:rPr>
          <w:vertAlign w:val="superscript"/>
        </w:rPr>
        <w:t>1</w:t>
      </w:r>
      <w:r w:rsidRPr="009474C3">
        <w:t>Sapienza University of Rome, Rome, Italy</w:t>
      </w:r>
    </w:p>
    <w:p w14:paraId="5B96B9DF" w14:textId="77777777" w:rsidR="008C1504" w:rsidRPr="009474C3" w:rsidRDefault="008C1504" w:rsidP="008C1504">
      <w:pPr>
        <w:spacing w:line="360" w:lineRule="auto"/>
      </w:pPr>
      <w:r w:rsidRPr="009474C3">
        <w:rPr>
          <w:vertAlign w:val="superscript"/>
        </w:rPr>
        <w:t>2</w:t>
      </w:r>
      <w:r w:rsidRPr="009474C3">
        <w:t>National Technical University of Athens, Athens, Greece</w:t>
      </w:r>
    </w:p>
    <w:p w14:paraId="154B9628" w14:textId="77777777" w:rsidR="00C1036F" w:rsidRDefault="008C1504" w:rsidP="008C1504">
      <w:pPr>
        <w:spacing w:line="360" w:lineRule="auto"/>
        <w:rPr>
          <w:lang w:val="de-DE"/>
        </w:rPr>
      </w:pPr>
      <w:r w:rsidRPr="00F45336">
        <w:rPr>
          <w:vertAlign w:val="superscript"/>
          <w:lang w:val="de-DE"/>
        </w:rPr>
        <w:t>3</w:t>
      </w:r>
      <w:r w:rsidRPr="00F45336">
        <w:rPr>
          <w:lang w:val="de-DE"/>
        </w:rPr>
        <w:t>Technical University of Braunschweig, Braunschweig, Germany</w:t>
      </w:r>
    </w:p>
    <w:p w14:paraId="406576EE" w14:textId="36465F99" w:rsidR="008C1504" w:rsidRPr="00F45336" w:rsidRDefault="00C1036F" w:rsidP="008C1504">
      <w:pPr>
        <w:spacing w:line="360" w:lineRule="auto"/>
        <w:rPr>
          <w:lang w:val="de-DE"/>
        </w:rPr>
      </w:pPr>
      <w:r w:rsidRPr="00C1036F">
        <w:rPr>
          <w:vertAlign w:val="superscript"/>
          <w:lang w:val="de-DE"/>
        </w:rPr>
        <w:t>4</w:t>
      </w:r>
      <w:r w:rsidRPr="00C1036F">
        <w:rPr>
          <w:lang w:val="de-DE"/>
        </w:rPr>
        <w:t>Aarhus University, Aarhus, Denmark</w:t>
      </w:r>
    </w:p>
    <w:p w14:paraId="0F9056EA" w14:textId="27D38282" w:rsidR="008C1504" w:rsidRDefault="00C1036F" w:rsidP="008C1504">
      <w:pPr>
        <w:spacing w:line="360" w:lineRule="auto"/>
      </w:pPr>
      <w:r>
        <w:rPr>
          <w:vertAlign w:val="superscript"/>
        </w:rPr>
        <w:t>5</w:t>
      </w:r>
      <w:r w:rsidR="008C1504" w:rsidRPr="009474C3">
        <w:t>The University of British Columbia, Vancouver, Canada</w:t>
      </w:r>
    </w:p>
    <w:p w14:paraId="2F63094E" w14:textId="77777777" w:rsidR="008C1504" w:rsidRPr="009474C3" w:rsidRDefault="008C1504" w:rsidP="008C1504">
      <w:pPr>
        <w:spacing w:line="360" w:lineRule="auto"/>
      </w:pPr>
    </w:p>
    <w:p w14:paraId="0568B4F4" w14:textId="77777777" w:rsidR="008C1504" w:rsidRPr="00D80800" w:rsidRDefault="008C1504" w:rsidP="008C1504">
      <w:pPr>
        <w:spacing w:line="360" w:lineRule="auto"/>
        <w:rPr>
          <w:szCs w:val="20"/>
        </w:rPr>
      </w:pPr>
      <w:r w:rsidRPr="009474C3">
        <w:t xml:space="preserve">*Corresponding Author. Email </w:t>
      </w:r>
      <w:r w:rsidRPr="00D80800">
        <w:rPr>
          <w:szCs w:val="20"/>
        </w:rPr>
        <w:t xml:space="preserve">address: </w:t>
      </w:r>
      <w:hyperlink r:id="rId6" w:history="1">
        <w:r w:rsidRPr="00D80800">
          <w:rPr>
            <w:rStyle w:val="Hyperlink"/>
            <w:rFonts w:cs="Arial"/>
            <w:color w:val="000000" w:themeColor="text1"/>
            <w:szCs w:val="20"/>
            <w:u w:val="none"/>
          </w:rPr>
          <w:t>gianmarco.marmoni@uniroma1.it</w:t>
        </w:r>
      </w:hyperlink>
    </w:p>
    <w:p w14:paraId="770CAFB7" w14:textId="2BF13B63" w:rsidR="008C1504" w:rsidRDefault="008C1504" w:rsidP="008C1504"/>
    <w:p w14:paraId="1A48F042" w14:textId="7DE382F1" w:rsidR="008C1504" w:rsidRDefault="008C1504" w:rsidP="008C1504">
      <w:pPr>
        <w:pStyle w:val="Heading1"/>
        <w:spacing w:before="120" w:after="120" w:line="360" w:lineRule="auto"/>
        <w:rPr>
          <w:rFonts w:ascii="Times New Roman" w:hAnsi="Times New Roman"/>
          <w:b/>
          <w:smallCaps/>
          <w:color w:val="000000" w:themeColor="text1"/>
          <w:sz w:val="28"/>
        </w:rPr>
      </w:pPr>
      <w:r w:rsidRPr="008C1504">
        <w:rPr>
          <w:rFonts w:ascii="Times New Roman" w:hAnsi="Times New Roman"/>
          <w:b/>
          <w:smallCaps/>
          <w:color w:val="000000" w:themeColor="text1"/>
          <w:sz w:val="28"/>
        </w:rPr>
        <w:t>Introduction</w:t>
      </w:r>
    </w:p>
    <w:p w14:paraId="5ECEA499" w14:textId="0FDBD6A2" w:rsidR="00A36044" w:rsidRPr="00A36044" w:rsidRDefault="00A36044" w:rsidP="00A36044">
      <w:pPr>
        <w:spacing w:line="360" w:lineRule="auto"/>
        <w:rPr>
          <w:rFonts w:eastAsiaTheme="minorEastAsia" w:cs="Arial"/>
          <w:szCs w:val="24"/>
        </w:rPr>
      </w:pPr>
      <w:r w:rsidRPr="00A36044">
        <w:t xml:space="preserve">This document provides supplementary material regarding the theoretical </w:t>
      </w:r>
      <w:r w:rsidR="008F744A">
        <w:t xml:space="preserve">and methodological </w:t>
      </w:r>
      <w:r w:rsidRPr="00A36044">
        <w:t xml:space="preserve">framework of the research. Specifically, it offers a more detailed description of the Finite-Discrete Element Method (FDEM) and Computational Fluid Dynamics (CFD) approaches compared to the main paper. Furthermore, it details the methodological procedure derived from </w:t>
      </w:r>
      <w:proofErr w:type="spellStart"/>
      <w:r w:rsidRPr="00A36044">
        <w:t>Sunamura</w:t>
      </w:r>
      <w:proofErr w:type="spellEnd"/>
      <w:r w:rsidRPr="00A36044">
        <w:t xml:space="preserve"> </w:t>
      </w:r>
      <w:r w:rsidRPr="00A36044">
        <w:rPr>
          <w:rFonts w:eastAsiaTheme="minorEastAsia" w:cs="Arial"/>
          <w:szCs w:val="24"/>
        </w:rPr>
        <w:fldChar w:fldCharType="begin"/>
      </w:r>
      <w:r w:rsidRPr="00A36044">
        <w:rPr>
          <w:rFonts w:eastAsiaTheme="minorEastAsia" w:cs="Arial"/>
          <w:szCs w:val="24"/>
        </w:rPr>
        <w:instrText xml:space="preserve"> ADDIN ZOTERO_ITEM CSL_CITATION {"citationID":"sX6PjMb5","properties":{"formattedCitation":"(1992)","plainCitation":"(1992)","noteIndex":0},"citationItems":[{"id":708,"uris":["http://zotero.org/users/18594503/items/E5WPKV5Y"],"itemData":{"id":708,"type":"book","ISBN":"0-471-91775-3","publisher":"Wiley","title":"Geomorphology of rocky coasts","volume":"3","author":[{"family":"Sunamura","given":"Tsuguo"}],"issued":{"date-parts":[["1992"]]}},"suppress-author":true}],"schema":"https://github.com/citation-style-language/schema/raw/master/csl-citation.json"} </w:instrText>
      </w:r>
      <w:r w:rsidRPr="00A36044">
        <w:rPr>
          <w:rFonts w:eastAsiaTheme="minorEastAsia" w:cs="Arial"/>
          <w:szCs w:val="24"/>
        </w:rPr>
        <w:fldChar w:fldCharType="separate"/>
      </w:r>
      <w:r w:rsidRPr="00A36044">
        <w:rPr>
          <w:rFonts w:eastAsiaTheme="minorEastAsia" w:cs="Arial"/>
          <w:szCs w:val="24"/>
        </w:rPr>
        <w:t>(1992)</w:t>
      </w:r>
      <w:r w:rsidRPr="00A36044">
        <w:rPr>
          <w:rFonts w:eastAsiaTheme="minorEastAsia" w:cs="Arial"/>
          <w:szCs w:val="24"/>
        </w:rPr>
        <w:fldChar w:fldCharType="end"/>
      </w:r>
      <w:r w:rsidRPr="00A36044">
        <w:rPr>
          <w:rFonts w:eastAsiaTheme="minorEastAsia" w:cs="Arial"/>
          <w:szCs w:val="24"/>
        </w:rPr>
        <w:t>, which was used to define a notch width representative of the specific site conditions in the study area.</w:t>
      </w:r>
      <w:r w:rsidR="008F744A">
        <w:rPr>
          <w:rFonts w:eastAsiaTheme="minorEastAsia" w:cs="Arial"/>
          <w:szCs w:val="24"/>
        </w:rPr>
        <w:t xml:space="preserve"> Finally, the thermal inputs used in the thermomechanical analyses are also shown.</w:t>
      </w:r>
    </w:p>
    <w:p w14:paraId="24C1EFD6" w14:textId="77777777" w:rsidR="00A36044" w:rsidRDefault="00A36044" w:rsidP="00A36044">
      <w:pPr>
        <w:spacing w:line="360" w:lineRule="auto"/>
        <w:rPr>
          <w:rFonts w:eastAsiaTheme="minorEastAsia" w:cs="Arial"/>
          <w:szCs w:val="24"/>
        </w:rPr>
      </w:pPr>
    </w:p>
    <w:p w14:paraId="5D2C416E" w14:textId="388D6E01" w:rsidR="008C1504" w:rsidRPr="00BF46D5" w:rsidRDefault="008C1504" w:rsidP="00A36044">
      <w:pPr>
        <w:spacing w:line="360" w:lineRule="auto"/>
        <w:rPr>
          <w:b/>
          <w:smallCaps/>
          <w:color w:val="000000" w:themeColor="text1"/>
          <w:sz w:val="28"/>
        </w:rPr>
      </w:pPr>
      <w:r w:rsidRPr="00BF46D5">
        <w:rPr>
          <w:b/>
          <w:smallCaps/>
          <w:color w:val="000000" w:themeColor="text1"/>
          <w:sz w:val="28"/>
        </w:rPr>
        <w:t>Principles of the Finite–Discrete Element Method (FDEM)</w:t>
      </w:r>
    </w:p>
    <w:p w14:paraId="3D68A5D4" w14:textId="3B580BB8" w:rsidR="008C1504" w:rsidRPr="009474C3" w:rsidRDefault="008C1504" w:rsidP="008C1504">
      <w:pPr>
        <w:spacing w:line="360" w:lineRule="auto"/>
        <w:rPr>
          <w:rFonts w:cs="Arial"/>
          <w:szCs w:val="24"/>
        </w:rPr>
      </w:pPr>
      <w:r w:rsidRPr="00BF46D5">
        <w:rPr>
          <w:rFonts w:cs="Arial"/>
          <w:szCs w:val="24"/>
        </w:rPr>
        <w:t xml:space="preserve">In the </w:t>
      </w:r>
      <w:proofErr w:type="spellStart"/>
      <w:r w:rsidRPr="00BF46D5">
        <w:rPr>
          <w:rFonts w:cs="Arial"/>
          <w:szCs w:val="24"/>
        </w:rPr>
        <w:t>Irazu</w:t>
      </w:r>
      <w:proofErr w:type="spellEnd"/>
      <w:r w:rsidRPr="00BF46D5">
        <w:rPr>
          <w:rFonts w:cs="Arial"/>
          <w:szCs w:val="24"/>
        </w:rPr>
        <w:t xml:space="preserve"> code framework (</w:t>
      </w:r>
      <w:proofErr w:type="spellStart"/>
      <w:r w:rsidRPr="00BF46D5">
        <w:rPr>
          <w:rFonts w:cs="Arial"/>
          <w:szCs w:val="24"/>
        </w:rPr>
        <w:t>Geomechanica</w:t>
      </w:r>
      <w:proofErr w:type="spellEnd"/>
      <w:r w:rsidRPr="00BF46D5">
        <w:rPr>
          <w:rFonts w:cs="Arial"/>
          <w:szCs w:val="24"/>
        </w:rPr>
        <w:t xml:space="preserve"> Inc., 2024), the modelling domain is discretised into triangular finite elements (TFEs) connected by cohesive crack elements (CCEs). The TFEs capture the elastic or </w:t>
      </w:r>
      <w:proofErr w:type="spellStart"/>
      <w:r w:rsidRPr="00BF46D5">
        <w:rPr>
          <w:rFonts w:cs="Arial"/>
          <w:szCs w:val="24"/>
        </w:rPr>
        <w:t>elasto</w:t>
      </w:r>
      <w:proofErr w:type="spellEnd"/>
      <w:r w:rsidRPr="00BF46D5">
        <w:rPr>
          <w:rFonts w:cs="Arial"/>
          <w:szCs w:val="24"/>
        </w:rPr>
        <w:t xml:space="preserve">-plastic deformation of the intact rock continuum, whereas the CCEs are used to capture fracture initialisation and propagation within the fracture process zone (FPZ) of the continuum </w:t>
      </w:r>
      <w:r w:rsidRPr="00BF46D5">
        <w:rPr>
          <w:rFonts w:cs="Arial"/>
          <w:szCs w:val="24"/>
        </w:rPr>
        <w:fldChar w:fldCharType="begin"/>
      </w:r>
      <w:r w:rsidRPr="00BF46D5">
        <w:rPr>
          <w:rFonts w:cs="Arial"/>
          <w:szCs w:val="24"/>
        </w:rPr>
        <w:instrText xml:space="preserve"> ADDIN ZOTERO_ITEM CSL_CITATION {"citationID":"taOKAzLr","properties":{"formattedCitation":"(Barenblatt, 1962; Dugdale, 1960)","plainCitation":"(Barenblatt, 1962; Dugdale, 1960)","noteIndex":0},"citationItems":[{"id":989,"uris":["http://zotero.org/users/18594503/items/PYPW32AD"],"itemData":{"id":989,"type":"article-journal","container-title":"Advances in applied mechanics","ISSN":"0065-2156","journalAbbreviation":"Advances in applied mechanics","page":"55-129","publisher":"Elsevier","title":"The mathematical theory of equilibrium cracks in brittle fracture","volume":"7","author":[{"family":"Barenblatt","given":"Grigory Isaakovich"}],"issued":{"date-parts":[["1962"]]}}},{"id":840,"uris":["http://zotero.org/users/18594503/items/6HFEMAM7"],"itemData":{"id":840,"type":"article-journal","container-title":"Journal of the Mechanics and Physics of Solids","ISSN":"0022-5096","issue":"2","journalAbbreviation":"Journal of the Mechanics and Physics of Solids","page":"100-104","publisher":"Elsevier","title":"Yielding of steel sheets containing slits","volume":"8","author":[{"family":"Dugdale","given":"Donald S"}],"issued":{"date-parts":[["1960"]]}}}],"schema":"https://github.com/citation-style-language/schema/raw/master/csl-citation.json"} </w:instrText>
      </w:r>
      <w:r w:rsidRPr="00BF46D5">
        <w:rPr>
          <w:rFonts w:cs="Arial"/>
          <w:szCs w:val="24"/>
        </w:rPr>
        <w:fldChar w:fldCharType="separate"/>
      </w:r>
      <w:r w:rsidRPr="00BF46D5">
        <w:rPr>
          <w:rFonts w:cs="Arial"/>
        </w:rPr>
        <w:t xml:space="preserve">(Barenblatt, 1962; </w:t>
      </w:r>
      <w:proofErr w:type="spellStart"/>
      <w:r w:rsidRPr="00BF46D5">
        <w:rPr>
          <w:rFonts w:cs="Arial"/>
        </w:rPr>
        <w:t>Dugdale</w:t>
      </w:r>
      <w:proofErr w:type="spellEnd"/>
      <w:r w:rsidRPr="00BF46D5">
        <w:rPr>
          <w:rFonts w:cs="Arial"/>
        </w:rPr>
        <w:t>, 1960)</w:t>
      </w:r>
      <w:r w:rsidRPr="00BF46D5">
        <w:rPr>
          <w:rFonts w:cs="Arial"/>
          <w:szCs w:val="24"/>
        </w:rPr>
        <w:fldChar w:fldCharType="end"/>
      </w:r>
      <w:r w:rsidRPr="00BF46D5">
        <w:rPr>
          <w:rFonts w:cs="Arial"/>
          <w:szCs w:val="24"/>
        </w:rPr>
        <w:t xml:space="preserve"> (</w:t>
      </w:r>
      <w:r w:rsidRPr="00BF46D5">
        <w:rPr>
          <w:rFonts w:cs="Arial"/>
          <w:szCs w:val="24"/>
        </w:rPr>
        <w:fldChar w:fldCharType="begin"/>
      </w:r>
      <w:r w:rsidRPr="00BF46D5">
        <w:rPr>
          <w:rFonts w:cs="Arial"/>
          <w:szCs w:val="24"/>
        </w:rPr>
        <w:instrText xml:space="preserve"> REF _Ref215580201 \h  \* MERGEFORMAT </w:instrText>
      </w:r>
      <w:r w:rsidRPr="00BF46D5">
        <w:rPr>
          <w:rFonts w:cs="Arial"/>
          <w:szCs w:val="24"/>
        </w:rPr>
      </w:r>
      <w:r w:rsidRPr="00BF46D5">
        <w:rPr>
          <w:rFonts w:cs="Arial"/>
          <w:szCs w:val="24"/>
        </w:rPr>
        <w:fldChar w:fldCharType="separate"/>
      </w:r>
      <w:r w:rsidR="00851252" w:rsidRPr="00851252">
        <w:t>Fig. 1</w:t>
      </w:r>
      <w:r w:rsidRPr="00BF46D5">
        <w:rPr>
          <w:rFonts w:cs="Arial"/>
          <w:szCs w:val="24"/>
        </w:rPr>
        <w:fldChar w:fldCharType="end"/>
      </w:r>
      <w:r w:rsidRPr="00BF46D5">
        <w:rPr>
          <w:rFonts w:cs="Arial"/>
          <w:szCs w:val="24"/>
        </w:rPr>
        <w:t>a, b). For isotropic material behaviour, fracture initiation occurs when the opening displacement (</w:t>
      </w:r>
      <w:r w:rsidRPr="00BF46D5">
        <w:rPr>
          <w:rFonts w:cs="Arial"/>
          <w:i/>
          <w:iCs/>
          <w:szCs w:val="24"/>
        </w:rPr>
        <w:t>O</w:t>
      </w:r>
      <w:r w:rsidRPr="00BF46D5">
        <w:rPr>
          <w:rFonts w:cs="Arial"/>
          <w:szCs w:val="24"/>
        </w:rPr>
        <w:t>) or tangential shear slip (</w:t>
      </w:r>
      <w:r w:rsidRPr="00BF46D5">
        <w:rPr>
          <w:rFonts w:cs="Arial"/>
          <w:i/>
          <w:iCs/>
          <w:szCs w:val="24"/>
        </w:rPr>
        <w:t>S</w:t>
      </w:r>
      <w:r w:rsidRPr="00BF46D5">
        <w:rPr>
          <w:rFonts w:cs="Arial"/>
          <w:szCs w:val="24"/>
        </w:rPr>
        <w:t>) across a CCE exceeds the critical threshold (</w:t>
      </w:r>
      <w:r w:rsidRPr="00BF46D5">
        <w:rPr>
          <w:rFonts w:cs="Arial"/>
          <w:i/>
          <w:iCs/>
          <w:szCs w:val="24"/>
        </w:rPr>
        <w:t>O</w:t>
      </w:r>
      <w:r w:rsidRPr="00BF46D5">
        <w:rPr>
          <w:rFonts w:cs="Arial"/>
          <w:i/>
          <w:iCs/>
          <w:szCs w:val="24"/>
          <w:vertAlign w:val="subscript"/>
        </w:rPr>
        <w:t>p</w:t>
      </w:r>
      <w:r w:rsidRPr="00BF46D5">
        <w:rPr>
          <w:rFonts w:cs="Arial"/>
          <w:szCs w:val="24"/>
        </w:rPr>
        <w:t xml:space="preserve"> or </w:t>
      </w:r>
      <w:proofErr w:type="spellStart"/>
      <w:r w:rsidRPr="00BF46D5">
        <w:rPr>
          <w:rFonts w:cs="Arial"/>
          <w:i/>
          <w:iCs/>
          <w:szCs w:val="24"/>
        </w:rPr>
        <w:t>S</w:t>
      </w:r>
      <w:r w:rsidRPr="00BF46D5">
        <w:rPr>
          <w:rFonts w:cs="Arial"/>
          <w:i/>
          <w:iCs/>
          <w:szCs w:val="24"/>
          <w:vertAlign w:val="subscript"/>
        </w:rPr>
        <w:t>p</w:t>
      </w:r>
      <w:proofErr w:type="spellEnd"/>
      <w:r w:rsidRPr="00BF46D5">
        <w:rPr>
          <w:rFonts w:cs="Arial"/>
          <w:szCs w:val="24"/>
        </w:rPr>
        <w:t>) corresponding to the tensile (</w:t>
      </w:r>
      <w:proofErr w:type="spellStart"/>
      <w:r w:rsidRPr="00BF46D5">
        <w:rPr>
          <w:rFonts w:cs="Arial"/>
          <w:i/>
          <w:iCs/>
          <w:szCs w:val="24"/>
        </w:rPr>
        <w:t>f</w:t>
      </w:r>
      <w:r w:rsidRPr="00BF46D5">
        <w:rPr>
          <w:rFonts w:cs="Arial"/>
          <w:i/>
          <w:iCs/>
          <w:szCs w:val="24"/>
          <w:vertAlign w:val="subscript"/>
        </w:rPr>
        <w:t>t</w:t>
      </w:r>
      <w:proofErr w:type="spellEnd"/>
      <w:r w:rsidRPr="00BF46D5">
        <w:rPr>
          <w:rFonts w:cs="Arial"/>
          <w:szCs w:val="24"/>
        </w:rPr>
        <w:t>) or Mohr-Coulomb shear strength (</w:t>
      </w:r>
      <w:r w:rsidRPr="00BF46D5">
        <w:rPr>
          <w:rFonts w:cs="Arial"/>
          <w:i/>
          <w:iCs/>
          <w:szCs w:val="24"/>
        </w:rPr>
        <w:t>f</w:t>
      </w:r>
      <w:r w:rsidRPr="00BF46D5">
        <w:rPr>
          <w:rFonts w:cs="Arial"/>
          <w:i/>
          <w:iCs/>
          <w:szCs w:val="24"/>
          <w:vertAlign w:val="subscript"/>
        </w:rPr>
        <w:t>s</w:t>
      </w:r>
      <w:r w:rsidRPr="00BF46D5">
        <w:rPr>
          <w:rFonts w:cs="Arial"/>
          <w:szCs w:val="24"/>
        </w:rPr>
        <w:t xml:space="preserve">) of the interface </w:t>
      </w:r>
      <w:r w:rsidRPr="00BF46D5">
        <w:rPr>
          <w:rFonts w:cs="Arial"/>
          <w:szCs w:val="24"/>
        </w:rPr>
        <w:fldChar w:fldCharType="begin"/>
      </w:r>
      <w:r w:rsidRPr="00BF46D5">
        <w:rPr>
          <w:rFonts w:cs="Arial"/>
          <w:szCs w:val="24"/>
        </w:rPr>
        <w:instrText xml:space="preserve"> ADDIN ZOTERO_ITEM CSL_CITATION {"citationID":"XxjBT0D8","properties":{"formattedCitation":"(Irazu 2D - Theory Manual, 2024)","plainCitation":"(Irazu 2D - Theory Manual, 2024)","dontUpdate":true,"noteIndex":0},"citationItems":[{"id":847,"uris":["http://zotero.org/users/18594503/items/L3FA9NST"],"itemData":{"id":847,"type":"article-journal","title":"Irazu 2D Geomechanical Simulation Software. V. 6.1. Theory Manual.","author":[{"family":"Irazu 2D - Theory Manual","given":""}],"issued":{"date-parts":[["2024"]]}}}],"schema":"https://github.com/citation-style-language/schema/raw/master/csl-citation.json"} </w:instrText>
      </w:r>
      <w:r w:rsidRPr="00BF46D5">
        <w:rPr>
          <w:rFonts w:cs="Arial"/>
          <w:szCs w:val="24"/>
        </w:rPr>
        <w:fldChar w:fldCharType="separate"/>
      </w:r>
      <w:r w:rsidRPr="00BF46D5">
        <w:rPr>
          <w:rFonts w:cs="Arial"/>
        </w:rPr>
        <w:t>(Irazu, 2024)</w:t>
      </w:r>
      <w:r w:rsidRPr="00BF46D5">
        <w:rPr>
          <w:rFonts w:cs="Arial"/>
          <w:szCs w:val="24"/>
        </w:rPr>
        <w:fldChar w:fldCharType="end"/>
      </w:r>
      <w:r w:rsidRPr="00BF46D5">
        <w:rPr>
          <w:rFonts w:cs="Arial"/>
          <w:szCs w:val="24"/>
        </w:rPr>
        <w:t xml:space="preserve">. When the CCE opens beyond </w:t>
      </w:r>
      <w:r w:rsidRPr="00BF46D5">
        <w:rPr>
          <w:rFonts w:cs="Arial"/>
          <w:i/>
          <w:iCs/>
          <w:szCs w:val="24"/>
        </w:rPr>
        <w:t>O</w:t>
      </w:r>
      <w:r w:rsidRPr="00BF46D5">
        <w:rPr>
          <w:rFonts w:cs="Arial"/>
          <w:i/>
          <w:iCs/>
          <w:szCs w:val="24"/>
          <w:vertAlign w:val="subscript"/>
        </w:rPr>
        <w:t>p</w:t>
      </w:r>
      <w:r w:rsidRPr="00BF46D5">
        <w:rPr>
          <w:rFonts w:cs="Arial"/>
          <w:szCs w:val="24"/>
        </w:rPr>
        <w:t xml:space="preserve"> or slips beyond </w:t>
      </w:r>
      <w:proofErr w:type="spellStart"/>
      <w:r w:rsidRPr="00BF46D5">
        <w:rPr>
          <w:rFonts w:cs="Arial"/>
          <w:i/>
          <w:iCs/>
          <w:szCs w:val="24"/>
        </w:rPr>
        <w:t>S</w:t>
      </w:r>
      <w:r w:rsidRPr="00BF46D5">
        <w:rPr>
          <w:rFonts w:cs="Arial"/>
          <w:i/>
          <w:iCs/>
          <w:szCs w:val="24"/>
          <w:vertAlign w:val="subscript"/>
        </w:rPr>
        <w:t>p</w:t>
      </w:r>
      <w:proofErr w:type="spellEnd"/>
      <w:r w:rsidRPr="00BF46D5">
        <w:rPr>
          <w:rFonts w:cs="Arial"/>
          <w:szCs w:val="24"/>
        </w:rPr>
        <w:t>, the normal (</w:t>
      </w:r>
      <w:r w:rsidRPr="00BF46D5">
        <w:rPr>
          <w:rFonts w:cs="Arial"/>
          <w:i/>
          <w:iCs/>
          <w:szCs w:val="24"/>
        </w:rPr>
        <w:t>s</w:t>
      </w:r>
      <w:r w:rsidRPr="00BF46D5">
        <w:rPr>
          <w:rFonts w:cs="Arial"/>
          <w:szCs w:val="24"/>
        </w:rPr>
        <w:t>) or tangential (</w:t>
      </w:r>
      <w:r w:rsidRPr="00BF46D5">
        <w:rPr>
          <w:rFonts w:cs="Arial"/>
          <w:i/>
          <w:iCs/>
          <w:szCs w:val="24"/>
        </w:rPr>
        <w:t>t</w:t>
      </w:r>
      <w:r w:rsidRPr="00BF46D5">
        <w:rPr>
          <w:rFonts w:cs="Arial"/>
          <w:szCs w:val="24"/>
        </w:rPr>
        <w:t>) tractions gradually decrease until residual values (</w:t>
      </w:r>
      <w:r w:rsidRPr="00BF46D5">
        <w:rPr>
          <w:rFonts w:cs="Arial"/>
          <w:i/>
          <w:iCs/>
          <w:szCs w:val="24"/>
        </w:rPr>
        <w:t>O</w:t>
      </w:r>
      <w:r w:rsidRPr="00BF46D5">
        <w:rPr>
          <w:rFonts w:cs="Arial"/>
          <w:i/>
          <w:iCs/>
          <w:szCs w:val="24"/>
          <w:vertAlign w:val="subscript"/>
        </w:rPr>
        <w:t>r</w:t>
      </w:r>
      <w:r w:rsidRPr="00BF46D5">
        <w:rPr>
          <w:rFonts w:cs="Arial"/>
          <w:szCs w:val="24"/>
        </w:rPr>
        <w:t xml:space="preserve"> </w:t>
      </w:r>
      <w:proofErr w:type="spellStart"/>
      <w:r w:rsidRPr="00BF46D5">
        <w:rPr>
          <w:rFonts w:cs="Arial"/>
          <w:szCs w:val="24"/>
        </w:rPr>
        <w:t>or</w:t>
      </w:r>
      <w:proofErr w:type="spellEnd"/>
      <w:r w:rsidRPr="00BF46D5">
        <w:rPr>
          <w:rFonts w:cs="Arial"/>
          <w:szCs w:val="24"/>
        </w:rPr>
        <w:t xml:space="preserve"> </w:t>
      </w:r>
      <w:proofErr w:type="spellStart"/>
      <w:r w:rsidRPr="00BF46D5">
        <w:rPr>
          <w:rFonts w:cs="Arial"/>
          <w:i/>
          <w:iCs/>
          <w:szCs w:val="24"/>
        </w:rPr>
        <w:t>S</w:t>
      </w:r>
      <w:r w:rsidRPr="00BF46D5">
        <w:rPr>
          <w:rFonts w:cs="Arial"/>
          <w:i/>
          <w:iCs/>
          <w:szCs w:val="24"/>
          <w:vertAlign w:val="subscript"/>
        </w:rPr>
        <w:t>r</w:t>
      </w:r>
      <w:proofErr w:type="spellEnd"/>
      <w:r w:rsidRPr="00BF46D5">
        <w:rPr>
          <w:rFonts w:cs="Arial"/>
          <w:szCs w:val="24"/>
        </w:rPr>
        <w:t xml:space="preserve">) are reached, at which point a traction- or friction-free discontinuity is inserted, and a physical crack develops. Mode I tensile fracture initiation occurs when </w:t>
      </w:r>
      <w:proofErr w:type="spellStart"/>
      <w:r w:rsidRPr="00BF46D5">
        <w:rPr>
          <w:rFonts w:cs="Arial"/>
          <w:i/>
          <w:iCs/>
          <w:szCs w:val="24"/>
        </w:rPr>
        <w:t>f</w:t>
      </w:r>
      <w:r w:rsidRPr="00BF46D5">
        <w:rPr>
          <w:rFonts w:cs="Arial"/>
          <w:i/>
          <w:iCs/>
          <w:szCs w:val="24"/>
          <w:vertAlign w:val="subscript"/>
        </w:rPr>
        <w:t>t</w:t>
      </w:r>
      <w:proofErr w:type="spellEnd"/>
      <w:r w:rsidRPr="00BF46D5">
        <w:rPr>
          <w:rFonts w:cs="Arial"/>
          <w:szCs w:val="24"/>
        </w:rPr>
        <w:t xml:space="preserve"> is exceeded (</w:t>
      </w:r>
      <w:r w:rsidRPr="00BF46D5">
        <w:rPr>
          <w:rFonts w:cs="Arial"/>
          <w:szCs w:val="24"/>
        </w:rPr>
        <w:fldChar w:fldCharType="begin"/>
      </w:r>
      <w:r w:rsidRPr="00BF46D5">
        <w:rPr>
          <w:rFonts w:cs="Arial"/>
          <w:szCs w:val="24"/>
        </w:rPr>
        <w:instrText xml:space="preserve"> REF _Ref215580201 \h  \* MERGEFORMAT </w:instrText>
      </w:r>
      <w:r w:rsidRPr="00BF46D5">
        <w:rPr>
          <w:rFonts w:cs="Arial"/>
          <w:szCs w:val="24"/>
        </w:rPr>
      </w:r>
      <w:r w:rsidRPr="00BF46D5">
        <w:rPr>
          <w:rFonts w:cs="Arial"/>
          <w:szCs w:val="24"/>
        </w:rPr>
        <w:fldChar w:fldCharType="separate"/>
      </w:r>
      <w:r w:rsidR="00851252" w:rsidRPr="00851252">
        <w:t>Fig. 1</w:t>
      </w:r>
      <w:r w:rsidRPr="00BF46D5">
        <w:rPr>
          <w:rFonts w:cs="Arial"/>
          <w:szCs w:val="24"/>
        </w:rPr>
        <w:fldChar w:fldCharType="end"/>
      </w:r>
      <w:r w:rsidRPr="00BF46D5">
        <w:rPr>
          <w:rFonts w:cs="Arial"/>
          <w:szCs w:val="24"/>
        </w:rPr>
        <w:t xml:space="preserve">c), Mode II shear when the </w:t>
      </w:r>
      <w:r w:rsidRPr="00BF46D5">
        <w:rPr>
          <w:rFonts w:cs="Arial"/>
          <w:i/>
          <w:iCs/>
          <w:szCs w:val="24"/>
        </w:rPr>
        <w:t>f</w:t>
      </w:r>
      <w:r w:rsidRPr="00BF46D5">
        <w:rPr>
          <w:rFonts w:cs="Arial"/>
          <w:i/>
          <w:iCs/>
          <w:szCs w:val="24"/>
          <w:vertAlign w:val="subscript"/>
        </w:rPr>
        <w:t>s</w:t>
      </w:r>
      <w:r w:rsidRPr="00BF46D5">
        <w:rPr>
          <w:rFonts w:cs="Arial"/>
          <w:szCs w:val="24"/>
        </w:rPr>
        <w:t xml:space="preserve"> is exceeded (</w:t>
      </w:r>
      <w:r w:rsidRPr="00BF46D5">
        <w:rPr>
          <w:rFonts w:cs="Arial"/>
          <w:szCs w:val="24"/>
        </w:rPr>
        <w:fldChar w:fldCharType="begin"/>
      </w:r>
      <w:r w:rsidRPr="00BF46D5">
        <w:rPr>
          <w:rFonts w:cs="Arial"/>
          <w:szCs w:val="24"/>
        </w:rPr>
        <w:instrText xml:space="preserve"> REF _Ref215580201 \h  \* MERGEFORMAT </w:instrText>
      </w:r>
      <w:r w:rsidRPr="00BF46D5">
        <w:rPr>
          <w:rFonts w:cs="Arial"/>
          <w:szCs w:val="24"/>
        </w:rPr>
      </w:r>
      <w:r w:rsidRPr="00BF46D5">
        <w:rPr>
          <w:rFonts w:cs="Arial"/>
          <w:szCs w:val="24"/>
        </w:rPr>
        <w:fldChar w:fldCharType="separate"/>
      </w:r>
      <w:r w:rsidR="00851252" w:rsidRPr="00851252">
        <w:t>Fig. 1</w:t>
      </w:r>
      <w:r w:rsidRPr="00BF46D5">
        <w:rPr>
          <w:rFonts w:cs="Arial"/>
          <w:szCs w:val="24"/>
        </w:rPr>
        <w:fldChar w:fldCharType="end"/>
      </w:r>
      <w:r w:rsidRPr="00BF46D5">
        <w:rPr>
          <w:rFonts w:cs="Arial"/>
          <w:szCs w:val="24"/>
        </w:rPr>
        <w:t>d), and a mixed</w:t>
      </w:r>
      <w:r w:rsidRPr="009474C3">
        <w:rPr>
          <w:rFonts w:cs="Arial"/>
          <w:szCs w:val="24"/>
        </w:rPr>
        <w:t>-mode fracture initiation arises from their combined action (</w:t>
      </w:r>
      <w:r w:rsidRPr="009474C3">
        <w:rPr>
          <w:rFonts w:cs="Arial"/>
          <w:szCs w:val="24"/>
        </w:rPr>
        <w:fldChar w:fldCharType="begin"/>
      </w:r>
      <w:r w:rsidRPr="009474C3">
        <w:rPr>
          <w:rFonts w:cs="Arial"/>
          <w:szCs w:val="24"/>
        </w:rPr>
        <w:instrText xml:space="preserve"> REF _Ref215580201 \h </w:instrText>
      </w:r>
      <w:r>
        <w:rPr>
          <w:rFonts w:cs="Arial"/>
          <w:szCs w:val="24"/>
        </w:rPr>
        <w:instrText xml:space="preserve"> \* MERGEFORMAT </w:instrText>
      </w:r>
      <w:r w:rsidRPr="009474C3">
        <w:rPr>
          <w:rFonts w:cs="Arial"/>
          <w:szCs w:val="24"/>
        </w:rPr>
      </w:r>
      <w:r w:rsidRPr="009474C3">
        <w:rPr>
          <w:rFonts w:cs="Arial"/>
          <w:szCs w:val="24"/>
        </w:rPr>
        <w:fldChar w:fldCharType="separate"/>
      </w:r>
      <w:r w:rsidR="00851252" w:rsidRPr="00851252">
        <w:t>Fig. 1</w:t>
      </w:r>
      <w:r w:rsidRPr="009474C3">
        <w:rPr>
          <w:rFonts w:cs="Arial"/>
          <w:szCs w:val="24"/>
        </w:rPr>
        <w:fldChar w:fldCharType="end"/>
      </w:r>
      <w:r w:rsidRPr="009474C3">
        <w:rPr>
          <w:rFonts w:cs="Arial"/>
          <w:szCs w:val="24"/>
        </w:rPr>
        <w:t>e). The evolution from peak to residual strength is governed by the fracture energies G</w:t>
      </w:r>
      <w:r w:rsidRPr="009474C3">
        <w:rPr>
          <w:rFonts w:cs="Arial"/>
          <w:szCs w:val="24"/>
          <w:vertAlign w:val="subscript"/>
        </w:rPr>
        <w:t>I</w:t>
      </w:r>
      <w:r w:rsidRPr="009474C3">
        <w:rPr>
          <w:rFonts w:cs="Arial"/>
          <w:szCs w:val="24"/>
        </w:rPr>
        <w:t xml:space="preserve"> and G</w:t>
      </w:r>
      <w:r w:rsidRPr="009474C3">
        <w:rPr>
          <w:rFonts w:cs="Arial"/>
          <w:szCs w:val="24"/>
          <w:vertAlign w:val="subscript"/>
        </w:rPr>
        <w:t>II</w:t>
      </w:r>
      <w:r w:rsidRPr="009474C3">
        <w:rPr>
          <w:rFonts w:cs="Arial"/>
          <w:szCs w:val="24"/>
        </w:rPr>
        <w:t xml:space="preserve">, which represent the energy per unit area required to propagate a crack in Mode I and Mode II, respectively </w:t>
      </w:r>
      <w:r w:rsidRPr="009474C3">
        <w:rPr>
          <w:rFonts w:cs="Arial"/>
          <w:szCs w:val="24"/>
        </w:rPr>
        <w:fldChar w:fldCharType="begin"/>
      </w:r>
      <w:r w:rsidRPr="009474C3">
        <w:rPr>
          <w:rFonts w:cs="Arial"/>
          <w:szCs w:val="24"/>
        </w:rPr>
        <w:instrText xml:space="preserve"> ADDIN ZOTERO_ITEM CSL_CITATION {"citationID":"3qfuSv5L","properties":{"formattedCitation":"(Hillerborg et al., 1976)","plainCitation":"(Hillerborg et al., 1976)","noteIndex":0},"citationItems":[{"id":848,"uris":["http://zotero.org/users/18594503/items/RKEY87E5"],"itemData":{"id":848,"type":"article-journal","container-title":"Cement and concrete research","ISSN":"0008-8846","issue":"6","journalAbbreviation":"Cement and concrete research","page":"773-781","publisher":"Elsevier","title":"Analysis of crack formation and crack growth in concrete by means of fracture mechanics and finite elements","volume":"6","author":[{"family":"Hillerborg","given":"Arne"},{"family":"Modéer","given":"Mats"},{"family":"Petersson","given":"P-E"}],"issued":{"date-parts":[["1976"]]}}}],"schema":"https://github.com/citation-style-language/schema/raw/master/csl-citation.json"} </w:instrText>
      </w:r>
      <w:r w:rsidRPr="009474C3">
        <w:rPr>
          <w:rFonts w:cs="Arial"/>
          <w:szCs w:val="24"/>
        </w:rPr>
        <w:fldChar w:fldCharType="separate"/>
      </w:r>
      <w:r w:rsidRPr="009474C3">
        <w:rPr>
          <w:rFonts w:cs="Arial"/>
        </w:rPr>
        <w:t>(Hillerborg et al., 1976)</w:t>
      </w:r>
      <w:r w:rsidRPr="009474C3">
        <w:rPr>
          <w:rFonts w:cs="Arial"/>
          <w:szCs w:val="24"/>
        </w:rPr>
        <w:fldChar w:fldCharType="end"/>
      </w:r>
      <w:r w:rsidRPr="009474C3">
        <w:rPr>
          <w:rFonts w:cs="Arial"/>
          <w:szCs w:val="24"/>
        </w:rPr>
        <w:t>.</w:t>
      </w:r>
      <w:bookmarkStart w:id="2" w:name="_Hlk215221439"/>
    </w:p>
    <w:p w14:paraId="72AE97A5" w14:textId="77777777" w:rsidR="008C1504" w:rsidRPr="009474C3" w:rsidRDefault="008C1504" w:rsidP="008C1504">
      <w:pPr>
        <w:spacing w:line="360" w:lineRule="auto"/>
        <w:rPr>
          <w:rFonts w:eastAsiaTheme="minorEastAsia" w:cs="Arial"/>
          <w:szCs w:val="24"/>
        </w:rPr>
      </w:pPr>
      <w:bookmarkStart w:id="3" w:name="_Hlk207104396"/>
      <w:bookmarkEnd w:id="2"/>
      <w:r w:rsidRPr="009474C3">
        <w:rPr>
          <w:rFonts w:eastAsiaTheme="minorEastAsia" w:cs="Arial"/>
          <w:szCs w:val="24"/>
        </w:rPr>
        <w:t xml:space="preserve">Contact </w:t>
      </w:r>
      <w:proofErr w:type="spellStart"/>
      <w:r w:rsidRPr="009474C3">
        <w:rPr>
          <w:rFonts w:eastAsiaTheme="minorEastAsia" w:cs="Arial"/>
          <w:szCs w:val="24"/>
        </w:rPr>
        <w:t>stiffnesses</w:t>
      </w:r>
      <w:proofErr w:type="spellEnd"/>
      <w:r w:rsidRPr="009474C3">
        <w:rPr>
          <w:rFonts w:eastAsiaTheme="minorEastAsia" w:cs="Arial"/>
          <w:szCs w:val="24"/>
        </w:rPr>
        <w:t xml:space="preserve"> for both TFEs and CCEs are controlled by penalty coefficients </w:t>
      </w:r>
      <w:r w:rsidRPr="009474C3">
        <w:rPr>
          <w:rFonts w:eastAsiaTheme="minorEastAsia" w:cs="Arial"/>
          <w:szCs w:val="24"/>
        </w:rPr>
        <w:fldChar w:fldCharType="begin"/>
      </w:r>
      <w:r w:rsidRPr="009474C3">
        <w:rPr>
          <w:rFonts w:eastAsiaTheme="minorEastAsia" w:cs="Arial"/>
          <w:szCs w:val="24"/>
        </w:rPr>
        <w:instrText xml:space="preserve"> ADDIN ZOTERO_ITEM CSL_CITATION {"citationID":"99P4bV6S","properties":{"formattedCitation":"(Mahabadi et al., 2012; Munjiza and Andrews, 2000)","plainCitation":"(Mahabadi et al., 2012; Munjiza and Andrews, 2000)","noteIndex":0},"citationItems":[{"id":850,"uris":["http://zotero.org/users/18594503/items/J9B25TRB"],"itemData":{"id":850,"type":"article-journal","container-title":"International Journal of Geomechanics","ISSN":"1532-3641","issue":"6","journalAbbreviation":"International Journal of Geomechanics","page":"676-688","publisher":"American Society of Civil Engineers","title":"Y-Geo: new combined finite-discrete element numerical code for geomechanical applications","volume":"12","author":[{"family":"Mahabadi","given":"Omid K"},{"family":"Lisjak","given":"A"},{"family":"Munjiza","given":"A"},{"family":"Grasselli","given":"GJIJoG"}],"issued":{"date-parts":[["2012"]]}}},{"id":849,"uris":["http://zotero.org/users/18594503/items/Y6LS78Q2"],"itemData":{"id":849,"type":"article-journal","container-title":"International Journal for numerical methods in engineering","ISSN":"0029-5981","issue":"11","journalAbbreviation":"International Journal for numerical methods in engineering","page":"1377-1396","publisher":"Wiley Online Library","title":"Penalty function method for combined finite–discrete element systems comprising large number of separate bodies","volume":"49","author":[{"family":"Munjiza","given":"A"},{"family":"Andrews","given":"KRF"}],"issued":{"date-parts":[["2000"]]}}}],"schema":"https://github.com/citation-style-language/schema/raw/master/csl-citation.json"} </w:instrText>
      </w:r>
      <w:r w:rsidRPr="009474C3">
        <w:rPr>
          <w:rFonts w:eastAsiaTheme="minorEastAsia" w:cs="Arial"/>
          <w:szCs w:val="24"/>
        </w:rPr>
        <w:fldChar w:fldCharType="separate"/>
      </w:r>
      <w:r w:rsidRPr="009474C3">
        <w:rPr>
          <w:rFonts w:cs="Arial"/>
        </w:rPr>
        <w:t>(Mahabadi et al., 2012; Munjiza and Andrews, 2000)</w:t>
      </w:r>
      <w:r w:rsidRPr="009474C3">
        <w:rPr>
          <w:rFonts w:eastAsiaTheme="minorEastAsia" w:cs="Arial"/>
          <w:szCs w:val="24"/>
        </w:rPr>
        <w:fldChar w:fldCharType="end"/>
      </w:r>
      <w:r w:rsidRPr="009474C3">
        <w:rPr>
          <w:rFonts w:eastAsiaTheme="minorEastAsia" w:cs="Arial"/>
          <w:szCs w:val="24"/>
        </w:rPr>
        <w:t>. In particular, normal (</w:t>
      </w:r>
      <w:proofErr w:type="spellStart"/>
      <w:r w:rsidRPr="009474C3">
        <w:rPr>
          <w:rFonts w:eastAsiaTheme="minorEastAsia" w:cs="Arial"/>
          <w:i/>
          <w:iCs/>
          <w:szCs w:val="24"/>
        </w:rPr>
        <w:t>p</w:t>
      </w:r>
      <w:r w:rsidRPr="009474C3">
        <w:rPr>
          <w:rFonts w:eastAsiaTheme="minorEastAsia" w:cs="Arial"/>
          <w:i/>
          <w:iCs/>
          <w:szCs w:val="24"/>
          <w:vertAlign w:val="subscript"/>
        </w:rPr>
        <w:t>n</w:t>
      </w:r>
      <w:proofErr w:type="spellEnd"/>
      <w:r w:rsidRPr="009474C3">
        <w:rPr>
          <w:rFonts w:eastAsiaTheme="minorEastAsia" w:cs="Arial"/>
          <w:szCs w:val="24"/>
        </w:rPr>
        <w:t>) and tangential (</w:t>
      </w:r>
      <w:proofErr w:type="spellStart"/>
      <w:r w:rsidRPr="009474C3">
        <w:rPr>
          <w:rFonts w:eastAsiaTheme="minorEastAsia" w:cs="Arial"/>
          <w:i/>
          <w:iCs/>
          <w:szCs w:val="24"/>
        </w:rPr>
        <w:t>p</w:t>
      </w:r>
      <w:r w:rsidRPr="009474C3">
        <w:rPr>
          <w:rFonts w:eastAsiaTheme="minorEastAsia" w:cs="Arial"/>
          <w:i/>
          <w:iCs/>
          <w:szCs w:val="24"/>
          <w:vertAlign w:val="subscript"/>
        </w:rPr>
        <w:t>t</w:t>
      </w:r>
      <w:proofErr w:type="spellEnd"/>
      <w:r w:rsidRPr="009474C3">
        <w:rPr>
          <w:rFonts w:eastAsiaTheme="minorEastAsia" w:cs="Arial"/>
          <w:szCs w:val="24"/>
        </w:rPr>
        <w:t>) contact penalty coefficients define the inter-element stiffness, while the fracture contact penalty coefficient (</w:t>
      </w:r>
      <w:r w:rsidRPr="009474C3">
        <w:rPr>
          <w:rFonts w:eastAsiaTheme="minorEastAsia" w:cs="Arial"/>
          <w:i/>
          <w:iCs/>
          <w:szCs w:val="24"/>
        </w:rPr>
        <w:t>p</w:t>
      </w:r>
      <w:r w:rsidRPr="009474C3">
        <w:rPr>
          <w:rFonts w:eastAsiaTheme="minorEastAsia" w:cs="Arial"/>
          <w:i/>
          <w:iCs/>
          <w:szCs w:val="24"/>
          <w:vertAlign w:val="subscript"/>
        </w:rPr>
        <w:t>f</w:t>
      </w:r>
      <w:r w:rsidRPr="009474C3">
        <w:rPr>
          <w:rFonts w:eastAsiaTheme="minorEastAsia" w:cs="Arial"/>
          <w:szCs w:val="24"/>
        </w:rPr>
        <w:t>) defines the CCE stiffness.</w:t>
      </w:r>
    </w:p>
    <w:p w14:paraId="2EFC88C8" w14:textId="77777777" w:rsidR="008C1504" w:rsidRPr="009474C3" w:rsidRDefault="008C1504" w:rsidP="008C1504">
      <w:pPr>
        <w:spacing w:line="360" w:lineRule="auto"/>
      </w:pPr>
      <w:r w:rsidRPr="009474C3">
        <w:t>To account for the energy dissipation due to non-linear material behaviour, a viscous damping factor (</w:t>
      </w:r>
      <w:r w:rsidRPr="009474C3">
        <w:rPr>
          <w:rFonts w:ascii="Symbol" w:hAnsi="Symbol"/>
        </w:rPr>
        <w:t></w:t>
      </w:r>
      <w:r w:rsidRPr="009474C3">
        <w:t xml:space="preserve">) is assigned to the domain </w:t>
      </w:r>
      <w:r w:rsidRPr="009474C3">
        <w:fldChar w:fldCharType="begin"/>
      </w:r>
      <w:r w:rsidRPr="009474C3">
        <w:instrText xml:space="preserve"> ADDIN ZOTERO_ITEM CSL_CITATION {"citationID":"qo9cFI8y","properties":{"formattedCitation":"(Munjiza, 2004)","plainCitation":"(Munjiza, 2004)","noteIndex":0},"citationItems":[{"id":838,"uris":["http://zotero.org/users/18594503/items/M3AV8SW8"],"itemData":{"id":838,"type":"book","ISBN":"0-470-02017-2","publisher":"John Wiley &amp; Sons","title":"The combined finite-discrete element method","author":[{"family":"Munjiza","given":"Antonio A"}],"issued":{"date-parts":[["2004"]]}}}],"schema":"https://github.com/citation-style-language/schema/raw/master/csl-citation.json"} </w:instrText>
      </w:r>
      <w:r w:rsidRPr="009474C3">
        <w:fldChar w:fldCharType="separate"/>
      </w:r>
      <w:r w:rsidRPr="009474C3">
        <w:t>(Munjiza, 2004)</w:t>
      </w:r>
      <w:r w:rsidRPr="009474C3">
        <w:fldChar w:fldCharType="end"/>
      </w:r>
      <w:r w:rsidRPr="009474C3">
        <w:t xml:space="preserve">. For quasi-static problems, a </w:t>
      </w:r>
      <w:r w:rsidRPr="009474C3">
        <w:rPr>
          <w:rFonts w:ascii="Symbol" w:hAnsi="Symbol"/>
        </w:rPr>
        <w:t></w:t>
      </w:r>
      <w:r w:rsidRPr="009474C3">
        <w:t xml:space="preserve"> = 1 is recommended to dissipate unwanted dynamic </w:t>
      </w:r>
      <w:r w:rsidRPr="009474C3">
        <w:lastRenderedPageBreak/>
        <w:t xml:space="preserve">oscillations, while, for dynamic problems (such as wave propagation) </w:t>
      </w:r>
      <w:r w:rsidRPr="009474C3">
        <w:rPr>
          <w:rFonts w:ascii="Symbol" w:hAnsi="Symbol"/>
        </w:rPr>
        <w:t></w:t>
      </w:r>
      <w:r w:rsidRPr="009474C3">
        <w:t xml:space="preserve"> is related to the seismic quality factor (Q) of the rock as </w:t>
      </w:r>
      <w:r w:rsidRPr="009474C3">
        <w:rPr>
          <w:rFonts w:ascii="Symbol" w:hAnsi="Symbol"/>
        </w:rPr>
        <w:t></w:t>
      </w:r>
      <w:r w:rsidRPr="009474C3">
        <w:t xml:space="preserve"> = 1/Q.</w:t>
      </w:r>
    </w:p>
    <w:bookmarkEnd w:id="3"/>
    <w:p w14:paraId="2918339B" w14:textId="77777777" w:rsidR="008C1504" w:rsidRPr="009474C3" w:rsidRDefault="008C1504" w:rsidP="008C1504">
      <w:pPr>
        <w:pStyle w:val="Immagini"/>
        <w:spacing w:line="360" w:lineRule="auto"/>
        <w:rPr>
          <w:noProof w:val="0"/>
        </w:rPr>
      </w:pPr>
      <w:r w:rsidRPr="009474C3">
        <w:rPr>
          <w:lang w:val="en-US"/>
        </w:rPr>
        <w:drawing>
          <wp:inline distT="0" distB="0" distL="0" distR="0" wp14:anchorId="7B7D2FA5" wp14:editId="277DD07D">
            <wp:extent cx="5040000" cy="3104819"/>
            <wp:effectExtent l="0" t="0" r="8255" b="635"/>
            <wp:docPr id="1247853346" name="Immagine 3" descr="Immagine che contiene testo,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853346" name="Immagine 3" descr="Immagine che contiene testo, diagramma, linea&#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40000" cy="3104819"/>
                    </a:xfrm>
                    <a:prstGeom prst="rect">
                      <a:avLst/>
                    </a:prstGeom>
                  </pic:spPr>
                </pic:pic>
              </a:graphicData>
            </a:graphic>
          </wp:inline>
        </w:drawing>
      </w:r>
    </w:p>
    <w:p w14:paraId="208077B5" w14:textId="7617065D" w:rsidR="008C1504" w:rsidRPr="009474C3" w:rsidRDefault="008C1504" w:rsidP="008C1504">
      <w:pPr>
        <w:pStyle w:val="Caption"/>
        <w:spacing w:line="360" w:lineRule="auto"/>
      </w:pPr>
      <w:bookmarkStart w:id="4" w:name="_Ref215580201"/>
      <w:r>
        <w:rPr>
          <w:b/>
          <w:bCs/>
        </w:rPr>
        <w:t>Fig.</w:t>
      </w:r>
      <w:r w:rsidRPr="009474C3">
        <w:rPr>
          <w:b/>
          <w:bCs/>
        </w:rPr>
        <w:t xml:space="preserve"> </w:t>
      </w:r>
      <w:r w:rsidRPr="009474C3">
        <w:rPr>
          <w:b/>
          <w:bCs/>
        </w:rPr>
        <w:fldChar w:fldCharType="begin"/>
      </w:r>
      <w:r w:rsidRPr="009474C3">
        <w:rPr>
          <w:b/>
          <w:bCs/>
        </w:rPr>
        <w:instrText xml:space="preserve"> SEQ Figure \* ARABIC </w:instrText>
      </w:r>
      <w:r w:rsidRPr="009474C3">
        <w:rPr>
          <w:b/>
          <w:bCs/>
        </w:rPr>
        <w:fldChar w:fldCharType="separate"/>
      </w:r>
      <w:r w:rsidR="00851252">
        <w:rPr>
          <w:b/>
          <w:bCs/>
          <w:noProof/>
        </w:rPr>
        <w:t>1</w:t>
      </w:r>
      <w:r w:rsidRPr="009474C3">
        <w:rPr>
          <w:b/>
          <w:bCs/>
        </w:rPr>
        <w:fldChar w:fldCharType="end"/>
      </w:r>
      <w:bookmarkEnd w:id="4"/>
      <w:r w:rsidRPr="009474C3">
        <w:t xml:space="preserve"> (a) Sketch of the fracture process zone (FPZ); (b) Numerical representation of the theoretical fracture propagation zone (FPZ) modelled in </w:t>
      </w:r>
      <w:proofErr w:type="spellStart"/>
      <w:r w:rsidRPr="009474C3">
        <w:t>Irazu</w:t>
      </w:r>
      <w:proofErr w:type="spellEnd"/>
      <w:r w:rsidRPr="009474C3">
        <w:t xml:space="preserve">; Constitutive behaviour of the crack elements: (c) normal bonding stress versus crack opening for pure compressive/tensile loading (Mode I); (d) shear bonding stress versus crack slip for pure shear loading (Mode II); (e) criterion for mixed-Mode fracture initiation </w:t>
      </w:r>
      <w:r w:rsidRPr="009474C3">
        <w:fldChar w:fldCharType="begin"/>
      </w:r>
      <w:r w:rsidRPr="009474C3">
        <w:instrText xml:space="preserve"> ADDIN ZOTERO_ITEM CSL_CITATION {"citationID":"COgtq7s7","properties":{"formattedCitation":"(Lisjak et al. 2013)","plainCitation":"(Lisjak et al. 2013)","dontUpdate":true,"noteIndex":0},"citationItems":[{"id":851,"uris":["http://zotero.org/users/18594503/items/UTQGNXAU"],"itemData":{"id":851,"type":"article-journal","container-title":"Geophysical Journal International","ISSN":"1365-246X","issue":"1","journalAbbreviation":"Geophysical Journal International","page":"423-443","publisher":"Oxford University Press","title":"Numerical simulation of acoustic emission in brittle rocks by two-dimensional finite-discrete element analysis","volume":"195","author":[{"family":"Lisjak","given":"A"},{"family":"Liu","given":"Q"},{"family":"Zhao","given":"Q"},{"family":"Mahabadi","given":"OK"},{"family":"Grasselli","given":"G"}],"issued":{"date-parts":[["2013"]]}}}],"schema":"https://github.com/citation-style-language/schema/raw/master/csl-citation.json"} </w:instrText>
      </w:r>
      <w:r w:rsidRPr="009474C3">
        <w:fldChar w:fldCharType="separate"/>
      </w:r>
      <w:r w:rsidRPr="009474C3">
        <w:t>(mod. after Lisjak et al. 2013)</w:t>
      </w:r>
      <w:r w:rsidRPr="009474C3">
        <w:fldChar w:fldCharType="end"/>
      </w:r>
    </w:p>
    <w:p w14:paraId="3140217B" w14:textId="7C227182" w:rsidR="00BF46D5" w:rsidRPr="009474C3" w:rsidRDefault="00BF46D5" w:rsidP="00BF46D5">
      <w:pPr>
        <w:spacing w:line="360" w:lineRule="auto"/>
        <w:rPr>
          <w:rFonts w:cs="Arial"/>
          <w:szCs w:val="24"/>
        </w:rPr>
      </w:pPr>
      <w:r w:rsidRPr="009474C3">
        <w:rPr>
          <w:rFonts w:cs="Arial"/>
          <w:szCs w:val="24"/>
        </w:rPr>
        <w:t xml:space="preserve">The fracture parameters were defined using empirical relationships derived from the literature. In particular, </w:t>
      </w:r>
      <w:r w:rsidRPr="009474C3">
        <w:rPr>
          <w:rFonts w:eastAsiaTheme="minorEastAsia" w:cs="Arial"/>
          <w:szCs w:val="24"/>
        </w:rPr>
        <w:t>the normal (</w:t>
      </w:r>
      <w:proofErr w:type="spellStart"/>
      <w:r w:rsidRPr="009474C3">
        <w:rPr>
          <w:rFonts w:eastAsiaTheme="minorEastAsia" w:cs="Arial"/>
          <w:i/>
          <w:iCs/>
          <w:szCs w:val="24"/>
        </w:rPr>
        <w:t>p</w:t>
      </w:r>
      <w:r w:rsidRPr="009474C3">
        <w:rPr>
          <w:rFonts w:eastAsiaTheme="minorEastAsia" w:cs="Arial"/>
          <w:i/>
          <w:iCs/>
          <w:szCs w:val="24"/>
          <w:vertAlign w:val="subscript"/>
        </w:rPr>
        <w:t>n</w:t>
      </w:r>
      <w:proofErr w:type="spellEnd"/>
      <w:r w:rsidRPr="009474C3">
        <w:rPr>
          <w:rFonts w:eastAsiaTheme="minorEastAsia" w:cs="Arial"/>
          <w:szCs w:val="24"/>
        </w:rPr>
        <w:t>), tangential (</w:t>
      </w:r>
      <w:proofErr w:type="spellStart"/>
      <w:r w:rsidRPr="009474C3">
        <w:rPr>
          <w:rFonts w:eastAsiaTheme="minorEastAsia" w:cs="Arial"/>
          <w:i/>
          <w:iCs/>
          <w:szCs w:val="24"/>
        </w:rPr>
        <w:t>p</w:t>
      </w:r>
      <w:r w:rsidRPr="009474C3">
        <w:rPr>
          <w:rFonts w:eastAsiaTheme="minorEastAsia" w:cs="Arial"/>
          <w:i/>
          <w:iCs/>
          <w:szCs w:val="24"/>
          <w:vertAlign w:val="subscript"/>
        </w:rPr>
        <w:t>t</w:t>
      </w:r>
      <w:proofErr w:type="spellEnd"/>
      <w:r w:rsidRPr="009474C3">
        <w:rPr>
          <w:rFonts w:eastAsiaTheme="minorEastAsia" w:cs="Arial"/>
          <w:szCs w:val="24"/>
        </w:rPr>
        <w:t>) and fracture (</w:t>
      </w:r>
      <w:r w:rsidRPr="009474C3">
        <w:rPr>
          <w:rFonts w:eastAsiaTheme="minorEastAsia" w:cs="Arial"/>
          <w:i/>
          <w:iCs/>
          <w:szCs w:val="24"/>
        </w:rPr>
        <w:t>p</w:t>
      </w:r>
      <w:r w:rsidRPr="009474C3">
        <w:rPr>
          <w:rFonts w:eastAsiaTheme="minorEastAsia" w:cs="Arial"/>
          <w:i/>
          <w:iCs/>
          <w:szCs w:val="24"/>
          <w:vertAlign w:val="subscript"/>
        </w:rPr>
        <w:t>f</w:t>
      </w:r>
      <w:r w:rsidRPr="009474C3">
        <w:rPr>
          <w:rFonts w:eastAsiaTheme="minorEastAsia" w:cs="Arial"/>
          <w:szCs w:val="24"/>
        </w:rPr>
        <w:t xml:space="preserve">) penalty coefficients were set to ten times the Young’s modulus, following guidelines provided in the </w:t>
      </w:r>
      <w:proofErr w:type="spellStart"/>
      <w:r w:rsidRPr="009474C3">
        <w:rPr>
          <w:rFonts w:eastAsiaTheme="minorEastAsia" w:cs="Arial"/>
          <w:szCs w:val="24"/>
        </w:rPr>
        <w:t>Irazu</w:t>
      </w:r>
      <w:proofErr w:type="spellEnd"/>
      <w:r w:rsidRPr="009474C3">
        <w:rPr>
          <w:rFonts w:eastAsiaTheme="minorEastAsia" w:cs="Arial"/>
          <w:szCs w:val="24"/>
        </w:rPr>
        <w:t xml:space="preserve"> Theory Manual (</w:t>
      </w:r>
      <w:proofErr w:type="spellStart"/>
      <w:r w:rsidRPr="009474C3">
        <w:rPr>
          <w:rFonts w:cs="Arial"/>
          <w:szCs w:val="24"/>
        </w:rPr>
        <w:t>Irazu</w:t>
      </w:r>
      <w:proofErr w:type="spellEnd"/>
      <w:r w:rsidRPr="009474C3">
        <w:rPr>
          <w:rFonts w:cs="Arial"/>
          <w:szCs w:val="24"/>
        </w:rPr>
        <w:t>, 2024</w:t>
      </w:r>
      <w:r w:rsidRPr="009474C3">
        <w:rPr>
          <w:rFonts w:eastAsiaTheme="minorEastAsia" w:cs="Arial"/>
          <w:szCs w:val="24"/>
        </w:rPr>
        <w:t xml:space="preserve">). </w:t>
      </w:r>
      <w:r w:rsidRPr="009474C3">
        <w:rPr>
          <w:rFonts w:cs="Arial"/>
          <w:szCs w:val="24"/>
        </w:rPr>
        <w:t>Since no direct tensile test data was available, the fracture energies G</w:t>
      </w:r>
      <w:r w:rsidRPr="009474C3">
        <w:rPr>
          <w:rFonts w:cs="Arial"/>
          <w:szCs w:val="24"/>
          <w:vertAlign w:val="subscript"/>
        </w:rPr>
        <w:t>I</w:t>
      </w:r>
      <w:r w:rsidRPr="009474C3">
        <w:rPr>
          <w:rFonts w:cs="Arial"/>
          <w:szCs w:val="24"/>
        </w:rPr>
        <w:t xml:space="preserve"> and G</w:t>
      </w:r>
      <w:r w:rsidRPr="009474C3">
        <w:rPr>
          <w:rFonts w:cs="Arial"/>
          <w:szCs w:val="24"/>
          <w:vertAlign w:val="subscript"/>
        </w:rPr>
        <w:t>II</w:t>
      </w:r>
      <w:r w:rsidRPr="009474C3">
        <w:rPr>
          <w:rFonts w:cs="Arial"/>
          <w:szCs w:val="24"/>
        </w:rPr>
        <w:t xml:space="preserve">, were estimated according to Whittaker et al. </w:t>
      </w:r>
      <w:r w:rsidRPr="009474C3">
        <w:rPr>
          <w:rFonts w:cs="Arial"/>
          <w:szCs w:val="24"/>
        </w:rPr>
        <w:fldChar w:fldCharType="begin"/>
      </w:r>
      <w:r w:rsidRPr="009474C3">
        <w:rPr>
          <w:rFonts w:cs="Arial"/>
          <w:szCs w:val="24"/>
        </w:rPr>
        <w:instrText xml:space="preserve"> ADDIN ZOTERO_ITEM CSL_CITATION {"citationID":"woIc5TsR","properties":{"formattedCitation":"(1992)","plainCitation":"(1992)","noteIndex":0},"citationItems":[{"id":1007,"uris":["http://zotero.org/users/18594503/items/T5KC2NUN"],"itemData":{"id":1007,"type":"article-journal","title":"Rock fracture mechanics. Principles, design and applications","author":[{"family":"Whittaker","given":"Barry N"},{"family":"Singh","given":"Raghu N"},{"family":"Sun","given":"Gexin"}],"issued":{"date-parts":[["1992"]]}},"suppress-author":true}],"schema":"https://github.com/citation-style-language/schema/raw/master/csl-citation.json"} </w:instrText>
      </w:r>
      <w:r w:rsidRPr="009474C3">
        <w:rPr>
          <w:rFonts w:cs="Arial"/>
          <w:szCs w:val="24"/>
        </w:rPr>
        <w:fldChar w:fldCharType="separate"/>
      </w:r>
      <w:r w:rsidRPr="009474C3">
        <w:rPr>
          <w:rFonts w:cs="Arial"/>
        </w:rPr>
        <w:t>(1992)</w:t>
      </w:r>
      <w:r w:rsidRPr="009474C3">
        <w:rPr>
          <w:rFonts w:cs="Arial"/>
          <w:szCs w:val="24"/>
        </w:rPr>
        <w:fldChar w:fldCharType="end"/>
      </w:r>
      <w:r w:rsidRPr="009474C3">
        <w:rPr>
          <w:rFonts w:cs="Arial"/>
          <w:szCs w:val="24"/>
        </w:rPr>
        <w:t>:</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BF46D5" w:rsidRPr="009474C3" w14:paraId="66A8616F" w14:textId="77777777" w:rsidTr="004C5BCC">
        <w:tc>
          <w:tcPr>
            <w:tcW w:w="4819" w:type="dxa"/>
          </w:tcPr>
          <w:p w14:paraId="04513378" w14:textId="77777777" w:rsidR="00BF46D5" w:rsidRPr="009474C3" w:rsidRDefault="001F624F" w:rsidP="004C5BCC">
            <w:pPr>
              <w:pStyle w:val="Didascalie"/>
              <w:spacing w:line="360" w:lineRule="auto"/>
              <w:jc w:val="left"/>
            </w:pPr>
            <m:oMathPara>
              <m:oMathParaPr>
                <m:jc m:val="left"/>
              </m:oMathParaPr>
              <m:oMath>
                <m:sSub>
                  <m:sSubPr>
                    <m:ctrlPr>
                      <w:rPr>
                        <w:rFonts w:ascii="Cambria Math" w:hAnsi="Cambria Math"/>
                        <w:sz w:val="24"/>
                        <w:szCs w:val="24"/>
                      </w:rPr>
                    </m:ctrlPr>
                  </m:sSubPr>
                  <m:e>
                    <m:r>
                      <w:rPr>
                        <w:rFonts w:ascii="Cambria Math" w:hAnsi="Cambria Math"/>
                        <w:sz w:val="24"/>
                        <w:szCs w:val="24"/>
                      </w:rPr>
                      <m:t>G</m:t>
                    </m:r>
                  </m:e>
                  <m:sub>
                    <m:r>
                      <w:rPr>
                        <w:rFonts w:ascii="Cambria Math" w:hAnsi="Cambria Math"/>
                        <w:sz w:val="24"/>
                        <w:szCs w:val="24"/>
                      </w:rPr>
                      <m:t>I</m:t>
                    </m:r>
                  </m:sub>
                </m:sSub>
                <m:r>
                  <w:rPr>
                    <w:rFonts w:ascii="Cambria Math" w:hAnsi="Cambria Math"/>
                    <w:sz w:val="24"/>
                    <w:szCs w:val="24"/>
                  </w:rPr>
                  <m:t xml:space="preserve">= </m:t>
                </m:r>
                <m:f>
                  <m:fPr>
                    <m:ctrlPr>
                      <w:rPr>
                        <w:rFonts w:ascii="Cambria Math" w:hAnsi="Cambria Math"/>
                        <w:sz w:val="24"/>
                        <w:szCs w:val="24"/>
                      </w:rPr>
                    </m:ctrlPr>
                  </m:fPr>
                  <m:num>
                    <m:sSubSup>
                      <m:sSubSupPr>
                        <m:ctrlPr>
                          <w:rPr>
                            <w:rFonts w:ascii="Cambria Math" w:hAnsi="Cambria Math"/>
                            <w:sz w:val="24"/>
                            <w:szCs w:val="24"/>
                          </w:rPr>
                        </m:ctrlPr>
                      </m:sSubSupPr>
                      <m:e>
                        <m:r>
                          <w:rPr>
                            <w:rFonts w:ascii="Cambria Math" w:hAnsi="Cambria Math"/>
                            <w:sz w:val="24"/>
                            <w:szCs w:val="24"/>
                          </w:rPr>
                          <m:t>K</m:t>
                        </m:r>
                      </m:e>
                      <m:sub>
                        <m:r>
                          <w:rPr>
                            <w:rFonts w:ascii="Cambria Math" w:hAnsi="Cambria Math"/>
                            <w:sz w:val="24"/>
                            <w:szCs w:val="24"/>
                          </w:rPr>
                          <m:t>IC</m:t>
                        </m:r>
                      </m:sub>
                      <m:sup>
                        <m:r>
                          <w:rPr>
                            <w:rFonts w:ascii="Cambria Math" w:hAnsi="Cambria Math"/>
                            <w:sz w:val="24"/>
                            <w:szCs w:val="24"/>
                          </w:rPr>
                          <m:t>2</m:t>
                        </m:r>
                      </m:sup>
                    </m:sSubSup>
                  </m:num>
                  <m:den>
                    <m:r>
                      <w:rPr>
                        <w:rFonts w:ascii="Cambria Math" w:hAnsi="Cambria Math"/>
                        <w:sz w:val="24"/>
                        <w:szCs w:val="24"/>
                      </w:rPr>
                      <m:t>E</m:t>
                    </m:r>
                    <m:r>
                      <w:rPr>
                        <w:rFonts w:ascii="Cambria Math" w:hAnsi="Cambria Math"/>
                        <w:sz w:val="24"/>
                        <w:szCs w:val="24"/>
                      </w:rPr>
                      <m:t>'</m:t>
                    </m:r>
                  </m:den>
                </m:f>
              </m:oMath>
            </m:oMathPara>
          </w:p>
        </w:tc>
        <w:tc>
          <w:tcPr>
            <w:tcW w:w="4819" w:type="dxa"/>
          </w:tcPr>
          <w:p w14:paraId="3A303685" w14:textId="77777777" w:rsidR="00BF46D5" w:rsidRPr="009474C3" w:rsidRDefault="00BF46D5" w:rsidP="004C5BCC">
            <w:pPr>
              <w:pStyle w:val="Didascalie"/>
              <w:spacing w:line="360" w:lineRule="auto"/>
              <w:jc w:val="right"/>
              <w:rPr>
                <w:b/>
                <w:bCs/>
              </w:rPr>
            </w:pPr>
            <w:bookmarkStart w:id="5" w:name="_Ref215579490"/>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Pr="009474C3">
              <w:rPr>
                <w:b/>
                <w:bCs/>
                <w:sz w:val="24"/>
                <w:szCs w:val="22"/>
              </w:rPr>
              <w:t>1</w:t>
            </w:r>
            <w:r w:rsidRPr="009474C3">
              <w:rPr>
                <w:b/>
                <w:bCs/>
                <w:sz w:val="24"/>
                <w:szCs w:val="22"/>
              </w:rPr>
              <w:fldChar w:fldCharType="end"/>
            </w:r>
            <w:bookmarkEnd w:id="5"/>
          </w:p>
        </w:tc>
      </w:tr>
    </w:tbl>
    <w:p w14:paraId="64AEC659" w14:textId="77777777" w:rsidR="00BF46D5" w:rsidRPr="009474C3" w:rsidRDefault="00BF46D5" w:rsidP="00BF46D5">
      <w:pPr>
        <w:spacing w:line="360" w:lineRule="auto"/>
        <w:rPr>
          <w:rFonts w:cs="Arial"/>
          <w:szCs w:val="24"/>
        </w:rPr>
      </w:pPr>
      <w:r w:rsidRPr="009474C3">
        <w:rPr>
          <w:rFonts w:eastAsiaTheme="minorEastAsia" w:cs="Arial"/>
          <w:szCs w:val="24"/>
        </w:rPr>
        <w:t xml:space="preserve">where </w:t>
      </w:r>
      <m:oMath>
        <m:sSup>
          <m:sSupPr>
            <m:ctrlPr>
              <w:rPr>
                <w:rFonts w:ascii="Cambria Math" w:hAnsi="Cambria Math" w:cs="Arial"/>
                <w:i/>
                <w:szCs w:val="24"/>
              </w:rPr>
            </m:ctrlPr>
          </m:sSupPr>
          <m:e>
            <m:r>
              <w:rPr>
                <w:rFonts w:ascii="Cambria Math" w:hAnsi="Cambria Math" w:cs="Arial"/>
                <w:szCs w:val="24"/>
              </w:rPr>
              <m:t>E</m:t>
            </m:r>
          </m:e>
          <m:sup>
            <m:r>
              <w:rPr>
                <w:rFonts w:ascii="Cambria Math" w:hAnsi="Cambria Math" w:cs="Arial"/>
                <w:szCs w:val="24"/>
              </w:rPr>
              <m:t>'</m:t>
            </m:r>
          </m:sup>
        </m:sSup>
        <m:r>
          <w:rPr>
            <w:rFonts w:ascii="Cambria Math" w:hAnsi="Cambria Math" w:cs="Arial"/>
            <w:szCs w:val="24"/>
          </w:rPr>
          <m:t>=E/</m:t>
        </m:r>
        <m:sSup>
          <m:sSupPr>
            <m:ctrlPr>
              <w:rPr>
                <w:rFonts w:ascii="Cambria Math" w:hAnsi="Cambria Math" w:cs="Arial"/>
                <w:i/>
                <w:szCs w:val="24"/>
              </w:rPr>
            </m:ctrlPr>
          </m:sSupPr>
          <m:e>
            <m:d>
              <m:dPr>
                <m:ctrlPr>
                  <w:rPr>
                    <w:rFonts w:ascii="Cambria Math" w:hAnsi="Cambria Math" w:cs="Arial"/>
                    <w:i/>
                    <w:szCs w:val="24"/>
                  </w:rPr>
                </m:ctrlPr>
              </m:dPr>
              <m:e>
                <m:r>
                  <w:rPr>
                    <w:rFonts w:ascii="Cambria Math" w:hAnsi="Cambria Math" w:cs="Arial"/>
                    <w:szCs w:val="24"/>
                  </w:rPr>
                  <m:t>1-v</m:t>
                </m:r>
              </m:e>
            </m:d>
          </m:e>
          <m:sup>
            <m:r>
              <w:rPr>
                <w:rFonts w:ascii="Cambria Math" w:hAnsi="Cambria Math" w:cs="Arial"/>
                <w:szCs w:val="24"/>
              </w:rPr>
              <m:t>2</m:t>
            </m:r>
          </m:sup>
        </m:sSup>
      </m:oMath>
      <w:r w:rsidRPr="009474C3">
        <w:rPr>
          <w:rFonts w:eastAsiaTheme="minorEastAsia" w:cs="Arial"/>
          <w:szCs w:val="24"/>
        </w:rPr>
        <w:t>, with</w:t>
      </w:r>
      <w:r w:rsidRPr="009474C3">
        <w:t xml:space="preserve"> </w:t>
      </w:r>
      <m:oMath>
        <m:r>
          <w:rPr>
            <w:rFonts w:ascii="Cambria Math" w:hAnsi="Cambria Math"/>
          </w:rPr>
          <m:t>E</m:t>
        </m:r>
      </m:oMath>
      <w:r w:rsidRPr="009474C3">
        <w:t xml:space="preserve"> </w:t>
      </w:r>
      <w:r w:rsidRPr="009474C3">
        <w:rPr>
          <w:rFonts w:eastAsiaTheme="minorEastAsia" w:cs="Arial"/>
          <w:szCs w:val="24"/>
        </w:rPr>
        <w:t xml:space="preserve">= Young’s modulus of the rock matrix, and </w:t>
      </w:r>
      <m:oMath>
        <m:sSub>
          <m:sSubPr>
            <m:ctrlPr>
              <w:rPr>
                <w:rFonts w:ascii="Cambria Math" w:eastAsiaTheme="minorEastAsia" w:hAnsi="Cambria Math" w:cs="Arial"/>
                <w:i/>
                <w:szCs w:val="24"/>
              </w:rPr>
            </m:ctrlPr>
          </m:sSubPr>
          <m:e>
            <m:r>
              <w:rPr>
                <w:rFonts w:ascii="Cambria Math" w:eastAsiaTheme="minorEastAsia" w:hAnsi="Cambria Math" w:cs="Arial"/>
                <w:szCs w:val="24"/>
              </w:rPr>
              <m:t>K</m:t>
            </m:r>
          </m:e>
          <m:sub>
            <m:r>
              <w:rPr>
                <w:rFonts w:ascii="Cambria Math" w:eastAsiaTheme="minorEastAsia" w:hAnsi="Cambria Math" w:cs="Arial"/>
                <w:szCs w:val="24"/>
              </w:rPr>
              <m:t>IC</m:t>
            </m:r>
          </m:sub>
        </m:sSub>
      </m:oMath>
      <w:r w:rsidRPr="009474C3">
        <w:rPr>
          <w:rFonts w:eastAsiaTheme="minorEastAsia" w:cs="Arial"/>
          <w:szCs w:val="24"/>
        </w:rPr>
        <w:t xml:space="preserve"> is the Mode I fracture toughness </w:t>
      </w:r>
      <w:r w:rsidRPr="009474C3">
        <w:rPr>
          <w:rFonts w:cs="Arial"/>
          <w:szCs w:val="24"/>
        </w:rPr>
        <w:t xml:space="preserve">defined by </w:t>
      </w:r>
      <w:proofErr w:type="spellStart"/>
      <w:r w:rsidRPr="009474C3">
        <w:rPr>
          <w:rFonts w:cs="Arial"/>
          <w:szCs w:val="24"/>
        </w:rPr>
        <w:t>Zang</w:t>
      </w:r>
      <w:proofErr w:type="spellEnd"/>
      <w:r w:rsidRPr="009474C3">
        <w:rPr>
          <w:rFonts w:cs="Arial"/>
          <w:szCs w:val="24"/>
        </w:rPr>
        <w:t xml:space="preserve"> </w:t>
      </w:r>
      <w:r w:rsidRPr="009474C3">
        <w:rPr>
          <w:rFonts w:cs="Arial"/>
          <w:szCs w:val="24"/>
        </w:rPr>
        <w:fldChar w:fldCharType="begin"/>
      </w:r>
      <w:r w:rsidRPr="009474C3">
        <w:rPr>
          <w:rFonts w:cs="Arial"/>
          <w:szCs w:val="24"/>
        </w:rPr>
        <w:instrText xml:space="preserve"> ADDIN ZOTERO_ITEM CSL_CITATION {"citationID":"KL3SU4Jq","properties":{"formattedCitation":"(2002)","plainCitation":"(2002)","noteIndex":0},"citationItems":[{"id":856,"uris":["http://zotero.org/users/18594503/items/FWMRBAIN"],"itemData":{"id":856,"type":"article-journal","container-title":"International journal of rock mechanics and mining sciences","ISSN":"1365-1609","issue":"3","journalAbbreviation":"International journal of rock mechanics and mining sciences","page":"401-406","publisher":"Elsevier","title":"An empirical relation between mode I fracture toughness and the tensile strength of rock","volume":"39","author":[{"family":"Zhang","given":"ZX"}],"issued":{"date-parts":[["2002"]]}},"suppress-author":true}],"schema":"https://github.com/citation-style-language/schema/raw/master/csl-citation.json"} </w:instrText>
      </w:r>
      <w:r w:rsidRPr="009474C3">
        <w:rPr>
          <w:rFonts w:cs="Arial"/>
          <w:szCs w:val="24"/>
        </w:rPr>
        <w:fldChar w:fldCharType="separate"/>
      </w:r>
      <w:r w:rsidRPr="009474C3">
        <w:rPr>
          <w:rFonts w:cs="Arial"/>
        </w:rPr>
        <w:t>(2002)</w:t>
      </w:r>
      <w:r w:rsidRPr="009474C3">
        <w:rPr>
          <w:rFonts w:cs="Arial"/>
          <w:szCs w:val="24"/>
        </w:rPr>
        <w:fldChar w:fldCharType="end"/>
      </w:r>
      <w:r w:rsidRPr="009474C3">
        <w:rPr>
          <w:rFonts w:cs="Arial"/>
          <w:szCs w:val="24"/>
        </w:rPr>
        <w:t xml:space="preserve"> as follows:</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BF46D5" w:rsidRPr="009474C3" w14:paraId="2854CD1C" w14:textId="77777777" w:rsidTr="004C5BCC">
        <w:tc>
          <w:tcPr>
            <w:tcW w:w="4819" w:type="dxa"/>
          </w:tcPr>
          <w:p w14:paraId="1FFC3B2C" w14:textId="77777777" w:rsidR="00BF46D5" w:rsidRPr="009474C3" w:rsidRDefault="001F624F" w:rsidP="004C5BCC">
            <w:pPr>
              <w:pStyle w:val="Didascalie"/>
              <w:spacing w:line="360" w:lineRule="auto"/>
              <w:jc w:val="left"/>
            </w:pPr>
            <m:oMath>
              <m:sSubSup>
                <m:sSubSupPr>
                  <m:ctrlPr>
                    <w:rPr>
                      <w:rFonts w:ascii="Cambria Math" w:hAnsi="Cambria Math"/>
                      <w:sz w:val="24"/>
                      <w:szCs w:val="24"/>
                    </w:rPr>
                  </m:ctrlPr>
                </m:sSubSupPr>
                <m:e>
                  <m:r>
                    <w:rPr>
                      <w:rFonts w:ascii="Cambria Math" w:hAnsi="Cambria Math"/>
                      <w:sz w:val="24"/>
                      <w:szCs w:val="24"/>
                    </w:rPr>
                    <m:t>K</m:t>
                  </m:r>
                </m:e>
                <m:sub>
                  <m:r>
                    <w:rPr>
                      <w:rFonts w:ascii="Cambria Math" w:hAnsi="Cambria Math"/>
                      <w:sz w:val="24"/>
                      <w:szCs w:val="24"/>
                    </w:rPr>
                    <m:t>IC</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t</m:t>
                  </m:r>
                </m:sub>
              </m:sSub>
              <m:r>
                <w:rPr>
                  <w:rFonts w:ascii="Cambria Math" w:hAnsi="Cambria Math"/>
                  <w:sz w:val="24"/>
                  <w:szCs w:val="24"/>
                </w:rPr>
                <m:t>/6.88</m:t>
              </m:r>
            </m:oMath>
            <w:r w:rsidR="00BF46D5" w:rsidRPr="009474C3">
              <w:t xml:space="preserve"> </w:t>
            </w:r>
          </w:p>
        </w:tc>
        <w:tc>
          <w:tcPr>
            <w:tcW w:w="4819" w:type="dxa"/>
          </w:tcPr>
          <w:p w14:paraId="2A76BD9C" w14:textId="77777777" w:rsidR="00BF46D5" w:rsidRPr="009474C3" w:rsidRDefault="00BF46D5" w:rsidP="004C5BCC">
            <w:pPr>
              <w:pStyle w:val="Didascalie"/>
              <w:spacing w:line="360" w:lineRule="auto"/>
              <w:jc w:val="right"/>
              <w:rPr>
                <w:b/>
                <w:bCs/>
              </w:rPr>
            </w:pPr>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Pr="009474C3">
              <w:rPr>
                <w:b/>
                <w:bCs/>
                <w:sz w:val="24"/>
                <w:szCs w:val="22"/>
              </w:rPr>
              <w:t>2</w:t>
            </w:r>
            <w:r w:rsidRPr="009474C3">
              <w:rPr>
                <w:b/>
                <w:bCs/>
                <w:sz w:val="24"/>
                <w:szCs w:val="22"/>
              </w:rPr>
              <w:fldChar w:fldCharType="end"/>
            </w:r>
          </w:p>
        </w:tc>
      </w:tr>
    </w:tbl>
    <w:p w14:paraId="584D70EE" w14:textId="77777777" w:rsidR="00BF46D5" w:rsidRPr="009474C3" w:rsidRDefault="00BF46D5" w:rsidP="00BF46D5">
      <w:pPr>
        <w:spacing w:line="360" w:lineRule="auto"/>
        <w:rPr>
          <w:rFonts w:eastAsiaTheme="minorEastAsia" w:cs="Arial"/>
          <w:szCs w:val="24"/>
        </w:rPr>
      </w:pPr>
      <w:proofErr w:type="gramStart"/>
      <w:r w:rsidRPr="009474C3">
        <w:rPr>
          <w:rFonts w:cs="Arial"/>
          <w:szCs w:val="24"/>
        </w:rPr>
        <w:t>where</w:t>
      </w:r>
      <w:proofErr w:type="gramEnd"/>
      <w:r w:rsidRPr="009474C3">
        <w:rPr>
          <w:rFonts w:cs="Arial"/>
          <w:szCs w:val="24"/>
        </w:rPr>
        <w:t xml:space="preserve"> </w:t>
      </w:r>
      <m:oMath>
        <m:sSub>
          <m:sSubPr>
            <m:ctrlPr>
              <w:rPr>
                <w:rFonts w:ascii="Cambria Math" w:hAnsi="Cambria Math" w:cs="Arial"/>
                <w:i/>
                <w:szCs w:val="24"/>
              </w:rPr>
            </m:ctrlPr>
          </m:sSubPr>
          <m:e>
            <m:r>
              <w:rPr>
                <w:rFonts w:ascii="Cambria Math" w:hAnsi="Cambria Math" w:cs="Arial"/>
                <w:szCs w:val="24"/>
              </w:rPr>
              <m:t>f</m:t>
            </m:r>
          </m:e>
          <m:sub>
            <m:r>
              <w:rPr>
                <w:rFonts w:ascii="Cambria Math" w:hAnsi="Cambria Math" w:cs="Arial"/>
                <w:szCs w:val="24"/>
              </w:rPr>
              <m:t>t</m:t>
            </m:r>
          </m:sub>
        </m:sSub>
      </m:oMath>
      <w:r w:rsidRPr="009474C3">
        <w:rPr>
          <w:rFonts w:eastAsiaTheme="minorEastAsia" w:cs="Arial"/>
          <w:szCs w:val="24"/>
        </w:rPr>
        <w:t xml:space="preserve"> is the tensile strength. </w:t>
      </w:r>
    </w:p>
    <w:p w14:paraId="2DF2386C" w14:textId="7EBBEE28" w:rsidR="00BF46D5" w:rsidRPr="009474C3" w:rsidRDefault="00BF46D5" w:rsidP="00BF46D5">
      <w:pPr>
        <w:spacing w:line="360" w:lineRule="auto"/>
        <w:rPr>
          <w:rFonts w:eastAsiaTheme="minorEastAsia" w:cs="Arial"/>
          <w:szCs w:val="24"/>
        </w:rPr>
      </w:pPr>
      <w:r w:rsidRPr="009474C3">
        <w:rPr>
          <w:rFonts w:eastAsiaTheme="minorEastAsia" w:cs="Arial"/>
          <w:szCs w:val="24"/>
        </w:rPr>
        <w:t xml:space="preserve">Mode II fracture energy was taken to be ten times higher than the Mode I energy </w:t>
      </w:r>
      <w:r w:rsidRPr="009474C3">
        <w:rPr>
          <w:rFonts w:cs="Arial"/>
          <w:szCs w:val="24"/>
        </w:rPr>
        <w:fldChar w:fldCharType="begin"/>
      </w:r>
      <w:r w:rsidRPr="009474C3">
        <w:rPr>
          <w:rFonts w:cs="Arial"/>
          <w:szCs w:val="24"/>
        </w:rPr>
        <w:instrText xml:space="preserve"> ADDIN ZOTERO_ITEM CSL_CITATION {"citationID":"1dJrwgjj","properties":{"formattedCitation":"(Irazu 2D - Theory Manual, 2024)","plainCitation":"(Irazu 2D - Theory Manual, 2024)","dontUpdate":true,"noteIndex":0},"citationItems":[{"id":847,"uris":["http://zotero.org/users/18594503/items/L3FA9NST"],"itemData":{"id":847,"type":"article-journal","title":"Irazu 2D Geomechanical Simulation Software. V. 6.1. Theory Manual.","author":[{"family":"Irazu 2D - Theory Manual","given":""}],"issued":{"date-parts":[["2024"]]}}}],"schema":"https://github.com/citation-style-language/schema/raw/master/csl-citation.json"} </w:instrText>
      </w:r>
      <w:r w:rsidRPr="009474C3">
        <w:rPr>
          <w:rFonts w:cs="Arial"/>
          <w:szCs w:val="24"/>
        </w:rPr>
        <w:fldChar w:fldCharType="separate"/>
      </w:r>
      <w:r w:rsidRPr="009474C3">
        <w:rPr>
          <w:rFonts w:cs="Arial"/>
        </w:rPr>
        <w:t>(Irazu, 2024)</w:t>
      </w:r>
      <w:r w:rsidRPr="009474C3">
        <w:rPr>
          <w:rFonts w:cs="Arial"/>
          <w:szCs w:val="24"/>
        </w:rPr>
        <w:fldChar w:fldCharType="end"/>
      </w:r>
      <w:r w:rsidRPr="009474C3">
        <w:rPr>
          <w:rFonts w:eastAsiaTheme="minorEastAsia" w:cs="Arial"/>
          <w:szCs w:val="24"/>
        </w:rPr>
        <w:t xml:space="preserve">. </w:t>
      </w:r>
    </w:p>
    <w:p w14:paraId="0A0630FC" w14:textId="7739EEAB" w:rsidR="007A0645" w:rsidRPr="007A0645" w:rsidRDefault="007A0645" w:rsidP="007A0645">
      <w:pPr>
        <w:pStyle w:val="Heading1"/>
        <w:spacing w:before="120" w:after="120" w:line="360" w:lineRule="auto"/>
        <w:rPr>
          <w:rFonts w:ascii="Times New Roman" w:hAnsi="Times New Roman"/>
          <w:b/>
          <w:smallCaps/>
          <w:color w:val="000000" w:themeColor="text1"/>
          <w:sz w:val="28"/>
        </w:rPr>
      </w:pPr>
      <w:r w:rsidRPr="007A0645">
        <w:rPr>
          <w:rFonts w:ascii="Times New Roman" w:hAnsi="Times New Roman"/>
          <w:b/>
          <w:smallCaps/>
          <w:color w:val="000000" w:themeColor="text1"/>
          <w:sz w:val="28"/>
        </w:rPr>
        <w:t xml:space="preserve">The technical process to define a notch width representative of the coastal retreat rate characterising the cliffs at Punta </w:t>
      </w:r>
      <w:proofErr w:type="spellStart"/>
      <w:r w:rsidRPr="007A0645">
        <w:rPr>
          <w:rFonts w:ascii="Times New Roman" w:hAnsi="Times New Roman"/>
          <w:b/>
          <w:smallCaps/>
          <w:color w:val="000000" w:themeColor="text1"/>
          <w:sz w:val="28"/>
        </w:rPr>
        <w:t>Eolo</w:t>
      </w:r>
      <w:proofErr w:type="spellEnd"/>
    </w:p>
    <w:p w14:paraId="165D1535" w14:textId="2BBEDE39" w:rsidR="007A0645" w:rsidRPr="009474C3" w:rsidRDefault="007A0645" w:rsidP="007A0645">
      <w:pPr>
        <w:spacing w:line="360" w:lineRule="auto"/>
      </w:pPr>
      <w:r w:rsidRPr="007A0645">
        <w:rPr>
          <w:rFonts w:eastAsiaTheme="minorEastAsia" w:cs="Arial"/>
          <w:szCs w:val="24"/>
        </w:rPr>
        <w:t xml:space="preserve">The relationship proposed by </w:t>
      </w:r>
      <w:proofErr w:type="spellStart"/>
      <w:r w:rsidRPr="007A0645">
        <w:rPr>
          <w:rFonts w:eastAsiaTheme="minorEastAsia" w:cs="Arial"/>
          <w:szCs w:val="24"/>
        </w:rPr>
        <w:t>Sunamura</w:t>
      </w:r>
      <w:proofErr w:type="spellEnd"/>
      <w:r w:rsidRPr="007A0645">
        <w:rPr>
          <w:rFonts w:eastAsiaTheme="minorEastAsia" w:cs="Arial"/>
          <w:szCs w:val="24"/>
        </w:rPr>
        <w:t xml:space="preserve"> </w:t>
      </w:r>
      <w:r w:rsidRPr="007A0645">
        <w:rPr>
          <w:rFonts w:eastAsiaTheme="minorEastAsia" w:cs="Arial"/>
          <w:szCs w:val="24"/>
        </w:rPr>
        <w:fldChar w:fldCharType="begin"/>
      </w:r>
      <w:r w:rsidRPr="007A0645">
        <w:rPr>
          <w:rFonts w:eastAsiaTheme="minorEastAsia" w:cs="Arial"/>
          <w:szCs w:val="24"/>
        </w:rPr>
        <w:instrText xml:space="preserve"> ADDIN ZOTERO_ITEM CSL_CITATION {"citationID":"sX6PjMb5","properties":{"formattedCitation":"(1992)","plainCitation":"(1992)","noteIndex":0},"citationItems":[{"id":708,"uris":["http://zotero.org/users/18594503/items/E5WPKV5Y"],"itemData":{"id":708,"type":"book","ISBN":"0-471-91775-3","publisher":"Wiley","title":"Geomorphology of rocky coasts","volume":"3","author":[{"family":"Sunamura","given":"Tsuguo"}],"issued":{"date-parts":[["1992"]]}},"suppress-author":true}],"schema":"https://github.com/citation-style-language/schema/raw/master/csl-citation.json"} </w:instrText>
      </w:r>
      <w:r w:rsidRPr="007A0645">
        <w:rPr>
          <w:rFonts w:eastAsiaTheme="minorEastAsia" w:cs="Arial"/>
          <w:szCs w:val="24"/>
        </w:rPr>
        <w:fldChar w:fldCharType="separate"/>
      </w:r>
      <w:r w:rsidRPr="007A0645">
        <w:rPr>
          <w:rFonts w:eastAsiaTheme="minorEastAsia" w:cs="Arial"/>
          <w:szCs w:val="24"/>
        </w:rPr>
        <w:t>(1992)</w:t>
      </w:r>
      <w:r w:rsidRPr="007A0645">
        <w:rPr>
          <w:rFonts w:eastAsiaTheme="minorEastAsia" w:cs="Arial"/>
          <w:szCs w:val="24"/>
        </w:rPr>
        <w:fldChar w:fldCharType="end"/>
      </w:r>
      <w:r w:rsidRPr="007A0645">
        <w:rPr>
          <w:rFonts w:eastAsiaTheme="minorEastAsia" w:cs="Arial"/>
          <w:szCs w:val="24"/>
        </w:rPr>
        <w:t xml:space="preserve"> was used to define a notch width representative of the coastal retreat rate characterising the cliffs at Punta </w:t>
      </w:r>
      <w:proofErr w:type="spellStart"/>
      <w:r w:rsidRPr="007A0645">
        <w:rPr>
          <w:rFonts w:eastAsiaTheme="minorEastAsia" w:cs="Arial"/>
          <w:szCs w:val="24"/>
        </w:rPr>
        <w:t>Eolo</w:t>
      </w:r>
      <w:proofErr w:type="spellEnd"/>
      <w:r w:rsidRPr="007A0645">
        <w:rPr>
          <w:rFonts w:eastAsiaTheme="minorEastAsia" w:cs="Arial"/>
          <w:szCs w:val="24"/>
        </w:rPr>
        <w:t>.</w:t>
      </w:r>
      <w:r>
        <w:rPr>
          <w:rFonts w:eastAsiaTheme="minorEastAsia" w:cs="Arial"/>
          <w:szCs w:val="24"/>
        </w:rPr>
        <w:t xml:space="preserve"> </w:t>
      </w:r>
      <w:r w:rsidRPr="007A0645">
        <w:rPr>
          <w:rFonts w:eastAsiaTheme="minorEastAsia" w:cs="Arial"/>
          <w:szCs w:val="24"/>
        </w:rPr>
        <w:t>In this formulation, the forces driving notch development are expressed as the ratio between assailing (</w:t>
      </w:r>
      <w:proofErr w:type="spellStart"/>
      <w:r w:rsidRPr="007A0645">
        <w:rPr>
          <w:rFonts w:eastAsiaTheme="minorEastAsia" w:cs="Arial"/>
          <w:szCs w:val="24"/>
        </w:rPr>
        <w:t>Fw</w:t>
      </w:r>
      <w:proofErr w:type="spellEnd"/>
      <w:r w:rsidRPr="007A0645">
        <w:rPr>
          <w:rFonts w:eastAsiaTheme="minorEastAsia" w:cs="Arial"/>
          <w:szCs w:val="24"/>
        </w:rPr>
        <w:t>) and resisting</w:t>
      </w:r>
      <w:r w:rsidRPr="009474C3">
        <w:t xml:space="preserve"> (Fr) forces. The assailing forces include the hydraulic, abrasive and wave actions </w:t>
      </w:r>
      <w:r w:rsidRPr="009474C3">
        <w:lastRenderedPageBreak/>
        <w:t xml:space="preserve">exerted by sea-wave impacts on the cliff, while the resisting forces are primarily controlled by the strength of the rock mass. According to </w:t>
      </w:r>
      <w:proofErr w:type="spellStart"/>
      <w:r w:rsidRPr="009474C3">
        <w:t>Sunamura</w:t>
      </w:r>
      <w:proofErr w:type="spellEnd"/>
      <w:r w:rsidRPr="009474C3">
        <w:t xml:space="preserve"> </w:t>
      </w:r>
      <w:r w:rsidRPr="009474C3">
        <w:fldChar w:fldCharType="begin"/>
      </w:r>
      <w:r w:rsidRPr="009474C3">
        <w:instrText xml:space="preserve"> ADDIN ZOTERO_ITEM CSL_CITATION {"citationID":"h2LDYgQD","properties":{"formattedCitation":"(1977)","plainCitation":"(1977)","noteIndex":0},"citationItems":[{"id":458,"uris":["http://zotero.org/users/18594503/items/HQKZHU7X"],"itemData":{"id":458,"type":"article-journal","container-title":"The Journal of Geology","DOI":"10.1086/628340","ISSN":"0022-1376, 1537-5269","issue":"5","journalAbbreviation":"The Journal of Geology","language":"en","page":"613-618","source":"DOI.org (Crossref)","title":"A Relationship between Wave-Induced Cliff Erosion and Erosive Force of Waves","volume":"85","author":[{"family":"Sunamura","given":"Tsuguo"}],"issued":{"date-parts":[["1977",9]]}},"suppress-author":true}],"schema":"https://github.com/citation-style-language/schema/raw/master/csl-citation.json"} </w:instrText>
      </w:r>
      <w:r w:rsidRPr="009474C3">
        <w:fldChar w:fldCharType="separate"/>
      </w:r>
      <w:r w:rsidRPr="009474C3">
        <w:t>(1977)</w:t>
      </w:r>
      <w:r w:rsidRPr="009474C3">
        <w:fldChar w:fldCharType="end"/>
      </w:r>
      <w:r w:rsidRPr="009474C3">
        <w:t xml:space="preserve">, the controlling equation for notch development relates </w:t>
      </w:r>
      <w:proofErr w:type="spellStart"/>
      <w:r w:rsidRPr="009474C3">
        <w:t>Fw</w:t>
      </w:r>
      <w:proofErr w:type="spellEnd"/>
      <w:r w:rsidRPr="009474C3">
        <w:t xml:space="preserve"> and Fr as:</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7A0645" w:rsidRPr="009474C3" w14:paraId="22D03FB6" w14:textId="77777777" w:rsidTr="004C5BCC">
        <w:tc>
          <w:tcPr>
            <w:tcW w:w="4819" w:type="dxa"/>
          </w:tcPr>
          <w:p w14:paraId="0C0358EA" w14:textId="77777777" w:rsidR="007A0645" w:rsidRPr="009474C3" w:rsidRDefault="007A0645" w:rsidP="004C5BCC">
            <w:pPr>
              <w:pStyle w:val="Didascalie"/>
              <w:spacing w:line="360" w:lineRule="auto"/>
              <w:jc w:val="right"/>
            </w:pPr>
            <m:oMathPara>
              <m:oMathParaPr>
                <m:jc m:val="left"/>
              </m:oMathParaPr>
              <m:oMath>
                <m:r>
                  <w:rPr>
                    <w:rFonts w:ascii="Cambria Math" w:hAnsi="Cambria Math"/>
                    <w:sz w:val="24"/>
                    <w:szCs w:val="24"/>
                  </w:rPr>
                  <m:t>R=k</m:t>
                </m:r>
                <m:func>
                  <m:funcPr>
                    <m:ctrlPr>
                      <w:rPr>
                        <w:rFonts w:ascii="Cambria Math" w:hAnsi="Cambria Math"/>
                        <w:sz w:val="24"/>
                        <w:szCs w:val="24"/>
                      </w:rPr>
                    </m:ctrlPr>
                  </m:funcPr>
                  <m:fName>
                    <m:r>
                      <w:rPr>
                        <w:rFonts w:ascii="Cambria Math" w:hAnsi="Cambria Math"/>
                        <w:sz w:val="24"/>
                        <w:szCs w:val="24"/>
                      </w:rPr>
                      <m:t>ln</m:t>
                    </m:r>
                  </m:fName>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Fw</m:t>
                            </m:r>
                          </m:num>
                          <m:den>
                            <m:r>
                              <w:rPr>
                                <w:rFonts w:ascii="Cambria Math" w:hAnsi="Cambria Math"/>
                                <w:sz w:val="24"/>
                                <w:szCs w:val="24"/>
                              </w:rPr>
                              <m:t>Fr</m:t>
                            </m:r>
                          </m:den>
                        </m:f>
                      </m:e>
                    </m:d>
                  </m:e>
                </m:func>
              </m:oMath>
            </m:oMathPara>
          </w:p>
        </w:tc>
        <w:tc>
          <w:tcPr>
            <w:tcW w:w="4819" w:type="dxa"/>
          </w:tcPr>
          <w:p w14:paraId="7776C77F" w14:textId="4F6A70A9" w:rsidR="007A0645" w:rsidRPr="009474C3" w:rsidRDefault="007A0645" w:rsidP="004C5BCC">
            <w:pPr>
              <w:pStyle w:val="Didascalie"/>
              <w:spacing w:line="360" w:lineRule="auto"/>
              <w:jc w:val="right"/>
              <w:rPr>
                <w:b/>
                <w:bCs/>
              </w:rPr>
            </w:pPr>
            <w:bookmarkStart w:id="6" w:name="_Ref211890568"/>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001C3DA4">
              <w:rPr>
                <w:b/>
                <w:bCs/>
                <w:noProof/>
                <w:sz w:val="24"/>
                <w:szCs w:val="22"/>
              </w:rPr>
              <w:t>1</w:t>
            </w:r>
            <w:r w:rsidRPr="009474C3">
              <w:rPr>
                <w:b/>
                <w:bCs/>
                <w:sz w:val="24"/>
                <w:szCs w:val="22"/>
              </w:rPr>
              <w:fldChar w:fldCharType="end"/>
            </w:r>
            <w:bookmarkEnd w:id="6"/>
          </w:p>
        </w:tc>
      </w:tr>
      <w:tr w:rsidR="007A0645" w:rsidRPr="009474C3" w14:paraId="183C2911" w14:textId="77777777" w:rsidTr="004C5BCC">
        <w:tc>
          <w:tcPr>
            <w:tcW w:w="4819" w:type="dxa"/>
          </w:tcPr>
          <w:p w14:paraId="2A28E43D" w14:textId="77777777" w:rsidR="007A0645" w:rsidRPr="009474C3" w:rsidRDefault="007A0645" w:rsidP="004C5BCC">
            <w:pPr>
              <w:pStyle w:val="Didascalie"/>
              <w:spacing w:line="360" w:lineRule="auto"/>
              <w:jc w:val="center"/>
            </w:pPr>
            <m:oMathPara>
              <m:oMathParaPr>
                <m:jc m:val="left"/>
              </m:oMathParaPr>
              <m:oMath>
                <m:r>
                  <w:rPr>
                    <w:rFonts w:ascii="Cambria Math" w:hAnsi="Cambria Math"/>
                    <w:sz w:val="24"/>
                    <w:szCs w:val="24"/>
                  </w:rPr>
                  <m:t>Fw=EρgH</m:t>
                </m:r>
              </m:oMath>
            </m:oMathPara>
          </w:p>
        </w:tc>
        <w:tc>
          <w:tcPr>
            <w:tcW w:w="4819" w:type="dxa"/>
          </w:tcPr>
          <w:p w14:paraId="7DC8B7B2" w14:textId="0FFA56B7" w:rsidR="007A0645" w:rsidRPr="009474C3" w:rsidRDefault="007A0645" w:rsidP="004C5BCC">
            <w:pPr>
              <w:pStyle w:val="Didascalie"/>
              <w:spacing w:line="360" w:lineRule="auto"/>
              <w:jc w:val="right"/>
              <w:rPr>
                <w:b/>
                <w:bCs/>
              </w:rPr>
            </w:pPr>
            <w:bookmarkStart w:id="7" w:name="_Ref211890563"/>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001C3DA4">
              <w:rPr>
                <w:b/>
                <w:bCs/>
                <w:noProof/>
                <w:sz w:val="24"/>
                <w:szCs w:val="22"/>
              </w:rPr>
              <w:t>2</w:t>
            </w:r>
            <w:r w:rsidRPr="009474C3">
              <w:rPr>
                <w:b/>
                <w:bCs/>
                <w:sz w:val="24"/>
                <w:szCs w:val="22"/>
              </w:rPr>
              <w:fldChar w:fldCharType="end"/>
            </w:r>
            <w:bookmarkEnd w:id="7"/>
          </w:p>
        </w:tc>
      </w:tr>
      <w:tr w:rsidR="007A0645" w:rsidRPr="009474C3" w14:paraId="3584E012" w14:textId="77777777" w:rsidTr="004C5BCC">
        <w:tc>
          <w:tcPr>
            <w:tcW w:w="4819" w:type="dxa"/>
          </w:tcPr>
          <w:p w14:paraId="57003F53" w14:textId="77777777" w:rsidR="007A0645" w:rsidRPr="009474C3" w:rsidRDefault="007A0645" w:rsidP="004C5BCC">
            <w:pPr>
              <w:pStyle w:val="Didascalie"/>
              <w:spacing w:line="360" w:lineRule="auto"/>
              <w:jc w:val="center"/>
            </w:pPr>
            <m:oMathPara>
              <m:oMathParaPr>
                <m:jc m:val="left"/>
              </m:oMathParaPr>
              <m:oMath>
                <m:r>
                  <w:rPr>
                    <w:rFonts w:ascii="Cambria Math" w:hAnsi="Cambria Math"/>
                    <w:sz w:val="24"/>
                    <w:szCs w:val="24"/>
                  </w:rPr>
                  <m:t>Fr=ISc</m:t>
                </m:r>
              </m:oMath>
            </m:oMathPara>
          </w:p>
        </w:tc>
        <w:tc>
          <w:tcPr>
            <w:tcW w:w="4819" w:type="dxa"/>
          </w:tcPr>
          <w:p w14:paraId="3F8A3E4D" w14:textId="5C8D01CF" w:rsidR="007A0645" w:rsidRPr="009474C3" w:rsidRDefault="007A0645" w:rsidP="004C5BCC">
            <w:pPr>
              <w:pStyle w:val="Didascalie"/>
              <w:spacing w:line="360" w:lineRule="auto"/>
              <w:jc w:val="right"/>
              <w:rPr>
                <w:b/>
                <w:bCs/>
              </w:rPr>
            </w:pPr>
            <w:bookmarkStart w:id="8" w:name="_Ref211890567"/>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001C3DA4">
              <w:rPr>
                <w:b/>
                <w:bCs/>
                <w:noProof/>
                <w:sz w:val="24"/>
                <w:szCs w:val="22"/>
              </w:rPr>
              <w:t>3</w:t>
            </w:r>
            <w:r w:rsidRPr="009474C3">
              <w:rPr>
                <w:b/>
                <w:bCs/>
                <w:sz w:val="24"/>
                <w:szCs w:val="22"/>
              </w:rPr>
              <w:fldChar w:fldCharType="end"/>
            </w:r>
            <w:bookmarkEnd w:id="8"/>
          </w:p>
        </w:tc>
      </w:tr>
    </w:tbl>
    <w:p w14:paraId="4594F30C" w14:textId="77777777" w:rsidR="007A0645" w:rsidRPr="009474C3" w:rsidRDefault="007A0645" w:rsidP="007A0645">
      <w:pPr>
        <w:spacing w:line="360" w:lineRule="auto"/>
        <w:rPr>
          <w:rFonts w:eastAsiaTheme="minorEastAsia"/>
        </w:rPr>
      </w:pPr>
      <w:r w:rsidRPr="009474C3">
        <w:rPr>
          <w:rFonts w:eastAsiaTheme="minorEastAsia"/>
        </w:rPr>
        <w:t>where</w:t>
      </w:r>
      <w:r w:rsidRPr="009474C3">
        <w:t xml:space="preserve"> </w:t>
      </w:r>
      <m:oMath>
        <m:r>
          <w:rPr>
            <w:rFonts w:ascii="Cambria Math" w:hAnsi="Cambria Math"/>
          </w:rPr>
          <m:t>R</m:t>
        </m:r>
      </m:oMath>
      <w:r w:rsidRPr="009474C3">
        <w:t xml:space="preserve"> </w:t>
      </w:r>
      <w:r w:rsidRPr="009474C3">
        <w:rPr>
          <w:rFonts w:eastAsiaTheme="minorEastAsia"/>
        </w:rPr>
        <w:t xml:space="preserve">is the notch retreat rate, which can be assumed equivalent to the cliff retreat rate, </w:t>
      </w:r>
      <m:oMath>
        <m:r>
          <w:rPr>
            <w:rFonts w:ascii="Cambria Math" w:hAnsi="Cambria Math"/>
          </w:rPr>
          <m:t>k</m:t>
        </m:r>
      </m:oMath>
      <w:r w:rsidRPr="009474C3">
        <w:rPr>
          <w:rFonts w:eastAsiaTheme="minorEastAsia"/>
        </w:rPr>
        <w:t xml:space="preserve"> is a corrective constant with the same unit </w:t>
      </w:r>
      <w:proofErr w:type="gramStart"/>
      <w:r w:rsidRPr="009474C3">
        <w:rPr>
          <w:rFonts w:eastAsiaTheme="minorEastAsia"/>
        </w:rPr>
        <w:t>of</w:t>
      </w:r>
      <w:r w:rsidRPr="009474C3">
        <w:t xml:space="preserve"> </w:t>
      </w:r>
      <w:proofErr w:type="gramEnd"/>
      <m:oMath>
        <m:r>
          <w:rPr>
            <w:rFonts w:ascii="Cambria Math" w:hAnsi="Cambria Math"/>
          </w:rPr>
          <m:t>R</m:t>
        </m:r>
      </m:oMath>
      <w:r w:rsidRPr="009474C3">
        <w:rPr>
          <w:rFonts w:eastAsiaTheme="minorEastAsia"/>
        </w:rPr>
        <w:t xml:space="preserve">, </w:t>
      </w:r>
      <m:oMath>
        <m:r>
          <w:rPr>
            <w:rFonts w:ascii="Cambria Math" w:hAnsi="Cambria Math"/>
          </w:rPr>
          <m:t>H</m:t>
        </m:r>
      </m:oMath>
      <w:r w:rsidRPr="009474C3">
        <w:rPr>
          <w:rFonts w:eastAsiaTheme="minorEastAsia"/>
        </w:rPr>
        <w:t xml:space="preserve"> is the wave height at the cliff toe,</w:t>
      </w:r>
      <w:r w:rsidRPr="009474C3">
        <w:t xml:space="preserve"> </w:t>
      </w:r>
      <m:oMath>
        <m:r>
          <w:rPr>
            <w:rFonts w:ascii="Cambria Math" w:hAnsi="Cambria Math"/>
          </w:rPr>
          <m:t>ρ</m:t>
        </m:r>
      </m:oMath>
      <w:r w:rsidRPr="009474C3">
        <w:t xml:space="preserve"> </w:t>
      </w:r>
      <w:r w:rsidRPr="009474C3">
        <w:rPr>
          <w:rFonts w:eastAsiaTheme="minorEastAsia"/>
        </w:rPr>
        <w:t>is the water density,</w:t>
      </w:r>
      <w:r w:rsidRPr="009474C3">
        <w:t xml:space="preserve"> </w:t>
      </w:r>
      <m:oMath>
        <m:r>
          <w:rPr>
            <w:rFonts w:ascii="Cambria Math" w:hAnsi="Cambria Math"/>
          </w:rPr>
          <m:t>Sc</m:t>
        </m:r>
      </m:oMath>
      <w:r w:rsidRPr="009474C3">
        <w:t xml:space="preserve"> </w:t>
      </w:r>
      <w:r w:rsidRPr="009474C3">
        <w:rPr>
          <w:rFonts w:eastAsiaTheme="minorEastAsia"/>
        </w:rPr>
        <w:t xml:space="preserve">is the compressive strength of the cliff material, and </w:t>
      </w:r>
      <m:oMath>
        <m:r>
          <w:rPr>
            <w:rFonts w:ascii="Cambria Math" w:eastAsiaTheme="minorEastAsia" w:hAnsi="Cambria Math"/>
          </w:rPr>
          <m:t>E</m:t>
        </m:r>
      </m:oMath>
      <w:r w:rsidRPr="009474C3">
        <w:rPr>
          <w:rFonts w:eastAsiaTheme="minorEastAsia"/>
        </w:rPr>
        <w:t xml:space="preserve"> and</w:t>
      </w:r>
      <w:r w:rsidRPr="009474C3">
        <w:t xml:space="preserve"> </w:t>
      </w:r>
      <m:oMath>
        <m:r>
          <w:rPr>
            <w:rFonts w:ascii="Cambria Math" w:hAnsi="Cambria Math"/>
          </w:rPr>
          <m:t>I</m:t>
        </m:r>
      </m:oMath>
      <w:r w:rsidRPr="009474C3">
        <w:t xml:space="preserve"> </w:t>
      </w:r>
      <w:r w:rsidRPr="009474C3">
        <w:rPr>
          <w:rFonts w:eastAsiaTheme="minorEastAsia"/>
        </w:rPr>
        <w:t xml:space="preserve">are dimensionless coefficients representing the efficiency of abrasive beach sediment and weathering-induced weakening, respectively. Cliff retreat occurs when </w:t>
      </w:r>
      <w:proofErr w:type="spellStart"/>
      <w:r w:rsidRPr="009474C3">
        <w:rPr>
          <w:rFonts w:eastAsiaTheme="minorEastAsia"/>
        </w:rPr>
        <w:t>F</w:t>
      </w:r>
      <w:r w:rsidRPr="009474C3">
        <w:rPr>
          <w:rFonts w:eastAsiaTheme="minorEastAsia"/>
          <w:vertAlign w:val="subscript"/>
        </w:rPr>
        <w:t>w</w:t>
      </w:r>
      <w:proofErr w:type="spellEnd"/>
      <w:r w:rsidRPr="009474C3">
        <w:rPr>
          <w:rFonts w:eastAsiaTheme="minorEastAsia"/>
        </w:rPr>
        <w:t xml:space="preserve"> exceeds F</w:t>
      </w:r>
      <w:r w:rsidRPr="009474C3">
        <w:rPr>
          <w:rFonts w:eastAsiaTheme="minorEastAsia"/>
          <w:vertAlign w:val="subscript"/>
        </w:rPr>
        <w:t>r</w:t>
      </w:r>
      <w:r w:rsidRPr="009474C3">
        <w:rPr>
          <w:rFonts w:eastAsiaTheme="minorEastAsia"/>
        </w:rPr>
        <w:t xml:space="preserve">. Substituting </w:t>
      </w:r>
      <w:r w:rsidRPr="009474C3">
        <w:rPr>
          <w:rFonts w:eastAsiaTheme="minorEastAsia"/>
        </w:rPr>
        <w:fldChar w:fldCharType="begin"/>
      </w:r>
      <w:r w:rsidRPr="009474C3">
        <w:rPr>
          <w:rFonts w:eastAsiaTheme="minorEastAsia"/>
        </w:rPr>
        <w:instrText xml:space="preserve"> REF _Ref211890563 \h  \* MERGEFORMAT </w:instrText>
      </w:r>
      <w:r w:rsidRPr="009474C3">
        <w:rPr>
          <w:rFonts w:eastAsiaTheme="minorEastAsia"/>
        </w:rPr>
      </w:r>
      <w:r w:rsidRPr="009474C3">
        <w:rPr>
          <w:rFonts w:eastAsiaTheme="minorEastAsia"/>
        </w:rPr>
        <w:fldChar w:fldCharType="separate"/>
      </w:r>
      <w:r w:rsidRPr="009474C3">
        <w:t>Eq. 4</w:t>
      </w:r>
      <w:r w:rsidRPr="009474C3">
        <w:rPr>
          <w:rFonts w:eastAsiaTheme="minorEastAsia"/>
        </w:rPr>
        <w:fldChar w:fldCharType="end"/>
      </w:r>
      <w:r w:rsidRPr="009474C3">
        <w:rPr>
          <w:rFonts w:eastAsiaTheme="minorEastAsia"/>
        </w:rPr>
        <w:t xml:space="preserve"> and </w:t>
      </w:r>
      <w:r w:rsidRPr="009474C3">
        <w:rPr>
          <w:rFonts w:eastAsiaTheme="minorEastAsia"/>
        </w:rPr>
        <w:fldChar w:fldCharType="begin"/>
      </w:r>
      <w:r w:rsidRPr="009474C3">
        <w:rPr>
          <w:rFonts w:eastAsiaTheme="minorEastAsia"/>
        </w:rPr>
        <w:instrText xml:space="preserve"> REF _Ref211890567 \h  \* MERGEFORMAT </w:instrText>
      </w:r>
      <w:r w:rsidRPr="009474C3">
        <w:rPr>
          <w:rFonts w:eastAsiaTheme="minorEastAsia"/>
        </w:rPr>
      </w:r>
      <w:r w:rsidRPr="009474C3">
        <w:rPr>
          <w:rFonts w:eastAsiaTheme="minorEastAsia"/>
        </w:rPr>
        <w:fldChar w:fldCharType="separate"/>
      </w:r>
      <w:r w:rsidRPr="009474C3">
        <w:t>Eq. 5</w:t>
      </w:r>
      <w:r w:rsidRPr="009474C3">
        <w:rPr>
          <w:rFonts w:eastAsiaTheme="minorEastAsia"/>
        </w:rPr>
        <w:fldChar w:fldCharType="end"/>
      </w:r>
      <w:r w:rsidRPr="009474C3">
        <w:rPr>
          <w:rFonts w:eastAsiaTheme="minorEastAsia"/>
        </w:rPr>
        <w:t xml:space="preserve"> into </w:t>
      </w:r>
      <w:r w:rsidRPr="009474C3">
        <w:rPr>
          <w:rFonts w:eastAsiaTheme="minorEastAsia"/>
        </w:rPr>
        <w:fldChar w:fldCharType="begin"/>
      </w:r>
      <w:r w:rsidRPr="009474C3">
        <w:rPr>
          <w:rFonts w:eastAsiaTheme="minorEastAsia"/>
        </w:rPr>
        <w:instrText xml:space="preserve"> REF _Ref211890568 \h  \* MERGEFORMAT </w:instrText>
      </w:r>
      <w:r w:rsidRPr="009474C3">
        <w:rPr>
          <w:rFonts w:eastAsiaTheme="minorEastAsia"/>
        </w:rPr>
      </w:r>
      <w:r w:rsidRPr="009474C3">
        <w:rPr>
          <w:rFonts w:eastAsiaTheme="minorEastAsia"/>
        </w:rPr>
        <w:fldChar w:fldCharType="separate"/>
      </w:r>
      <w:r w:rsidRPr="009474C3">
        <w:t>Eq. 3</w:t>
      </w:r>
      <w:r w:rsidRPr="009474C3">
        <w:rPr>
          <w:rFonts w:eastAsiaTheme="minorEastAsia"/>
        </w:rPr>
        <w:fldChar w:fldCharType="end"/>
      </w:r>
      <w:r w:rsidRPr="009474C3">
        <w:rPr>
          <w:rFonts w:eastAsiaTheme="minorEastAsia"/>
        </w:rPr>
        <w:t xml:space="preserve"> yields:</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7A0645" w:rsidRPr="009474C3" w14:paraId="103C83B2" w14:textId="77777777" w:rsidTr="004C5BCC">
        <w:tc>
          <w:tcPr>
            <w:tcW w:w="4819" w:type="dxa"/>
          </w:tcPr>
          <w:p w14:paraId="7E3CEB66" w14:textId="77777777" w:rsidR="007A0645" w:rsidRPr="009474C3" w:rsidRDefault="007A0645" w:rsidP="004C5BCC">
            <w:pPr>
              <w:pStyle w:val="Didascalie"/>
              <w:spacing w:line="360" w:lineRule="auto"/>
              <w:jc w:val="left"/>
            </w:pPr>
            <m:oMathPara>
              <m:oMathParaPr>
                <m:jc m:val="left"/>
              </m:oMathParaPr>
              <m:oMath>
                <m:r>
                  <w:rPr>
                    <w:rFonts w:ascii="Cambria Math" w:hAnsi="Cambria Math"/>
                    <w:sz w:val="24"/>
                    <w:szCs w:val="24"/>
                  </w:rPr>
                  <m:t>R=k</m:t>
                </m:r>
                <m:d>
                  <m:dPr>
                    <m:begChr m:val="["/>
                    <m:endChr m:val="]"/>
                    <m:ctrlPr>
                      <w:rPr>
                        <w:rFonts w:ascii="Cambria Math" w:hAnsi="Cambria Math"/>
                        <w:sz w:val="24"/>
                        <w:szCs w:val="24"/>
                      </w:rPr>
                    </m:ctrlPr>
                  </m:dPr>
                  <m:e>
                    <m:r>
                      <w:rPr>
                        <w:rFonts w:ascii="Cambria Math" w:hAnsi="Cambria Math"/>
                        <w:sz w:val="24"/>
                        <w:szCs w:val="24"/>
                      </w:rPr>
                      <m:t xml:space="preserve">Γ+ </m:t>
                    </m:r>
                    <m:func>
                      <m:funcPr>
                        <m:ctrlPr>
                          <w:rPr>
                            <w:rFonts w:ascii="Cambria Math" w:hAnsi="Cambria Math"/>
                            <w:sz w:val="24"/>
                            <w:szCs w:val="24"/>
                          </w:rPr>
                        </m:ctrlPr>
                      </m:funcPr>
                      <m:fName>
                        <m:r>
                          <w:rPr>
                            <w:rFonts w:ascii="Cambria Math" w:hAnsi="Cambria Math"/>
                            <w:sz w:val="24"/>
                            <w:szCs w:val="24"/>
                          </w:rPr>
                          <m:t>ln</m:t>
                        </m:r>
                      </m:fName>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ρgH</m:t>
                                </m:r>
                              </m:num>
                              <m:den>
                                <m:r>
                                  <w:rPr>
                                    <w:rFonts w:ascii="Cambria Math" w:hAnsi="Cambria Math"/>
                                    <w:sz w:val="24"/>
                                    <w:szCs w:val="24"/>
                                  </w:rPr>
                                  <m:t>Sc</m:t>
                                </m:r>
                              </m:den>
                            </m:f>
                          </m:e>
                        </m:d>
                      </m:e>
                    </m:func>
                  </m:e>
                </m:d>
              </m:oMath>
            </m:oMathPara>
          </w:p>
        </w:tc>
        <w:tc>
          <w:tcPr>
            <w:tcW w:w="4819" w:type="dxa"/>
          </w:tcPr>
          <w:p w14:paraId="021F924F" w14:textId="7436A05D" w:rsidR="007A0645" w:rsidRPr="009474C3" w:rsidRDefault="007A0645" w:rsidP="004C5BCC">
            <w:pPr>
              <w:pStyle w:val="Didascalie"/>
              <w:spacing w:line="360" w:lineRule="auto"/>
              <w:jc w:val="right"/>
              <w:rPr>
                <w:b/>
                <w:bCs/>
              </w:rPr>
            </w:pPr>
            <w:bookmarkStart w:id="9" w:name="_Ref213272147"/>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001C3DA4">
              <w:rPr>
                <w:b/>
                <w:bCs/>
                <w:noProof/>
                <w:sz w:val="24"/>
                <w:szCs w:val="22"/>
              </w:rPr>
              <w:t>4</w:t>
            </w:r>
            <w:r w:rsidRPr="009474C3">
              <w:rPr>
                <w:b/>
                <w:bCs/>
                <w:sz w:val="24"/>
                <w:szCs w:val="22"/>
              </w:rPr>
              <w:fldChar w:fldCharType="end"/>
            </w:r>
            <w:bookmarkEnd w:id="9"/>
          </w:p>
        </w:tc>
      </w:tr>
    </w:tbl>
    <w:p w14:paraId="7C94F078" w14:textId="77777777" w:rsidR="007A0645" w:rsidRPr="009474C3" w:rsidRDefault="007A0645" w:rsidP="007A0645">
      <w:pPr>
        <w:spacing w:line="360" w:lineRule="auto"/>
      </w:pPr>
      <w:proofErr w:type="gramStart"/>
      <w:r w:rsidRPr="009474C3">
        <w:t>where</w:t>
      </w:r>
      <w:proofErr w:type="gramEnd"/>
      <w:r w:rsidRPr="009474C3">
        <w:t xml:space="preserve"> </w:t>
      </w:r>
      <m:oMath>
        <m:r>
          <m:rPr>
            <m:sty m:val="p"/>
          </m:rPr>
          <w:rPr>
            <w:rFonts w:ascii="Cambria Math" w:hAnsi="Cambria Math"/>
          </w:rPr>
          <m:t>Γ</m:t>
        </m:r>
      </m:oMath>
      <w:r w:rsidRPr="009474C3">
        <w:t xml:space="preserve"> is a factor relating the efficiency of abrasive beach sediment (E) and weathering-induced weakening (I):</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7A0645" w:rsidRPr="009474C3" w14:paraId="21BF49C5" w14:textId="77777777" w:rsidTr="004C5BCC">
        <w:tc>
          <w:tcPr>
            <w:tcW w:w="4819" w:type="dxa"/>
          </w:tcPr>
          <w:p w14:paraId="78DA3443" w14:textId="77777777" w:rsidR="007A0645" w:rsidRPr="009474C3" w:rsidRDefault="007A0645" w:rsidP="004C5BCC">
            <w:pPr>
              <w:pStyle w:val="Didascalie"/>
              <w:spacing w:line="360" w:lineRule="auto"/>
              <w:jc w:val="left"/>
            </w:pPr>
            <m:oMathPara>
              <m:oMathParaPr>
                <m:jc m:val="left"/>
              </m:oMathParaPr>
              <m:oMath>
                <m:r>
                  <w:rPr>
                    <w:rFonts w:ascii="Cambria Math" w:hAnsi="Cambria Math"/>
                    <w:sz w:val="24"/>
                    <w:szCs w:val="22"/>
                  </w:rPr>
                  <m:t xml:space="preserve">Γ = </m:t>
                </m:r>
                <m:func>
                  <m:funcPr>
                    <m:ctrlPr>
                      <w:rPr>
                        <w:rFonts w:ascii="Cambria Math" w:hAnsi="Cambria Math"/>
                        <w:sz w:val="24"/>
                        <w:szCs w:val="22"/>
                      </w:rPr>
                    </m:ctrlPr>
                  </m:funcPr>
                  <m:fName>
                    <m:r>
                      <w:rPr>
                        <w:rFonts w:ascii="Cambria Math" w:hAnsi="Cambria Math"/>
                        <w:sz w:val="24"/>
                        <w:szCs w:val="22"/>
                      </w:rPr>
                      <m:t>ln</m:t>
                    </m:r>
                  </m:fName>
                  <m:e>
                    <m:d>
                      <m:dPr>
                        <m:ctrlPr>
                          <w:rPr>
                            <w:rFonts w:ascii="Cambria Math" w:hAnsi="Cambria Math"/>
                            <w:sz w:val="24"/>
                            <w:szCs w:val="22"/>
                          </w:rPr>
                        </m:ctrlPr>
                      </m:dPr>
                      <m:e>
                        <m:f>
                          <m:fPr>
                            <m:ctrlPr>
                              <w:rPr>
                                <w:rFonts w:ascii="Cambria Math" w:hAnsi="Cambria Math"/>
                                <w:sz w:val="24"/>
                                <w:szCs w:val="22"/>
                              </w:rPr>
                            </m:ctrlPr>
                          </m:fPr>
                          <m:num>
                            <m:r>
                              <w:rPr>
                                <w:rFonts w:ascii="Cambria Math" w:hAnsi="Cambria Math"/>
                                <w:sz w:val="24"/>
                                <w:szCs w:val="22"/>
                              </w:rPr>
                              <m:t>E</m:t>
                            </m:r>
                          </m:num>
                          <m:den>
                            <m:r>
                              <w:rPr>
                                <w:rFonts w:ascii="Cambria Math" w:hAnsi="Cambria Math"/>
                                <w:sz w:val="24"/>
                                <w:szCs w:val="22"/>
                              </w:rPr>
                              <m:t>I</m:t>
                            </m:r>
                          </m:den>
                        </m:f>
                      </m:e>
                    </m:d>
                  </m:e>
                </m:func>
              </m:oMath>
            </m:oMathPara>
          </w:p>
        </w:tc>
        <w:tc>
          <w:tcPr>
            <w:tcW w:w="4819" w:type="dxa"/>
          </w:tcPr>
          <w:p w14:paraId="6613D42A" w14:textId="37B8D9F5" w:rsidR="007A0645" w:rsidRPr="009474C3" w:rsidRDefault="007A0645" w:rsidP="004C5BCC">
            <w:pPr>
              <w:pStyle w:val="Didascalie"/>
              <w:spacing w:line="360" w:lineRule="auto"/>
              <w:jc w:val="right"/>
              <w:rPr>
                <w:b/>
                <w:bCs/>
              </w:rPr>
            </w:pPr>
            <w:bookmarkStart w:id="10" w:name="_Ref211890374"/>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001C3DA4">
              <w:rPr>
                <w:b/>
                <w:bCs/>
                <w:noProof/>
                <w:sz w:val="24"/>
                <w:szCs w:val="22"/>
              </w:rPr>
              <w:t>5</w:t>
            </w:r>
            <w:r w:rsidRPr="009474C3">
              <w:rPr>
                <w:b/>
                <w:bCs/>
                <w:sz w:val="24"/>
                <w:szCs w:val="22"/>
              </w:rPr>
              <w:fldChar w:fldCharType="end"/>
            </w:r>
            <w:bookmarkEnd w:id="10"/>
          </w:p>
        </w:tc>
      </w:tr>
    </w:tbl>
    <w:p w14:paraId="427DBD5E" w14:textId="4E6DA6FD" w:rsidR="007A0645" w:rsidRPr="009474C3" w:rsidRDefault="007A0645" w:rsidP="007A0645">
      <w:pPr>
        <w:spacing w:line="360" w:lineRule="auto"/>
      </w:pPr>
      <m:oMath>
        <m:r>
          <w:rPr>
            <w:rFonts w:ascii="Cambria Math" w:hAnsi="Cambria Math"/>
          </w:rPr>
          <m:t>E</m:t>
        </m:r>
      </m:oMath>
      <w:r w:rsidRPr="009474C3">
        <w:t xml:space="preserve"> </w:t>
      </w:r>
      <w:proofErr w:type="gramStart"/>
      <w:r w:rsidRPr="009474C3">
        <w:t>is</w:t>
      </w:r>
      <w:proofErr w:type="gramEnd"/>
      <w:r w:rsidRPr="009474C3">
        <w:t xml:space="preserve"> a function of the beach elevation relative to the mean sea level. Although Punto Eolo lacks a beach, hydraulic erosion remains active; therefore </w:t>
      </w:r>
      <m:oMath>
        <m:r>
          <w:rPr>
            <w:rFonts w:ascii="Cambria Math" w:hAnsi="Cambria Math"/>
          </w:rPr>
          <m:t>E</m:t>
        </m:r>
      </m:oMath>
      <w:r w:rsidRPr="009474C3">
        <w:t xml:space="preserve"> was assumed to be 5x10</w:t>
      </w:r>
      <w:r w:rsidRPr="009474C3">
        <w:rPr>
          <w:vertAlign w:val="superscript"/>
        </w:rPr>
        <w:t>4</w:t>
      </w:r>
      <w:r w:rsidRPr="009474C3">
        <w:t xml:space="preserve"> </w:t>
      </w:r>
      <w:r w:rsidRPr="009474C3">
        <w:fldChar w:fldCharType="begin"/>
      </w:r>
      <w:r w:rsidRPr="009474C3">
        <w:instrText xml:space="preserve"> ADDIN ZOTERO_ITEM CSL_CITATION {"citationID":"5RiJ0VZb","properties":{"formattedCitation":"(Kline et al., 2014)","plainCitation":"(Kline et al., 2014)","noteIndex":0},"citationItems":[{"id":457,"uris":["http://zotero.org/users/18594503/items/LXQQJBFT"],"itemData":{"id":457,"type":"article-journal","container-title":"Geomorphology","DOI":"10.1016/j.geomorph.2014.03.037","ISSN":"0169555X","journalAbbreviation":"Geomorphology","language":"en","page":"53-67","source":"DOI.org (Crossref)","title":"The unsteady nature of sea cliff retreat due to mechanical abrasion, failure and comminution feedbacks","volume":"219","author":[{"family":"Kline","given":"Shaun W."},{"family":"Adams","given":"Peter N."},{"family":"Limber","given":"Patrick W."}],"issued":{"date-parts":[["2014",8]]}}}],"schema":"https://github.com/citation-style-language/schema/raw/master/csl-citation.json"} </w:instrText>
      </w:r>
      <w:r w:rsidRPr="009474C3">
        <w:fldChar w:fldCharType="separate"/>
      </w:r>
      <w:r w:rsidRPr="009474C3">
        <w:rPr>
          <w:rFonts w:cs="Arial"/>
        </w:rPr>
        <w:t>(Kline et al., 2014)</w:t>
      </w:r>
      <w:r w:rsidRPr="009474C3">
        <w:fldChar w:fldCharType="end"/>
      </w:r>
      <w:r w:rsidRPr="009474C3">
        <w:t xml:space="preserve">. An appropriate </w:t>
      </w:r>
      <m:oMath>
        <m:r>
          <m:rPr>
            <m:sty m:val="p"/>
          </m:rPr>
          <w:rPr>
            <w:rFonts w:ascii="Cambria Math" w:hAnsi="Cambria Math"/>
          </w:rPr>
          <m:t>Γ</m:t>
        </m:r>
      </m:oMath>
      <w:r w:rsidRPr="009474C3">
        <w:t xml:space="preserve"> value for Punta Eolo can be determined from Eq. 8, assuming a UCS strength of 5 MPa (</w:t>
      </w:r>
      <w:r w:rsidRPr="009474C3">
        <w:rPr>
          <w:highlight w:val="yellow"/>
        </w:rPr>
        <w:fldChar w:fldCharType="begin"/>
      </w:r>
      <w:r w:rsidRPr="009474C3">
        <w:instrText xml:space="preserve"> REF _Ref215587391 \h </w:instrText>
      </w:r>
      <w:r>
        <w:rPr>
          <w:highlight w:val="yellow"/>
        </w:rPr>
        <w:instrText xml:space="preserve"> \* MERGEFORMAT </w:instrText>
      </w:r>
      <w:r w:rsidRPr="009474C3">
        <w:rPr>
          <w:highlight w:val="yellow"/>
        </w:rPr>
      </w:r>
      <w:r w:rsidRPr="009474C3">
        <w:rPr>
          <w:highlight w:val="yellow"/>
        </w:rPr>
        <w:fldChar w:fldCharType="separate"/>
      </w:r>
      <w:r w:rsidR="00851252" w:rsidRPr="00851252">
        <w:t>Fig. 2</w:t>
      </w:r>
      <w:r w:rsidRPr="009474C3">
        <w:rPr>
          <w:highlight w:val="yellow"/>
        </w:rPr>
        <w:fldChar w:fldCharType="end"/>
      </w:r>
      <w:r w:rsidRPr="009474C3">
        <w:t>).</w:t>
      </w:r>
    </w:p>
    <w:p w14:paraId="6CD69ED4" w14:textId="77777777" w:rsidR="007A0645" w:rsidRPr="009474C3" w:rsidRDefault="007A0645" w:rsidP="007A0645">
      <w:pPr>
        <w:pStyle w:val="Immagini"/>
        <w:spacing w:line="360" w:lineRule="auto"/>
        <w:rPr>
          <w:noProof w:val="0"/>
        </w:rPr>
      </w:pPr>
      <w:r w:rsidRPr="009474C3">
        <w:rPr>
          <w:lang w:val="en-US"/>
        </w:rPr>
        <w:drawing>
          <wp:inline distT="0" distB="0" distL="0" distR="0" wp14:anchorId="687CB7FD" wp14:editId="24952427">
            <wp:extent cx="3201143" cy="3201143"/>
            <wp:effectExtent l="0" t="0" r="0" b="0"/>
            <wp:docPr id="508377245" name="Immagine 1" descr="Immagine che contiene schermata, Policromia, linea,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77245" name="Immagine 1" descr="Immagine che contiene schermata, Policromia, linea, testo&#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1143" cy="3201143"/>
                    </a:xfrm>
                    <a:prstGeom prst="rect">
                      <a:avLst/>
                    </a:prstGeom>
                  </pic:spPr>
                </pic:pic>
              </a:graphicData>
            </a:graphic>
          </wp:inline>
        </w:drawing>
      </w:r>
    </w:p>
    <w:p w14:paraId="00982980" w14:textId="6B68BDCA" w:rsidR="007A0645" w:rsidRPr="009474C3" w:rsidRDefault="007A0645" w:rsidP="007A0645">
      <w:pPr>
        <w:pStyle w:val="Caption"/>
        <w:spacing w:line="360" w:lineRule="auto"/>
      </w:pPr>
      <w:bookmarkStart w:id="11" w:name="_Ref215587391"/>
      <w:r>
        <w:rPr>
          <w:b/>
          <w:bCs/>
        </w:rPr>
        <w:t>Fig.</w:t>
      </w:r>
      <w:r w:rsidRPr="009474C3">
        <w:rPr>
          <w:b/>
          <w:bCs/>
        </w:rPr>
        <w:t xml:space="preserve"> </w:t>
      </w:r>
      <w:r w:rsidRPr="009474C3">
        <w:rPr>
          <w:b/>
          <w:bCs/>
        </w:rPr>
        <w:fldChar w:fldCharType="begin"/>
      </w:r>
      <w:r w:rsidRPr="009474C3">
        <w:rPr>
          <w:b/>
          <w:bCs/>
        </w:rPr>
        <w:instrText xml:space="preserve"> SEQ Figure \* ARABIC </w:instrText>
      </w:r>
      <w:r w:rsidRPr="009474C3">
        <w:rPr>
          <w:b/>
          <w:bCs/>
        </w:rPr>
        <w:fldChar w:fldCharType="separate"/>
      </w:r>
      <w:r w:rsidR="00851252">
        <w:rPr>
          <w:b/>
          <w:bCs/>
          <w:noProof/>
        </w:rPr>
        <w:t>2</w:t>
      </w:r>
      <w:r w:rsidRPr="009474C3">
        <w:rPr>
          <w:b/>
          <w:bCs/>
        </w:rPr>
        <w:fldChar w:fldCharType="end"/>
      </w:r>
      <w:bookmarkEnd w:id="11"/>
      <w:r w:rsidRPr="009474C3">
        <w:t xml:space="preserve"> Plot of wave height at the cliff face (</w:t>
      </w:r>
      <w:proofErr w:type="spellStart"/>
      <w:r w:rsidRPr="009474C3">
        <w:t>H</w:t>
      </w:r>
      <w:r w:rsidRPr="009474C3">
        <w:rPr>
          <w:vertAlign w:val="subscript"/>
        </w:rPr>
        <w:t>cliff</w:t>
      </w:r>
      <w:proofErr w:type="spellEnd"/>
      <w:r w:rsidRPr="009474C3">
        <w:t xml:space="preserve">) versus average retreat rate (R) for Punta </w:t>
      </w:r>
      <w:proofErr w:type="spellStart"/>
      <w:r w:rsidRPr="009474C3">
        <w:t>Eolo</w:t>
      </w:r>
      <w:proofErr w:type="spellEnd"/>
      <w:r w:rsidRPr="009474C3">
        <w:t xml:space="preserve"> cliff at </w:t>
      </w:r>
      <w:proofErr w:type="spellStart"/>
      <w:r w:rsidRPr="009474C3">
        <w:t>Ventotene</w:t>
      </w:r>
      <w:proofErr w:type="spellEnd"/>
      <w:r w:rsidRPr="009474C3">
        <w:t xml:space="preserve">. The contours represent the </w:t>
      </w:r>
      <m:oMath>
        <m:r>
          <w:rPr>
            <w:rFonts w:ascii="Cambria Math" w:hAnsi="Cambria Math"/>
          </w:rPr>
          <m:t>Γ</m:t>
        </m:r>
      </m:oMath>
      <w:r w:rsidRPr="009474C3">
        <w:t xml:space="preserve"> value required for the corresponding R value according with Eq. </w:t>
      </w:r>
      <w:r w:rsidR="001C3DA4">
        <w:t>4</w:t>
      </w:r>
      <w:r w:rsidRPr="009474C3">
        <w:t>.</w:t>
      </w:r>
    </w:p>
    <w:p w14:paraId="27F85DAA" w14:textId="77777777" w:rsidR="00B96FE1" w:rsidRPr="009474C3" w:rsidRDefault="00B96FE1" w:rsidP="00B96FE1">
      <w:pPr>
        <w:spacing w:line="360" w:lineRule="auto"/>
      </w:pPr>
      <w:r w:rsidRPr="009474C3">
        <w:lastRenderedPageBreak/>
        <w:t>By considering a typical retreat rate range between 0.05-1.28 m/</w:t>
      </w:r>
      <w:proofErr w:type="spellStart"/>
      <w:r w:rsidRPr="009474C3">
        <w:t>yr</w:t>
      </w:r>
      <w:proofErr w:type="spellEnd"/>
      <w:r w:rsidRPr="009474C3">
        <w:t xml:space="preserve"> for analogous </w:t>
      </w:r>
      <w:proofErr w:type="spellStart"/>
      <w:r w:rsidRPr="009474C3">
        <w:t>tuffaceous</w:t>
      </w:r>
      <w:proofErr w:type="spellEnd"/>
      <w:r w:rsidRPr="009474C3">
        <w:t xml:space="preserve"> coasts, and an ordinary significant wave height of 0.2 m characteristic of </w:t>
      </w:r>
      <w:proofErr w:type="spellStart"/>
      <w:r w:rsidRPr="009474C3">
        <w:t>Ventotene</w:t>
      </w:r>
      <w:proofErr w:type="spellEnd"/>
      <w:r w:rsidRPr="009474C3">
        <w:t xml:space="preserve">, a </w:t>
      </w:r>
      <w:r w:rsidRPr="009474C3">
        <w:rPr>
          <w:rFonts w:ascii="Symbol" w:hAnsi="Symbol"/>
        </w:rPr>
        <w:t></w:t>
      </w:r>
      <w:r w:rsidRPr="009474C3">
        <w:t xml:space="preserve"> value of 7.894 can be assumed representative for the Punta </w:t>
      </w:r>
      <w:proofErr w:type="spellStart"/>
      <w:r w:rsidRPr="009474C3">
        <w:t>Eolo</w:t>
      </w:r>
      <w:proofErr w:type="spellEnd"/>
      <w:r w:rsidRPr="009474C3">
        <w:t xml:space="preserve"> cliff. This value constrains the notch retreat rate at Punta </w:t>
      </w:r>
      <w:proofErr w:type="spellStart"/>
      <w:r w:rsidRPr="009474C3">
        <w:t>Eolo</w:t>
      </w:r>
      <w:proofErr w:type="spellEnd"/>
      <w:r w:rsidRPr="009474C3">
        <w:t xml:space="preserve"> to approximately 0.05 m/yr.</w:t>
      </w:r>
    </w:p>
    <w:p w14:paraId="3D919DBC" w14:textId="77777777" w:rsidR="007A0645" w:rsidRDefault="007A0645" w:rsidP="008C1504"/>
    <w:p w14:paraId="42949993" w14:textId="2327DF21" w:rsidR="00B96FE1" w:rsidRDefault="00B96FE1" w:rsidP="00B96FE1">
      <w:pPr>
        <w:pStyle w:val="Heading1"/>
        <w:spacing w:before="120" w:after="120" w:line="360" w:lineRule="auto"/>
        <w:rPr>
          <w:rFonts w:ascii="Times New Roman" w:hAnsi="Times New Roman"/>
          <w:b/>
          <w:smallCaps/>
          <w:color w:val="000000" w:themeColor="text1"/>
          <w:sz w:val="28"/>
        </w:rPr>
      </w:pPr>
      <w:r w:rsidRPr="00BF46D5">
        <w:rPr>
          <w:rFonts w:ascii="Times New Roman" w:hAnsi="Times New Roman"/>
          <w:b/>
          <w:smallCaps/>
          <w:color w:val="000000" w:themeColor="text1"/>
          <w:sz w:val="28"/>
        </w:rPr>
        <w:t xml:space="preserve">Principles </w:t>
      </w:r>
      <w:r w:rsidR="00EF21B6">
        <w:rPr>
          <w:rFonts w:ascii="Times New Roman" w:hAnsi="Times New Roman"/>
          <w:b/>
          <w:smallCaps/>
          <w:color w:val="000000" w:themeColor="text1"/>
          <w:sz w:val="28"/>
        </w:rPr>
        <w:t xml:space="preserve">and numerical model setup </w:t>
      </w:r>
      <w:r w:rsidRPr="00BF46D5">
        <w:rPr>
          <w:rFonts w:ascii="Times New Roman" w:hAnsi="Times New Roman"/>
          <w:b/>
          <w:smallCaps/>
          <w:color w:val="000000" w:themeColor="text1"/>
          <w:sz w:val="28"/>
        </w:rPr>
        <w:t xml:space="preserve">of </w:t>
      </w:r>
      <w:r w:rsidR="00EF21B6">
        <w:rPr>
          <w:rFonts w:ascii="Times New Roman" w:hAnsi="Times New Roman"/>
          <w:b/>
          <w:smallCaps/>
          <w:color w:val="000000" w:themeColor="text1"/>
          <w:sz w:val="28"/>
        </w:rPr>
        <w:t xml:space="preserve">the </w:t>
      </w:r>
      <w:r>
        <w:rPr>
          <w:rFonts w:ascii="Times New Roman" w:hAnsi="Times New Roman"/>
          <w:b/>
          <w:smallCaps/>
          <w:color w:val="000000" w:themeColor="text1"/>
          <w:sz w:val="28"/>
        </w:rPr>
        <w:t>Computational Fluid Dynamics (CFD) modelling</w:t>
      </w:r>
    </w:p>
    <w:p w14:paraId="3EBE1C8F" w14:textId="515D78FB" w:rsidR="00B96FE1" w:rsidRPr="009474C3" w:rsidRDefault="00B96FE1" w:rsidP="00B96FE1">
      <w:pPr>
        <w:spacing w:line="360" w:lineRule="auto"/>
      </w:pPr>
      <w:r w:rsidRPr="009474C3">
        <w:t xml:space="preserve">The </w:t>
      </w:r>
      <w:proofErr w:type="spellStart"/>
      <w:r w:rsidRPr="009474C3">
        <w:t>OpenFOAM</w:t>
      </w:r>
      <w:proofErr w:type="spellEnd"/>
      <w:r w:rsidRPr="009474C3">
        <w:t xml:space="preserve"> v2406</w:t>
      </w:r>
      <w:r>
        <w:t xml:space="preserve"> </w:t>
      </w:r>
      <w:r w:rsidRPr="009474C3">
        <w:t xml:space="preserve">solver discretises the </w:t>
      </w:r>
      <w:proofErr w:type="spellStart"/>
      <w:r w:rsidRPr="009474C3">
        <w:t>Navier</w:t>
      </w:r>
      <w:proofErr w:type="spellEnd"/>
      <w:r w:rsidRPr="009474C3">
        <w:t xml:space="preserve">-Stokes equations using the Finite Volume Method (FVM) </w:t>
      </w:r>
      <w:r w:rsidRPr="009474C3">
        <w:fldChar w:fldCharType="begin"/>
      </w:r>
      <w:r w:rsidRPr="009474C3">
        <w:instrText xml:space="preserve"> ADDIN ZOTERO_ITEM CSL_CITATION {"citationID":"y7lw8k5x","properties":{"formattedCitation":"(Eymard et al., 2000)","plainCitation":"(Eymard et al., 2000)","noteIndex":0},"citationItems":[{"id":992,"uris":["http://zotero.org/users/18594503/items/EVQZCC6S"],"itemData":{"id":992,"type":"article-journal","container-title":"Handbook of numerical analysis","ISSN":"1570-8659","journalAbbreviation":"Handbook of numerical analysis","page":"713-1018","publisher":"Elsevier","title":"Finite volume methods","volume":"7","author":[{"family":"Eymard","given":"Robert"},{"family":"Gallouët","given":"Thierry"},{"family":"Herbin","given":"Raphaèle"}],"issued":{"date-parts":[["2000"]]}}}],"schema":"https://github.com/citation-style-language/schema/raw/master/csl-citation.json"} </w:instrText>
      </w:r>
      <w:r w:rsidRPr="009474C3">
        <w:fldChar w:fldCharType="separate"/>
      </w:r>
      <w:r w:rsidRPr="009474C3">
        <w:rPr>
          <w:rFonts w:cs="Arial"/>
        </w:rPr>
        <w:t>(Eymard et al., 2000)</w:t>
      </w:r>
      <w:r w:rsidRPr="009474C3">
        <w:fldChar w:fldCharType="end"/>
      </w:r>
      <w:r w:rsidRPr="009474C3">
        <w:t>, resolving the transient and impulsive spikes in pressure on the cliff face with high fidelity. On this basis, the mass conservation is ensured through the continuity equation:</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B96FE1" w:rsidRPr="009474C3" w14:paraId="32A35759" w14:textId="77777777" w:rsidTr="004C5BCC">
        <w:tc>
          <w:tcPr>
            <w:tcW w:w="4819" w:type="dxa"/>
          </w:tcPr>
          <w:p w14:paraId="1E5A699A" w14:textId="77777777" w:rsidR="00B96FE1" w:rsidRPr="009474C3" w:rsidRDefault="00B96FE1" w:rsidP="004C5BCC">
            <w:pPr>
              <w:pStyle w:val="Didascalie"/>
              <w:spacing w:line="360" w:lineRule="auto"/>
              <w:jc w:val="left"/>
            </w:pPr>
            <m:oMathPara>
              <m:oMathParaPr>
                <m:jc m:val="left"/>
              </m:oMathParaPr>
              <m:oMath>
                <m:r>
                  <w:rPr>
                    <w:rFonts w:ascii="Cambria Math" w:hAnsi="Cambria Math"/>
                    <w:sz w:val="24"/>
                    <w:szCs w:val="24"/>
                  </w:rPr>
                  <m:t>∇·u = 0</m:t>
                </m:r>
              </m:oMath>
            </m:oMathPara>
          </w:p>
        </w:tc>
        <w:tc>
          <w:tcPr>
            <w:tcW w:w="4819" w:type="dxa"/>
          </w:tcPr>
          <w:p w14:paraId="0D91EFA5" w14:textId="77777777" w:rsidR="00B96FE1" w:rsidRPr="009474C3" w:rsidRDefault="00B96FE1" w:rsidP="004C5BCC">
            <w:pPr>
              <w:pStyle w:val="Didascalie"/>
              <w:spacing w:line="360" w:lineRule="auto"/>
              <w:jc w:val="right"/>
              <w:rPr>
                <w:b/>
                <w:bCs/>
              </w:rPr>
            </w:pPr>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Pr="009474C3">
              <w:rPr>
                <w:b/>
                <w:bCs/>
                <w:sz w:val="24"/>
                <w:szCs w:val="22"/>
              </w:rPr>
              <w:t>8</w:t>
            </w:r>
            <w:r w:rsidRPr="009474C3">
              <w:rPr>
                <w:b/>
                <w:bCs/>
                <w:sz w:val="24"/>
                <w:szCs w:val="22"/>
              </w:rPr>
              <w:fldChar w:fldCharType="end"/>
            </w:r>
          </w:p>
        </w:tc>
      </w:tr>
    </w:tbl>
    <w:p w14:paraId="3F5AB2F8" w14:textId="77777777" w:rsidR="00B96FE1" w:rsidRPr="009474C3" w:rsidRDefault="00B96FE1" w:rsidP="00B96FE1">
      <w:pPr>
        <w:spacing w:line="360" w:lineRule="auto"/>
      </w:pPr>
      <w:proofErr w:type="gramStart"/>
      <w:r w:rsidRPr="009474C3">
        <w:t>while</w:t>
      </w:r>
      <w:proofErr w:type="gramEnd"/>
      <w:r w:rsidRPr="009474C3">
        <w:t xml:space="preserve"> the momentum equation, derived from Newton’s second law and expressing conservation of momentum, is given by:</w:t>
      </w:r>
    </w:p>
    <w:tbl>
      <w:tblPr>
        <w:tblStyle w:val="TableGrid"/>
        <w:tblW w:w="9639" w:type="dxa"/>
        <w:tblBorders>
          <w:insideH w:val="none" w:sz="0" w:space="0" w:color="auto"/>
        </w:tblBorders>
        <w:tblLook w:val="04A0" w:firstRow="1" w:lastRow="0" w:firstColumn="1" w:lastColumn="0" w:noHBand="0" w:noVBand="1"/>
      </w:tblPr>
      <w:tblGrid>
        <w:gridCol w:w="7797"/>
        <w:gridCol w:w="1842"/>
      </w:tblGrid>
      <w:tr w:rsidR="00B96FE1" w:rsidRPr="009474C3" w14:paraId="5DA861F7" w14:textId="77777777" w:rsidTr="004C5BCC">
        <w:tc>
          <w:tcPr>
            <w:tcW w:w="7797" w:type="dxa"/>
          </w:tcPr>
          <w:p w14:paraId="1590B26E" w14:textId="77777777" w:rsidR="00B96FE1" w:rsidRPr="009474C3" w:rsidRDefault="001F624F" w:rsidP="004C5BCC">
            <w:pPr>
              <w:pStyle w:val="Didascalie"/>
              <w:spacing w:line="360" w:lineRule="auto"/>
              <w:jc w:val="left"/>
            </w:pPr>
            <m:oMath>
              <m:f>
                <m:fPr>
                  <m:ctrlPr>
                    <w:rPr>
                      <w:rFonts w:ascii="Cambria Math" w:hAnsi="Cambria Math"/>
                      <w:sz w:val="24"/>
                      <w:szCs w:val="24"/>
                    </w:rPr>
                  </m:ctrlPr>
                </m:fPr>
                <m:num>
                  <m:r>
                    <w:rPr>
                      <w:rFonts w:ascii="Cambria Math" w:hAnsi="Cambria Math"/>
                      <w:sz w:val="24"/>
                      <w:szCs w:val="24"/>
                    </w:rPr>
                    <m:t>∂u</m:t>
                  </m:r>
                </m:num>
                <m:den>
                  <m:r>
                    <w:rPr>
                      <w:rFonts w:ascii="Cambria Math" w:hAnsi="Cambria Math"/>
                      <w:sz w:val="24"/>
                      <w:szCs w:val="24"/>
                    </w:rPr>
                    <m:t>∂t</m:t>
                  </m:r>
                </m:den>
              </m:f>
              <m:r>
                <w:rPr>
                  <w:rFonts w:ascii="Cambria Math" w:hAnsi="Cambria Math"/>
                  <w:sz w:val="24"/>
                  <w:szCs w:val="24"/>
                </w:rPr>
                <m:t>+</m:t>
              </m:r>
              <m:r>
                <w:rPr>
                  <w:rFonts w:ascii="Cambria Math" w:hAnsi="Cambria Math"/>
                  <w:sz w:val="24"/>
                  <w:szCs w:val="24"/>
                </w:rPr>
                <m:t>u</m:t>
              </m:r>
              <m:r>
                <w:rPr>
                  <w:rFonts w:ascii="Cambria Math" w:hAnsi="Cambria Math"/>
                  <w:sz w:val="24"/>
                  <w:szCs w:val="24"/>
                </w:rPr>
                <m:t>∙</m:t>
              </m:r>
              <m:r>
                <w:rPr>
                  <w:rFonts w:ascii="Cambria Math" w:hAnsi="Cambria Math"/>
                  <w:sz w:val="24"/>
                  <w:szCs w:val="24"/>
                </w:rPr>
                <m:t>∇u</m:t>
              </m:r>
              <m:r>
                <w:rPr>
                  <w:rFonts w:ascii="Cambria Math" w:hAnsi="Cambria Math"/>
                  <w:sz w:val="24"/>
                  <w:szCs w:val="24"/>
                </w:rPr>
                <m:t>= -</m:t>
              </m:r>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ρ</m:t>
                  </m:r>
                </m:den>
              </m:f>
              <m:r>
                <w:rPr>
                  <w:rFonts w:ascii="Cambria Math" w:hAnsi="Cambria Math"/>
                  <w:sz w:val="24"/>
                  <w:szCs w:val="24"/>
                </w:rPr>
                <m:t>∇p</m:t>
              </m:r>
              <m:r>
                <w:rPr>
                  <w:rFonts w:ascii="Cambria Math" w:hAnsi="Cambria Math"/>
                  <w:sz w:val="24"/>
                  <w:szCs w:val="24"/>
                </w:rPr>
                <m:t>+</m:t>
              </m:r>
              <m:r>
                <w:rPr>
                  <w:rFonts w:ascii="Cambria Math" w:hAnsi="Cambria Math"/>
                  <w:sz w:val="24"/>
                  <w:szCs w:val="24"/>
                </w:rPr>
                <m:t>υ</m:t>
              </m:r>
              <m:sSup>
                <m:sSupPr>
                  <m:ctrlPr>
                    <w:rPr>
                      <w:rFonts w:ascii="Cambria Math" w:hAnsi="Cambria Math"/>
                      <w:sz w:val="24"/>
                      <w:szCs w:val="24"/>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u</m:t>
              </m:r>
              <m:r>
                <w:rPr>
                  <w:rFonts w:ascii="Cambria Math" w:hAnsi="Cambria Math"/>
                  <w:sz w:val="24"/>
                  <w:szCs w:val="24"/>
                </w:rPr>
                <m:t>+</m:t>
              </m:r>
              <m:r>
                <w:rPr>
                  <w:rFonts w:ascii="Cambria Math" w:hAnsi="Cambria Math"/>
                  <w:sz w:val="24"/>
                  <w:szCs w:val="24"/>
                </w:rPr>
                <m:t>g</m:t>
              </m:r>
            </m:oMath>
            <w:r w:rsidR="00B96FE1" w:rsidRPr="009474C3">
              <w:rPr>
                <w:sz w:val="24"/>
                <w:szCs w:val="24"/>
              </w:rPr>
              <w:t xml:space="preserve"> </w:t>
            </w:r>
          </w:p>
        </w:tc>
        <w:tc>
          <w:tcPr>
            <w:tcW w:w="1842" w:type="dxa"/>
          </w:tcPr>
          <w:p w14:paraId="6B19F3BC" w14:textId="77777777" w:rsidR="00B96FE1" w:rsidRPr="009474C3" w:rsidRDefault="00B96FE1" w:rsidP="004C5BCC">
            <w:pPr>
              <w:pStyle w:val="Didascalie"/>
              <w:spacing w:line="360" w:lineRule="auto"/>
              <w:jc w:val="right"/>
              <w:rPr>
                <w:b/>
                <w:bCs/>
              </w:rPr>
            </w:pPr>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Pr="009474C3">
              <w:rPr>
                <w:b/>
                <w:bCs/>
                <w:sz w:val="24"/>
                <w:szCs w:val="22"/>
              </w:rPr>
              <w:t>9</w:t>
            </w:r>
            <w:r w:rsidRPr="009474C3">
              <w:rPr>
                <w:b/>
                <w:bCs/>
                <w:sz w:val="24"/>
                <w:szCs w:val="22"/>
              </w:rPr>
              <w:fldChar w:fldCharType="end"/>
            </w:r>
          </w:p>
        </w:tc>
      </w:tr>
    </w:tbl>
    <w:p w14:paraId="1FC32583" w14:textId="77777777" w:rsidR="00B96FE1" w:rsidRPr="009474C3" w:rsidRDefault="00B96FE1" w:rsidP="00B96FE1">
      <w:pPr>
        <w:spacing w:line="360" w:lineRule="auto"/>
      </w:pPr>
      <w:proofErr w:type="gramStart"/>
      <w:r w:rsidRPr="009474C3">
        <w:t>where</w:t>
      </w:r>
      <w:proofErr w:type="gramEnd"/>
      <w:r w:rsidRPr="009474C3">
        <w:t xml:space="preserve"> </w:t>
      </w:r>
      <m:oMath>
        <m:r>
          <w:rPr>
            <w:rFonts w:ascii="Cambria Math" w:hAnsi="Cambria Math"/>
          </w:rPr>
          <m:t>u</m:t>
        </m:r>
      </m:oMath>
      <w:r w:rsidRPr="009474C3">
        <w:t xml:space="preserve"> is the velocity vector, </w:t>
      </w:r>
      <m:oMath>
        <m:r>
          <w:rPr>
            <w:rFonts w:ascii="Cambria Math" w:hAnsi="Cambria Math"/>
          </w:rPr>
          <m:t>ρ</m:t>
        </m:r>
      </m:oMath>
      <w:r w:rsidRPr="009474C3">
        <w:t xml:space="preserve"> is the water density, </w:t>
      </w:r>
      <m:oMath>
        <m:r>
          <w:rPr>
            <w:rFonts w:ascii="Cambria Math" w:hAnsi="Cambria Math"/>
          </w:rPr>
          <m:t>p</m:t>
        </m:r>
      </m:oMath>
      <w:r w:rsidRPr="009474C3">
        <w:t xml:space="preserve"> is the pressure, </w:t>
      </w:r>
      <m:oMath>
        <m:r>
          <w:rPr>
            <w:rFonts w:ascii="Cambria Math" w:hAnsi="Cambria Math"/>
          </w:rPr>
          <m:t>υ</m:t>
        </m:r>
      </m:oMath>
      <w:r w:rsidRPr="009474C3">
        <w:t xml:space="preserve"> is the kinetic viscosity, and </w:t>
      </w:r>
      <m:oMath>
        <m:r>
          <w:rPr>
            <w:rFonts w:ascii="Cambria Math" w:hAnsi="Cambria Math"/>
          </w:rPr>
          <m:t>g</m:t>
        </m:r>
      </m:oMath>
      <w:r w:rsidRPr="009474C3">
        <w:t xml:space="preserve"> is the gravitational acceleration.</w:t>
      </w:r>
    </w:p>
    <w:p w14:paraId="1C82D1D5" w14:textId="77777777" w:rsidR="00B96FE1" w:rsidRPr="009474C3" w:rsidRDefault="00B96FE1" w:rsidP="00B96FE1">
      <w:pPr>
        <w:spacing w:line="360" w:lineRule="auto"/>
      </w:pPr>
      <w:r w:rsidRPr="009474C3">
        <w:t xml:space="preserve">Since the problem involves two immiscible phases (air and water), the </w:t>
      </w:r>
      <w:proofErr w:type="spellStart"/>
      <w:r w:rsidRPr="009474C3">
        <w:t>interFOAM</w:t>
      </w:r>
      <w:proofErr w:type="spellEnd"/>
      <w:r w:rsidRPr="009474C3">
        <w:t xml:space="preserve"> solver was adopted, which applies the Volume of Fluid (VOF) method </w:t>
      </w:r>
      <w:r w:rsidRPr="009474C3">
        <w:fldChar w:fldCharType="begin"/>
      </w:r>
      <w:r w:rsidRPr="009474C3">
        <w:instrText xml:space="preserve"> ADDIN ZOTERO_ITEM CSL_CITATION {"citationID":"zMoSfhu2","properties":{"formattedCitation":"(Cifani et al., 2016; Hirt and Nichols, 1981)","plainCitation":"(Cifani et al., 2016; Hirt and Nichols, 1981)","noteIndex":0},"citationItems":[{"id":995,"uris":["http://zotero.org/users/18594503/items/CFYC9BVJ"],"itemData":{"id":995,"type":"article-journal","container-title":"Computers &amp; Fluids","ISSN":"0045-7930","journalAbbreviation":"Computers &amp; Fluids","page":"421-435","publisher":"Elsevier","title":"A comparison between the surface compression method and an interface reconstruction method for the VOF approach","volume":"136","author":[{"family":"Cifani","given":"Paolo"},{"family":"Michalek","given":"WR"},{"family":"Priems","given":"GJM"},{"family":"Kuerten","given":"Johannes GM"},{"family":"Geld","given":"CWM","non-dropping-particle":"van der"},{"family":"Geurts","given":"Bernardus J"}],"issued":{"date-parts":[["2016"]]}}},{"id":994,"uris":["http://zotero.org/users/18594503/items/EU7SSQZ7"],"itemData":{"id":994,"type":"article-journal","container-title":"Journal of computational physics","ISSN":"0021-9991","issue":"1","journalAbbreviation":"Journal of computational physics","page":"201-225","publisher":"Elsevier","title":"Volume of fluid (VOF) method for the dynamics of free boundaries","volume":"39","author":[{"family":"Hirt","given":"Cyril W"},{"family":"Nichols","given":"Billy D"}],"issued":{"date-parts":[["1981"]]}}}],"schema":"https://github.com/citation-style-language/schema/raw/master/csl-citation.json"} </w:instrText>
      </w:r>
      <w:r w:rsidRPr="009474C3">
        <w:fldChar w:fldCharType="separate"/>
      </w:r>
      <w:r w:rsidRPr="009474C3">
        <w:rPr>
          <w:rFonts w:cs="Arial"/>
        </w:rPr>
        <w:t>(Cifani et al., 2016; Hirt and Nichols, 1981)</w:t>
      </w:r>
      <w:r w:rsidRPr="009474C3">
        <w:fldChar w:fldCharType="end"/>
      </w:r>
      <w:r w:rsidRPr="009474C3">
        <w:t xml:space="preserve"> to track the free-surface interface. The transport equation of the phase fraction is governed by:</w:t>
      </w:r>
    </w:p>
    <w:tbl>
      <w:tblPr>
        <w:tblStyle w:val="TableGrid"/>
        <w:tblW w:w="9639" w:type="dxa"/>
        <w:tblBorders>
          <w:insideH w:val="none" w:sz="0" w:space="0" w:color="auto"/>
        </w:tblBorders>
        <w:tblLook w:val="04A0" w:firstRow="1" w:lastRow="0" w:firstColumn="1" w:lastColumn="0" w:noHBand="0" w:noVBand="1"/>
      </w:tblPr>
      <w:tblGrid>
        <w:gridCol w:w="5954"/>
        <w:gridCol w:w="3685"/>
      </w:tblGrid>
      <w:tr w:rsidR="00B96FE1" w:rsidRPr="009474C3" w14:paraId="214891C5" w14:textId="77777777" w:rsidTr="004C5BCC">
        <w:tc>
          <w:tcPr>
            <w:tcW w:w="5954" w:type="dxa"/>
          </w:tcPr>
          <w:p w14:paraId="61B8978B" w14:textId="77777777" w:rsidR="00B96FE1" w:rsidRPr="009474C3" w:rsidRDefault="001F624F" w:rsidP="004C5BCC">
            <w:pPr>
              <w:pStyle w:val="Didascalie"/>
              <w:spacing w:line="360" w:lineRule="auto"/>
              <w:jc w:val="left"/>
            </w:pPr>
            <m:oMathPara>
              <m:oMathParaPr>
                <m:jc m:val="left"/>
              </m:oMathParaPr>
              <m:oMath>
                <m:f>
                  <m:fPr>
                    <m:ctrlPr>
                      <w:rPr>
                        <w:rFonts w:ascii="Cambria Math" w:hAnsi="Cambria Math"/>
                        <w:sz w:val="24"/>
                        <w:szCs w:val="24"/>
                      </w:rPr>
                    </m:ctrlPr>
                  </m:fPr>
                  <m:num>
                    <m:r>
                      <w:rPr>
                        <w:rFonts w:ascii="Cambria Math" w:hAnsi="Cambria Math"/>
                        <w:sz w:val="24"/>
                        <w:szCs w:val="24"/>
                      </w:rPr>
                      <m:t>∂α</m:t>
                    </m:r>
                  </m:num>
                  <m:den>
                    <m:r>
                      <w:rPr>
                        <w:rFonts w:ascii="Cambria Math" w:hAnsi="Cambria Math"/>
                        <w:sz w:val="24"/>
                        <w:szCs w:val="24"/>
                      </w:rPr>
                      <m:t>∂t</m:t>
                    </m:r>
                  </m:den>
                </m:f>
                <m:r>
                  <w:rPr>
                    <w:rFonts w:ascii="Cambria Math" w:hAnsi="Cambria Math"/>
                    <w:sz w:val="24"/>
                    <w:szCs w:val="24"/>
                  </w:rPr>
                  <m:t>+</m:t>
                </m:r>
                <m:r>
                  <w:rPr>
                    <w:rFonts w:ascii="Cambria Math" w:hAnsi="Cambria Math"/>
                    <w:sz w:val="24"/>
                    <w:szCs w:val="24"/>
                  </w:rPr>
                  <m:t>∇</m:t>
                </m:r>
                <m:r>
                  <w:rPr>
                    <w:rFonts w:ascii="Cambria Math" w:hAnsi="Cambria Math"/>
                    <w:sz w:val="24"/>
                    <w:szCs w:val="24"/>
                  </w:rPr>
                  <m:t>·(</m:t>
                </m:r>
                <m:r>
                  <w:rPr>
                    <w:rFonts w:ascii="Cambria Math" w:hAnsi="Cambria Math"/>
                    <w:sz w:val="24"/>
                    <w:szCs w:val="24"/>
                  </w:rPr>
                  <m:t>αu</m:t>
                </m:r>
                <m:r>
                  <w:rPr>
                    <w:rFonts w:ascii="Cambria Math" w:hAnsi="Cambria Math"/>
                    <w:sz w:val="24"/>
                    <w:szCs w:val="24"/>
                  </w:rPr>
                  <m:t xml:space="preserve"> )+</m:t>
                </m:r>
                <m:r>
                  <w:rPr>
                    <w:rFonts w:ascii="Cambria Math" w:hAnsi="Cambria Math"/>
                    <w:sz w:val="24"/>
                    <w:szCs w:val="24"/>
                  </w:rPr>
                  <m:t>∇</m:t>
                </m:r>
                <m:r>
                  <w:rPr>
                    <w:rFonts w:ascii="Cambria Math" w:hAnsi="Cambria Math"/>
                    <w:sz w:val="24"/>
                    <w:szCs w:val="24"/>
                  </w:rPr>
                  <m:t>·(</m:t>
                </m:r>
                <m:r>
                  <w:rPr>
                    <w:rFonts w:ascii="Cambria Math" w:hAnsi="Cambria Math"/>
                    <w:sz w:val="24"/>
                    <w:szCs w:val="24"/>
                  </w:rPr>
                  <m:t>α</m:t>
                </m:r>
                <m:r>
                  <w:rPr>
                    <w:rFonts w:ascii="Cambria Math" w:hAnsi="Cambria Math"/>
                    <w:sz w:val="24"/>
                    <w:szCs w:val="24"/>
                  </w:rPr>
                  <m:t>(1-</m:t>
                </m:r>
                <m:r>
                  <w:rPr>
                    <w:rFonts w:ascii="Cambria Math" w:hAnsi="Cambria Math"/>
                    <w:sz w:val="24"/>
                    <w:szCs w:val="24"/>
                  </w:rPr>
                  <m:t>α</m:t>
                </m:r>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u</m:t>
                    </m:r>
                  </m:e>
                  <m:sub>
                    <m:r>
                      <w:rPr>
                        <w:rFonts w:ascii="Cambria Math" w:hAnsi="Cambria Math"/>
                        <w:sz w:val="24"/>
                        <w:szCs w:val="24"/>
                      </w:rPr>
                      <m:t>r</m:t>
                    </m:r>
                  </m:sub>
                </m:sSub>
                <m:r>
                  <w:rPr>
                    <w:rFonts w:ascii="Cambria Math" w:hAnsi="Cambria Math"/>
                    <w:sz w:val="24"/>
                    <w:szCs w:val="24"/>
                  </w:rPr>
                  <m:t>) = 0</m:t>
                </m:r>
              </m:oMath>
            </m:oMathPara>
          </w:p>
        </w:tc>
        <w:tc>
          <w:tcPr>
            <w:tcW w:w="3685" w:type="dxa"/>
          </w:tcPr>
          <w:p w14:paraId="019A8E0F" w14:textId="77777777" w:rsidR="00B96FE1" w:rsidRPr="009474C3" w:rsidRDefault="00B96FE1" w:rsidP="004C5BCC">
            <w:pPr>
              <w:pStyle w:val="Didascalie"/>
              <w:spacing w:line="360" w:lineRule="auto"/>
              <w:jc w:val="right"/>
              <w:rPr>
                <w:b/>
                <w:bCs/>
              </w:rPr>
            </w:pPr>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sidRPr="009474C3">
              <w:rPr>
                <w:b/>
                <w:bCs/>
                <w:sz w:val="24"/>
                <w:szCs w:val="22"/>
              </w:rPr>
              <w:t>10</w:t>
            </w:r>
            <w:r w:rsidRPr="009474C3">
              <w:rPr>
                <w:b/>
                <w:bCs/>
                <w:sz w:val="24"/>
                <w:szCs w:val="22"/>
              </w:rPr>
              <w:fldChar w:fldCharType="end"/>
            </w:r>
          </w:p>
        </w:tc>
      </w:tr>
    </w:tbl>
    <w:p w14:paraId="780CEE82" w14:textId="77777777" w:rsidR="00B96FE1" w:rsidRPr="009474C3" w:rsidRDefault="00B96FE1" w:rsidP="00B96FE1">
      <w:pPr>
        <w:spacing w:line="360" w:lineRule="auto"/>
      </w:pPr>
      <w:proofErr w:type="gramStart"/>
      <w:r w:rsidRPr="009474C3">
        <w:t>where</w:t>
      </w:r>
      <w:proofErr w:type="gramEnd"/>
      <w:r w:rsidRPr="009474C3">
        <w:t xml:space="preserve"> </w:t>
      </w:r>
      <m:oMath>
        <m:r>
          <w:rPr>
            <w:rFonts w:ascii="Cambria Math" w:hAnsi="Cambria Math"/>
          </w:rPr>
          <m:t>α</m:t>
        </m:r>
      </m:oMath>
      <w:r w:rsidRPr="009474C3">
        <w:t xml:space="preserve"> is the volume fraction (</w:t>
      </w:r>
      <m:oMath>
        <m:r>
          <w:rPr>
            <w:rFonts w:ascii="Cambria Math" w:hAnsi="Cambria Math"/>
          </w:rPr>
          <m:t>α</m:t>
        </m:r>
      </m:oMath>
      <w:r w:rsidRPr="009474C3">
        <w:t xml:space="preserve"> = 0 for air, </w:t>
      </w:r>
      <m:oMath>
        <m:r>
          <w:rPr>
            <w:rFonts w:ascii="Cambria Math" w:hAnsi="Cambria Math"/>
          </w:rPr>
          <m:t>α</m:t>
        </m:r>
      </m:oMath>
      <w:r w:rsidRPr="009474C3">
        <w:t xml:space="preserve"> = 1 for water, and 0&lt;&lt;1 at the interface), and </w:t>
      </w:r>
      <m:oMath>
        <m:sSub>
          <m:sSubPr>
            <m:ctrlPr>
              <w:rPr>
                <w:rFonts w:ascii="Cambria Math" w:hAnsi="Cambria Math"/>
                <w:i/>
                <w:szCs w:val="24"/>
              </w:rPr>
            </m:ctrlPr>
          </m:sSubPr>
          <m:e>
            <m:r>
              <w:rPr>
                <w:rFonts w:ascii="Cambria Math" w:hAnsi="Cambria Math"/>
                <w:szCs w:val="24"/>
              </w:rPr>
              <m:t>u</m:t>
            </m:r>
          </m:e>
          <m:sub>
            <m:r>
              <w:rPr>
                <w:rFonts w:ascii="Cambria Math" w:hAnsi="Cambria Math"/>
                <w:szCs w:val="24"/>
              </w:rPr>
              <m:t>r</m:t>
            </m:r>
          </m:sub>
        </m:sSub>
      </m:oMath>
      <w:r w:rsidRPr="009474C3">
        <w:t xml:space="preserve"> is an artificial compression velocity used to maintain a sharp interface between phases.</w:t>
      </w:r>
    </w:p>
    <w:p w14:paraId="3B704054" w14:textId="031A3223" w:rsidR="00B96FE1" w:rsidRPr="009474C3" w:rsidRDefault="00B96FE1" w:rsidP="00B96FE1">
      <w:pPr>
        <w:spacing w:line="360" w:lineRule="auto"/>
      </w:pPr>
      <w:r w:rsidRPr="009474C3">
        <w:t>These equations, together, allow detailed resolution of wave impact processes and pressure along the cliff.</w:t>
      </w:r>
    </w:p>
    <w:p w14:paraId="5C60A603" w14:textId="309B364F" w:rsidR="00B96FE1" w:rsidRDefault="00B96FE1" w:rsidP="00B96FE1">
      <w:pPr>
        <w:spacing w:line="360" w:lineRule="auto"/>
      </w:pPr>
      <w:r w:rsidRPr="009474C3">
        <w:t>A Courant–</w:t>
      </w:r>
      <w:proofErr w:type="spellStart"/>
      <w:r w:rsidRPr="009474C3">
        <w:t>Friedrichs</w:t>
      </w:r>
      <w:proofErr w:type="spellEnd"/>
      <w:r w:rsidRPr="009474C3">
        <w:t>–</w:t>
      </w:r>
      <w:proofErr w:type="spellStart"/>
      <w:r w:rsidRPr="009474C3">
        <w:t>Lewy</w:t>
      </w:r>
      <w:proofErr w:type="spellEnd"/>
      <w:r w:rsidRPr="009474C3">
        <w:t xml:space="preserve"> (CFL) number of 0.5 was imposed to guarantee accurate wave propagation and reliable interaction with the solid boundary, consistent with the recommendations of previous studies </w:t>
      </w:r>
      <w:r w:rsidRPr="009474C3">
        <w:fldChar w:fldCharType="begin"/>
      </w:r>
      <w:r w:rsidRPr="009474C3">
        <w:instrText xml:space="preserve"> ADDIN ZOTERO_ITEM CSL_CITATION {"citationID":"gdsanAwG","properties":{"formattedCitation":"(Chen et al., 2014; Katsidoniotaki and G\\uc0\\u246{}teman, 2022)","plainCitation":"(Chen et al., 2014; Katsidoniotaki and Göteman, 2022)","noteIndex":0},"citationItems":[{"id":997,"uris":["http://zotero.org/users/18594503/items/IR55PSCI"],"itemData":{"id":997,"type":"article-journal","container-title":"Ocean Engineering","ISSN":"0029-8018","journalAbbreviation":"Ocean Engineering","page":"91-109","publisher":"Elsevier","title":"Numerical investigation of wave–structure interaction using OpenFOAM","volume":"88","author":[{"family":"Chen","given":"LF"},{"family":"Zang","given":"Jun"},{"family":"Hillis","given":"Andrew J"},{"family":"Morgan","given":"Gerald CJ"},{"family":"Plummer","given":"Andrew R"}],"issued":{"date-parts":[["2014"]]}}},{"id":996,"uris":["http://zotero.org/users/18594503/items/Y6VKI9J2"],"itemData":{"id":996,"type":"article-journal","container-title":"Ocean Engineering","ISSN":"0029-8018","journalAbbreviation":"Ocean Engineering","page":"110268","publisher":"Elsevier","title":"Numerical modeling of extreme wave interaction with point-absorber using OpenFOAM","volume":"245","author":[{"family":"Katsidoniotaki","given":"Eirini"},{"family":"Göteman","given":"Malin"}],"issued":{"date-parts":[["2022"]]}}}],"schema":"https://github.com/citation-style-language/schema/raw/master/csl-citation.json"} </w:instrText>
      </w:r>
      <w:r w:rsidRPr="009474C3">
        <w:fldChar w:fldCharType="separate"/>
      </w:r>
      <w:r w:rsidRPr="009474C3">
        <w:rPr>
          <w:rFonts w:cs="Arial"/>
          <w:kern w:val="0"/>
        </w:rPr>
        <w:t>(Chen et al., 2014; Katsidoniotaki and Göteman, 2022)</w:t>
      </w:r>
      <w:r w:rsidRPr="009474C3">
        <w:fldChar w:fldCharType="end"/>
      </w:r>
      <w:r w:rsidRPr="009474C3">
        <w:t>.</w:t>
      </w:r>
      <w:r w:rsidR="000403BF">
        <w:t xml:space="preserve"> </w:t>
      </w:r>
      <w:r w:rsidR="000403BF" w:rsidRPr="009474C3">
        <w:t>The computational mesh was divided into five regions, each characterised by a different resolution</w:t>
      </w:r>
      <w:r w:rsidR="000403BF">
        <w:t xml:space="preserve"> (</w:t>
      </w:r>
      <w:r w:rsidR="000403BF" w:rsidRPr="00C45566">
        <w:fldChar w:fldCharType="begin"/>
      </w:r>
      <w:r w:rsidR="000403BF" w:rsidRPr="00C45566">
        <w:instrText xml:space="preserve"> REF _Ref215579949 \h  \* MERGEFORMAT </w:instrText>
      </w:r>
      <w:r w:rsidR="000403BF" w:rsidRPr="00C45566">
        <w:fldChar w:fldCharType="separate"/>
      </w:r>
      <w:r w:rsidR="000403BF" w:rsidRPr="00C45566">
        <w:t xml:space="preserve">Fig. </w:t>
      </w:r>
      <w:r w:rsidR="000403BF" w:rsidRPr="00C45566">
        <w:rPr>
          <w:noProof/>
        </w:rPr>
        <w:t>2</w:t>
      </w:r>
      <w:r w:rsidR="000403BF" w:rsidRPr="00C45566">
        <w:fldChar w:fldCharType="end"/>
      </w:r>
      <w:r w:rsidR="000403BF" w:rsidRPr="00C45566">
        <w:t>b</w:t>
      </w:r>
      <w:r w:rsidR="000403BF">
        <w:t xml:space="preserve"> of the original paper)</w:t>
      </w:r>
      <w:r w:rsidR="000403BF" w:rsidRPr="009474C3">
        <w:t>. This zoning strategy ensured numerical accuracy while minimising computational cost.</w:t>
      </w:r>
      <w:r w:rsidR="000403BF">
        <w:t xml:space="preserve"> </w:t>
      </w:r>
      <w:r w:rsidR="000403BF" w:rsidRPr="009474C3">
        <w:t>Mesh refinement was concentrated in areas where hydrodynamic interactions are most intense and sensitive to grid resolution. In particular, Region 1 was vertically stretched, with cell heights gradually decreasing from 10 cm at the seabed to 5 cm to match the cell size of Region 2 at its upper boundary. Regions 3 and 4 employed a constant cell height of 10 cm. For Region</w:t>
      </w:r>
      <w:r w:rsidR="000403BF">
        <w:t xml:space="preserve"> </w:t>
      </w:r>
      <w:r w:rsidR="000403BF" w:rsidRPr="009474C3">
        <w:t xml:space="preserve">5, located in front of the cliff, cells are refined by half in both directions to more accurately capture wave-structure interactions. A fixed cell length of 10 cm was applied to the entire domain length, providing an aspect ratio of 1 to 2, which has been proved accurate in wave-structure interaction problems </w:t>
      </w:r>
      <w:r w:rsidR="000403BF" w:rsidRPr="009474C3">
        <w:fldChar w:fldCharType="begin"/>
      </w:r>
      <w:r w:rsidR="000403BF" w:rsidRPr="009474C3">
        <w:instrText xml:space="preserve"> ADDIN ZOTERO_ITEM CSL_CITATION {"citationID":"l10pjFvm","properties":{"formattedCitation":"(Ma et al., 2019; Wang et al., 2019)","plainCitation":"(Ma et al., 2019; Wang et al., 2019)","noteIndex":0},"citationItems":[{"id":999,"uris":["http://zotero.org/users/18594503/items/8UJGVXJY"],"itemData":{"id":999,"type":"article-journal","container-title":"Ocean Engineering","ISSN":"0029-8018","journalAbbreviation":"Ocean Engineering","page":"419-425","publisher":"Elsevier","title":"Comparison between a non-hydrostatic model and OpenFOAM for 2D wave-structure interactions","volume":"183","author":[{"family":"Ma","given":"Yuxiang"},{"family":"Yuan","given":"Changfu"},{"family":"Ai","given":"Congfang"},{"family":"Dong","given":"Guohai"}],"issued":{"date-parts":[["2019"]]}}},{"id":1000,"uris":["http://zotero.org/users/18594503/items/USJ9WRGA"],"itemData":{"id":1000,"type":"article-journal","container-title":"Ocean Engineering","ISSN":"0029-8018","journalAbbreviation":"Ocean Engineering","page":"106230","publisher":"Elsevier","title":"Numerical modeling of the interactions between waves and a Jarlan-type caisson breakwater using OpenFOAM","volume":"188","author":[{"family":"Wang","given":"Dong-xu"},{"family":"Dong","given":"Sheng"},{"family":"Sun","given":"Jia-wen"}],"issued":{"date-parts":[["2019"]]}}}],"schema":"https://github.com/citation-style-language/schema/raw/master/csl-citation.json"} </w:instrText>
      </w:r>
      <w:r w:rsidR="000403BF" w:rsidRPr="009474C3">
        <w:fldChar w:fldCharType="separate"/>
      </w:r>
      <w:r w:rsidR="000403BF" w:rsidRPr="009474C3">
        <w:rPr>
          <w:rFonts w:cs="Arial"/>
        </w:rPr>
        <w:t>(Ma et al., 2019; Wang et al., 2019)</w:t>
      </w:r>
      <w:r w:rsidR="000403BF" w:rsidRPr="009474C3">
        <w:fldChar w:fldCharType="end"/>
      </w:r>
      <w:r w:rsidR="000403BF" w:rsidRPr="009474C3">
        <w:t>.</w:t>
      </w:r>
    </w:p>
    <w:p w14:paraId="04CD9B53" w14:textId="2E4D0BB1" w:rsidR="00AA0F33" w:rsidRDefault="00AA0F33" w:rsidP="00B96FE1">
      <w:pPr>
        <w:spacing w:line="360" w:lineRule="auto"/>
      </w:pPr>
      <w:r w:rsidRPr="009474C3">
        <w:t xml:space="preserve">Since the goal of this study is to evaluate the mechanical response of the cliff under energetic wave loading, the simulations adopted a representative sea wave height of 2 m, corresponding to rough-sea states affecting the study area, with a wave period of 4 s. This choice is justified by available observations at Punta </w:t>
      </w:r>
      <w:proofErr w:type="spellStart"/>
      <w:r w:rsidRPr="009474C3">
        <w:t>Eolo</w:t>
      </w:r>
      <w:proofErr w:type="spellEnd"/>
      <w:r w:rsidRPr="009474C3">
        <w:t xml:space="preserve">, where fair-weather conditions </w:t>
      </w:r>
      <w:r w:rsidRPr="009474C3">
        <w:lastRenderedPageBreak/>
        <w:t xml:space="preserve">typically involve significant wave heights of 0.2 m, but energetic events with heights up to 2 m have been recorded </w:t>
      </w:r>
      <w:r>
        <w:t>(</w:t>
      </w:r>
      <w:r w:rsidRPr="00AA0F33">
        <w:fldChar w:fldCharType="begin"/>
      </w:r>
      <w:r w:rsidRPr="00AA0F33">
        <w:instrText xml:space="preserve"> REF _Ref215587406 \h  \* MERGEFORMAT </w:instrText>
      </w:r>
      <w:r w:rsidRPr="00AA0F33">
        <w:fldChar w:fldCharType="separate"/>
      </w:r>
      <w:r w:rsidRPr="00AA0F33">
        <w:t xml:space="preserve">Fig. </w:t>
      </w:r>
      <w:r w:rsidRPr="00AA0F33">
        <w:rPr>
          <w:noProof/>
        </w:rPr>
        <w:t>3</w:t>
      </w:r>
      <w:r w:rsidRPr="00AA0F33">
        <w:fldChar w:fldCharType="end"/>
      </w:r>
      <w:r w:rsidR="004D4C8F">
        <w:t>a</w:t>
      </w:r>
      <w:r w:rsidRPr="009474C3">
        <w:t>). In particular, during the monitoring period carried out by the VFL system, wave heights (</w:t>
      </w:r>
      <w:proofErr w:type="spellStart"/>
      <w:r w:rsidRPr="009474C3">
        <w:t>Hmax</w:t>
      </w:r>
      <w:proofErr w:type="spellEnd"/>
      <w:r w:rsidRPr="009474C3">
        <w:t>) greater than 2 m were recorded 1240 times (</w:t>
      </w:r>
      <w:r w:rsidRPr="009474C3">
        <w:fldChar w:fldCharType="begin"/>
      </w:r>
      <w:r w:rsidRPr="009474C3">
        <w:instrText xml:space="preserve"> REF _Ref215587406 \h </w:instrText>
      </w:r>
      <w:r>
        <w:instrText xml:space="preserve"> \* MERGEFORMAT </w:instrText>
      </w:r>
      <w:r w:rsidRPr="009474C3">
        <w:fldChar w:fldCharType="separate"/>
      </w:r>
      <w:r w:rsidRPr="007F100E">
        <w:t>Fig. 3</w:t>
      </w:r>
      <w:r w:rsidRPr="009474C3">
        <w:fldChar w:fldCharType="end"/>
      </w:r>
      <w:r w:rsidR="004D4C8F">
        <w:t>b</w:t>
      </w:r>
      <w:r w:rsidRPr="009474C3">
        <w:t>), demonstrating the statistical representativeness and recurrence of such energetic wave conditions within the local wave climate</w:t>
      </w:r>
    </w:p>
    <w:p w14:paraId="30208F86" w14:textId="77777777" w:rsidR="00AA0F33" w:rsidRPr="009474C3" w:rsidRDefault="00AA0F33" w:rsidP="00AA0F33">
      <w:pPr>
        <w:pStyle w:val="Immagini"/>
        <w:spacing w:line="360" w:lineRule="auto"/>
        <w:rPr>
          <w:noProof w:val="0"/>
        </w:rPr>
      </w:pPr>
      <w:r w:rsidRPr="009474C3">
        <w:rPr>
          <w:lang w:val="en-US"/>
        </w:rPr>
        <w:drawing>
          <wp:inline distT="0" distB="0" distL="0" distR="0" wp14:anchorId="5D6BFE8A" wp14:editId="48506B62">
            <wp:extent cx="5039999" cy="2884810"/>
            <wp:effectExtent l="0" t="0" r="8255" b="0"/>
            <wp:docPr id="2133476882" name="Elemento gra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476882" name="Elemento grafico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999" cy="2884810"/>
                    </a:xfrm>
                    <a:prstGeom prst="rect">
                      <a:avLst/>
                    </a:prstGeom>
                  </pic:spPr>
                </pic:pic>
              </a:graphicData>
            </a:graphic>
          </wp:inline>
        </w:drawing>
      </w:r>
    </w:p>
    <w:p w14:paraId="6C2EE09E" w14:textId="42988060" w:rsidR="00AA0F33" w:rsidRDefault="00AA0F33" w:rsidP="00AA0F33">
      <w:pPr>
        <w:pStyle w:val="Caption"/>
        <w:spacing w:line="360" w:lineRule="auto"/>
      </w:pPr>
      <w:bookmarkStart w:id="12" w:name="_Ref215587406"/>
      <w:r>
        <w:rPr>
          <w:b/>
          <w:bCs/>
        </w:rPr>
        <w:t>Fig.</w:t>
      </w:r>
      <w:r w:rsidRPr="009474C3">
        <w:rPr>
          <w:b/>
          <w:bCs/>
        </w:rPr>
        <w:t xml:space="preserve"> </w:t>
      </w:r>
      <w:r w:rsidRPr="009474C3">
        <w:rPr>
          <w:b/>
          <w:bCs/>
        </w:rPr>
        <w:fldChar w:fldCharType="begin"/>
      </w:r>
      <w:r w:rsidRPr="009474C3">
        <w:rPr>
          <w:b/>
          <w:bCs/>
        </w:rPr>
        <w:instrText xml:space="preserve"> SEQ Figure \* ARABIC </w:instrText>
      </w:r>
      <w:r w:rsidRPr="009474C3">
        <w:rPr>
          <w:b/>
          <w:bCs/>
        </w:rPr>
        <w:fldChar w:fldCharType="separate"/>
      </w:r>
      <w:r>
        <w:rPr>
          <w:b/>
          <w:bCs/>
          <w:noProof/>
        </w:rPr>
        <w:t>3</w:t>
      </w:r>
      <w:r w:rsidRPr="009474C3">
        <w:rPr>
          <w:b/>
          <w:bCs/>
        </w:rPr>
        <w:fldChar w:fldCharType="end"/>
      </w:r>
      <w:bookmarkEnd w:id="12"/>
      <w:r w:rsidRPr="009474C3">
        <w:t xml:space="preserve"> </w:t>
      </w:r>
      <w:r w:rsidR="008425CE">
        <w:t xml:space="preserve">(a) </w:t>
      </w:r>
      <w:r w:rsidRPr="009474C3">
        <w:t>Bar plot showing the distribution of the maximum recorded sea wave heights (</w:t>
      </w:r>
      <w:proofErr w:type="spellStart"/>
      <w:r w:rsidRPr="009474C3">
        <w:t>Hmax</w:t>
      </w:r>
      <w:proofErr w:type="spellEnd"/>
      <w:r w:rsidRPr="009474C3">
        <w:t xml:space="preserve">) measured by the VFL monitoring system at Punta </w:t>
      </w:r>
      <w:proofErr w:type="spellStart"/>
      <w:r w:rsidRPr="009474C3">
        <w:t>Eolo</w:t>
      </w:r>
      <w:proofErr w:type="spellEnd"/>
      <w:r w:rsidRPr="009474C3">
        <w:t xml:space="preserve"> over the entire observation period; (</w:t>
      </w:r>
      <w:r w:rsidR="008425CE">
        <w:t>b</w:t>
      </w:r>
      <w:r w:rsidRPr="009474C3">
        <w:t xml:space="preserve">) Zoomed bar plot focusing on energetic wave events, restricted to </w:t>
      </w:r>
      <w:proofErr w:type="spellStart"/>
      <w:r w:rsidRPr="009474C3">
        <w:t>Hmax</w:t>
      </w:r>
      <w:proofErr w:type="spellEnd"/>
      <w:r w:rsidRPr="009474C3">
        <w:t xml:space="preserve"> &gt; 2 m</w:t>
      </w:r>
    </w:p>
    <w:p w14:paraId="7B965D54" w14:textId="4F9E1792" w:rsidR="00C63810" w:rsidRDefault="00F52D81" w:rsidP="00C63810">
      <w:pPr>
        <w:pStyle w:val="Heading1"/>
        <w:spacing w:before="120" w:after="120" w:line="360" w:lineRule="auto"/>
        <w:rPr>
          <w:rFonts w:ascii="Times New Roman" w:hAnsi="Times New Roman"/>
          <w:b/>
          <w:smallCaps/>
          <w:color w:val="000000" w:themeColor="text1"/>
          <w:sz w:val="28"/>
        </w:rPr>
      </w:pPr>
      <w:r w:rsidRPr="00F52D81">
        <w:rPr>
          <w:rFonts w:ascii="Times New Roman" w:hAnsi="Times New Roman"/>
          <w:b/>
          <w:smallCaps/>
          <w:color w:val="000000" w:themeColor="text1"/>
          <w:sz w:val="28"/>
        </w:rPr>
        <w:t xml:space="preserve">1D semi-infinite solid solution of </w:t>
      </w:r>
      <w:proofErr w:type="spellStart"/>
      <w:r w:rsidRPr="00F52D81">
        <w:rPr>
          <w:rFonts w:ascii="Times New Roman" w:hAnsi="Times New Roman"/>
          <w:b/>
          <w:smallCaps/>
          <w:color w:val="000000" w:themeColor="text1"/>
          <w:sz w:val="28"/>
        </w:rPr>
        <w:t>Carslaw</w:t>
      </w:r>
      <w:proofErr w:type="spellEnd"/>
      <w:r w:rsidRPr="00F52D81">
        <w:rPr>
          <w:rFonts w:ascii="Times New Roman" w:hAnsi="Times New Roman"/>
          <w:b/>
          <w:smallCaps/>
          <w:color w:val="000000" w:themeColor="text1"/>
          <w:sz w:val="28"/>
        </w:rPr>
        <w:t xml:space="preserve"> and Jaeger (1959) and </w:t>
      </w:r>
      <w:r w:rsidR="00C63810">
        <w:rPr>
          <w:rFonts w:ascii="Times New Roman" w:hAnsi="Times New Roman"/>
          <w:b/>
          <w:smallCaps/>
          <w:color w:val="000000" w:themeColor="text1"/>
          <w:sz w:val="28"/>
        </w:rPr>
        <w:t>Thermal inputs used in the thermomechanical analyses</w:t>
      </w:r>
    </w:p>
    <w:p w14:paraId="5B351007" w14:textId="77777777" w:rsidR="00877ACC" w:rsidRPr="009474C3" w:rsidRDefault="00877ACC" w:rsidP="00877ACC">
      <w:pPr>
        <w:spacing w:line="360" w:lineRule="auto"/>
      </w:pPr>
      <w:r w:rsidRPr="009474C3">
        <w:t xml:space="preserve">Thermal propagation into the cliff face was modelled using the 1D semi-infinite solid solution of </w:t>
      </w:r>
      <w:proofErr w:type="spellStart"/>
      <w:r w:rsidRPr="009474C3">
        <w:t>Carslaw</w:t>
      </w:r>
      <w:proofErr w:type="spellEnd"/>
      <w:r w:rsidRPr="009474C3">
        <w:t xml:space="preserve"> and Jaeger </w:t>
      </w:r>
      <w:r w:rsidRPr="009474C3">
        <w:fldChar w:fldCharType="begin"/>
      </w:r>
      <w:r w:rsidRPr="009474C3">
        <w:instrText xml:space="preserve"> ADDIN ZOTERO_ITEM CSL_CITATION {"citationID":"SAoWr10U","properties":{"formattedCitation":"(1959)","plainCitation":"(1959)","noteIndex":0},"citationItems":[{"id":952,"uris":["http://zotero.org/users/18594503/items/7EWALHYW"],"itemData":{"id":952,"type":"article-journal","publisher":"Oxford","title":"Conduction of heat in solids, Clarendon","author":[{"family":"Carslaw","given":"HS"},{"family":"Jaeger","given":"JC"}],"issued":{"date-parts":[["1959"]]}},"suppress-author":true}],"schema":"https://github.com/citation-style-language/schema/raw/master/csl-citation.json"} </w:instrText>
      </w:r>
      <w:r w:rsidRPr="009474C3">
        <w:fldChar w:fldCharType="separate"/>
      </w:r>
      <w:r w:rsidRPr="009474C3">
        <w:t>(1959)</w:t>
      </w:r>
      <w:r w:rsidRPr="009474C3">
        <w:fldChar w:fldCharType="end"/>
      </w:r>
      <w:r w:rsidRPr="009474C3">
        <w:t xml:space="preserve">, which allows for the quantitative evaluation of the temperature profile </w:t>
      </w:r>
      <w:r w:rsidRPr="009474C3">
        <w:rPr>
          <w:rFonts w:eastAsiaTheme="minorEastAsia"/>
        </w:rPr>
        <w:t>(</w:t>
      </w:r>
      <m:oMath>
        <m:r>
          <w:rPr>
            <w:rFonts w:ascii="Cambria Math" w:hAnsi="Cambria Math"/>
          </w:rPr>
          <m:t>T</m:t>
        </m:r>
      </m:oMath>
      <w:r w:rsidRPr="009474C3">
        <w:rPr>
          <w:rFonts w:eastAsiaTheme="minorEastAsia"/>
        </w:rPr>
        <w:t xml:space="preserve">) </w:t>
      </w:r>
      <w:r w:rsidRPr="009474C3">
        <w:t xml:space="preserve">in depth </w:t>
      </w:r>
      <w:r w:rsidRPr="009474C3">
        <w:rPr>
          <w:rFonts w:eastAsiaTheme="minorEastAsia"/>
        </w:rPr>
        <w:t>(</w:t>
      </w:r>
      <m:oMath>
        <m:r>
          <w:rPr>
            <w:rFonts w:ascii="Cambria Math" w:hAnsi="Cambria Math"/>
          </w:rPr>
          <m:t>x</m:t>
        </m:r>
      </m:oMath>
      <w:r w:rsidRPr="009474C3">
        <w:rPr>
          <w:rFonts w:eastAsiaTheme="minorEastAsia"/>
        </w:rPr>
        <w:t>)</w:t>
      </w:r>
      <w:r w:rsidRPr="009474C3">
        <w:t xml:space="preserve"> in the case of a periodic thermal forcing:</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877ACC" w:rsidRPr="009474C3" w14:paraId="0C12C029" w14:textId="77777777" w:rsidTr="00BC7655">
        <w:tc>
          <w:tcPr>
            <w:tcW w:w="4819" w:type="dxa"/>
          </w:tcPr>
          <w:p w14:paraId="1DB4C957" w14:textId="77777777" w:rsidR="00877ACC" w:rsidRPr="000E5DFF" w:rsidRDefault="00877ACC" w:rsidP="00BC7655">
            <w:pPr>
              <w:pStyle w:val="Normale1"/>
            </w:pPr>
            <m:oMathPara>
              <m:oMathParaPr>
                <m:jc m:val="left"/>
              </m:oMathParaPr>
              <m:oMath>
                <m:r>
                  <w:rPr>
                    <w:rFonts w:ascii="Cambria Math" w:hAnsi="Cambria Math"/>
                  </w:rPr>
                  <m:t>T</m:t>
                </m:r>
                <m:d>
                  <m:dPr>
                    <m:ctrlPr>
                      <w:rPr>
                        <w:rFonts w:ascii="Cambria Math" w:hAnsi="Cambria Math"/>
                        <w:i/>
                      </w:rPr>
                    </m:ctrlPr>
                  </m:dPr>
                  <m:e>
                    <m:r>
                      <w:rPr>
                        <w:rFonts w:ascii="Cambria Math" w:hAnsi="Cambria Math"/>
                      </w:rPr>
                      <m:t>x, t</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+A</m:t>
                </m:r>
                <m:sSup>
                  <m:sSupPr>
                    <m:ctrlPr>
                      <w:rPr>
                        <w:rFonts w:ascii="Cambria Math" w:hAnsi="Cambria Math"/>
                        <w:i/>
                      </w:rPr>
                    </m:ctrlPr>
                  </m:sSupPr>
                  <m:e>
                    <m:r>
                      <w:rPr>
                        <w:rFonts w:ascii="Cambria Math" w:hAnsi="Cambria Math"/>
                      </w:rPr>
                      <m:t>e</m:t>
                    </m:r>
                  </m:e>
                  <m:sup>
                    <m:r>
                      <w:rPr>
                        <w:rFonts w:ascii="Cambria Math" w:hAnsi="Cambria Math"/>
                      </w:rPr>
                      <m:t>-(</m:t>
                    </m:r>
                    <m:f>
                      <m:fPr>
                        <m:type m:val="lin"/>
                        <m:ctrlPr>
                          <w:rPr>
                            <w:rFonts w:ascii="Cambria Math" w:hAnsi="Cambria Math"/>
                            <w:i/>
                          </w:rPr>
                        </m:ctrlPr>
                      </m:fPr>
                      <m:num>
                        <m:r>
                          <w:rPr>
                            <w:rFonts w:ascii="Cambria Math" w:hAnsi="Cambria Math"/>
                          </w:rPr>
                          <m:t>x</m:t>
                        </m:r>
                      </m:num>
                      <m:den>
                        <m:r>
                          <w:rPr>
                            <w:rFonts w:ascii="Cambria Math" w:hAnsi="Cambria Math"/>
                          </w:rPr>
                          <m:t>δ</m:t>
                        </m:r>
                      </m:den>
                    </m:f>
                    <m:r>
                      <w:rPr>
                        <w:rFonts w:ascii="Cambria Math" w:hAnsi="Cambria Math"/>
                      </w:rPr>
                      <m:t>)</m:t>
                    </m:r>
                  </m:sup>
                </m:sSup>
                <m:func>
                  <m:funcPr>
                    <m:ctrlPr>
                      <w:rPr>
                        <w:rFonts w:ascii="Cambria Math" w:hAnsi="Cambria Math"/>
                        <w:i/>
                      </w:rPr>
                    </m:ctrlPr>
                  </m:funcPr>
                  <m:fName>
                    <m:r>
                      <m:rPr>
                        <m:sty m:val="p"/>
                      </m:rPr>
                      <w:rPr>
                        <w:rFonts w:ascii="Cambria Math" w:hAnsi="Cambria Math"/>
                      </w:rPr>
                      <m:t>sin</m:t>
                    </m:r>
                  </m:fName>
                  <m:e>
                    <m:r>
                      <w:rPr>
                        <w:rFonts w:ascii="Cambria Math" w:hAnsi="Cambria Math"/>
                      </w:rPr>
                      <m:t>(ωt-</m:t>
                    </m:r>
                    <m:f>
                      <m:fPr>
                        <m:type m:val="lin"/>
                        <m:ctrlPr>
                          <w:rPr>
                            <w:rFonts w:ascii="Cambria Math" w:hAnsi="Cambria Math"/>
                            <w:i/>
                          </w:rPr>
                        </m:ctrlPr>
                      </m:fPr>
                      <m:num>
                        <m:r>
                          <w:rPr>
                            <w:rFonts w:ascii="Cambria Math" w:hAnsi="Cambria Math"/>
                          </w:rPr>
                          <m:t>x</m:t>
                        </m:r>
                      </m:num>
                      <m:den>
                        <m:r>
                          <w:rPr>
                            <w:rFonts w:ascii="Cambria Math" w:hAnsi="Cambria Math"/>
                          </w:rPr>
                          <m:t>δ</m:t>
                        </m:r>
                      </m:den>
                    </m:f>
                    <m:r>
                      <w:rPr>
                        <w:rFonts w:ascii="Cambria Math" w:hAnsi="Cambria Math"/>
                      </w:rPr>
                      <m:t>)</m:t>
                    </m:r>
                  </m:e>
                </m:func>
              </m:oMath>
            </m:oMathPara>
          </w:p>
        </w:tc>
        <w:tc>
          <w:tcPr>
            <w:tcW w:w="4819" w:type="dxa"/>
          </w:tcPr>
          <w:p w14:paraId="3B9CDE8E" w14:textId="77777777" w:rsidR="00877ACC" w:rsidRPr="009474C3" w:rsidRDefault="00877ACC" w:rsidP="00BC7655">
            <w:pPr>
              <w:pStyle w:val="Didascalie"/>
              <w:spacing w:line="360" w:lineRule="auto"/>
              <w:jc w:val="right"/>
              <w:rPr>
                <w:b/>
                <w:bCs/>
              </w:rPr>
            </w:pPr>
            <w:bookmarkStart w:id="13" w:name="_Ref212911081"/>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Pr>
                <w:b/>
                <w:bCs/>
                <w:noProof/>
                <w:sz w:val="24"/>
                <w:szCs w:val="22"/>
              </w:rPr>
              <w:t>1</w:t>
            </w:r>
            <w:r w:rsidRPr="009474C3">
              <w:rPr>
                <w:b/>
                <w:bCs/>
                <w:sz w:val="24"/>
                <w:szCs w:val="22"/>
              </w:rPr>
              <w:fldChar w:fldCharType="end"/>
            </w:r>
            <w:bookmarkEnd w:id="13"/>
          </w:p>
        </w:tc>
      </w:tr>
    </w:tbl>
    <w:p w14:paraId="46629ED0" w14:textId="77777777" w:rsidR="00877ACC" w:rsidRPr="009474C3" w:rsidRDefault="00877ACC" w:rsidP="00877ACC">
      <w:pPr>
        <w:pStyle w:val="Normale1"/>
        <w:ind w:firstLine="0"/>
      </w:pPr>
      <w:proofErr w:type="gramStart"/>
      <w:r w:rsidRPr="009474C3">
        <w:t>with</w:t>
      </w:r>
      <w:proofErr w:type="gramEnd"/>
      <w:r w:rsidRPr="009474C3">
        <w:t>:</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877ACC" w:rsidRPr="009474C3" w14:paraId="63145EE4" w14:textId="77777777" w:rsidTr="00BC7655">
        <w:tc>
          <w:tcPr>
            <w:tcW w:w="4819" w:type="dxa"/>
          </w:tcPr>
          <w:p w14:paraId="50737B10" w14:textId="77777777" w:rsidR="00877ACC" w:rsidRPr="009474C3" w:rsidRDefault="00877ACC" w:rsidP="00BC7655">
            <w:pPr>
              <w:pStyle w:val="Normale1"/>
            </w:pPr>
            <m:oMathPara>
              <m:oMathParaPr>
                <m:jc m:val="left"/>
              </m:oMathParaPr>
              <m:oMath>
                <m:r>
                  <w:rPr>
                    <w:rFonts w:ascii="Cambria Math" w:hAnsi="Cambria Math"/>
                  </w:rPr>
                  <m:t>δ</m:t>
                </m:r>
                <m:r>
                  <m:rPr>
                    <m:sty m:val="p"/>
                  </m:rPr>
                  <w:rPr>
                    <w:rFonts w:ascii="Cambria Math" w:hAnsi="Cambria Math"/>
                  </w:rPr>
                  <m:t xml:space="preserve">= </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m:t>
                        </m:r>
                        <m:r>
                          <w:rPr>
                            <w:rFonts w:ascii="Cambria Math" w:hAnsi="Cambria Math"/>
                          </w:rPr>
                          <m:t>a</m:t>
                        </m:r>
                      </m:num>
                      <m:den>
                        <m:r>
                          <w:rPr>
                            <w:rFonts w:ascii="Cambria Math" w:hAnsi="Cambria Math"/>
                          </w:rPr>
                          <m:t>ω</m:t>
                        </m:r>
                      </m:den>
                    </m:f>
                  </m:e>
                </m:rad>
              </m:oMath>
            </m:oMathPara>
          </w:p>
        </w:tc>
        <w:tc>
          <w:tcPr>
            <w:tcW w:w="4819" w:type="dxa"/>
          </w:tcPr>
          <w:p w14:paraId="7944E50F" w14:textId="77777777" w:rsidR="00877ACC" w:rsidRPr="009474C3" w:rsidRDefault="00877ACC" w:rsidP="00BC7655">
            <w:pPr>
              <w:pStyle w:val="Didascalie"/>
              <w:spacing w:line="360" w:lineRule="auto"/>
              <w:jc w:val="right"/>
              <w:rPr>
                <w:b/>
                <w:bCs/>
              </w:rPr>
            </w:pPr>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Pr>
                <w:b/>
                <w:bCs/>
                <w:noProof/>
                <w:sz w:val="24"/>
                <w:szCs w:val="22"/>
              </w:rPr>
              <w:t>2</w:t>
            </w:r>
            <w:r w:rsidRPr="009474C3">
              <w:rPr>
                <w:b/>
                <w:bCs/>
                <w:sz w:val="24"/>
                <w:szCs w:val="22"/>
              </w:rPr>
              <w:fldChar w:fldCharType="end"/>
            </w:r>
          </w:p>
        </w:tc>
      </w:tr>
    </w:tbl>
    <w:p w14:paraId="1F894724" w14:textId="77777777" w:rsidR="00877ACC" w:rsidRPr="009474C3" w:rsidRDefault="00877ACC" w:rsidP="00877ACC">
      <w:pPr>
        <w:pStyle w:val="Normale1"/>
        <w:ind w:firstLine="0"/>
      </w:pPr>
      <w:proofErr w:type="gramStart"/>
      <w:r w:rsidRPr="009474C3">
        <w:t>and</w:t>
      </w:r>
      <w:proofErr w:type="gramEnd"/>
      <w:r w:rsidRPr="009474C3">
        <w:t xml:space="preserve">: </w:t>
      </w:r>
    </w:p>
    <w:tbl>
      <w:tblPr>
        <w:tblStyle w:val="TableGrid"/>
        <w:tblW w:w="0" w:type="auto"/>
        <w:tblBorders>
          <w:insideH w:val="none" w:sz="0" w:space="0" w:color="auto"/>
        </w:tblBorders>
        <w:tblLook w:val="04A0" w:firstRow="1" w:lastRow="0" w:firstColumn="1" w:lastColumn="0" w:noHBand="0" w:noVBand="1"/>
      </w:tblPr>
      <w:tblGrid>
        <w:gridCol w:w="4819"/>
        <w:gridCol w:w="4819"/>
      </w:tblGrid>
      <w:tr w:rsidR="00877ACC" w:rsidRPr="009474C3" w14:paraId="3168B611" w14:textId="77777777" w:rsidTr="00BC7655">
        <w:tc>
          <w:tcPr>
            <w:tcW w:w="4819" w:type="dxa"/>
          </w:tcPr>
          <w:p w14:paraId="707B02A5" w14:textId="77777777" w:rsidR="00877ACC" w:rsidRPr="009474C3" w:rsidRDefault="00877ACC" w:rsidP="00BC7655">
            <w:pPr>
              <w:pStyle w:val="Normale1"/>
              <w:ind w:firstLine="0"/>
            </w:pPr>
            <m:oMathPara>
              <m:oMathParaPr>
                <m:jc m:val="left"/>
              </m:oMathParaPr>
              <m:oMath>
                <m:r>
                  <w:rPr>
                    <w:rFonts w:ascii="Cambria Math" w:hAnsi="Cambria Math"/>
                  </w:rPr>
                  <m:t>a</m:t>
                </m:r>
                <m:r>
                  <m:rPr>
                    <m:sty m:val="p"/>
                  </m:rPr>
                  <w:rPr>
                    <w:rFonts w:ascii="Cambria Math" w:hAnsi="Cambria Math"/>
                  </w:rPr>
                  <m:t xml:space="preserve">= </m:t>
                </m:r>
                <m:f>
                  <m:fPr>
                    <m:ctrlPr>
                      <w:rPr>
                        <w:rFonts w:ascii="Cambria Math" w:hAnsi="Cambria Math"/>
                      </w:rPr>
                    </m:ctrlPr>
                  </m:fPr>
                  <m:num>
                    <m:r>
                      <w:rPr>
                        <w:rFonts w:ascii="Cambria Math" w:hAnsi="Cambria Math"/>
                      </w:rPr>
                      <m:t>λ</m:t>
                    </m:r>
                  </m:num>
                  <m:den>
                    <m:r>
                      <w:rPr>
                        <w:rFonts w:ascii="Cambria Math" w:hAnsi="Cambria Math"/>
                      </w:rPr>
                      <m:t>ρ</m:t>
                    </m:r>
                    <m:sSub>
                      <m:sSubPr>
                        <m:ctrlPr>
                          <w:rPr>
                            <w:rFonts w:ascii="Cambria Math" w:hAnsi="Cambria Math"/>
                          </w:rPr>
                        </m:ctrlPr>
                      </m:sSubPr>
                      <m:e>
                        <m:r>
                          <w:rPr>
                            <w:rFonts w:ascii="Cambria Math" w:hAnsi="Cambria Math"/>
                          </w:rPr>
                          <m:t>C</m:t>
                        </m:r>
                      </m:e>
                      <m:sub>
                        <m:r>
                          <w:rPr>
                            <w:rFonts w:ascii="Cambria Math" w:hAnsi="Cambria Math"/>
                          </w:rPr>
                          <m:t>p</m:t>
                        </m:r>
                      </m:sub>
                    </m:sSub>
                  </m:den>
                </m:f>
              </m:oMath>
            </m:oMathPara>
          </w:p>
        </w:tc>
        <w:tc>
          <w:tcPr>
            <w:tcW w:w="4819" w:type="dxa"/>
          </w:tcPr>
          <w:p w14:paraId="3A217A97" w14:textId="77777777" w:rsidR="00877ACC" w:rsidRPr="009474C3" w:rsidRDefault="00877ACC" w:rsidP="00BC7655">
            <w:pPr>
              <w:pStyle w:val="Didascalie"/>
              <w:spacing w:line="360" w:lineRule="auto"/>
              <w:jc w:val="right"/>
              <w:rPr>
                <w:b/>
                <w:bCs/>
              </w:rPr>
            </w:pPr>
            <w:r w:rsidRPr="009474C3">
              <w:rPr>
                <w:b/>
                <w:bCs/>
                <w:sz w:val="24"/>
                <w:szCs w:val="22"/>
              </w:rPr>
              <w:t xml:space="preserve">Eq. </w:t>
            </w:r>
            <w:r w:rsidRPr="009474C3">
              <w:rPr>
                <w:b/>
                <w:bCs/>
                <w:sz w:val="24"/>
                <w:szCs w:val="22"/>
              </w:rPr>
              <w:fldChar w:fldCharType="begin"/>
            </w:r>
            <w:r w:rsidRPr="009474C3">
              <w:rPr>
                <w:b/>
                <w:bCs/>
                <w:sz w:val="24"/>
                <w:szCs w:val="22"/>
              </w:rPr>
              <w:instrText xml:space="preserve"> SEQ Equazione \* ARABIC \s 1 </w:instrText>
            </w:r>
            <w:r w:rsidRPr="009474C3">
              <w:rPr>
                <w:b/>
                <w:bCs/>
                <w:sz w:val="24"/>
                <w:szCs w:val="22"/>
              </w:rPr>
              <w:fldChar w:fldCharType="separate"/>
            </w:r>
            <w:r>
              <w:rPr>
                <w:b/>
                <w:bCs/>
                <w:noProof/>
                <w:sz w:val="24"/>
                <w:szCs w:val="22"/>
              </w:rPr>
              <w:t>3</w:t>
            </w:r>
            <w:r w:rsidRPr="009474C3">
              <w:rPr>
                <w:b/>
                <w:bCs/>
                <w:sz w:val="24"/>
                <w:szCs w:val="22"/>
              </w:rPr>
              <w:fldChar w:fldCharType="end"/>
            </w:r>
          </w:p>
        </w:tc>
      </w:tr>
    </w:tbl>
    <w:p w14:paraId="191D8165" w14:textId="77777777" w:rsidR="00877ACC" w:rsidRPr="009474C3" w:rsidRDefault="00877ACC" w:rsidP="00877ACC">
      <w:pPr>
        <w:spacing w:line="360" w:lineRule="auto"/>
      </w:pPr>
      <w:r w:rsidRPr="009474C3">
        <w:t xml:space="preserve">where </w:t>
      </w:r>
      <m:oMath>
        <m:r>
          <w:rPr>
            <w:rFonts w:ascii="Cambria Math" w:hAnsi="Cambria Math"/>
          </w:rPr>
          <m:t>δ</m:t>
        </m:r>
      </m:oMath>
      <w:r w:rsidRPr="009474C3">
        <w:t xml:space="preserve"> is the Typical Penetration Depth (TPD), that represents the distance to which a thermal front can propagate within the solid medium, </w:t>
      </w:r>
      <m:oMath>
        <m:r>
          <w:rPr>
            <w:rFonts w:ascii="Cambria Math" w:hAnsi="Cambria Math"/>
          </w:rPr>
          <m:t>a</m:t>
        </m:r>
      </m:oMath>
      <w:r w:rsidRPr="009474C3">
        <w:t xml:space="preserve"> is the thermal diffusivity of the medium, </w:t>
      </w:r>
      <m:oMath>
        <m:r>
          <w:rPr>
            <w:rFonts w:ascii="Cambria Math" w:hAnsi="Cambria Math"/>
          </w:rPr>
          <m:t>ω</m:t>
        </m:r>
      </m:oMath>
      <w:r w:rsidRPr="009474C3">
        <w:t xml:space="preserve"> is the angular frequency of the temperature fluctuation, and </w:t>
      </w:r>
      <m:oMath>
        <m:r>
          <w:rPr>
            <w:rFonts w:ascii="Cambria Math" w:hAnsi="Cambria Math"/>
          </w:rPr>
          <m:t>λ</m:t>
        </m:r>
      </m:oMath>
      <w:r w:rsidRPr="009474C3">
        <w:t xml:space="preserve">, </w:t>
      </w:r>
      <m:oMath>
        <m:sSub>
          <m:sSubPr>
            <m:ctrlPr>
              <w:rPr>
                <w:rFonts w:ascii="Cambria Math" w:hAnsi="Cambria Math"/>
              </w:rPr>
            </m:ctrlPr>
          </m:sSubPr>
          <m:e>
            <m:r>
              <w:rPr>
                <w:rFonts w:ascii="Cambria Math" w:hAnsi="Cambria Math"/>
              </w:rPr>
              <m:t>C</m:t>
            </m:r>
          </m:e>
          <m:sub>
            <m:r>
              <w:rPr>
                <w:rFonts w:ascii="Cambria Math" w:hAnsi="Cambria Math"/>
              </w:rPr>
              <m:t>p</m:t>
            </m:r>
          </m:sub>
        </m:sSub>
      </m:oMath>
      <w:r w:rsidRPr="009474C3">
        <w:t xml:space="preserve"> and </w:t>
      </w:r>
      <m:oMath>
        <m:r>
          <w:rPr>
            <w:rFonts w:ascii="Cambria Math" w:hAnsi="Cambria Math"/>
          </w:rPr>
          <m:t>ρ</m:t>
        </m:r>
      </m:oMath>
      <w:r w:rsidRPr="009474C3">
        <w:t xml:space="preserve"> are the thermal conductivity, specific heat capacity and relative density of the solid medium, respectively. </w:t>
      </w:r>
    </w:p>
    <w:p w14:paraId="1BF9C3A7" w14:textId="77777777" w:rsidR="00877ACC" w:rsidRPr="009474C3" w:rsidRDefault="00877ACC" w:rsidP="00877ACC">
      <w:pPr>
        <w:spacing w:line="360" w:lineRule="auto"/>
      </w:pPr>
      <w:r w:rsidRPr="009474C3">
        <w:lastRenderedPageBreak/>
        <w:t xml:space="preserve">At </w:t>
      </w:r>
      <w:proofErr w:type="gramStart"/>
      <w:r w:rsidRPr="009474C3">
        <w:t xml:space="preserve">depth </w:t>
      </w:r>
      <w:proofErr w:type="gramEnd"/>
      <m:oMath>
        <m:r>
          <w:rPr>
            <w:rFonts w:ascii="Cambria Math" w:hAnsi="Cambria Math"/>
          </w:rPr>
          <m:t>δ</m:t>
        </m:r>
      </m:oMath>
      <w:r w:rsidRPr="009474C3">
        <w:t xml:space="preserve">, the temperature amplitude decays to </w:t>
      </w:r>
      <m:oMath>
        <m:f>
          <m:fPr>
            <m:type m:val="lin"/>
            <m:ctrlPr>
              <w:rPr>
                <w:rFonts w:ascii="Cambria Math" w:hAnsi="Cambria Math"/>
                <w:i/>
              </w:rPr>
            </m:ctrlPr>
          </m:fPr>
          <m:num>
            <m:r>
              <w:rPr>
                <w:rFonts w:ascii="Cambria Math" w:hAnsi="Cambria Math"/>
              </w:rPr>
              <m:t>1</m:t>
            </m:r>
          </m:num>
          <m:den>
            <m:r>
              <w:rPr>
                <w:rFonts w:ascii="Cambria Math" w:hAnsi="Cambria Math"/>
              </w:rPr>
              <m:t>e</m:t>
            </m:r>
          </m:den>
        </m:f>
      </m:oMath>
      <w:r w:rsidRPr="009474C3">
        <w:t xml:space="preserve"> of the surface value. The TPD can therefore be interpreted as a theoretical parameter that quantifies the characteristic length scale of the exponential attenuation of thermal oscillations. The portion of the rock mass where temperature variations remain appreciable over time is commonly referred to as the Thermal Active Layer (TAL) </w:t>
      </w:r>
      <w:r w:rsidRPr="009474C3">
        <w:fldChar w:fldCharType="begin"/>
      </w:r>
      <w:r w:rsidRPr="009474C3">
        <w:instrText xml:space="preserve"> ADDIN ZOTERO_ITEM CSL_CITATION {"citationID":"lI7YGcI7","properties":{"formattedCitation":"(Gischig et al., 2011; Marmoni et al., 2020)","plainCitation":"(Gischig et al., 2011; Marmoni et al., 2020)","noteIndex":0},"citationItems":[{"id":951,"uris":["http://zotero.org/users/18594503/items/8ZHBW7WJ"],"itemData":{"id":951,"type":"article-journal","container-title":"Journal of Geophysical Research: Earth Surface","ISSN":"0148-0227","issue":"F4","journalAbbreviation":"Journal of Geophysical Research: Earth Surface","publisher":"Wiley Online Library","title":"Thermomechanical forcing of deep rock slope deformation: 2. The Randa rock slope instability","volume":"116","author":[{"family":"Gischig","given":"Valentin S"},{"family":"Moore","given":"Jeffrey R"},{"family":"Evans","given":"Keith F"},{"family":"Amann","given":"Florian"},{"family":"Loew","given":"Simon"}],"issued":{"date-parts":[["2011"]]}}},{"id":520,"uris":["http://zotero.org/users/18594503/items/7XIHECZU"],"itemData":{"id":520,"type":"article-journal","abstract":"Mechanical response of rock masses to the periodical fluctuation of surface temperatures is a relevant topic to be focused on for the comprehension of short- to long-term stability of rock slopes continuously stressed by slight yet periodical actions. To better understand how preparatory factors can lead rock masses toward failure, thermal and strain monitoring activities are ongoing in a selected quarry wall, where an experimental test-site was implemented on a jointed rock block. The role of pervasive joints in perturbing the heating-cooling process of the rock mass and their related effects was already output by direct and remote monitoring. For these purposes, FDM numerical modelling was focused on the comprehension and simulation of induced mechanical effects due to cyclical thermal forcings over a simplified 2D half-space. Therefore, the role of rock mass joints on both heat propagation and resulting thermo-mechanical effects was analysed, basing on monitoring data, field experiments and numerical modelling. Numerical results output the role of periodic daily, annual and compound thermal input in inducing irreversible deformation along joints under different rock mass jointing configuration, as a function of the intrinsic period of thermal input and joint attitude. Temperature distribution across joints was also analysed as a possible constraining effect for time and space distribution of yielding. A sensitivity analysis of heat propagation conditions was performed in order to infer the role of joint sets on induced thermomechanical strains at the rock block scale. A non-negligible influence on surficial as well as deeper portions of the rock mass was observed, highlighting how near-surface temperature fluctuations can drive the long-term evolution of rock block conditions towards failure.","container-title":"International Journal of Rock Mechanics and Mining Sciences","DOI":"10.1016/j.ijrmms.2020.104440","ISSN":"13651609","journalAbbreviation":"International Journal of Rock Mechanics and Mining Sciences","language":"en","page":"104440","source":"DOI.org (Crossref)","title":"Modelling of thermo-mechanical effects in a rock quarry wall induced by near-surface temperature fluctuations","volume":"134","author":[{"family":"Marmoni","given":"G.M."},{"family":"Fiorucci","given":"M."},{"family":"Grechi","given":"G."},{"family":"Martino","given":"S."}],"issued":{"date-parts":[["2020",10]]}}}],"schema":"https://github.com/citation-style-language/schema/raw/master/csl-citation.json"} </w:instrText>
      </w:r>
      <w:r w:rsidRPr="009474C3">
        <w:fldChar w:fldCharType="separate"/>
      </w:r>
      <w:r w:rsidRPr="009474C3">
        <w:rPr>
          <w:rFonts w:cs="Arial"/>
        </w:rPr>
        <w:t>(Gischig et al., 2011; Marmoni et al., 2020)</w:t>
      </w:r>
      <w:r w:rsidRPr="009474C3">
        <w:fldChar w:fldCharType="end"/>
      </w:r>
      <w:r w:rsidRPr="009474C3">
        <w:t>. Its thickness corresponds to the part of the medium effectively influenced by periodic thermal fluctuations and typically spans multiple TPDs, depending on the temperature threshold considered. In the present study, no specific threshold was imposed; thus, the TAL in this case defines the entire region experiencing measurable temperature variations.</w:t>
      </w:r>
    </w:p>
    <w:p w14:paraId="06C1FDDF" w14:textId="77777777" w:rsidR="00877ACC" w:rsidRPr="00877ACC" w:rsidRDefault="00877ACC" w:rsidP="00877ACC"/>
    <w:p w14:paraId="29F161C1" w14:textId="77777777" w:rsidR="00C63810" w:rsidRPr="009474C3" w:rsidRDefault="00C63810" w:rsidP="00C63810">
      <w:pPr>
        <w:pStyle w:val="Immagini"/>
        <w:spacing w:line="360" w:lineRule="auto"/>
        <w:rPr>
          <w:b/>
          <w:bCs/>
          <w:noProof w:val="0"/>
        </w:rPr>
      </w:pPr>
      <w:r w:rsidRPr="009474C3">
        <w:rPr>
          <w:lang w:val="en-US"/>
        </w:rPr>
        <w:drawing>
          <wp:inline distT="0" distB="0" distL="0" distR="0" wp14:anchorId="2A65805B" wp14:editId="12F9FE2D">
            <wp:extent cx="5040000" cy="4391198"/>
            <wp:effectExtent l="0" t="0" r="8255" b="9525"/>
            <wp:docPr id="281033434"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33434" name="Elemento grafico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000" cy="4391198"/>
                    </a:xfrm>
                    <a:prstGeom prst="rect">
                      <a:avLst/>
                    </a:prstGeom>
                  </pic:spPr>
                </pic:pic>
              </a:graphicData>
            </a:graphic>
          </wp:inline>
        </w:drawing>
      </w:r>
    </w:p>
    <w:p w14:paraId="2C3FE5F4" w14:textId="77777777" w:rsidR="00C63810" w:rsidRPr="009474C3" w:rsidRDefault="00C63810" w:rsidP="00C63810">
      <w:pPr>
        <w:pStyle w:val="Caption"/>
        <w:spacing w:line="360" w:lineRule="auto"/>
      </w:pPr>
      <w:bookmarkStart w:id="14" w:name="_Ref216174152"/>
      <w:r>
        <w:rPr>
          <w:b/>
          <w:bCs/>
        </w:rPr>
        <w:t>Fig.</w:t>
      </w:r>
      <w:r w:rsidRPr="009474C3">
        <w:t xml:space="preserve"> </w:t>
      </w:r>
      <w:r w:rsidRPr="009474C3">
        <w:rPr>
          <w:b/>
          <w:bCs/>
        </w:rPr>
        <w:fldChar w:fldCharType="begin"/>
      </w:r>
      <w:r w:rsidRPr="009474C3">
        <w:rPr>
          <w:b/>
          <w:bCs/>
        </w:rPr>
        <w:instrText xml:space="preserve"> SEQ Figure \* ARABIC </w:instrText>
      </w:r>
      <w:r w:rsidRPr="009474C3">
        <w:rPr>
          <w:b/>
          <w:bCs/>
        </w:rPr>
        <w:fldChar w:fldCharType="separate"/>
      </w:r>
      <w:r>
        <w:rPr>
          <w:b/>
          <w:bCs/>
          <w:noProof/>
        </w:rPr>
        <w:t>4</w:t>
      </w:r>
      <w:r w:rsidRPr="009474C3">
        <w:rPr>
          <w:b/>
          <w:bCs/>
        </w:rPr>
        <w:fldChar w:fldCharType="end"/>
      </w:r>
      <w:bookmarkEnd w:id="14"/>
      <w:r w:rsidRPr="009474C3">
        <w:t xml:space="preserve"> Time series of (a) daily, (b) annual, and (c) composite thermal periodic inputs. The composite signal was obtained by superimposing the daily temperature cycles onto the annual cycle. (d) Comparison between real and increased (+10 °C and +20 °C) composite thermal inputs used in the TM modelling</w:t>
      </w:r>
    </w:p>
    <w:p w14:paraId="02A2D17F" w14:textId="77777777" w:rsidR="00851252" w:rsidRDefault="00851252" w:rsidP="00B96FE1">
      <w:pPr>
        <w:spacing w:line="360" w:lineRule="auto"/>
      </w:pPr>
    </w:p>
    <w:p w14:paraId="5F6E1944" w14:textId="03A47197" w:rsidR="00851252" w:rsidRDefault="005F118A" w:rsidP="005F118A">
      <w:pPr>
        <w:pStyle w:val="Heading1"/>
        <w:spacing w:before="120" w:after="120" w:line="360" w:lineRule="auto"/>
        <w:rPr>
          <w:rFonts w:ascii="Times New Roman" w:hAnsi="Times New Roman"/>
          <w:b/>
          <w:smallCaps/>
          <w:color w:val="000000" w:themeColor="text1"/>
          <w:sz w:val="28"/>
        </w:rPr>
      </w:pPr>
      <w:r w:rsidRPr="005F118A">
        <w:rPr>
          <w:rFonts w:ascii="Times New Roman" w:hAnsi="Times New Roman"/>
          <w:b/>
          <w:smallCaps/>
          <w:color w:val="000000" w:themeColor="text1"/>
          <w:sz w:val="28"/>
        </w:rPr>
        <w:t>BIBLIOGRAPHY</w:t>
      </w:r>
    </w:p>
    <w:p w14:paraId="27F6FA2E" w14:textId="77777777" w:rsidR="0010241F" w:rsidRPr="0010241F" w:rsidRDefault="0010241F" w:rsidP="0010241F">
      <w:pPr>
        <w:pStyle w:val="Bibliography"/>
        <w:ind w:left="284" w:hanging="284"/>
      </w:pPr>
      <w:r>
        <w:fldChar w:fldCharType="begin"/>
      </w:r>
      <w:r>
        <w:instrText xml:space="preserve"> ADDIN ZOTERO_BIBL {"uncited":[],"omitted":[],"custom":[]} CSL_BIBLIOGRAPHY </w:instrText>
      </w:r>
      <w:r>
        <w:fldChar w:fldCharType="separate"/>
      </w:r>
      <w:r w:rsidRPr="0010241F">
        <w:t>Barenblatt, G.I., 1962. The mathematical theory of equilibrium cracks in brittle fracture. Advances in applied mechanics 7, 55–129.</w:t>
      </w:r>
    </w:p>
    <w:p w14:paraId="48E88935" w14:textId="77777777" w:rsidR="0010241F" w:rsidRPr="0010241F" w:rsidRDefault="0010241F" w:rsidP="0010241F">
      <w:pPr>
        <w:pStyle w:val="Bibliography"/>
        <w:ind w:left="284" w:hanging="284"/>
      </w:pPr>
      <w:r w:rsidRPr="0010241F">
        <w:t>Chen, L., Zang, J., Hillis, A.J., Morgan, G.C., Plummer, A.R., 2014. Numerical investigation of wave–structure interaction using OpenFOAM. Ocean Engineering 88, 91–109.</w:t>
      </w:r>
    </w:p>
    <w:p w14:paraId="1BE48F92" w14:textId="77777777" w:rsidR="0010241F" w:rsidRPr="0010241F" w:rsidRDefault="0010241F" w:rsidP="0010241F">
      <w:pPr>
        <w:pStyle w:val="Bibliography"/>
        <w:ind w:left="284" w:hanging="284"/>
      </w:pPr>
      <w:r w:rsidRPr="0010241F">
        <w:t>Cifani, P., Michalek, W., Priems, G., Kuerten, J.G., van der Geld, C., Geurts, B.J., 2016. A comparison between the surface compression method and an interface reconstruction method for the VOF approach. Computers &amp; Fluids 136, 421–435.</w:t>
      </w:r>
    </w:p>
    <w:p w14:paraId="2A649B4C" w14:textId="77777777" w:rsidR="0010241F" w:rsidRPr="0010241F" w:rsidRDefault="0010241F" w:rsidP="0010241F">
      <w:pPr>
        <w:pStyle w:val="Bibliography"/>
        <w:ind w:left="284" w:hanging="284"/>
      </w:pPr>
      <w:r w:rsidRPr="0010241F">
        <w:t>Dugdale, D.S., 1960. Yielding of steel sheets containing slits. Journal of the Mechanics and Physics of Solids 8, 100–104.</w:t>
      </w:r>
    </w:p>
    <w:p w14:paraId="70A6827B" w14:textId="77777777" w:rsidR="0010241F" w:rsidRPr="0010241F" w:rsidRDefault="0010241F" w:rsidP="0010241F">
      <w:pPr>
        <w:pStyle w:val="Bibliography"/>
        <w:ind w:left="284" w:hanging="284"/>
      </w:pPr>
      <w:r w:rsidRPr="00766A4B">
        <w:rPr>
          <w:lang w:val="de-DE"/>
        </w:rPr>
        <w:lastRenderedPageBreak/>
        <w:t xml:space="preserve">Eymard, R., Gallouët, T., Herbin, R., 2000. </w:t>
      </w:r>
      <w:r w:rsidRPr="0010241F">
        <w:t>Finite volume methods. Handbook of numerical analysis 7, 713–1018.</w:t>
      </w:r>
    </w:p>
    <w:p w14:paraId="3EE89AA6" w14:textId="77777777" w:rsidR="0010241F" w:rsidRPr="0010241F" w:rsidRDefault="0010241F" w:rsidP="0010241F">
      <w:pPr>
        <w:pStyle w:val="Bibliography"/>
        <w:ind w:left="284" w:hanging="284"/>
      </w:pPr>
      <w:r w:rsidRPr="0010241F">
        <w:t>Hillerborg, A., Modéer, M., Petersson, P.-E., 1976. Analysis of crack formation and crack growth in concrete by means of fracture mechanics and finite elements. Cement and concrete research 6, 773–781.</w:t>
      </w:r>
    </w:p>
    <w:p w14:paraId="7C81B6C8" w14:textId="77777777" w:rsidR="0010241F" w:rsidRPr="0010241F" w:rsidRDefault="0010241F" w:rsidP="0010241F">
      <w:pPr>
        <w:pStyle w:val="Bibliography"/>
        <w:ind w:left="284" w:hanging="284"/>
      </w:pPr>
      <w:r w:rsidRPr="0010241F">
        <w:t>Hirt, C.W., Nichols, B.D., 1981. Volume of fluid (VOF) method for the dynamics of free boundaries. Journal of computational physics 39, 201–225.</w:t>
      </w:r>
    </w:p>
    <w:p w14:paraId="174E06C0" w14:textId="77777777" w:rsidR="0010241F" w:rsidRPr="0010241F" w:rsidRDefault="0010241F" w:rsidP="0010241F">
      <w:pPr>
        <w:pStyle w:val="Bibliography"/>
        <w:ind w:left="284" w:hanging="284"/>
      </w:pPr>
      <w:r w:rsidRPr="0010241F">
        <w:t>Irazu 2D - Theory Manual, 2024. Irazu 2D Geomechanical Simulation Software. V. 6.1. Theory Manual.</w:t>
      </w:r>
    </w:p>
    <w:p w14:paraId="2765C367" w14:textId="77777777" w:rsidR="0010241F" w:rsidRPr="0010241F" w:rsidRDefault="0010241F" w:rsidP="0010241F">
      <w:pPr>
        <w:pStyle w:val="Bibliography"/>
        <w:ind w:left="284" w:hanging="284"/>
      </w:pPr>
      <w:r w:rsidRPr="0010241F">
        <w:t>Katsidoniotaki, E., Göteman, M., 2022. Numerical modeling of extreme wave interaction with point-absorber using OpenFOAM. Ocean Engineering 245, 110268.</w:t>
      </w:r>
    </w:p>
    <w:p w14:paraId="0605FD1F" w14:textId="77777777" w:rsidR="0010241F" w:rsidRPr="0010241F" w:rsidRDefault="0010241F" w:rsidP="0010241F">
      <w:pPr>
        <w:pStyle w:val="Bibliography"/>
        <w:ind w:left="284" w:hanging="284"/>
      </w:pPr>
      <w:r w:rsidRPr="0010241F">
        <w:t>Kline, S.W., Adams, P.N., Limber, P.W., 2014. The unsteady nature of sea cliff retreat due to mechanical abrasion, failure and comminution feedbacks. Geomorphology 219, 53–67. https://doi.org/10.1016/j.geomorph.2014.03.037</w:t>
      </w:r>
    </w:p>
    <w:p w14:paraId="2ECC324E" w14:textId="77777777" w:rsidR="0010241F" w:rsidRPr="0010241F" w:rsidRDefault="0010241F" w:rsidP="0010241F">
      <w:pPr>
        <w:pStyle w:val="Bibliography"/>
        <w:ind w:left="284" w:hanging="284"/>
      </w:pPr>
      <w:r w:rsidRPr="0010241F">
        <w:t>Lisjak, A., Liu, Q., Zhao, Q., Mahabadi, O., Grasselli, G., 2013. Numerical simulation of acoustic emission in brittle rocks by two-dimensional finite-discrete element analysis. Geophysical Journal International 195, 423–443.</w:t>
      </w:r>
    </w:p>
    <w:p w14:paraId="6AB29BF9" w14:textId="77777777" w:rsidR="0010241F" w:rsidRPr="0010241F" w:rsidRDefault="0010241F" w:rsidP="0010241F">
      <w:pPr>
        <w:pStyle w:val="Bibliography"/>
        <w:ind w:left="284" w:hanging="284"/>
      </w:pPr>
      <w:r w:rsidRPr="0010241F">
        <w:t>Ma, Y., Yuan, C., Ai, C., Dong, G., 2019. Comparison between a non-hydrostatic model and OpenFOAM for 2D wave-structure interactions. Ocean Engineering 183, 419–425.</w:t>
      </w:r>
    </w:p>
    <w:p w14:paraId="61167DCA" w14:textId="60812B52" w:rsidR="0010241F" w:rsidRPr="0010241F" w:rsidRDefault="0010241F" w:rsidP="0010241F">
      <w:pPr>
        <w:pStyle w:val="Bibliography"/>
        <w:ind w:left="284" w:hanging="284"/>
      </w:pPr>
      <w:r w:rsidRPr="0010241F">
        <w:t>Mahabadi, O.K., Lisjak, A., Munjiza, A., Grasselli, G., 2012. Y-Geo: new combined finite-discrete element numerical code for geomechanical applications. International Journal of Geomechanics 12, 676–688.</w:t>
      </w:r>
    </w:p>
    <w:p w14:paraId="36E4A286" w14:textId="77777777" w:rsidR="0010241F" w:rsidRPr="0010241F" w:rsidRDefault="0010241F" w:rsidP="0010241F">
      <w:pPr>
        <w:pStyle w:val="Bibliography"/>
        <w:ind w:left="284" w:hanging="284"/>
      </w:pPr>
      <w:r w:rsidRPr="0010241F">
        <w:t>Munjiza, A., Andrews, K., 2000. Penalty function method for combined finite–discrete element systems comprising large number of separate bodies. International Journal for numerical methods in engineering 49, 1377–1396.</w:t>
      </w:r>
    </w:p>
    <w:p w14:paraId="7C3BB6FB" w14:textId="77777777" w:rsidR="0010241F" w:rsidRDefault="0010241F" w:rsidP="0010241F">
      <w:pPr>
        <w:pStyle w:val="Bibliography"/>
        <w:ind w:left="284" w:hanging="284"/>
      </w:pPr>
      <w:r w:rsidRPr="0010241F">
        <w:t>Munjiza, A.A., 2004. The combined finite-discrete element method. John Wiley &amp; Sons.</w:t>
      </w:r>
    </w:p>
    <w:p w14:paraId="2A2EB69B" w14:textId="3284E347" w:rsidR="00596C5A" w:rsidRPr="00596C5A" w:rsidRDefault="00596C5A" w:rsidP="00596C5A">
      <w:pPr>
        <w:pStyle w:val="Bibliography"/>
        <w:ind w:left="284" w:hanging="284"/>
      </w:pPr>
      <w:r w:rsidRPr="0010241F">
        <w:t>Sunamura, T., 1977. A Relationship between Wave-Induced Cliff Erosion and Erosive Force of Waves. The Journal of Geology 85, 613–618. https://doi.org/10.1086/628340</w:t>
      </w:r>
    </w:p>
    <w:p w14:paraId="19E7C641" w14:textId="77777777" w:rsidR="0010241F" w:rsidRPr="0010241F" w:rsidRDefault="0010241F" w:rsidP="0010241F">
      <w:pPr>
        <w:pStyle w:val="Bibliography"/>
        <w:ind w:left="284" w:hanging="284"/>
      </w:pPr>
      <w:r w:rsidRPr="0010241F">
        <w:t>Sunamura, T., 1992. Geomorphology of rocky coasts. Wiley.</w:t>
      </w:r>
    </w:p>
    <w:p w14:paraId="75DDBEBF" w14:textId="77777777" w:rsidR="0010241F" w:rsidRPr="0010241F" w:rsidRDefault="0010241F" w:rsidP="0010241F">
      <w:pPr>
        <w:pStyle w:val="Bibliography"/>
        <w:ind w:left="284" w:hanging="284"/>
      </w:pPr>
      <w:r w:rsidRPr="0010241F">
        <w:t>Wang, D., Dong, S., Sun, J., 2019. Numerical modeling of the interactions between waves and a Jarlan-type caisson breakwater using OpenFOAM. Ocean Engineering 188, 106230.</w:t>
      </w:r>
    </w:p>
    <w:p w14:paraId="56EBAA15" w14:textId="77777777" w:rsidR="0010241F" w:rsidRPr="0010241F" w:rsidRDefault="0010241F" w:rsidP="0010241F">
      <w:pPr>
        <w:pStyle w:val="Bibliography"/>
        <w:ind w:left="284" w:hanging="284"/>
      </w:pPr>
      <w:r w:rsidRPr="0010241F">
        <w:t>Whittaker, B.N., Singh, R.N., Sun, G., 1992. Rock fracture mechanics. Principles, design and applications.</w:t>
      </w:r>
    </w:p>
    <w:p w14:paraId="29E8DBD8" w14:textId="77777777" w:rsidR="0010241F" w:rsidRPr="0010241F" w:rsidRDefault="0010241F" w:rsidP="0010241F">
      <w:pPr>
        <w:pStyle w:val="Bibliography"/>
        <w:ind w:left="284" w:hanging="284"/>
      </w:pPr>
      <w:r w:rsidRPr="0010241F">
        <w:t>Zhang, Z., 2002. An empirical relation between mode I fracture toughness and the tensile strength of rock. International journal of rock mechanics and mining sciences 39, 401–406.</w:t>
      </w:r>
    </w:p>
    <w:p w14:paraId="488289EA" w14:textId="1DB50A52" w:rsidR="005F118A" w:rsidRPr="005F118A" w:rsidRDefault="0010241F" w:rsidP="0010241F">
      <w:pPr>
        <w:pStyle w:val="Bibliography"/>
        <w:ind w:left="284" w:hanging="284"/>
      </w:pPr>
      <w:r>
        <w:fldChar w:fldCharType="end"/>
      </w:r>
    </w:p>
    <w:p w14:paraId="46E38BC3" w14:textId="77777777" w:rsidR="00B96FE1" w:rsidRPr="00B96FE1" w:rsidRDefault="00B96FE1" w:rsidP="00B96FE1"/>
    <w:sectPr w:rsidR="00B96FE1" w:rsidRPr="00B96FE1">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DCC29" w14:textId="77777777" w:rsidR="001F624F" w:rsidRDefault="001F624F" w:rsidP="000E4393">
      <w:r>
        <w:separator/>
      </w:r>
    </w:p>
  </w:endnote>
  <w:endnote w:type="continuationSeparator" w:id="0">
    <w:p w14:paraId="1110C71B" w14:textId="77777777" w:rsidR="001F624F" w:rsidRDefault="001F624F" w:rsidP="000E4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17533"/>
      <w:docPartObj>
        <w:docPartGallery w:val="Page Numbers (Bottom of Page)"/>
        <w:docPartUnique/>
      </w:docPartObj>
    </w:sdtPr>
    <w:sdtEndPr/>
    <w:sdtContent>
      <w:p w14:paraId="0B7654D8" w14:textId="79D0C57B" w:rsidR="000E4393" w:rsidRDefault="000E4393">
        <w:pPr>
          <w:pStyle w:val="Footer"/>
          <w:jc w:val="center"/>
        </w:pPr>
        <w:r>
          <w:fldChar w:fldCharType="begin"/>
        </w:r>
        <w:r>
          <w:instrText>PAGE   \* MERGEFORMAT</w:instrText>
        </w:r>
        <w:r>
          <w:fldChar w:fldCharType="separate"/>
        </w:r>
        <w:r w:rsidR="00C1036F" w:rsidRPr="00C1036F">
          <w:rPr>
            <w:noProof/>
            <w:lang w:val="it-IT"/>
          </w:rPr>
          <w:t>1</w:t>
        </w:r>
        <w:r>
          <w:fldChar w:fldCharType="end"/>
        </w:r>
      </w:p>
    </w:sdtContent>
  </w:sdt>
  <w:p w14:paraId="42588EF0" w14:textId="77777777" w:rsidR="000E4393" w:rsidRDefault="000E4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F8B12" w14:textId="77777777" w:rsidR="001F624F" w:rsidRDefault="001F624F" w:rsidP="000E4393">
      <w:r>
        <w:separator/>
      </w:r>
    </w:p>
  </w:footnote>
  <w:footnote w:type="continuationSeparator" w:id="0">
    <w:p w14:paraId="42497A0A" w14:textId="77777777" w:rsidR="001F624F" w:rsidRDefault="001F624F" w:rsidP="000E43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504"/>
    <w:rsid w:val="00001C9B"/>
    <w:rsid w:val="000403BF"/>
    <w:rsid w:val="000E4393"/>
    <w:rsid w:val="001012F4"/>
    <w:rsid w:val="0010241F"/>
    <w:rsid w:val="001C3DA4"/>
    <w:rsid w:val="001F624F"/>
    <w:rsid w:val="00345904"/>
    <w:rsid w:val="00454197"/>
    <w:rsid w:val="004D4C8F"/>
    <w:rsid w:val="004E7CE5"/>
    <w:rsid w:val="005205EA"/>
    <w:rsid w:val="00584313"/>
    <w:rsid w:val="00596C5A"/>
    <w:rsid w:val="005F118A"/>
    <w:rsid w:val="00766A4B"/>
    <w:rsid w:val="007A0645"/>
    <w:rsid w:val="008425CE"/>
    <w:rsid w:val="00851252"/>
    <w:rsid w:val="00867AFD"/>
    <w:rsid w:val="00877ACC"/>
    <w:rsid w:val="008C1504"/>
    <w:rsid w:val="008D6D19"/>
    <w:rsid w:val="008F744A"/>
    <w:rsid w:val="00983600"/>
    <w:rsid w:val="00A20A8D"/>
    <w:rsid w:val="00A36044"/>
    <w:rsid w:val="00AA0F33"/>
    <w:rsid w:val="00AF7AF5"/>
    <w:rsid w:val="00B96FE1"/>
    <w:rsid w:val="00BF46D5"/>
    <w:rsid w:val="00C1036F"/>
    <w:rsid w:val="00C63810"/>
    <w:rsid w:val="00D54351"/>
    <w:rsid w:val="00DA3992"/>
    <w:rsid w:val="00EF21B6"/>
    <w:rsid w:val="00F311DE"/>
    <w:rsid w:val="00F52D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F041"/>
  <w15:chartTrackingRefBased/>
  <w15:docId w15:val="{5CBBFDB8-3F80-4891-A08B-03E6F171A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1504"/>
    <w:pPr>
      <w:spacing w:after="0" w:line="240" w:lineRule="auto"/>
      <w:jc w:val="both"/>
    </w:pPr>
    <w:rPr>
      <w:rFonts w:ascii="Times New Roman" w:hAnsi="Times New Roman"/>
      <w:sz w:val="20"/>
      <w:szCs w:val="22"/>
      <w:lang w:val="en-GB"/>
    </w:rPr>
  </w:style>
  <w:style w:type="paragraph" w:styleId="Heading1">
    <w:name w:val="heading 1"/>
    <w:basedOn w:val="Normal"/>
    <w:next w:val="Normal"/>
    <w:link w:val="Heading1Char"/>
    <w:uiPriority w:val="9"/>
    <w:qFormat/>
    <w:rsid w:val="008C15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5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5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5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5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5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5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5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5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5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5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5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5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5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5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5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5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504"/>
    <w:rPr>
      <w:rFonts w:eastAsiaTheme="majorEastAsia" w:cstheme="majorBidi"/>
      <w:color w:val="272727" w:themeColor="text1" w:themeTint="D8"/>
    </w:rPr>
  </w:style>
  <w:style w:type="paragraph" w:styleId="Title">
    <w:name w:val="Title"/>
    <w:basedOn w:val="Normal"/>
    <w:next w:val="Normal"/>
    <w:link w:val="TitleChar"/>
    <w:uiPriority w:val="10"/>
    <w:qFormat/>
    <w:rsid w:val="008C15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5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5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5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504"/>
    <w:pPr>
      <w:spacing w:before="160"/>
      <w:jc w:val="center"/>
    </w:pPr>
    <w:rPr>
      <w:i/>
      <w:iCs/>
      <w:color w:val="404040" w:themeColor="text1" w:themeTint="BF"/>
    </w:rPr>
  </w:style>
  <w:style w:type="character" w:customStyle="1" w:styleId="QuoteChar">
    <w:name w:val="Quote Char"/>
    <w:basedOn w:val="DefaultParagraphFont"/>
    <w:link w:val="Quote"/>
    <w:uiPriority w:val="29"/>
    <w:rsid w:val="008C1504"/>
    <w:rPr>
      <w:i/>
      <w:iCs/>
      <w:color w:val="404040" w:themeColor="text1" w:themeTint="BF"/>
    </w:rPr>
  </w:style>
  <w:style w:type="paragraph" w:styleId="ListParagraph">
    <w:name w:val="List Paragraph"/>
    <w:basedOn w:val="Normal"/>
    <w:uiPriority w:val="34"/>
    <w:qFormat/>
    <w:rsid w:val="008C1504"/>
    <w:pPr>
      <w:ind w:left="720"/>
      <w:contextualSpacing/>
    </w:pPr>
  </w:style>
  <w:style w:type="character" w:styleId="IntenseEmphasis">
    <w:name w:val="Intense Emphasis"/>
    <w:basedOn w:val="DefaultParagraphFont"/>
    <w:uiPriority w:val="21"/>
    <w:qFormat/>
    <w:rsid w:val="008C1504"/>
    <w:rPr>
      <w:i/>
      <w:iCs/>
      <w:color w:val="0F4761" w:themeColor="accent1" w:themeShade="BF"/>
    </w:rPr>
  </w:style>
  <w:style w:type="paragraph" w:styleId="IntenseQuote">
    <w:name w:val="Intense Quote"/>
    <w:basedOn w:val="Normal"/>
    <w:next w:val="Normal"/>
    <w:link w:val="IntenseQuoteChar"/>
    <w:uiPriority w:val="30"/>
    <w:qFormat/>
    <w:rsid w:val="008C15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504"/>
    <w:rPr>
      <w:i/>
      <w:iCs/>
      <w:color w:val="0F4761" w:themeColor="accent1" w:themeShade="BF"/>
    </w:rPr>
  </w:style>
  <w:style w:type="character" w:styleId="IntenseReference">
    <w:name w:val="Intense Reference"/>
    <w:basedOn w:val="DefaultParagraphFont"/>
    <w:uiPriority w:val="32"/>
    <w:qFormat/>
    <w:rsid w:val="008C1504"/>
    <w:rPr>
      <w:b/>
      <w:bCs/>
      <w:smallCaps/>
      <w:color w:val="0F4761" w:themeColor="accent1" w:themeShade="BF"/>
      <w:spacing w:val="5"/>
    </w:rPr>
  </w:style>
  <w:style w:type="character" w:styleId="Hyperlink">
    <w:name w:val="Hyperlink"/>
    <w:basedOn w:val="DefaultParagraphFont"/>
    <w:uiPriority w:val="99"/>
    <w:unhideWhenUsed/>
    <w:rsid w:val="008C1504"/>
    <w:rPr>
      <w:color w:val="467886" w:themeColor="hyperlink"/>
      <w:u w:val="single"/>
    </w:rPr>
  </w:style>
  <w:style w:type="paragraph" w:styleId="Caption">
    <w:name w:val="caption"/>
    <w:basedOn w:val="Normal"/>
    <w:next w:val="Normal"/>
    <w:uiPriority w:val="35"/>
    <w:unhideWhenUsed/>
    <w:qFormat/>
    <w:rsid w:val="008C1504"/>
    <w:pPr>
      <w:spacing w:after="200"/>
    </w:pPr>
    <w:rPr>
      <w:i/>
      <w:iCs/>
      <w:color w:val="000000" w:themeColor="text1"/>
      <w:szCs w:val="18"/>
    </w:rPr>
  </w:style>
  <w:style w:type="paragraph" w:customStyle="1" w:styleId="Immagini">
    <w:name w:val="Immagini"/>
    <w:basedOn w:val="Normal"/>
    <w:qFormat/>
    <w:rsid w:val="008C1504"/>
    <w:pPr>
      <w:keepNext/>
      <w:spacing w:before="200"/>
      <w:jc w:val="center"/>
    </w:pPr>
    <w:rPr>
      <w:rFonts w:cs="Arial"/>
      <w:noProof/>
      <w:szCs w:val="24"/>
    </w:rPr>
  </w:style>
  <w:style w:type="table" w:styleId="TableGrid">
    <w:name w:val="Table Grid"/>
    <w:aliases w:val="Tabella paper"/>
    <w:basedOn w:val="TableNormal"/>
    <w:uiPriority w:val="39"/>
    <w:rsid w:val="00BF46D5"/>
    <w:pPr>
      <w:spacing w:after="0" w:line="240" w:lineRule="auto"/>
      <w:jc w:val="center"/>
    </w:pPr>
    <w:rPr>
      <w:rFonts w:ascii="Arial" w:hAnsi="Arial"/>
      <w:color w:val="000000" w:themeColor="text1"/>
      <w:sz w:val="20"/>
      <w:szCs w:val="22"/>
    </w:rPr>
    <w:tblPr>
      <w:tblBorders>
        <w:insideH w:val="single" w:sz="4" w:space="0" w:color="000000" w:themeColor="text1"/>
      </w:tblBorders>
    </w:tblPr>
    <w:tcPr>
      <w:vAlign w:val="center"/>
    </w:tcPr>
  </w:style>
  <w:style w:type="paragraph" w:customStyle="1" w:styleId="Didascalie">
    <w:name w:val="Didascalie"/>
    <w:basedOn w:val="Caption"/>
    <w:next w:val="Normal"/>
    <w:rsid w:val="00BF46D5"/>
    <w:rPr>
      <w:rFonts w:ascii="Palatino Linotype" w:hAnsi="Palatino Linotype"/>
      <w:color w:val="auto"/>
    </w:rPr>
  </w:style>
  <w:style w:type="paragraph" w:styleId="Bibliography">
    <w:name w:val="Bibliography"/>
    <w:basedOn w:val="Normal"/>
    <w:next w:val="Normal"/>
    <w:uiPriority w:val="37"/>
    <w:unhideWhenUsed/>
    <w:rsid w:val="0010241F"/>
    <w:pPr>
      <w:ind w:left="720" w:hanging="720"/>
    </w:pPr>
  </w:style>
  <w:style w:type="paragraph" w:styleId="Header">
    <w:name w:val="header"/>
    <w:basedOn w:val="Normal"/>
    <w:link w:val="HeaderChar"/>
    <w:uiPriority w:val="99"/>
    <w:unhideWhenUsed/>
    <w:rsid w:val="000E4393"/>
    <w:pPr>
      <w:tabs>
        <w:tab w:val="center" w:pos="4819"/>
        <w:tab w:val="right" w:pos="9638"/>
      </w:tabs>
    </w:pPr>
  </w:style>
  <w:style w:type="character" w:customStyle="1" w:styleId="HeaderChar">
    <w:name w:val="Header Char"/>
    <w:basedOn w:val="DefaultParagraphFont"/>
    <w:link w:val="Header"/>
    <w:uiPriority w:val="99"/>
    <w:rsid w:val="000E4393"/>
    <w:rPr>
      <w:rFonts w:ascii="Times New Roman" w:hAnsi="Times New Roman"/>
      <w:sz w:val="20"/>
      <w:szCs w:val="22"/>
      <w:lang w:val="en-GB"/>
    </w:rPr>
  </w:style>
  <w:style w:type="paragraph" w:styleId="Footer">
    <w:name w:val="footer"/>
    <w:basedOn w:val="Normal"/>
    <w:link w:val="FooterChar"/>
    <w:uiPriority w:val="99"/>
    <w:unhideWhenUsed/>
    <w:rsid w:val="000E4393"/>
    <w:pPr>
      <w:tabs>
        <w:tab w:val="center" w:pos="4819"/>
        <w:tab w:val="right" w:pos="9638"/>
      </w:tabs>
    </w:pPr>
  </w:style>
  <w:style w:type="character" w:customStyle="1" w:styleId="FooterChar">
    <w:name w:val="Footer Char"/>
    <w:basedOn w:val="DefaultParagraphFont"/>
    <w:link w:val="Footer"/>
    <w:uiPriority w:val="99"/>
    <w:rsid w:val="000E4393"/>
    <w:rPr>
      <w:rFonts w:ascii="Times New Roman" w:hAnsi="Times New Roman"/>
      <w:sz w:val="20"/>
      <w:szCs w:val="22"/>
      <w:lang w:val="en-GB"/>
    </w:rPr>
  </w:style>
  <w:style w:type="paragraph" w:customStyle="1" w:styleId="Normale1">
    <w:name w:val="Normale1"/>
    <w:basedOn w:val="Normal"/>
    <w:link w:val="NormaleChar"/>
    <w:qFormat/>
    <w:rsid w:val="00877ACC"/>
    <w:pPr>
      <w:spacing w:line="360" w:lineRule="auto"/>
      <w:ind w:firstLine="567"/>
    </w:pPr>
    <w:rPr>
      <w:rFonts w:ascii="Palatino Linotype" w:hAnsi="Palatino Linotype"/>
      <w:color w:val="000000"/>
    </w:rPr>
  </w:style>
  <w:style w:type="character" w:customStyle="1" w:styleId="NormaleChar">
    <w:name w:val="Normale Char"/>
    <w:basedOn w:val="DefaultParagraphFont"/>
    <w:link w:val="Normale1"/>
    <w:rsid w:val="00877ACC"/>
    <w:rPr>
      <w:rFonts w:ascii="Palatino Linotype" w:hAnsi="Palatino Linotype"/>
      <w:color w:val="000000"/>
      <w:sz w:val="20"/>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ianmarco.marmoni@uniroma1.it"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5491</Words>
  <Characters>31301</Characters>
  <Application>Microsoft Office Word</Application>
  <DocSecurity>0</DocSecurity>
  <Lines>260</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Feliziani</dc:creator>
  <cp:keywords/>
  <dc:description/>
  <cp:lastModifiedBy>John Lester Nocillado</cp:lastModifiedBy>
  <cp:revision>2</cp:revision>
  <dcterms:created xsi:type="dcterms:W3CDTF">2026-06-16T01:32:00Z</dcterms:created>
  <dcterms:modified xsi:type="dcterms:W3CDTF">2026-06-16T01:32:00Z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5356b12d-f4e6-46d2-b317-ecba97223c3a</vt:lpwstr>
  </property>
  <property fmtid="{D5CDD505-2E9C-101B-9397-08002B2CF9AE}" pid="3" name="ZOTERO_PREF_1">
    <vt:lpwstr>&lt;data data-version="3" zotero-version="7.0.32"&gt;&lt;session id="Mik6h0dl"/&gt;&lt;style id="http://www.zotero.org/styles/engineering-geology" hasBibliography="1" bibliographyStyleHasBeenSet="1"/&gt;&lt;prefs&gt;&lt;pref name="fieldType" value="Field"/&gt;&lt;/prefs&gt;&lt;/data&gt;</vt:lpwstr>
  </property>
</Properties>
</file>