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536A7" w14:textId="77777777" w:rsidR="00602787" w:rsidRDefault="00602787" w:rsidP="004B7D0A">
      <w:pPr>
        <w:spacing w:line="280" w:lineRule="exact"/>
        <w:rPr>
          <w:rFonts w:ascii="Times New Roman" w:hAnsi="Times New Roman" w:cs="Times New Roman"/>
          <w:b/>
          <w:bCs/>
        </w:rPr>
      </w:pPr>
      <w:r w:rsidRPr="00602787">
        <w:rPr>
          <w:rFonts w:ascii="Times New Roman" w:hAnsi="Times New Roman" w:cs="Times New Roman" w:hint="eastAsia"/>
          <w:b/>
          <w:bCs/>
        </w:rPr>
        <w:t xml:space="preserve">Online resource 1 </w:t>
      </w:r>
    </w:p>
    <w:p w14:paraId="77DF3A20" w14:textId="03B0A060" w:rsidR="004B7D0A" w:rsidRPr="001E3F61" w:rsidRDefault="004B7D0A" w:rsidP="004B7D0A">
      <w:pPr>
        <w:spacing w:line="280" w:lineRule="exact"/>
        <w:rPr>
          <w:rFonts w:ascii="Times New Roman" w:hAnsi="Times New Roman" w:cs="Times New Roman"/>
        </w:rPr>
      </w:pPr>
      <w:r w:rsidRPr="001E3F61">
        <w:rPr>
          <w:rFonts w:ascii="Times New Roman" w:hAnsi="Times New Roman" w:cs="Times New Roman"/>
        </w:rPr>
        <w:t>Elapsed years after debris flows in 2020 and 2021 obtained by DoD in each measurement period. In the period in which the measurement interval exceeded one year (e.g., 2013 to 2016), the longest elapsed time shown in parentheses was used in the analysis of this study</w:t>
      </w:r>
    </w:p>
    <w:p w14:paraId="49C5E53F" w14:textId="77777777" w:rsidR="004B7D0A" w:rsidRPr="001E3F61" w:rsidRDefault="004B7D0A" w:rsidP="004B7D0A">
      <w:pPr>
        <w:spacing w:line="280" w:lineRule="exact"/>
        <w:rPr>
          <w:rFonts w:ascii="Times New Roman" w:hAnsi="Times New Roman" w:cs="Times New Roma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1"/>
        <w:gridCol w:w="3342"/>
        <w:gridCol w:w="3342"/>
      </w:tblGrid>
      <w:tr w:rsidR="004B7D0A" w14:paraId="45240899" w14:textId="77777777" w:rsidTr="000C1A86">
        <w:tc>
          <w:tcPr>
            <w:tcW w:w="3341" w:type="dxa"/>
            <w:vMerge w:val="restart"/>
            <w:tcBorders>
              <w:top w:val="single" w:sz="4" w:space="0" w:color="auto"/>
            </w:tcBorders>
            <w:vAlign w:val="center"/>
          </w:tcPr>
          <w:p w14:paraId="47F87309"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rPr>
              <w:t>Year of DEMs used in DoD</w:t>
            </w:r>
          </w:p>
        </w:tc>
        <w:tc>
          <w:tcPr>
            <w:tcW w:w="6684" w:type="dxa"/>
            <w:gridSpan w:val="2"/>
            <w:tcBorders>
              <w:top w:val="single" w:sz="4" w:space="0" w:color="auto"/>
              <w:bottom w:val="single" w:sz="4" w:space="0" w:color="auto"/>
            </w:tcBorders>
          </w:tcPr>
          <w:p w14:paraId="2161EF3F" w14:textId="77777777" w:rsidR="004B7D0A" w:rsidRDefault="004B7D0A" w:rsidP="000C1A86">
            <w:pPr>
              <w:spacing w:line="280" w:lineRule="exact"/>
              <w:jc w:val="center"/>
              <w:rPr>
                <w:rFonts w:ascii="Times New Roman" w:hAnsi="Times New Roman" w:cs="Times New Roman"/>
              </w:rPr>
            </w:pPr>
            <w:r w:rsidRPr="00240AAA">
              <w:rPr>
                <w:rFonts w:ascii="Times New Roman" w:hAnsi="Times New Roman" w:cs="Times New Roman" w:hint="eastAsia"/>
              </w:rPr>
              <w:t>E</w:t>
            </w:r>
            <w:r w:rsidRPr="00240AAA">
              <w:rPr>
                <w:rFonts w:ascii="Times New Roman" w:hAnsi="Times New Roman" w:cs="Times New Roman"/>
              </w:rPr>
              <w:t>lapsed time</w:t>
            </w:r>
            <w:r>
              <w:rPr>
                <w:rFonts w:ascii="Times New Roman" w:hAnsi="Times New Roman" w:cs="Times New Roman"/>
              </w:rPr>
              <w:t xml:space="preserve"> after debris flow </w:t>
            </w:r>
            <w:r w:rsidRPr="00240AAA">
              <w:rPr>
                <w:rFonts w:ascii="Times New Roman" w:hAnsi="Times New Roman" w:cs="Times New Roman"/>
              </w:rPr>
              <w:t>(years)</w:t>
            </w:r>
          </w:p>
        </w:tc>
      </w:tr>
      <w:tr w:rsidR="004B7D0A" w14:paraId="51D92B7E" w14:textId="77777777" w:rsidTr="000C1A86">
        <w:tc>
          <w:tcPr>
            <w:tcW w:w="3341" w:type="dxa"/>
            <w:vMerge/>
            <w:tcBorders>
              <w:bottom w:val="single" w:sz="4" w:space="0" w:color="auto"/>
            </w:tcBorders>
          </w:tcPr>
          <w:p w14:paraId="126A9EB7" w14:textId="77777777" w:rsidR="004B7D0A" w:rsidRDefault="004B7D0A" w:rsidP="000C1A86">
            <w:pPr>
              <w:spacing w:line="280" w:lineRule="exact"/>
              <w:jc w:val="center"/>
              <w:rPr>
                <w:rFonts w:ascii="Times New Roman" w:hAnsi="Times New Roman" w:cs="Times New Roman"/>
              </w:rPr>
            </w:pPr>
          </w:p>
        </w:tc>
        <w:tc>
          <w:tcPr>
            <w:tcW w:w="3342" w:type="dxa"/>
            <w:tcBorders>
              <w:top w:val="single" w:sz="4" w:space="0" w:color="auto"/>
              <w:bottom w:val="single" w:sz="4" w:space="0" w:color="auto"/>
            </w:tcBorders>
          </w:tcPr>
          <w:p w14:paraId="1F5790C0"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rPr>
              <w:t>Analysis of images in 2020</w:t>
            </w:r>
          </w:p>
        </w:tc>
        <w:tc>
          <w:tcPr>
            <w:tcW w:w="3342" w:type="dxa"/>
            <w:tcBorders>
              <w:top w:val="single" w:sz="4" w:space="0" w:color="auto"/>
              <w:bottom w:val="single" w:sz="4" w:space="0" w:color="auto"/>
            </w:tcBorders>
          </w:tcPr>
          <w:p w14:paraId="7D58C70D"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rPr>
              <w:t xml:space="preserve">Analysis of images in 2021 </w:t>
            </w:r>
          </w:p>
        </w:tc>
      </w:tr>
      <w:tr w:rsidR="004B7D0A" w14:paraId="6B77939D" w14:textId="77777777" w:rsidTr="000C1A86">
        <w:tc>
          <w:tcPr>
            <w:tcW w:w="3341" w:type="dxa"/>
            <w:tcBorders>
              <w:top w:val="single" w:sz="4" w:space="0" w:color="auto"/>
            </w:tcBorders>
          </w:tcPr>
          <w:p w14:paraId="13665EA9"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021–2020</w:t>
            </w:r>
          </w:p>
        </w:tc>
        <w:tc>
          <w:tcPr>
            <w:tcW w:w="3342" w:type="dxa"/>
            <w:tcBorders>
              <w:top w:val="single" w:sz="4" w:space="0" w:color="auto"/>
            </w:tcBorders>
          </w:tcPr>
          <w:p w14:paraId="594A43B9"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w:t>
            </w:r>
          </w:p>
        </w:tc>
        <w:tc>
          <w:tcPr>
            <w:tcW w:w="3342" w:type="dxa"/>
            <w:tcBorders>
              <w:top w:val="single" w:sz="4" w:space="0" w:color="auto"/>
            </w:tcBorders>
          </w:tcPr>
          <w:p w14:paraId="1114F13E"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p>
        </w:tc>
      </w:tr>
      <w:tr w:rsidR="004B7D0A" w14:paraId="3E60F306" w14:textId="77777777" w:rsidTr="000C1A86">
        <w:tc>
          <w:tcPr>
            <w:tcW w:w="3341" w:type="dxa"/>
          </w:tcPr>
          <w:p w14:paraId="6566E1CC"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020–2019</w:t>
            </w:r>
          </w:p>
        </w:tc>
        <w:tc>
          <w:tcPr>
            <w:tcW w:w="3342" w:type="dxa"/>
          </w:tcPr>
          <w:p w14:paraId="36F14160"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p>
        </w:tc>
        <w:tc>
          <w:tcPr>
            <w:tcW w:w="3342" w:type="dxa"/>
          </w:tcPr>
          <w:p w14:paraId="6065D9CA"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p>
        </w:tc>
      </w:tr>
      <w:tr w:rsidR="004B7D0A" w14:paraId="21512A55" w14:textId="77777777" w:rsidTr="000C1A86">
        <w:tc>
          <w:tcPr>
            <w:tcW w:w="3341" w:type="dxa"/>
          </w:tcPr>
          <w:p w14:paraId="28580273"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019–2018</w:t>
            </w:r>
          </w:p>
        </w:tc>
        <w:tc>
          <w:tcPr>
            <w:tcW w:w="3342" w:type="dxa"/>
          </w:tcPr>
          <w:p w14:paraId="5362C460"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p>
        </w:tc>
        <w:tc>
          <w:tcPr>
            <w:tcW w:w="3342" w:type="dxa"/>
          </w:tcPr>
          <w:p w14:paraId="0F148579"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3</w:t>
            </w:r>
          </w:p>
        </w:tc>
      </w:tr>
      <w:tr w:rsidR="004B7D0A" w14:paraId="40171782" w14:textId="77777777" w:rsidTr="000C1A86">
        <w:tc>
          <w:tcPr>
            <w:tcW w:w="3341" w:type="dxa"/>
          </w:tcPr>
          <w:p w14:paraId="41D1BB45"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018–2017</w:t>
            </w:r>
          </w:p>
        </w:tc>
        <w:tc>
          <w:tcPr>
            <w:tcW w:w="3342" w:type="dxa"/>
          </w:tcPr>
          <w:p w14:paraId="260A2F58"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3</w:t>
            </w:r>
          </w:p>
        </w:tc>
        <w:tc>
          <w:tcPr>
            <w:tcW w:w="3342" w:type="dxa"/>
          </w:tcPr>
          <w:p w14:paraId="6FC6FE4F"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4</w:t>
            </w:r>
          </w:p>
        </w:tc>
      </w:tr>
      <w:tr w:rsidR="004B7D0A" w14:paraId="1E4395ED" w14:textId="77777777" w:rsidTr="000C1A86">
        <w:tc>
          <w:tcPr>
            <w:tcW w:w="3341" w:type="dxa"/>
          </w:tcPr>
          <w:p w14:paraId="50EDA4FA"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017–2016</w:t>
            </w:r>
          </w:p>
        </w:tc>
        <w:tc>
          <w:tcPr>
            <w:tcW w:w="3342" w:type="dxa"/>
          </w:tcPr>
          <w:p w14:paraId="47DEE0FD"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4</w:t>
            </w:r>
          </w:p>
        </w:tc>
        <w:tc>
          <w:tcPr>
            <w:tcW w:w="3342" w:type="dxa"/>
          </w:tcPr>
          <w:p w14:paraId="4C6A1F67"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5</w:t>
            </w:r>
          </w:p>
        </w:tc>
      </w:tr>
      <w:tr w:rsidR="004B7D0A" w14:paraId="3334E542" w14:textId="77777777" w:rsidTr="000C1A86">
        <w:tc>
          <w:tcPr>
            <w:tcW w:w="3341" w:type="dxa"/>
          </w:tcPr>
          <w:p w14:paraId="21DB60F8"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016–2013</w:t>
            </w:r>
          </w:p>
        </w:tc>
        <w:tc>
          <w:tcPr>
            <w:tcW w:w="3342" w:type="dxa"/>
          </w:tcPr>
          <w:p w14:paraId="7823C296"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–7 (7)</w:t>
            </w:r>
          </w:p>
        </w:tc>
        <w:tc>
          <w:tcPr>
            <w:tcW w:w="3342" w:type="dxa"/>
          </w:tcPr>
          <w:p w14:paraId="0EECF30D"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–8 (8)</w:t>
            </w:r>
          </w:p>
        </w:tc>
      </w:tr>
      <w:tr w:rsidR="004B7D0A" w14:paraId="03404D60" w14:textId="77777777" w:rsidTr="000C1A86">
        <w:tc>
          <w:tcPr>
            <w:tcW w:w="3341" w:type="dxa"/>
          </w:tcPr>
          <w:p w14:paraId="0F4BDCE9"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013–2012</w:t>
            </w:r>
          </w:p>
        </w:tc>
        <w:tc>
          <w:tcPr>
            <w:tcW w:w="3342" w:type="dxa"/>
          </w:tcPr>
          <w:p w14:paraId="6C669881"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8</w:t>
            </w:r>
          </w:p>
        </w:tc>
        <w:tc>
          <w:tcPr>
            <w:tcW w:w="3342" w:type="dxa"/>
          </w:tcPr>
          <w:p w14:paraId="36F5801B"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9</w:t>
            </w:r>
          </w:p>
        </w:tc>
      </w:tr>
      <w:tr w:rsidR="004B7D0A" w14:paraId="686EFA09" w14:textId="77777777" w:rsidTr="000C1A86">
        <w:tc>
          <w:tcPr>
            <w:tcW w:w="3341" w:type="dxa"/>
          </w:tcPr>
          <w:p w14:paraId="54E50CE1"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012–2011</w:t>
            </w:r>
          </w:p>
        </w:tc>
        <w:tc>
          <w:tcPr>
            <w:tcW w:w="3342" w:type="dxa"/>
          </w:tcPr>
          <w:p w14:paraId="722BE5A2"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9</w:t>
            </w:r>
          </w:p>
        </w:tc>
        <w:tc>
          <w:tcPr>
            <w:tcW w:w="3342" w:type="dxa"/>
          </w:tcPr>
          <w:p w14:paraId="19157D27"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w:t>
            </w:r>
          </w:p>
        </w:tc>
      </w:tr>
      <w:tr w:rsidR="004B7D0A" w14:paraId="43B4FEF9" w14:textId="77777777" w:rsidTr="000C1A86">
        <w:tc>
          <w:tcPr>
            <w:tcW w:w="3341" w:type="dxa"/>
          </w:tcPr>
          <w:p w14:paraId="047B264E"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011–2010</w:t>
            </w:r>
          </w:p>
        </w:tc>
        <w:tc>
          <w:tcPr>
            <w:tcW w:w="3342" w:type="dxa"/>
          </w:tcPr>
          <w:p w14:paraId="03793B8E"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w:t>
            </w:r>
          </w:p>
        </w:tc>
        <w:tc>
          <w:tcPr>
            <w:tcW w:w="3342" w:type="dxa"/>
          </w:tcPr>
          <w:p w14:paraId="5CEE796C"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w:t>
            </w:r>
          </w:p>
        </w:tc>
      </w:tr>
      <w:tr w:rsidR="004B7D0A" w14:paraId="1CBB79A4" w14:textId="77777777" w:rsidTr="000C1A86">
        <w:tc>
          <w:tcPr>
            <w:tcW w:w="3341" w:type="dxa"/>
          </w:tcPr>
          <w:p w14:paraId="11A66F07"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010–2008</w:t>
            </w:r>
          </w:p>
        </w:tc>
        <w:tc>
          <w:tcPr>
            <w:tcW w:w="3342" w:type="dxa"/>
          </w:tcPr>
          <w:p w14:paraId="38FE077B"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1–12 (12)</w:t>
            </w:r>
          </w:p>
        </w:tc>
        <w:tc>
          <w:tcPr>
            <w:tcW w:w="3342" w:type="dxa"/>
          </w:tcPr>
          <w:p w14:paraId="0471CC69"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2–13 (13)</w:t>
            </w:r>
          </w:p>
        </w:tc>
      </w:tr>
      <w:tr w:rsidR="004B7D0A" w14:paraId="7F345BF2" w14:textId="77777777" w:rsidTr="000C1A86">
        <w:tc>
          <w:tcPr>
            <w:tcW w:w="3341" w:type="dxa"/>
          </w:tcPr>
          <w:p w14:paraId="5F364378"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008–2006</w:t>
            </w:r>
          </w:p>
        </w:tc>
        <w:tc>
          <w:tcPr>
            <w:tcW w:w="3342" w:type="dxa"/>
          </w:tcPr>
          <w:p w14:paraId="3FC749F4"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3–14 (14)</w:t>
            </w:r>
          </w:p>
        </w:tc>
        <w:tc>
          <w:tcPr>
            <w:tcW w:w="3342" w:type="dxa"/>
          </w:tcPr>
          <w:p w14:paraId="5B6CFD0A"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4–15 (15)</w:t>
            </w:r>
          </w:p>
        </w:tc>
      </w:tr>
      <w:tr w:rsidR="004B7D0A" w14:paraId="0E881FBA" w14:textId="77777777" w:rsidTr="000C1A86">
        <w:tc>
          <w:tcPr>
            <w:tcW w:w="3341" w:type="dxa"/>
            <w:tcBorders>
              <w:bottom w:val="single" w:sz="4" w:space="0" w:color="auto"/>
            </w:tcBorders>
          </w:tcPr>
          <w:p w14:paraId="16B841A9"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006–2005</w:t>
            </w:r>
          </w:p>
        </w:tc>
        <w:tc>
          <w:tcPr>
            <w:tcW w:w="3342" w:type="dxa"/>
            <w:tcBorders>
              <w:bottom w:val="single" w:sz="4" w:space="0" w:color="auto"/>
            </w:tcBorders>
          </w:tcPr>
          <w:p w14:paraId="35BBB5DB"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w:t>
            </w:r>
          </w:p>
        </w:tc>
        <w:tc>
          <w:tcPr>
            <w:tcW w:w="3342" w:type="dxa"/>
            <w:tcBorders>
              <w:bottom w:val="single" w:sz="4" w:space="0" w:color="auto"/>
            </w:tcBorders>
          </w:tcPr>
          <w:p w14:paraId="7D3C54A4" w14:textId="77777777" w:rsidR="004B7D0A" w:rsidRDefault="004B7D0A" w:rsidP="000C1A86">
            <w:pPr>
              <w:spacing w:line="280" w:lineRule="exact"/>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w:t>
            </w:r>
          </w:p>
        </w:tc>
      </w:tr>
    </w:tbl>
    <w:p w14:paraId="7B592448" w14:textId="77777777" w:rsidR="002222A2" w:rsidRDefault="002222A2"/>
    <w:sectPr w:rsidR="002222A2" w:rsidSect="00B238F4">
      <w:pgSz w:w="11907" w:h="16840" w:code="9"/>
      <w:pgMar w:top="1134" w:right="936" w:bottom="1338" w:left="936" w:header="0" w:footer="73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8243F" w14:textId="77777777" w:rsidR="00616DEA" w:rsidRDefault="00616DEA" w:rsidP="004B7D0A">
      <w:r>
        <w:separator/>
      </w:r>
    </w:p>
  </w:endnote>
  <w:endnote w:type="continuationSeparator" w:id="0">
    <w:p w14:paraId="204AC9BD" w14:textId="77777777" w:rsidR="00616DEA" w:rsidRDefault="00616DEA" w:rsidP="004B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8085" w14:textId="77777777" w:rsidR="00616DEA" w:rsidRDefault="00616DEA" w:rsidP="004B7D0A">
      <w:r>
        <w:separator/>
      </w:r>
    </w:p>
  </w:footnote>
  <w:footnote w:type="continuationSeparator" w:id="0">
    <w:p w14:paraId="3BEEC172" w14:textId="77777777" w:rsidR="00616DEA" w:rsidRDefault="00616DEA" w:rsidP="004B7D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0ED"/>
    <w:rsid w:val="002144D6"/>
    <w:rsid w:val="002222A2"/>
    <w:rsid w:val="00260979"/>
    <w:rsid w:val="00284A4F"/>
    <w:rsid w:val="003E0019"/>
    <w:rsid w:val="004B7D0A"/>
    <w:rsid w:val="00590B57"/>
    <w:rsid w:val="00602787"/>
    <w:rsid w:val="00616DEA"/>
    <w:rsid w:val="00B238F4"/>
    <w:rsid w:val="00B5518D"/>
    <w:rsid w:val="00D100ED"/>
    <w:rsid w:val="00D17C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75AE55"/>
  <w15:chartTrackingRefBased/>
  <w15:docId w15:val="{8A7C18C2-3B01-4A32-B72B-4919D519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D0A"/>
    <w:pPr>
      <w:widowControl w:val="0"/>
      <w:jc w:val="both"/>
    </w:pPr>
    <w:rPr>
      <w:szCs w:val="21"/>
    </w:rPr>
  </w:style>
  <w:style w:type="paragraph" w:styleId="1">
    <w:name w:val="heading 1"/>
    <w:basedOn w:val="a"/>
    <w:next w:val="a"/>
    <w:link w:val="10"/>
    <w:uiPriority w:val="9"/>
    <w:qFormat/>
    <w:rsid w:val="00D100E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100E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100E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100ED"/>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D100ED"/>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D100ED"/>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D100ED"/>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D100ED"/>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D100ED"/>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100E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100E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100E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100E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100E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100E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100E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100E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100E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100E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100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00E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100E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100ED"/>
    <w:pPr>
      <w:spacing w:before="160" w:after="160"/>
      <w:jc w:val="center"/>
    </w:pPr>
    <w:rPr>
      <w:i/>
      <w:iCs/>
      <w:color w:val="404040" w:themeColor="text1" w:themeTint="BF"/>
      <w:szCs w:val="22"/>
    </w:rPr>
  </w:style>
  <w:style w:type="character" w:customStyle="1" w:styleId="a8">
    <w:name w:val="引用文 (文字)"/>
    <w:basedOn w:val="a0"/>
    <w:link w:val="a7"/>
    <w:uiPriority w:val="29"/>
    <w:rsid w:val="00D100ED"/>
    <w:rPr>
      <w:i/>
      <w:iCs/>
      <w:color w:val="404040" w:themeColor="text1" w:themeTint="BF"/>
    </w:rPr>
  </w:style>
  <w:style w:type="paragraph" w:styleId="a9">
    <w:name w:val="List Paragraph"/>
    <w:basedOn w:val="a"/>
    <w:uiPriority w:val="34"/>
    <w:qFormat/>
    <w:rsid w:val="00D100ED"/>
    <w:pPr>
      <w:ind w:left="720"/>
      <w:contextualSpacing/>
    </w:pPr>
    <w:rPr>
      <w:szCs w:val="22"/>
    </w:rPr>
  </w:style>
  <w:style w:type="character" w:styleId="21">
    <w:name w:val="Intense Emphasis"/>
    <w:basedOn w:val="a0"/>
    <w:uiPriority w:val="21"/>
    <w:qFormat/>
    <w:rsid w:val="00D100ED"/>
    <w:rPr>
      <w:i/>
      <w:iCs/>
      <w:color w:val="2F5496" w:themeColor="accent1" w:themeShade="BF"/>
    </w:rPr>
  </w:style>
  <w:style w:type="paragraph" w:styleId="22">
    <w:name w:val="Intense Quote"/>
    <w:basedOn w:val="a"/>
    <w:next w:val="a"/>
    <w:link w:val="23"/>
    <w:uiPriority w:val="30"/>
    <w:qFormat/>
    <w:rsid w:val="00D100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Cs w:val="22"/>
    </w:rPr>
  </w:style>
  <w:style w:type="character" w:customStyle="1" w:styleId="23">
    <w:name w:val="引用文 2 (文字)"/>
    <w:basedOn w:val="a0"/>
    <w:link w:val="22"/>
    <w:uiPriority w:val="30"/>
    <w:rsid w:val="00D100ED"/>
    <w:rPr>
      <w:i/>
      <w:iCs/>
      <w:color w:val="2F5496" w:themeColor="accent1" w:themeShade="BF"/>
    </w:rPr>
  </w:style>
  <w:style w:type="character" w:styleId="24">
    <w:name w:val="Intense Reference"/>
    <w:basedOn w:val="a0"/>
    <w:uiPriority w:val="32"/>
    <w:qFormat/>
    <w:rsid w:val="00D100ED"/>
    <w:rPr>
      <w:b/>
      <w:bCs/>
      <w:smallCaps/>
      <w:color w:val="2F5496" w:themeColor="accent1" w:themeShade="BF"/>
      <w:spacing w:val="5"/>
    </w:rPr>
  </w:style>
  <w:style w:type="paragraph" w:styleId="aa">
    <w:name w:val="header"/>
    <w:basedOn w:val="a"/>
    <w:link w:val="ab"/>
    <w:uiPriority w:val="99"/>
    <w:unhideWhenUsed/>
    <w:rsid w:val="004B7D0A"/>
    <w:pPr>
      <w:tabs>
        <w:tab w:val="center" w:pos="4252"/>
        <w:tab w:val="right" w:pos="8504"/>
      </w:tabs>
      <w:snapToGrid w:val="0"/>
    </w:pPr>
    <w:rPr>
      <w:szCs w:val="22"/>
    </w:rPr>
  </w:style>
  <w:style w:type="character" w:customStyle="1" w:styleId="ab">
    <w:name w:val="ヘッダー (文字)"/>
    <w:basedOn w:val="a0"/>
    <w:link w:val="aa"/>
    <w:uiPriority w:val="99"/>
    <w:rsid w:val="004B7D0A"/>
  </w:style>
  <w:style w:type="paragraph" w:styleId="ac">
    <w:name w:val="footer"/>
    <w:basedOn w:val="a"/>
    <w:link w:val="ad"/>
    <w:uiPriority w:val="99"/>
    <w:unhideWhenUsed/>
    <w:rsid w:val="004B7D0A"/>
    <w:pPr>
      <w:tabs>
        <w:tab w:val="center" w:pos="4252"/>
        <w:tab w:val="right" w:pos="8504"/>
      </w:tabs>
      <w:snapToGrid w:val="0"/>
    </w:pPr>
    <w:rPr>
      <w:szCs w:val="22"/>
    </w:rPr>
  </w:style>
  <w:style w:type="character" w:customStyle="1" w:styleId="ad">
    <w:name w:val="フッター (文字)"/>
    <w:basedOn w:val="a0"/>
    <w:link w:val="ac"/>
    <w:uiPriority w:val="99"/>
    <w:rsid w:val="004B7D0A"/>
  </w:style>
  <w:style w:type="table" w:styleId="ae">
    <w:name w:val="Table Grid"/>
    <w:basedOn w:val="a1"/>
    <w:uiPriority w:val="39"/>
    <w:rsid w:val="004B7D0A"/>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Imaizumi Fumitoshi (今泉文寿)</dc:creator>
  <cp:keywords/>
  <dc:description/>
  <cp:lastModifiedBy>Imaizumi Fumitoshi (今泉文寿)</cp:lastModifiedBy>
  <cp:revision>3</cp:revision>
  <dcterms:created xsi:type="dcterms:W3CDTF">2026-04-24T05:34:00Z</dcterms:created>
  <dcterms:modified xsi:type="dcterms:W3CDTF">2026-04-24T07:16:00Z</dcterms:modified>
</cp:coreProperties>
</file>