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892B" w14:textId="77777777" w:rsidR="00154A2B" w:rsidRPr="00154A2B" w:rsidRDefault="00154A2B" w:rsidP="00154A2B">
      <w:pPr>
        <w:widowControl/>
        <w:spacing w:line="480" w:lineRule="auto"/>
        <w:jc w:val="left"/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</w:pP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Supplemental Table. Percentiles of axial length (AL) in 6-,9-, and 15-year-old European, Chinese, and Japanese children of both sexes</w:t>
      </w:r>
    </w:p>
    <w:tbl>
      <w:tblPr>
        <w:tblpPr w:leftFromText="142" w:rightFromText="142" w:vertAnchor="text" w:tblpY="1"/>
        <w:tblOverlap w:val="never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08"/>
        <w:gridCol w:w="1834"/>
        <w:gridCol w:w="1499"/>
        <w:gridCol w:w="1636"/>
        <w:gridCol w:w="1862"/>
        <w:gridCol w:w="255"/>
        <w:gridCol w:w="1499"/>
        <w:gridCol w:w="1499"/>
        <w:gridCol w:w="1860"/>
      </w:tblGrid>
      <w:tr w:rsidR="00154A2B" w:rsidRPr="00154A2B" w14:paraId="46C72E9F" w14:textId="77777777" w:rsidTr="00FD3868">
        <w:trPr>
          <w:trHeight w:val="369"/>
        </w:trPr>
        <w:tc>
          <w:tcPr>
            <w:tcW w:w="459" w:type="pc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A0BA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E58D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19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321E8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Boys</w:t>
            </w:r>
          </w:p>
        </w:tc>
        <w:tc>
          <w:tcPr>
            <w:tcW w:w="97" w:type="pct"/>
            <w:tcBorders>
              <w:top w:val="single" w:sz="8" w:space="0" w:color="auto"/>
            </w:tcBorders>
          </w:tcPr>
          <w:p w14:paraId="1DC9B0E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18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5616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Girls</w:t>
            </w:r>
          </w:p>
        </w:tc>
      </w:tr>
      <w:tr w:rsidR="00154A2B" w:rsidRPr="00154A2B" w14:paraId="4E68FE86" w14:textId="77777777" w:rsidTr="00FD3868">
        <w:trPr>
          <w:trHeight w:val="349"/>
        </w:trPr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254610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1C2103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2B628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European*</w:t>
            </w:r>
          </w:p>
        </w:tc>
        <w:tc>
          <w:tcPr>
            <w:tcW w:w="6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F6ED6B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Chinese**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FFAE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Japanese</w:t>
            </w:r>
          </w:p>
        </w:tc>
        <w:tc>
          <w:tcPr>
            <w:tcW w:w="97" w:type="pct"/>
          </w:tcPr>
          <w:p w14:paraId="0DB85FC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53E5D0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European*</w:t>
            </w: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83E7A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Chinese**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AD34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Japanese</w:t>
            </w:r>
          </w:p>
        </w:tc>
      </w:tr>
      <w:tr w:rsidR="00154A2B" w:rsidRPr="00154A2B" w14:paraId="01FD680D" w14:textId="77777777" w:rsidTr="00FD3868">
        <w:trPr>
          <w:trHeight w:val="369"/>
        </w:trPr>
        <w:tc>
          <w:tcPr>
            <w:tcW w:w="459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CF9347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5DC41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39906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A65D9F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68DAF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(current study)</w:t>
            </w:r>
          </w:p>
        </w:tc>
        <w:tc>
          <w:tcPr>
            <w:tcW w:w="97" w:type="pct"/>
            <w:tcBorders>
              <w:bottom w:val="single" w:sz="12" w:space="0" w:color="auto"/>
            </w:tcBorders>
          </w:tcPr>
          <w:p w14:paraId="31A5DD1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31FE2F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532A9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95F5A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(current study)</w:t>
            </w:r>
          </w:p>
        </w:tc>
      </w:tr>
      <w:tr w:rsidR="00154A2B" w:rsidRPr="00154A2B" w14:paraId="182F1CD1" w14:textId="77777777" w:rsidTr="00FD3868">
        <w:trPr>
          <w:trHeight w:val="454"/>
        </w:trPr>
        <w:tc>
          <w:tcPr>
            <w:tcW w:w="4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D7B8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6 years</w:t>
            </w:r>
          </w:p>
        </w:tc>
        <w:tc>
          <w:tcPr>
            <w:tcW w:w="6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9152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n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E718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3033</w:t>
            </w:r>
          </w:p>
        </w:tc>
        <w:tc>
          <w:tcPr>
            <w:tcW w:w="62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656D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500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EF15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508</w:t>
            </w:r>
          </w:p>
        </w:tc>
        <w:tc>
          <w:tcPr>
            <w:tcW w:w="97" w:type="pct"/>
            <w:tcBorders>
              <w:top w:val="single" w:sz="12" w:space="0" w:color="auto"/>
            </w:tcBorders>
          </w:tcPr>
          <w:p w14:paraId="02CD720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9BF45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3051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FAB01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474</w:t>
            </w:r>
          </w:p>
        </w:tc>
        <w:tc>
          <w:tcPr>
            <w:tcW w:w="7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42291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485</w:t>
            </w:r>
          </w:p>
        </w:tc>
      </w:tr>
      <w:tr w:rsidR="00154A2B" w:rsidRPr="00154A2B" w14:paraId="628A28E3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14003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194D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Mean ± SD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90A6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22.63±0.73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1C22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23.03 ± 0.82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221B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22.79 ± 0.73</w:t>
            </w:r>
          </w:p>
        </w:tc>
        <w:tc>
          <w:tcPr>
            <w:tcW w:w="97" w:type="pct"/>
          </w:tcPr>
          <w:p w14:paraId="01554C1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55E96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22.09±0.70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E8BBD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22.56±0.78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7BD43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22.27 ± 0.66</w:t>
            </w:r>
          </w:p>
        </w:tc>
      </w:tr>
      <w:tr w:rsidR="00154A2B" w:rsidRPr="00154A2B" w14:paraId="5E83F910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688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ACC2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 Percentiles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5DED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22.14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2913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22.55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97373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22.29</w:t>
            </w:r>
          </w:p>
        </w:tc>
        <w:tc>
          <w:tcPr>
            <w:tcW w:w="97" w:type="pct"/>
          </w:tcPr>
          <w:p w14:paraId="7DFECA6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A7EA7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21.66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DBE79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22.03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FB94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21.87</w:t>
            </w:r>
          </w:p>
        </w:tc>
      </w:tr>
      <w:tr w:rsidR="00154A2B" w:rsidRPr="00154A2B" w14:paraId="6EC194E8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6C8F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8394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50 Percentiles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AC75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22.59</w:t>
            </w: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F21C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22.99</w:t>
            </w: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0F90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22.77</w:t>
            </w:r>
          </w:p>
        </w:tc>
        <w:tc>
          <w:tcPr>
            <w:tcW w:w="97" w:type="pct"/>
          </w:tcPr>
          <w:p w14:paraId="3E2EC25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2E21EA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22.06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BEDC7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22.54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01C750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22.27</w:t>
            </w:r>
          </w:p>
        </w:tc>
      </w:tr>
      <w:tr w:rsidR="00154A2B" w:rsidRPr="00154A2B" w14:paraId="07A1DEE5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A778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92C0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75 Percentiles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AA6C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23.01</w:t>
            </w: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E621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23.50</w:t>
            </w: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5CED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23.26</w:t>
            </w:r>
          </w:p>
        </w:tc>
        <w:tc>
          <w:tcPr>
            <w:tcW w:w="97" w:type="pct"/>
          </w:tcPr>
          <w:p w14:paraId="3EAC0630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876266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22.49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ABCB0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23.04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499B42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22.68</w:t>
            </w:r>
          </w:p>
        </w:tc>
      </w:tr>
      <w:tr w:rsidR="00154A2B" w:rsidRPr="00154A2B" w14:paraId="6D88591F" w14:textId="77777777" w:rsidTr="00FD3868">
        <w:trPr>
          <w:trHeight w:val="454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0A1A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9 years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74351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E294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2617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1909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912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57D0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513</w:t>
            </w:r>
          </w:p>
        </w:tc>
        <w:tc>
          <w:tcPr>
            <w:tcW w:w="97" w:type="pct"/>
          </w:tcPr>
          <w:p w14:paraId="4FCA2C8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1B906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2679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7FE3A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917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4DAA3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461</w:t>
            </w:r>
          </w:p>
        </w:tc>
      </w:tr>
      <w:tr w:rsidR="00154A2B" w:rsidRPr="00154A2B" w14:paraId="3CF67C5B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FE363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320D0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Mean ± SD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E88D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23.36±0.82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5035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24.26 ± 0.92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EDD6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23.68 ± 0.86</w:t>
            </w:r>
          </w:p>
        </w:tc>
        <w:tc>
          <w:tcPr>
            <w:tcW w:w="97" w:type="pct"/>
          </w:tcPr>
          <w:p w14:paraId="3350915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E5414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22.84±0.78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0605E0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23.73±0.89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1C4E5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23.19 ± 0.84</w:t>
            </w:r>
          </w:p>
        </w:tc>
      </w:tr>
      <w:tr w:rsidR="00154A2B" w:rsidRPr="00154A2B" w14:paraId="6DF58B14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889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E31B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 Percentiles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72FE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22.83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5574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23EF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23.07</w:t>
            </w:r>
          </w:p>
        </w:tc>
        <w:tc>
          <w:tcPr>
            <w:tcW w:w="97" w:type="pct"/>
          </w:tcPr>
          <w:p w14:paraId="36278E4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8B461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22.33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0CAE9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23.16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9255E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22.62</w:t>
            </w:r>
          </w:p>
        </w:tc>
      </w:tr>
      <w:tr w:rsidR="00154A2B" w:rsidRPr="00154A2B" w14:paraId="3BF50945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55F2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0096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50 Percentiles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56AB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23.31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CC8F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24.32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5E88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23.65</w:t>
            </w:r>
          </w:p>
        </w:tc>
        <w:tc>
          <w:tcPr>
            <w:tcW w:w="97" w:type="pct"/>
          </w:tcPr>
          <w:p w14:paraId="0E3612C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7B3BA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22.79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AD3E7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23.72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41C37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23.20</w:t>
            </w:r>
          </w:p>
        </w:tc>
      </w:tr>
      <w:tr w:rsidR="00154A2B" w:rsidRPr="00154A2B" w14:paraId="6FCEC0FF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16FE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F214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75 Percentiles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D50C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23.79</w:t>
            </w:r>
          </w:p>
        </w:tc>
        <w:tc>
          <w:tcPr>
            <w:tcW w:w="62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0B8E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24.89</w:t>
            </w: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29B9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24.22</w:t>
            </w:r>
          </w:p>
        </w:tc>
        <w:tc>
          <w:tcPr>
            <w:tcW w:w="97" w:type="pct"/>
          </w:tcPr>
          <w:p w14:paraId="1EB7944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3BFFF8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23.25</w:t>
            </w: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7BB679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24.31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B81DB80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23.71</w:t>
            </w:r>
          </w:p>
        </w:tc>
      </w:tr>
      <w:tr w:rsidR="00154A2B" w:rsidRPr="00154A2B" w14:paraId="3E6CF435" w14:textId="77777777" w:rsidTr="00FD3868">
        <w:trPr>
          <w:trHeight w:val="454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EEE7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15 years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E765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EA2C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1167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858F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127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A6C1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15</w:t>
            </w:r>
          </w:p>
        </w:tc>
        <w:tc>
          <w:tcPr>
            <w:tcW w:w="97" w:type="pct"/>
          </w:tcPr>
          <w:p w14:paraId="0641EFE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9D04D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1328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CFDEC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110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A38D3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20</w:t>
            </w:r>
          </w:p>
        </w:tc>
      </w:tr>
      <w:tr w:rsidR="00154A2B" w:rsidRPr="00154A2B" w14:paraId="5D06B84D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79C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ACAE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Mean ± SD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6A52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23.68±0.88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AD3E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25.15 ± 1.28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160F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24.47 ± 0.94</w:t>
            </w:r>
          </w:p>
        </w:tc>
        <w:tc>
          <w:tcPr>
            <w:tcW w:w="97" w:type="pct"/>
          </w:tcPr>
          <w:p w14:paraId="2E611E0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CA8F0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23.18±0.84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DE8D4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24.50±1.15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DEFFC3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24.44 ± 0.82</w:t>
            </w:r>
          </w:p>
        </w:tc>
      </w:tr>
      <w:tr w:rsidR="00154A2B" w:rsidRPr="00154A2B" w14:paraId="002D246C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415B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D22A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 Percentiles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7AF1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23.17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515A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24.39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D14D0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23.42</w:t>
            </w:r>
          </w:p>
        </w:tc>
        <w:tc>
          <w:tcPr>
            <w:tcW w:w="97" w:type="pct"/>
          </w:tcPr>
          <w:p w14:paraId="14546BA6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B26AF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22.68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BF41C8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23.83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B4F47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23.83</w:t>
            </w:r>
          </w:p>
        </w:tc>
      </w:tr>
      <w:tr w:rsidR="00154A2B" w:rsidRPr="00154A2B" w14:paraId="1707051A" w14:textId="77777777" w:rsidTr="00FD3868">
        <w:trPr>
          <w:trHeight w:val="349"/>
        </w:trPr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AFD9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FE9E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50 Percentiles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CBC1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23.65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8F6F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25.01</w:t>
            </w:r>
          </w:p>
        </w:tc>
        <w:tc>
          <w:tcPr>
            <w:tcW w:w="70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7C43E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24.28</w:t>
            </w:r>
          </w:p>
        </w:tc>
        <w:tc>
          <w:tcPr>
            <w:tcW w:w="97" w:type="pct"/>
          </w:tcPr>
          <w:p w14:paraId="5EF035D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04D951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23.15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5CFE4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24.37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94A83D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24.21</w:t>
            </w:r>
          </w:p>
        </w:tc>
      </w:tr>
      <w:tr w:rsidR="00154A2B" w:rsidRPr="00154A2B" w14:paraId="32CE94C4" w14:textId="77777777" w:rsidTr="00FD3868">
        <w:trPr>
          <w:trHeight w:val="369"/>
        </w:trPr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B813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94C2F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75 Percentiles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C972C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F01C45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25.80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96022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25.01</w:t>
            </w:r>
          </w:p>
        </w:tc>
        <w:tc>
          <w:tcPr>
            <w:tcW w:w="97" w:type="pct"/>
            <w:tcBorders>
              <w:bottom w:val="single" w:sz="8" w:space="0" w:color="auto"/>
            </w:tcBorders>
          </w:tcPr>
          <w:p w14:paraId="79699C6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3A19054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23.65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82AC4DA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25.20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BCEACF9" w14:textId="77777777" w:rsidR="00154A2B" w:rsidRPr="00154A2B" w:rsidRDefault="00154A2B" w:rsidP="00154A2B">
            <w:pPr>
              <w:widowControl/>
              <w:spacing w:line="480" w:lineRule="auto"/>
              <w:jc w:val="left"/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</w:pPr>
            <w:r w:rsidRPr="00154A2B">
              <w:rPr>
                <w:rFonts w:ascii="Times New Roman" w:eastAsia="游明朝" w:hAnsi="Times New Roman" w:cs="Times New Roman"/>
                <w:color w:val="212121"/>
                <w:sz w:val="24"/>
                <w:szCs w:val="24"/>
                <w:shd w:val="clear" w:color="auto" w:fill="FFFFFF"/>
                <w14:ligatures w14:val="standardContextual"/>
              </w:rPr>
              <w:t>24.98</w:t>
            </w:r>
          </w:p>
        </w:tc>
      </w:tr>
    </w:tbl>
    <w:p w14:paraId="3A2DE18B" w14:textId="77777777" w:rsidR="00154A2B" w:rsidRPr="00154A2B" w:rsidRDefault="00154A2B" w:rsidP="00154A2B">
      <w:pPr>
        <w:widowControl/>
        <w:spacing w:line="480" w:lineRule="auto"/>
        <w:jc w:val="left"/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</w:pP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SD, standard deviation.</w:t>
      </w:r>
    </w:p>
    <w:p w14:paraId="0D327022" w14:textId="77777777" w:rsidR="00154A2B" w:rsidRPr="00154A2B" w:rsidRDefault="00154A2B" w:rsidP="00154A2B">
      <w:pPr>
        <w:widowControl/>
        <w:spacing w:line="480" w:lineRule="auto"/>
        <w:jc w:val="left"/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</w:pP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*Tideman JW,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Snabel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MC, Tedja MS, van Rijn GA, Wong KT, Kuijpers RW,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Vingerling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JR, Hofman A,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Buitendijk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GH, Keunen JE, Boon CJ,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Geerards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AJ, Luyten GP, Verhoeven VJ, Klaver CC. Association of Axial Length with Risk of Uncorrectable Visual Impairment for Europeans </w:t>
      </w:r>
      <w:proofErr w:type="gram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With</w:t>
      </w:r>
      <w:proofErr w:type="gram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Myopia. JAMA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Ophthalmol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. 2016;134(12):1355-63.</w:t>
      </w:r>
    </w:p>
    <w:p w14:paraId="63048BA3" w14:textId="77777777" w:rsidR="00154A2B" w:rsidRPr="00154A2B" w:rsidRDefault="00154A2B" w:rsidP="00154A2B">
      <w:pPr>
        <w:widowControl/>
        <w:spacing w:line="480" w:lineRule="auto"/>
        <w:jc w:val="left"/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</w:pP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lastRenderedPageBreak/>
        <w:t xml:space="preserve">**Sanz Diez P, Yang LH, Lu MX, Wahl S, Ohlendorf A. Growth curves of myopia-related parameters to clinically monitor the refractive development in Chinese schoolchildren.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Graefes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Arch Clin Exp </w:t>
      </w:r>
      <w:proofErr w:type="spellStart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Ophthalmol</w:t>
      </w:r>
      <w:proofErr w:type="spellEnd"/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. 2019;257(5):1045-53. </w:t>
      </w:r>
    </w:p>
    <w:p w14:paraId="406DCA66" w14:textId="77777777" w:rsidR="00154A2B" w:rsidRPr="00154A2B" w:rsidRDefault="00154A2B" w:rsidP="00154A2B">
      <w:pPr>
        <w:widowControl/>
        <w:spacing w:line="480" w:lineRule="auto"/>
        <w:jc w:val="left"/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</w:pP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>The mean AL in the three groups was compared using Welch’s ANOVA, followed by pairwise t-tests with Bonferroni correction. At ages 6 and 9, significant differences were observed among all three groups (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>p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&lt; 0.001). At age 15, no significant difference was found between the Japanese and Chinese groups (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 xml:space="preserve">p 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= 0.99 in girls, 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>p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= 0.058 in boys), whereas significant differences were observed between the Japanese and European groups (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>p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&lt; 0.001 in girls, 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>p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= 0.017 in boys) and between the Chinese and European groups (</w:t>
      </w:r>
      <w:r w:rsidRPr="00154A2B">
        <w:rPr>
          <w:rFonts w:ascii="Times New Roman" w:eastAsia="游明朝" w:hAnsi="Times New Roman" w:cs="Times New Roman"/>
          <w:i/>
          <w:iCs/>
          <w:color w:val="212121"/>
          <w:sz w:val="24"/>
          <w:szCs w:val="24"/>
          <w:shd w:val="clear" w:color="auto" w:fill="FFFFFF"/>
          <w14:ligatures w14:val="standardContextual"/>
        </w:rPr>
        <w:t>p</w:t>
      </w:r>
      <w:r w:rsidRPr="00154A2B">
        <w:rPr>
          <w:rFonts w:ascii="Times New Roman" w:eastAsia="游明朝" w:hAnsi="Times New Roman" w:cs="Times New Roman"/>
          <w:color w:val="212121"/>
          <w:sz w:val="24"/>
          <w:szCs w:val="24"/>
          <w:shd w:val="clear" w:color="auto" w:fill="FFFFFF"/>
          <w14:ligatures w14:val="standardContextual"/>
        </w:rPr>
        <w:t xml:space="preserve"> &lt; 0.001)</w:t>
      </w:r>
    </w:p>
    <w:p w14:paraId="616C1EF3" w14:textId="4CCC8716" w:rsidR="00F06CC3" w:rsidRPr="00154A2B" w:rsidRDefault="00F06CC3" w:rsidP="00154A2B">
      <w:pPr>
        <w:widowControl/>
        <w:spacing w:line="480" w:lineRule="auto"/>
        <w:jc w:val="left"/>
        <w:rPr>
          <w:rFonts w:ascii="Times New Roman" w:eastAsia="游明朝" w:hAnsi="Times New Roman" w:cs="Times New Roman" w:hint="eastAsia"/>
          <w:color w:val="212121"/>
          <w:sz w:val="24"/>
          <w:szCs w:val="24"/>
          <w:shd w:val="clear" w:color="auto" w:fill="FFFFFF"/>
          <w14:ligatures w14:val="standardContextual"/>
        </w:rPr>
      </w:pPr>
    </w:p>
    <w:sectPr w:rsidR="00F06CC3" w:rsidRPr="00154A2B" w:rsidSect="00154A2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2B"/>
    <w:rsid w:val="00154A2B"/>
    <w:rsid w:val="008423DB"/>
    <w:rsid w:val="009977F4"/>
    <w:rsid w:val="00C117AF"/>
    <w:rsid w:val="00C76D42"/>
    <w:rsid w:val="00F0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1B7A2F"/>
  <w15:chartTrackingRefBased/>
  <w15:docId w15:val="{AB2AAE00-3FEC-4555-B5B0-13A8F11C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4A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A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A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A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A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A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A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A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4A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4A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4A2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4A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4A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4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A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4A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A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4A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4A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4A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4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4A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4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 加純</dc:creator>
  <cp:keywords/>
  <dc:description/>
  <cp:lastModifiedBy>笠原 加純</cp:lastModifiedBy>
  <cp:revision>2</cp:revision>
  <dcterms:created xsi:type="dcterms:W3CDTF">2025-12-31T06:20:00Z</dcterms:created>
  <dcterms:modified xsi:type="dcterms:W3CDTF">2025-12-31T06:20:00Z</dcterms:modified>
</cp:coreProperties>
</file>