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1FCE72" w14:textId="499319BF" w:rsidR="007F55B4" w:rsidRPr="004E209F" w:rsidRDefault="00D561D5" w:rsidP="007F55B4">
      <w:pPr>
        <w:rPr>
          <w:rFonts w:ascii="Times New Roman" w:hAnsi="Times New Roman" w:cs="Times New Roman"/>
          <w:sz w:val="24"/>
        </w:rPr>
      </w:pPr>
      <w:bookmarkStart w:id="0" w:name="_GoBack"/>
      <w:r w:rsidRPr="004E209F">
        <w:rPr>
          <w:rFonts w:ascii="Times New Roman" w:hAnsi="Times New Roman" w:cs="Times New Roman"/>
          <w:sz w:val="24"/>
        </w:rPr>
        <w:t>Online Resource</w:t>
      </w:r>
    </w:p>
    <w:p w14:paraId="21932F6B" w14:textId="77777777" w:rsidR="00AE0CF1" w:rsidRDefault="00AE0CF1" w:rsidP="00AE0CF1">
      <w:pPr>
        <w:rPr>
          <w:rFonts w:ascii="Times New Roman" w:hAnsi="Times New Roman" w:cs="Times New Roman"/>
          <w:sz w:val="24"/>
        </w:rPr>
      </w:pPr>
      <w:r w:rsidRPr="004E209F">
        <w:rPr>
          <w:rFonts w:ascii="Times New Roman" w:hAnsi="Times New Roman" w:cs="Times New Roman"/>
          <w:sz w:val="24"/>
        </w:rPr>
        <w:t>Online Resource</w:t>
      </w:r>
      <w:r>
        <w:rPr>
          <w:rFonts w:ascii="Times New Roman" w:hAnsi="Times New Roman" w:cs="Times New Roman"/>
          <w:sz w:val="24"/>
        </w:rPr>
        <w:t xml:space="preserve"> </w:t>
      </w:r>
      <w:r w:rsidRPr="004E209F">
        <w:rPr>
          <w:rFonts w:ascii="Times New Roman" w:hAnsi="Times New Roman" w:cs="Times New Roman"/>
          <w:sz w:val="24"/>
        </w:rPr>
        <w:t>1. Bland–Altman plots for pericentral and peripheral retinal thickness measurements.</w:t>
      </w:r>
    </w:p>
    <w:p w14:paraId="476B0056" w14:textId="77777777" w:rsidR="00E4726D" w:rsidRPr="004E209F" w:rsidRDefault="00E4726D" w:rsidP="00AE0CF1">
      <w:pPr>
        <w:rPr>
          <w:rFonts w:ascii="Times New Roman" w:hAnsi="Times New Roman" w:cs="Times New Roman"/>
          <w:sz w:val="24"/>
        </w:rPr>
      </w:pPr>
    </w:p>
    <w:p w14:paraId="46FCB580" w14:textId="273F89E7" w:rsidR="00E4726D" w:rsidRPr="00E4726D" w:rsidRDefault="00E4726D" w:rsidP="00E4726D">
      <w:pPr>
        <w:rPr>
          <w:rFonts w:ascii="Times New Roman" w:hAnsi="Times New Roman" w:cs="Times New Roman"/>
          <w:sz w:val="24"/>
        </w:rPr>
      </w:pPr>
      <w:r w:rsidRPr="00E4726D">
        <w:rPr>
          <w:rFonts w:ascii="Times New Roman" w:hAnsi="Times New Roman" w:cs="Times New Roman"/>
          <w:noProof/>
          <w:sz w:val="24"/>
          <w:lang w:val="en-IN" w:eastAsia="en-IN"/>
        </w:rPr>
        <w:drawing>
          <wp:inline distT="0" distB="0" distL="0" distR="0" wp14:anchorId="0C983A2E" wp14:editId="60CB111A">
            <wp:extent cx="3136730" cy="5076825"/>
            <wp:effectExtent l="0" t="0" r="6985" b="0"/>
            <wp:docPr id="136173591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70057" cy="5130765"/>
                    </a:xfrm>
                    <a:prstGeom prst="rect">
                      <a:avLst/>
                    </a:prstGeom>
                    <a:noFill/>
                    <a:ln>
                      <a:noFill/>
                    </a:ln>
                  </pic:spPr>
                </pic:pic>
              </a:graphicData>
            </a:graphic>
          </wp:inline>
        </w:drawing>
      </w:r>
    </w:p>
    <w:p w14:paraId="5D312948" w14:textId="77777777" w:rsidR="00D94DFE" w:rsidRPr="00D94DFE" w:rsidRDefault="00D94DFE" w:rsidP="007F55B4">
      <w:pPr>
        <w:rPr>
          <w:rFonts w:ascii="Times New Roman" w:hAnsi="Times New Roman" w:cs="Times New Roman"/>
          <w:sz w:val="24"/>
        </w:rPr>
      </w:pPr>
    </w:p>
    <w:p w14:paraId="12178027" w14:textId="3E4EFD6C" w:rsidR="004F427C" w:rsidRDefault="00445D32" w:rsidP="000B79FF">
      <w:pPr>
        <w:rPr>
          <w:rFonts w:ascii="Times New Roman" w:hAnsi="Times New Roman" w:cs="Times New Roman"/>
          <w:sz w:val="24"/>
        </w:rPr>
      </w:pPr>
      <w:r w:rsidRPr="004E209F">
        <w:rPr>
          <w:rFonts w:ascii="Times New Roman" w:hAnsi="Times New Roman" w:cs="Times New Roman"/>
          <w:sz w:val="24"/>
        </w:rPr>
        <w:t xml:space="preserve">Bland–Altman plots showing the agreement between corrected and uncorrected retinal thickness measurements in the </w:t>
      </w:r>
      <w:r w:rsidR="0051690C">
        <w:rPr>
          <w:rFonts w:ascii="Times New Roman" w:hAnsi="Times New Roman" w:cs="Times New Roman"/>
          <w:sz w:val="24"/>
        </w:rPr>
        <w:t>Early Treatment Diabetic Retinopathy Study</w:t>
      </w:r>
      <w:r w:rsidRPr="004E209F">
        <w:rPr>
          <w:rFonts w:ascii="Times New Roman" w:hAnsi="Times New Roman" w:cs="Times New Roman"/>
          <w:sz w:val="24"/>
        </w:rPr>
        <w:t xml:space="preserve"> </w:t>
      </w:r>
      <w:r w:rsidR="0051690C">
        <w:rPr>
          <w:rFonts w:ascii="Times New Roman" w:hAnsi="Times New Roman" w:cs="Times New Roman"/>
          <w:sz w:val="24"/>
        </w:rPr>
        <w:t>grid</w:t>
      </w:r>
      <w:r w:rsidRPr="004E209F">
        <w:rPr>
          <w:rFonts w:ascii="Times New Roman" w:hAnsi="Times New Roman" w:cs="Times New Roman"/>
          <w:sz w:val="24"/>
        </w:rPr>
        <w:t>. The pericentral sectors are shown in panels (</w:t>
      </w:r>
      <w:r w:rsidR="00E12858" w:rsidRPr="004E209F">
        <w:rPr>
          <w:rFonts w:ascii="Times New Roman" w:hAnsi="Times New Roman" w:cs="Times New Roman"/>
          <w:sz w:val="24"/>
        </w:rPr>
        <w:t>a–d</w:t>
      </w:r>
      <w:r w:rsidRPr="004E209F">
        <w:rPr>
          <w:rFonts w:ascii="Times New Roman" w:hAnsi="Times New Roman" w:cs="Times New Roman"/>
          <w:sz w:val="24"/>
        </w:rPr>
        <w:t>): (</w:t>
      </w:r>
      <w:r w:rsidR="00E12858" w:rsidRPr="004E209F">
        <w:rPr>
          <w:rFonts w:ascii="Times New Roman" w:hAnsi="Times New Roman" w:cs="Times New Roman"/>
          <w:sz w:val="24"/>
        </w:rPr>
        <w:t>a</w:t>
      </w:r>
      <w:r w:rsidRPr="004E209F">
        <w:rPr>
          <w:rFonts w:ascii="Times New Roman" w:hAnsi="Times New Roman" w:cs="Times New Roman"/>
          <w:sz w:val="24"/>
        </w:rPr>
        <w:t>) superior, (</w:t>
      </w:r>
      <w:r w:rsidR="00E12858" w:rsidRPr="004E209F">
        <w:rPr>
          <w:rFonts w:ascii="Times New Roman" w:hAnsi="Times New Roman" w:cs="Times New Roman"/>
          <w:sz w:val="24"/>
        </w:rPr>
        <w:t>b</w:t>
      </w:r>
      <w:r w:rsidRPr="004E209F">
        <w:rPr>
          <w:rFonts w:ascii="Times New Roman" w:hAnsi="Times New Roman" w:cs="Times New Roman"/>
          <w:sz w:val="24"/>
        </w:rPr>
        <w:t>) temporal, (</w:t>
      </w:r>
      <w:r w:rsidR="00E12858" w:rsidRPr="004E209F">
        <w:rPr>
          <w:rFonts w:ascii="Times New Roman" w:hAnsi="Times New Roman" w:cs="Times New Roman"/>
          <w:sz w:val="24"/>
        </w:rPr>
        <w:t>c</w:t>
      </w:r>
      <w:r w:rsidRPr="004E209F">
        <w:rPr>
          <w:rFonts w:ascii="Times New Roman" w:hAnsi="Times New Roman" w:cs="Times New Roman"/>
          <w:sz w:val="24"/>
        </w:rPr>
        <w:t>) nasal, and (</w:t>
      </w:r>
      <w:r w:rsidR="00E12858" w:rsidRPr="004E209F">
        <w:rPr>
          <w:rFonts w:ascii="Times New Roman" w:hAnsi="Times New Roman" w:cs="Times New Roman"/>
          <w:sz w:val="24"/>
        </w:rPr>
        <w:t>d</w:t>
      </w:r>
      <w:r w:rsidRPr="004E209F">
        <w:rPr>
          <w:rFonts w:ascii="Times New Roman" w:hAnsi="Times New Roman" w:cs="Times New Roman"/>
          <w:sz w:val="24"/>
        </w:rPr>
        <w:t>) inferior. The peripheral sectors are shown in panels (</w:t>
      </w:r>
      <w:r w:rsidR="00E12858" w:rsidRPr="004E209F">
        <w:rPr>
          <w:rFonts w:ascii="Times New Roman" w:hAnsi="Times New Roman" w:cs="Times New Roman"/>
          <w:sz w:val="24"/>
        </w:rPr>
        <w:t>e</w:t>
      </w:r>
      <w:r w:rsidRPr="004E209F">
        <w:rPr>
          <w:rFonts w:ascii="Times New Roman" w:hAnsi="Times New Roman" w:cs="Times New Roman"/>
          <w:sz w:val="24"/>
        </w:rPr>
        <w:t>–</w:t>
      </w:r>
      <w:r w:rsidR="00E12858" w:rsidRPr="004E209F">
        <w:rPr>
          <w:rFonts w:ascii="Times New Roman" w:hAnsi="Times New Roman" w:cs="Times New Roman"/>
          <w:sz w:val="24"/>
        </w:rPr>
        <w:t>h</w:t>
      </w:r>
      <w:r w:rsidRPr="004E209F">
        <w:rPr>
          <w:rFonts w:ascii="Times New Roman" w:hAnsi="Times New Roman" w:cs="Times New Roman"/>
          <w:sz w:val="24"/>
        </w:rPr>
        <w:t>): (</w:t>
      </w:r>
      <w:r w:rsidR="00E12858" w:rsidRPr="004E209F">
        <w:rPr>
          <w:rFonts w:ascii="Times New Roman" w:hAnsi="Times New Roman" w:cs="Times New Roman"/>
          <w:sz w:val="24"/>
        </w:rPr>
        <w:t>e</w:t>
      </w:r>
      <w:r w:rsidRPr="004E209F">
        <w:rPr>
          <w:rFonts w:ascii="Times New Roman" w:hAnsi="Times New Roman" w:cs="Times New Roman"/>
          <w:sz w:val="24"/>
        </w:rPr>
        <w:t>) superior, (</w:t>
      </w:r>
      <w:r w:rsidR="00E12858" w:rsidRPr="004E209F">
        <w:rPr>
          <w:rFonts w:ascii="Times New Roman" w:hAnsi="Times New Roman" w:cs="Times New Roman"/>
          <w:sz w:val="24"/>
        </w:rPr>
        <w:t>f</w:t>
      </w:r>
      <w:r w:rsidRPr="004E209F">
        <w:rPr>
          <w:rFonts w:ascii="Times New Roman" w:hAnsi="Times New Roman" w:cs="Times New Roman"/>
          <w:sz w:val="24"/>
        </w:rPr>
        <w:t>) temporal, (</w:t>
      </w:r>
      <w:r w:rsidR="00E12858" w:rsidRPr="004E209F">
        <w:rPr>
          <w:rFonts w:ascii="Times New Roman" w:hAnsi="Times New Roman" w:cs="Times New Roman"/>
          <w:sz w:val="24"/>
        </w:rPr>
        <w:t>g</w:t>
      </w:r>
      <w:r w:rsidRPr="004E209F">
        <w:rPr>
          <w:rFonts w:ascii="Times New Roman" w:hAnsi="Times New Roman" w:cs="Times New Roman"/>
          <w:sz w:val="24"/>
        </w:rPr>
        <w:t>) nasal, and (</w:t>
      </w:r>
      <w:r w:rsidR="00E12858" w:rsidRPr="004E209F">
        <w:rPr>
          <w:rFonts w:ascii="Times New Roman" w:hAnsi="Times New Roman" w:cs="Times New Roman"/>
          <w:sz w:val="24"/>
        </w:rPr>
        <w:t>h</w:t>
      </w:r>
      <w:r w:rsidRPr="004E209F">
        <w:rPr>
          <w:rFonts w:ascii="Times New Roman" w:hAnsi="Times New Roman" w:cs="Times New Roman"/>
          <w:sz w:val="24"/>
        </w:rPr>
        <w:t>) inferior. The x-axis represents the mean of the corrected and uncorrected measurements, and the y-axis represents the difference between the two measurements (corrected − uncorrected). The solid line indicates the mean difference, and the dashed lines indicate the 95% limits of agreement.</w:t>
      </w:r>
    </w:p>
    <w:tbl>
      <w:tblPr>
        <w:tblW w:w="8504" w:type="dxa"/>
        <w:tblCellMar>
          <w:left w:w="99" w:type="dxa"/>
          <w:right w:w="99" w:type="dxa"/>
        </w:tblCellMar>
        <w:tblLook w:val="04A0" w:firstRow="1" w:lastRow="0" w:firstColumn="1" w:lastColumn="0" w:noHBand="0" w:noVBand="1"/>
      </w:tblPr>
      <w:tblGrid>
        <w:gridCol w:w="1701"/>
        <w:gridCol w:w="1487"/>
        <w:gridCol w:w="2126"/>
        <w:gridCol w:w="2084"/>
        <w:gridCol w:w="1106"/>
      </w:tblGrid>
      <w:tr w:rsidR="004F427C" w:rsidRPr="004F427C" w14:paraId="10614618" w14:textId="77777777" w:rsidTr="004F427C">
        <w:trPr>
          <w:trHeight w:val="400"/>
        </w:trPr>
        <w:tc>
          <w:tcPr>
            <w:tcW w:w="8504" w:type="dxa"/>
            <w:gridSpan w:val="5"/>
            <w:tcBorders>
              <w:top w:val="nil"/>
              <w:left w:val="nil"/>
              <w:bottom w:val="nil"/>
              <w:right w:val="nil"/>
            </w:tcBorders>
            <w:noWrap/>
            <w:vAlign w:val="center"/>
            <w:hideMark/>
          </w:tcPr>
          <w:p w14:paraId="431B7B98" w14:textId="20CA3EC0"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 xml:space="preserve">Online Resource </w:t>
            </w:r>
            <w:r>
              <w:rPr>
                <w:rFonts w:ascii="Times New Roman" w:eastAsia="Yu Gothic" w:hAnsi="Times New Roman" w:cs="Times New Roman"/>
                <w:color w:val="000000"/>
                <w:kern w:val="0"/>
                <w:sz w:val="24"/>
              </w:rPr>
              <w:t>2</w:t>
            </w:r>
            <w:r w:rsidRPr="004F427C">
              <w:rPr>
                <w:rFonts w:ascii="Times New Roman" w:eastAsia="Yu Gothic" w:hAnsi="Times New Roman" w:cs="Times New Roman"/>
                <w:color w:val="000000"/>
                <w:kern w:val="0"/>
                <w:sz w:val="24"/>
              </w:rPr>
              <w:t>. Linear regression analysis between axial length and the difference in retinal thickness measurements</w:t>
            </w:r>
          </w:p>
        </w:tc>
      </w:tr>
      <w:tr w:rsidR="004F427C" w:rsidRPr="004F427C" w14:paraId="7063352A" w14:textId="77777777" w:rsidTr="004F427C">
        <w:trPr>
          <w:trHeight w:val="400"/>
        </w:trPr>
        <w:tc>
          <w:tcPr>
            <w:tcW w:w="1701" w:type="dxa"/>
            <w:tcBorders>
              <w:top w:val="single" w:sz="4" w:space="0" w:color="auto"/>
              <w:left w:val="nil"/>
              <w:bottom w:val="single" w:sz="4" w:space="0" w:color="auto"/>
              <w:right w:val="nil"/>
            </w:tcBorders>
            <w:noWrap/>
            <w:vAlign w:val="center"/>
            <w:hideMark/>
          </w:tcPr>
          <w:p w14:paraId="7ECAD251"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 xml:space="preserve">　</w:t>
            </w:r>
          </w:p>
        </w:tc>
        <w:tc>
          <w:tcPr>
            <w:tcW w:w="1487" w:type="dxa"/>
            <w:tcBorders>
              <w:top w:val="single" w:sz="4" w:space="0" w:color="auto"/>
              <w:left w:val="nil"/>
              <w:bottom w:val="single" w:sz="4" w:space="0" w:color="auto"/>
              <w:right w:val="nil"/>
            </w:tcBorders>
            <w:noWrap/>
            <w:vAlign w:val="center"/>
            <w:hideMark/>
          </w:tcPr>
          <w:p w14:paraId="45F37831"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 xml:space="preserve">　</w:t>
            </w:r>
          </w:p>
        </w:tc>
        <w:tc>
          <w:tcPr>
            <w:tcW w:w="2126" w:type="dxa"/>
            <w:tcBorders>
              <w:top w:val="single" w:sz="4" w:space="0" w:color="auto"/>
              <w:left w:val="nil"/>
              <w:bottom w:val="single" w:sz="4" w:space="0" w:color="auto"/>
              <w:right w:val="nil"/>
            </w:tcBorders>
            <w:noWrap/>
            <w:vAlign w:val="center"/>
            <w:hideMark/>
          </w:tcPr>
          <w:p w14:paraId="2856D8ED"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β (μm/mm)</w:t>
            </w:r>
          </w:p>
        </w:tc>
        <w:tc>
          <w:tcPr>
            <w:tcW w:w="2084" w:type="dxa"/>
            <w:tcBorders>
              <w:top w:val="single" w:sz="4" w:space="0" w:color="auto"/>
              <w:left w:val="nil"/>
              <w:bottom w:val="single" w:sz="4" w:space="0" w:color="auto"/>
              <w:right w:val="nil"/>
            </w:tcBorders>
            <w:noWrap/>
            <w:vAlign w:val="center"/>
            <w:hideMark/>
          </w:tcPr>
          <w:p w14:paraId="26CCCFDF"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95% CI</w:t>
            </w:r>
          </w:p>
        </w:tc>
        <w:tc>
          <w:tcPr>
            <w:tcW w:w="1106" w:type="dxa"/>
            <w:tcBorders>
              <w:top w:val="single" w:sz="4" w:space="0" w:color="auto"/>
              <w:left w:val="nil"/>
              <w:bottom w:val="single" w:sz="4" w:space="0" w:color="auto"/>
              <w:right w:val="nil"/>
            </w:tcBorders>
            <w:noWrap/>
            <w:vAlign w:val="center"/>
            <w:hideMark/>
          </w:tcPr>
          <w:p w14:paraId="1A4F5456" w14:textId="77777777" w:rsidR="004F427C" w:rsidRPr="00330902" w:rsidRDefault="004F427C" w:rsidP="004F427C">
            <w:pPr>
              <w:widowControl/>
              <w:jc w:val="center"/>
              <w:rPr>
                <w:rFonts w:ascii="Times New Roman" w:eastAsia="Yu Gothic" w:hAnsi="Times New Roman" w:cs="Times New Roman"/>
                <w:i/>
                <w:iCs/>
                <w:color w:val="000000"/>
                <w:kern w:val="0"/>
                <w:sz w:val="24"/>
              </w:rPr>
            </w:pPr>
            <w:r w:rsidRPr="00330902">
              <w:rPr>
                <w:rFonts w:ascii="Times New Roman" w:eastAsia="Yu Gothic" w:hAnsi="Times New Roman" w:cs="Times New Roman"/>
                <w:i/>
                <w:iCs/>
                <w:color w:val="000000"/>
                <w:kern w:val="0"/>
                <w:sz w:val="24"/>
              </w:rPr>
              <w:t>P</w:t>
            </w:r>
          </w:p>
        </w:tc>
      </w:tr>
      <w:tr w:rsidR="004F427C" w:rsidRPr="004F427C" w14:paraId="6B0BF21B" w14:textId="77777777" w:rsidTr="004F427C">
        <w:trPr>
          <w:trHeight w:val="400"/>
        </w:trPr>
        <w:tc>
          <w:tcPr>
            <w:tcW w:w="1701" w:type="dxa"/>
            <w:tcBorders>
              <w:top w:val="nil"/>
              <w:left w:val="nil"/>
              <w:bottom w:val="nil"/>
              <w:right w:val="nil"/>
            </w:tcBorders>
            <w:noWrap/>
            <w:vAlign w:val="center"/>
            <w:hideMark/>
          </w:tcPr>
          <w:p w14:paraId="28FB88DE"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Fovea</w:t>
            </w:r>
          </w:p>
        </w:tc>
        <w:tc>
          <w:tcPr>
            <w:tcW w:w="1487" w:type="dxa"/>
            <w:tcBorders>
              <w:top w:val="nil"/>
              <w:left w:val="nil"/>
              <w:bottom w:val="nil"/>
              <w:right w:val="nil"/>
            </w:tcBorders>
            <w:noWrap/>
            <w:vAlign w:val="center"/>
            <w:hideMark/>
          </w:tcPr>
          <w:p w14:paraId="54BE62D2"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 xml:space="preserve">　</w:t>
            </w:r>
          </w:p>
        </w:tc>
        <w:tc>
          <w:tcPr>
            <w:tcW w:w="2126" w:type="dxa"/>
            <w:tcBorders>
              <w:top w:val="nil"/>
              <w:left w:val="nil"/>
              <w:bottom w:val="nil"/>
              <w:right w:val="nil"/>
            </w:tcBorders>
            <w:noWrap/>
            <w:vAlign w:val="center"/>
            <w:hideMark/>
          </w:tcPr>
          <w:p w14:paraId="26E1F8A5"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2.14</w:t>
            </w:r>
          </w:p>
        </w:tc>
        <w:tc>
          <w:tcPr>
            <w:tcW w:w="2084" w:type="dxa"/>
            <w:tcBorders>
              <w:top w:val="nil"/>
              <w:left w:val="nil"/>
              <w:bottom w:val="nil"/>
              <w:right w:val="nil"/>
            </w:tcBorders>
            <w:noWrap/>
            <w:vAlign w:val="center"/>
            <w:hideMark/>
          </w:tcPr>
          <w:p w14:paraId="460C8A10"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1.92 to 2.35</w:t>
            </w:r>
          </w:p>
        </w:tc>
        <w:tc>
          <w:tcPr>
            <w:tcW w:w="1106" w:type="dxa"/>
            <w:tcBorders>
              <w:top w:val="nil"/>
              <w:left w:val="nil"/>
              <w:bottom w:val="nil"/>
              <w:right w:val="nil"/>
            </w:tcBorders>
            <w:noWrap/>
            <w:vAlign w:val="center"/>
            <w:hideMark/>
          </w:tcPr>
          <w:p w14:paraId="6A196386" w14:textId="1CD04AA3"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&lt;0.0</w:t>
            </w:r>
            <w:r w:rsidR="00CA4CA1">
              <w:rPr>
                <w:rFonts w:ascii="Times New Roman" w:eastAsia="Yu Gothic" w:hAnsi="Times New Roman" w:cs="Times New Roman"/>
                <w:color w:val="000000"/>
                <w:kern w:val="0"/>
                <w:sz w:val="24"/>
              </w:rPr>
              <w:t>0</w:t>
            </w:r>
            <w:r w:rsidRPr="004F427C">
              <w:rPr>
                <w:rFonts w:ascii="Times New Roman" w:eastAsia="Yu Gothic" w:hAnsi="Times New Roman" w:cs="Times New Roman"/>
                <w:color w:val="000000"/>
                <w:kern w:val="0"/>
                <w:sz w:val="24"/>
              </w:rPr>
              <w:t>01</w:t>
            </w:r>
          </w:p>
        </w:tc>
      </w:tr>
      <w:tr w:rsidR="004F427C" w:rsidRPr="004F427C" w14:paraId="4A2F9C2F" w14:textId="77777777" w:rsidTr="004F427C">
        <w:trPr>
          <w:trHeight w:val="400"/>
        </w:trPr>
        <w:tc>
          <w:tcPr>
            <w:tcW w:w="1701" w:type="dxa"/>
            <w:tcBorders>
              <w:top w:val="nil"/>
              <w:left w:val="nil"/>
              <w:bottom w:val="nil"/>
              <w:right w:val="nil"/>
            </w:tcBorders>
            <w:noWrap/>
            <w:vAlign w:val="center"/>
            <w:hideMark/>
          </w:tcPr>
          <w:p w14:paraId="4453DB43"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Pericentral</w:t>
            </w:r>
          </w:p>
        </w:tc>
        <w:tc>
          <w:tcPr>
            <w:tcW w:w="1487" w:type="dxa"/>
            <w:tcBorders>
              <w:top w:val="nil"/>
              <w:left w:val="nil"/>
              <w:bottom w:val="nil"/>
              <w:right w:val="nil"/>
            </w:tcBorders>
            <w:noWrap/>
            <w:vAlign w:val="center"/>
            <w:hideMark/>
          </w:tcPr>
          <w:p w14:paraId="600F70EE"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Superior</w:t>
            </w:r>
          </w:p>
        </w:tc>
        <w:tc>
          <w:tcPr>
            <w:tcW w:w="2126" w:type="dxa"/>
            <w:tcBorders>
              <w:top w:val="nil"/>
              <w:left w:val="nil"/>
              <w:bottom w:val="nil"/>
              <w:right w:val="nil"/>
            </w:tcBorders>
            <w:noWrap/>
            <w:vAlign w:val="center"/>
            <w:hideMark/>
          </w:tcPr>
          <w:p w14:paraId="4B6C4143"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-0.48</w:t>
            </w:r>
          </w:p>
        </w:tc>
        <w:tc>
          <w:tcPr>
            <w:tcW w:w="2084" w:type="dxa"/>
            <w:tcBorders>
              <w:top w:val="nil"/>
              <w:left w:val="nil"/>
              <w:bottom w:val="nil"/>
              <w:right w:val="nil"/>
            </w:tcBorders>
            <w:noWrap/>
            <w:vAlign w:val="center"/>
            <w:hideMark/>
          </w:tcPr>
          <w:p w14:paraId="13108946"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-0.75 to -0.21</w:t>
            </w:r>
          </w:p>
        </w:tc>
        <w:tc>
          <w:tcPr>
            <w:tcW w:w="1106" w:type="dxa"/>
            <w:tcBorders>
              <w:top w:val="nil"/>
              <w:left w:val="nil"/>
              <w:bottom w:val="nil"/>
              <w:right w:val="nil"/>
            </w:tcBorders>
            <w:noWrap/>
            <w:vAlign w:val="center"/>
            <w:hideMark/>
          </w:tcPr>
          <w:p w14:paraId="7C6F056A"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&lt;0.001</w:t>
            </w:r>
          </w:p>
        </w:tc>
      </w:tr>
      <w:tr w:rsidR="004F427C" w:rsidRPr="004F427C" w14:paraId="6300076D" w14:textId="77777777" w:rsidTr="004F427C">
        <w:trPr>
          <w:trHeight w:val="400"/>
        </w:trPr>
        <w:tc>
          <w:tcPr>
            <w:tcW w:w="1701" w:type="dxa"/>
            <w:tcBorders>
              <w:top w:val="nil"/>
              <w:left w:val="nil"/>
              <w:bottom w:val="nil"/>
              <w:right w:val="nil"/>
            </w:tcBorders>
            <w:noWrap/>
            <w:vAlign w:val="center"/>
            <w:hideMark/>
          </w:tcPr>
          <w:p w14:paraId="1F878779" w14:textId="77777777" w:rsidR="004F427C" w:rsidRPr="004F427C" w:rsidRDefault="004F427C" w:rsidP="004F427C">
            <w:pPr>
              <w:widowControl/>
              <w:jc w:val="left"/>
              <w:rPr>
                <w:rFonts w:ascii="Times New Roman" w:eastAsia="Yu Gothic" w:hAnsi="Times New Roman" w:cs="Times New Roman"/>
                <w:color w:val="000000"/>
                <w:kern w:val="0"/>
                <w:sz w:val="24"/>
              </w:rPr>
            </w:pPr>
          </w:p>
        </w:tc>
        <w:tc>
          <w:tcPr>
            <w:tcW w:w="1487" w:type="dxa"/>
            <w:tcBorders>
              <w:top w:val="nil"/>
              <w:left w:val="nil"/>
              <w:bottom w:val="nil"/>
              <w:right w:val="nil"/>
            </w:tcBorders>
            <w:noWrap/>
            <w:vAlign w:val="center"/>
            <w:hideMark/>
          </w:tcPr>
          <w:p w14:paraId="2D6502FA"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Temporal</w:t>
            </w:r>
          </w:p>
        </w:tc>
        <w:tc>
          <w:tcPr>
            <w:tcW w:w="2126" w:type="dxa"/>
            <w:tcBorders>
              <w:top w:val="nil"/>
              <w:left w:val="nil"/>
              <w:bottom w:val="nil"/>
              <w:right w:val="nil"/>
            </w:tcBorders>
            <w:noWrap/>
            <w:vAlign w:val="center"/>
            <w:hideMark/>
          </w:tcPr>
          <w:p w14:paraId="172FF861"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-0.14</w:t>
            </w:r>
          </w:p>
        </w:tc>
        <w:tc>
          <w:tcPr>
            <w:tcW w:w="2084" w:type="dxa"/>
            <w:tcBorders>
              <w:top w:val="nil"/>
              <w:left w:val="nil"/>
              <w:bottom w:val="nil"/>
              <w:right w:val="nil"/>
            </w:tcBorders>
            <w:noWrap/>
            <w:vAlign w:val="center"/>
            <w:hideMark/>
          </w:tcPr>
          <w:p w14:paraId="265866A0"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-0.40 to 0.13</w:t>
            </w:r>
          </w:p>
        </w:tc>
        <w:tc>
          <w:tcPr>
            <w:tcW w:w="1106" w:type="dxa"/>
            <w:tcBorders>
              <w:top w:val="nil"/>
              <w:left w:val="nil"/>
              <w:bottom w:val="nil"/>
              <w:right w:val="nil"/>
            </w:tcBorders>
            <w:noWrap/>
            <w:vAlign w:val="center"/>
            <w:hideMark/>
          </w:tcPr>
          <w:p w14:paraId="2865C33F"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0.32</w:t>
            </w:r>
          </w:p>
        </w:tc>
      </w:tr>
      <w:tr w:rsidR="004F427C" w:rsidRPr="004F427C" w14:paraId="6E6BFD45" w14:textId="77777777" w:rsidTr="004F427C">
        <w:trPr>
          <w:trHeight w:val="400"/>
        </w:trPr>
        <w:tc>
          <w:tcPr>
            <w:tcW w:w="1701" w:type="dxa"/>
            <w:tcBorders>
              <w:top w:val="nil"/>
              <w:left w:val="nil"/>
              <w:bottom w:val="nil"/>
              <w:right w:val="nil"/>
            </w:tcBorders>
            <w:noWrap/>
            <w:vAlign w:val="center"/>
            <w:hideMark/>
          </w:tcPr>
          <w:p w14:paraId="1329BBA3" w14:textId="77777777" w:rsidR="004F427C" w:rsidRPr="004F427C" w:rsidRDefault="004F427C" w:rsidP="004F427C">
            <w:pPr>
              <w:widowControl/>
              <w:jc w:val="right"/>
              <w:rPr>
                <w:rFonts w:ascii="Times New Roman" w:eastAsia="Yu Gothic" w:hAnsi="Times New Roman" w:cs="Times New Roman"/>
                <w:color w:val="000000"/>
                <w:kern w:val="0"/>
                <w:sz w:val="24"/>
              </w:rPr>
            </w:pPr>
          </w:p>
        </w:tc>
        <w:tc>
          <w:tcPr>
            <w:tcW w:w="1487" w:type="dxa"/>
            <w:tcBorders>
              <w:top w:val="nil"/>
              <w:left w:val="nil"/>
              <w:bottom w:val="nil"/>
              <w:right w:val="nil"/>
            </w:tcBorders>
            <w:noWrap/>
            <w:vAlign w:val="center"/>
            <w:hideMark/>
          </w:tcPr>
          <w:p w14:paraId="43102A4A"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Nasal</w:t>
            </w:r>
          </w:p>
        </w:tc>
        <w:tc>
          <w:tcPr>
            <w:tcW w:w="2126" w:type="dxa"/>
            <w:tcBorders>
              <w:top w:val="nil"/>
              <w:left w:val="nil"/>
              <w:bottom w:val="nil"/>
              <w:right w:val="nil"/>
            </w:tcBorders>
            <w:noWrap/>
            <w:vAlign w:val="center"/>
            <w:hideMark/>
          </w:tcPr>
          <w:p w14:paraId="5E333D0F"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-0.04</w:t>
            </w:r>
          </w:p>
        </w:tc>
        <w:tc>
          <w:tcPr>
            <w:tcW w:w="2084" w:type="dxa"/>
            <w:tcBorders>
              <w:top w:val="nil"/>
              <w:left w:val="nil"/>
              <w:bottom w:val="nil"/>
              <w:right w:val="nil"/>
            </w:tcBorders>
            <w:noWrap/>
            <w:vAlign w:val="center"/>
            <w:hideMark/>
          </w:tcPr>
          <w:p w14:paraId="6EBA6308"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-0.25 to 0.18</w:t>
            </w:r>
          </w:p>
        </w:tc>
        <w:tc>
          <w:tcPr>
            <w:tcW w:w="1106" w:type="dxa"/>
            <w:tcBorders>
              <w:top w:val="nil"/>
              <w:left w:val="nil"/>
              <w:bottom w:val="nil"/>
              <w:right w:val="nil"/>
            </w:tcBorders>
            <w:noWrap/>
            <w:vAlign w:val="center"/>
            <w:hideMark/>
          </w:tcPr>
          <w:p w14:paraId="7F760A09"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0.72</w:t>
            </w:r>
          </w:p>
        </w:tc>
      </w:tr>
      <w:tr w:rsidR="004F427C" w:rsidRPr="004F427C" w14:paraId="1B87050C" w14:textId="77777777" w:rsidTr="004F427C">
        <w:trPr>
          <w:trHeight w:val="400"/>
        </w:trPr>
        <w:tc>
          <w:tcPr>
            <w:tcW w:w="1701" w:type="dxa"/>
            <w:tcBorders>
              <w:top w:val="nil"/>
              <w:left w:val="nil"/>
              <w:bottom w:val="nil"/>
              <w:right w:val="nil"/>
            </w:tcBorders>
            <w:noWrap/>
            <w:vAlign w:val="center"/>
            <w:hideMark/>
          </w:tcPr>
          <w:p w14:paraId="3FE01F9A" w14:textId="77777777" w:rsidR="004F427C" w:rsidRPr="004F427C" w:rsidRDefault="004F427C" w:rsidP="004F427C">
            <w:pPr>
              <w:widowControl/>
              <w:jc w:val="right"/>
              <w:rPr>
                <w:rFonts w:ascii="Times New Roman" w:eastAsia="Yu Gothic" w:hAnsi="Times New Roman" w:cs="Times New Roman"/>
                <w:color w:val="000000"/>
                <w:kern w:val="0"/>
                <w:sz w:val="24"/>
              </w:rPr>
            </w:pPr>
          </w:p>
        </w:tc>
        <w:tc>
          <w:tcPr>
            <w:tcW w:w="1487" w:type="dxa"/>
            <w:tcBorders>
              <w:top w:val="nil"/>
              <w:left w:val="nil"/>
              <w:bottom w:val="nil"/>
              <w:right w:val="nil"/>
            </w:tcBorders>
            <w:noWrap/>
            <w:vAlign w:val="center"/>
            <w:hideMark/>
          </w:tcPr>
          <w:p w14:paraId="14292134"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Inferior</w:t>
            </w:r>
          </w:p>
        </w:tc>
        <w:tc>
          <w:tcPr>
            <w:tcW w:w="2126" w:type="dxa"/>
            <w:tcBorders>
              <w:top w:val="nil"/>
              <w:left w:val="nil"/>
              <w:bottom w:val="nil"/>
              <w:right w:val="nil"/>
            </w:tcBorders>
            <w:noWrap/>
            <w:vAlign w:val="center"/>
            <w:hideMark/>
          </w:tcPr>
          <w:p w14:paraId="08EB7B98"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-0.72</w:t>
            </w:r>
          </w:p>
        </w:tc>
        <w:tc>
          <w:tcPr>
            <w:tcW w:w="2084" w:type="dxa"/>
            <w:tcBorders>
              <w:top w:val="nil"/>
              <w:left w:val="nil"/>
              <w:bottom w:val="nil"/>
              <w:right w:val="nil"/>
            </w:tcBorders>
            <w:noWrap/>
            <w:vAlign w:val="center"/>
            <w:hideMark/>
          </w:tcPr>
          <w:p w14:paraId="4CF1366F"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-1.05 to -0.40</w:t>
            </w:r>
          </w:p>
        </w:tc>
        <w:tc>
          <w:tcPr>
            <w:tcW w:w="1106" w:type="dxa"/>
            <w:tcBorders>
              <w:top w:val="nil"/>
              <w:left w:val="nil"/>
              <w:bottom w:val="nil"/>
              <w:right w:val="nil"/>
            </w:tcBorders>
            <w:noWrap/>
            <w:vAlign w:val="center"/>
            <w:hideMark/>
          </w:tcPr>
          <w:p w14:paraId="5CC20D59" w14:textId="7DCC13B3"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&lt;0.</w:t>
            </w:r>
            <w:r w:rsidR="00CA4CA1">
              <w:rPr>
                <w:rFonts w:ascii="Times New Roman" w:eastAsia="Yu Gothic" w:hAnsi="Times New Roman" w:cs="Times New Roman"/>
                <w:color w:val="000000"/>
                <w:kern w:val="0"/>
                <w:sz w:val="24"/>
              </w:rPr>
              <w:t>0</w:t>
            </w:r>
            <w:r w:rsidRPr="004F427C">
              <w:rPr>
                <w:rFonts w:ascii="Times New Roman" w:eastAsia="Yu Gothic" w:hAnsi="Times New Roman" w:cs="Times New Roman"/>
                <w:color w:val="000000"/>
                <w:kern w:val="0"/>
                <w:sz w:val="24"/>
              </w:rPr>
              <w:t>001</w:t>
            </w:r>
          </w:p>
        </w:tc>
      </w:tr>
      <w:tr w:rsidR="004F427C" w:rsidRPr="004F427C" w14:paraId="0776C701" w14:textId="77777777" w:rsidTr="004F427C">
        <w:trPr>
          <w:trHeight w:val="400"/>
        </w:trPr>
        <w:tc>
          <w:tcPr>
            <w:tcW w:w="1701" w:type="dxa"/>
            <w:tcBorders>
              <w:top w:val="nil"/>
              <w:left w:val="nil"/>
              <w:bottom w:val="nil"/>
              <w:right w:val="nil"/>
            </w:tcBorders>
            <w:noWrap/>
            <w:vAlign w:val="center"/>
            <w:hideMark/>
          </w:tcPr>
          <w:p w14:paraId="25D95E8D"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Peripheral</w:t>
            </w:r>
          </w:p>
        </w:tc>
        <w:tc>
          <w:tcPr>
            <w:tcW w:w="1487" w:type="dxa"/>
            <w:tcBorders>
              <w:top w:val="nil"/>
              <w:left w:val="nil"/>
              <w:bottom w:val="nil"/>
              <w:right w:val="nil"/>
            </w:tcBorders>
            <w:noWrap/>
            <w:vAlign w:val="center"/>
            <w:hideMark/>
          </w:tcPr>
          <w:p w14:paraId="1F0CFBC0"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Superior</w:t>
            </w:r>
          </w:p>
        </w:tc>
        <w:tc>
          <w:tcPr>
            <w:tcW w:w="2126" w:type="dxa"/>
            <w:tcBorders>
              <w:top w:val="nil"/>
              <w:left w:val="nil"/>
              <w:bottom w:val="nil"/>
              <w:right w:val="nil"/>
            </w:tcBorders>
            <w:noWrap/>
            <w:vAlign w:val="center"/>
            <w:hideMark/>
          </w:tcPr>
          <w:p w14:paraId="5022B4E3"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-4.03</w:t>
            </w:r>
          </w:p>
        </w:tc>
        <w:tc>
          <w:tcPr>
            <w:tcW w:w="2084" w:type="dxa"/>
            <w:tcBorders>
              <w:top w:val="nil"/>
              <w:left w:val="nil"/>
              <w:bottom w:val="nil"/>
              <w:right w:val="nil"/>
            </w:tcBorders>
            <w:noWrap/>
            <w:vAlign w:val="center"/>
            <w:hideMark/>
          </w:tcPr>
          <w:p w14:paraId="5E8254E2"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-4.37 to -3.69</w:t>
            </w:r>
          </w:p>
        </w:tc>
        <w:tc>
          <w:tcPr>
            <w:tcW w:w="1106" w:type="dxa"/>
            <w:tcBorders>
              <w:top w:val="nil"/>
              <w:left w:val="nil"/>
              <w:bottom w:val="nil"/>
              <w:right w:val="nil"/>
            </w:tcBorders>
            <w:noWrap/>
            <w:vAlign w:val="center"/>
            <w:hideMark/>
          </w:tcPr>
          <w:p w14:paraId="48FF5BEF" w14:textId="191CAB9F"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&lt;0.00</w:t>
            </w:r>
            <w:r w:rsidR="00CA4CA1">
              <w:rPr>
                <w:rFonts w:ascii="Times New Roman" w:eastAsia="Yu Gothic" w:hAnsi="Times New Roman" w:cs="Times New Roman"/>
                <w:color w:val="000000"/>
                <w:kern w:val="0"/>
                <w:sz w:val="24"/>
              </w:rPr>
              <w:t>0</w:t>
            </w:r>
            <w:r w:rsidRPr="004F427C">
              <w:rPr>
                <w:rFonts w:ascii="Times New Roman" w:eastAsia="Yu Gothic" w:hAnsi="Times New Roman" w:cs="Times New Roman"/>
                <w:color w:val="000000"/>
                <w:kern w:val="0"/>
                <w:sz w:val="24"/>
              </w:rPr>
              <w:t>1</w:t>
            </w:r>
          </w:p>
        </w:tc>
      </w:tr>
      <w:tr w:rsidR="004F427C" w:rsidRPr="004F427C" w14:paraId="6251358B" w14:textId="77777777" w:rsidTr="004F427C">
        <w:trPr>
          <w:trHeight w:val="400"/>
        </w:trPr>
        <w:tc>
          <w:tcPr>
            <w:tcW w:w="1701" w:type="dxa"/>
            <w:tcBorders>
              <w:top w:val="nil"/>
              <w:left w:val="nil"/>
              <w:bottom w:val="nil"/>
              <w:right w:val="nil"/>
            </w:tcBorders>
            <w:noWrap/>
            <w:vAlign w:val="center"/>
            <w:hideMark/>
          </w:tcPr>
          <w:p w14:paraId="72BD2968" w14:textId="77777777" w:rsidR="004F427C" w:rsidRPr="004F427C" w:rsidRDefault="004F427C" w:rsidP="004F427C">
            <w:pPr>
              <w:widowControl/>
              <w:jc w:val="left"/>
              <w:rPr>
                <w:rFonts w:ascii="Times New Roman" w:eastAsia="Yu Gothic" w:hAnsi="Times New Roman" w:cs="Times New Roman"/>
                <w:color w:val="000000"/>
                <w:kern w:val="0"/>
                <w:sz w:val="24"/>
              </w:rPr>
            </w:pPr>
          </w:p>
        </w:tc>
        <w:tc>
          <w:tcPr>
            <w:tcW w:w="1487" w:type="dxa"/>
            <w:tcBorders>
              <w:top w:val="nil"/>
              <w:left w:val="nil"/>
              <w:bottom w:val="nil"/>
              <w:right w:val="nil"/>
            </w:tcBorders>
            <w:noWrap/>
            <w:vAlign w:val="center"/>
            <w:hideMark/>
          </w:tcPr>
          <w:p w14:paraId="5DEA75E3"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Temporal</w:t>
            </w:r>
          </w:p>
        </w:tc>
        <w:tc>
          <w:tcPr>
            <w:tcW w:w="2126" w:type="dxa"/>
            <w:tcBorders>
              <w:top w:val="nil"/>
              <w:left w:val="nil"/>
              <w:bottom w:val="nil"/>
              <w:right w:val="nil"/>
            </w:tcBorders>
            <w:noWrap/>
            <w:vAlign w:val="center"/>
            <w:hideMark/>
          </w:tcPr>
          <w:p w14:paraId="06B97017"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-4.66</w:t>
            </w:r>
          </w:p>
        </w:tc>
        <w:tc>
          <w:tcPr>
            <w:tcW w:w="2084" w:type="dxa"/>
            <w:tcBorders>
              <w:top w:val="nil"/>
              <w:left w:val="nil"/>
              <w:bottom w:val="nil"/>
              <w:right w:val="nil"/>
            </w:tcBorders>
            <w:noWrap/>
            <w:vAlign w:val="center"/>
            <w:hideMark/>
          </w:tcPr>
          <w:p w14:paraId="130DE80B"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-5.04 to -4.29</w:t>
            </w:r>
          </w:p>
        </w:tc>
        <w:tc>
          <w:tcPr>
            <w:tcW w:w="1106" w:type="dxa"/>
            <w:tcBorders>
              <w:top w:val="nil"/>
              <w:left w:val="nil"/>
              <w:bottom w:val="nil"/>
              <w:right w:val="nil"/>
            </w:tcBorders>
            <w:noWrap/>
            <w:vAlign w:val="center"/>
            <w:hideMark/>
          </w:tcPr>
          <w:p w14:paraId="178B9EA1" w14:textId="7BF0B452"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&lt;0.0</w:t>
            </w:r>
            <w:r w:rsidR="00CA4CA1">
              <w:rPr>
                <w:rFonts w:ascii="Times New Roman" w:eastAsia="Yu Gothic" w:hAnsi="Times New Roman" w:cs="Times New Roman"/>
                <w:color w:val="000000"/>
                <w:kern w:val="0"/>
                <w:sz w:val="24"/>
              </w:rPr>
              <w:t>0</w:t>
            </w:r>
            <w:r w:rsidRPr="004F427C">
              <w:rPr>
                <w:rFonts w:ascii="Times New Roman" w:eastAsia="Yu Gothic" w:hAnsi="Times New Roman" w:cs="Times New Roman"/>
                <w:color w:val="000000"/>
                <w:kern w:val="0"/>
                <w:sz w:val="24"/>
              </w:rPr>
              <w:t>01</w:t>
            </w:r>
          </w:p>
        </w:tc>
      </w:tr>
      <w:tr w:rsidR="004F427C" w:rsidRPr="004F427C" w14:paraId="58651854" w14:textId="77777777" w:rsidTr="004F427C">
        <w:trPr>
          <w:trHeight w:val="400"/>
        </w:trPr>
        <w:tc>
          <w:tcPr>
            <w:tcW w:w="1701" w:type="dxa"/>
            <w:tcBorders>
              <w:top w:val="nil"/>
              <w:left w:val="nil"/>
              <w:bottom w:val="nil"/>
              <w:right w:val="nil"/>
            </w:tcBorders>
            <w:noWrap/>
            <w:vAlign w:val="center"/>
            <w:hideMark/>
          </w:tcPr>
          <w:p w14:paraId="607FF208" w14:textId="77777777" w:rsidR="004F427C" w:rsidRPr="004F427C" w:rsidRDefault="004F427C" w:rsidP="004F427C">
            <w:pPr>
              <w:widowControl/>
              <w:jc w:val="left"/>
              <w:rPr>
                <w:rFonts w:ascii="Times New Roman" w:eastAsia="Yu Gothic" w:hAnsi="Times New Roman" w:cs="Times New Roman"/>
                <w:color w:val="000000"/>
                <w:kern w:val="0"/>
                <w:sz w:val="24"/>
              </w:rPr>
            </w:pPr>
          </w:p>
        </w:tc>
        <w:tc>
          <w:tcPr>
            <w:tcW w:w="1487" w:type="dxa"/>
            <w:tcBorders>
              <w:top w:val="nil"/>
              <w:left w:val="nil"/>
              <w:bottom w:val="nil"/>
              <w:right w:val="nil"/>
            </w:tcBorders>
            <w:noWrap/>
            <w:vAlign w:val="center"/>
            <w:hideMark/>
          </w:tcPr>
          <w:p w14:paraId="27750343"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Nasal</w:t>
            </w:r>
          </w:p>
        </w:tc>
        <w:tc>
          <w:tcPr>
            <w:tcW w:w="2126" w:type="dxa"/>
            <w:tcBorders>
              <w:top w:val="nil"/>
              <w:left w:val="nil"/>
              <w:bottom w:val="nil"/>
              <w:right w:val="nil"/>
            </w:tcBorders>
            <w:noWrap/>
            <w:vAlign w:val="center"/>
            <w:hideMark/>
          </w:tcPr>
          <w:p w14:paraId="4F0AD976"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-3.30</w:t>
            </w:r>
          </w:p>
        </w:tc>
        <w:tc>
          <w:tcPr>
            <w:tcW w:w="2084" w:type="dxa"/>
            <w:tcBorders>
              <w:top w:val="nil"/>
              <w:left w:val="nil"/>
              <w:bottom w:val="nil"/>
              <w:right w:val="nil"/>
            </w:tcBorders>
            <w:noWrap/>
            <w:vAlign w:val="center"/>
            <w:hideMark/>
          </w:tcPr>
          <w:p w14:paraId="6E455F94"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-3.69 to -2.92</w:t>
            </w:r>
          </w:p>
        </w:tc>
        <w:tc>
          <w:tcPr>
            <w:tcW w:w="1106" w:type="dxa"/>
            <w:tcBorders>
              <w:top w:val="nil"/>
              <w:left w:val="nil"/>
              <w:bottom w:val="nil"/>
              <w:right w:val="nil"/>
            </w:tcBorders>
            <w:noWrap/>
            <w:vAlign w:val="center"/>
            <w:hideMark/>
          </w:tcPr>
          <w:p w14:paraId="76709731" w14:textId="5C42AB84"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&lt;0.00</w:t>
            </w:r>
            <w:r w:rsidR="00CA4CA1">
              <w:rPr>
                <w:rFonts w:ascii="Times New Roman" w:eastAsia="Yu Gothic" w:hAnsi="Times New Roman" w:cs="Times New Roman"/>
                <w:color w:val="000000"/>
                <w:kern w:val="0"/>
                <w:sz w:val="24"/>
              </w:rPr>
              <w:t>0</w:t>
            </w:r>
            <w:r w:rsidRPr="004F427C">
              <w:rPr>
                <w:rFonts w:ascii="Times New Roman" w:eastAsia="Yu Gothic" w:hAnsi="Times New Roman" w:cs="Times New Roman"/>
                <w:color w:val="000000"/>
                <w:kern w:val="0"/>
                <w:sz w:val="24"/>
              </w:rPr>
              <w:t>1</w:t>
            </w:r>
          </w:p>
        </w:tc>
      </w:tr>
      <w:tr w:rsidR="004F427C" w:rsidRPr="004F427C" w14:paraId="7235DF43" w14:textId="77777777" w:rsidTr="004F427C">
        <w:trPr>
          <w:trHeight w:val="400"/>
        </w:trPr>
        <w:tc>
          <w:tcPr>
            <w:tcW w:w="1701" w:type="dxa"/>
            <w:tcBorders>
              <w:top w:val="nil"/>
              <w:left w:val="nil"/>
              <w:bottom w:val="single" w:sz="4" w:space="0" w:color="auto"/>
              <w:right w:val="nil"/>
            </w:tcBorders>
            <w:noWrap/>
            <w:vAlign w:val="center"/>
            <w:hideMark/>
          </w:tcPr>
          <w:p w14:paraId="39632D27"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 xml:space="preserve">　</w:t>
            </w:r>
          </w:p>
        </w:tc>
        <w:tc>
          <w:tcPr>
            <w:tcW w:w="1487" w:type="dxa"/>
            <w:tcBorders>
              <w:top w:val="nil"/>
              <w:left w:val="nil"/>
              <w:bottom w:val="single" w:sz="4" w:space="0" w:color="auto"/>
              <w:right w:val="nil"/>
            </w:tcBorders>
            <w:noWrap/>
            <w:vAlign w:val="center"/>
            <w:hideMark/>
          </w:tcPr>
          <w:p w14:paraId="2CC7F474" w14:textId="77777777"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Inferior</w:t>
            </w:r>
          </w:p>
        </w:tc>
        <w:tc>
          <w:tcPr>
            <w:tcW w:w="2126" w:type="dxa"/>
            <w:tcBorders>
              <w:top w:val="nil"/>
              <w:left w:val="nil"/>
              <w:bottom w:val="single" w:sz="4" w:space="0" w:color="auto"/>
              <w:right w:val="nil"/>
            </w:tcBorders>
            <w:noWrap/>
            <w:vAlign w:val="center"/>
            <w:hideMark/>
          </w:tcPr>
          <w:p w14:paraId="0DF9E454"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-3.85</w:t>
            </w:r>
          </w:p>
        </w:tc>
        <w:tc>
          <w:tcPr>
            <w:tcW w:w="2084" w:type="dxa"/>
            <w:tcBorders>
              <w:top w:val="nil"/>
              <w:left w:val="nil"/>
              <w:bottom w:val="single" w:sz="4" w:space="0" w:color="auto"/>
              <w:right w:val="nil"/>
            </w:tcBorders>
            <w:noWrap/>
            <w:vAlign w:val="center"/>
            <w:hideMark/>
          </w:tcPr>
          <w:p w14:paraId="46B92A5B" w14:textId="77777777"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-4.21 to -3.50</w:t>
            </w:r>
          </w:p>
        </w:tc>
        <w:tc>
          <w:tcPr>
            <w:tcW w:w="1106" w:type="dxa"/>
            <w:tcBorders>
              <w:top w:val="nil"/>
              <w:left w:val="nil"/>
              <w:bottom w:val="single" w:sz="4" w:space="0" w:color="auto"/>
              <w:right w:val="nil"/>
            </w:tcBorders>
            <w:noWrap/>
            <w:vAlign w:val="center"/>
            <w:hideMark/>
          </w:tcPr>
          <w:p w14:paraId="489AB59B" w14:textId="04BADF38" w:rsidR="004F427C" w:rsidRPr="004F427C" w:rsidRDefault="004F427C" w:rsidP="004F427C">
            <w:pPr>
              <w:widowControl/>
              <w:jc w:val="center"/>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&lt;0.0</w:t>
            </w:r>
            <w:r w:rsidR="00CA4CA1">
              <w:rPr>
                <w:rFonts w:ascii="Times New Roman" w:eastAsia="Yu Gothic" w:hAnsi="Times New Roman" w:cs="Times New Roman"/>
                <w:color w:val="000000"/>
                <w:kern w:val="0"/>
                <w:sz w:val="24"/>
              </w:rPr>
              <w:t>0</w:t>
            </w:r>
            <w:r w:rsidRPr="004F427C">
              <w:rPr>
                <w:rFonts w:ascii="Times New Roman" w:eastAsia="Yu Gothic" w:hAnsi="Times New Roman" w:cs="Times New Roman"/>
                <w:color w:val="000000"/>
                <w:kern w:val="0"/>
                <w:sz w:val="24"/>
              </w:rPr>
              <w:t>01</w:t>
            </w:r>
          </w:p>
        </w:tc>
      </w:tr>
      <w:tr w:rsidR="004F427C" w:rsidRPr="004F427C" w14:paraId="3BE1996D" w14:textId="77777777" w:rsidTr="004F427C">
        <w:trPr>
          <w:trHeight w:val="400"/>
        </w:trPr>
        <w:tc>
          <w:tcPr>
            <w:tcW w:w="8504" w:type="dxa"/>
            <w:gridSpan w:val="5"/>
            <w:tcBorders>
              <w:top w:val="nil"/>
              <w:left w:val="nil"/>
              <w:bottom w:val="nil"/>
              <w:right w:val="nil"/>
            </w:tcBorders>
            <w:noWrap/>
            <w:vAlign w:val="center"/>
            <w:hideMark/>
          </w:tcPr>
          <w:p w14:paraId="4B0E6AAE" w14:textId="77777777" w:rsid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The measurement difference was defined as the retinal thickness obtained without AL correction minus that obtained with AL correction. Linear regression analysis was performed with AL as the independent variable and the measurement difference as the dependent variable. β represents the slope of the regression line, indicating the change in measurement difference (μm) per 1-mm increase in AL.</w:t>
            </w:r>
          </w:p>
          <w:p w14:paraId="53534096" w14:textId="031F641D" w:rsidR="004F427C" w:rsidRPr="004F427C" w:rsidRDefault="004F427C" w:rsidP="004F427C">
            <w:pPr>
              <w:widowControl/>
              <w:jc w:val="left"/>
              <w:rPr>
                <w:rFonts w:ascii="Times New Roman" w:eastAsia="Yu Gothic" w:hAnsi="Times New Roman" w:cs="Times New Roman"/>
                <w:color w:val="000000"/>
                <w:kern w:val="0"/>
                <w:sz w:val="24"/>
              </w:rPr>
            </w:pPr>
            <w:r w:rsidRPr="004F427C">
              <w:rPr>
                <w:rFonts w:ascii="Times New Roman" w:eastAsia="Yu Gothic" w:hAnsi="Times New Roman" w:cs="Times New Roman"/>
                <w:color w:val="000000"/>
                <w:kern w:val="0"/>
                <w:sz w:val="24"/>
              </w:rPr>
              <w:t>AL, axial length; CI, confidence interval.</w:t>
            </w:r>
          </w:p>
        </w:tc>
      </w:tr>
    </w:tbl>
    <w:p w14:paraId="415D54C2" w14:textId="77777777" w:rsidR="004F427C" w:rsidRPr="004F427C" w:rsidRDefault="004F427C" w:rsidP="000B79FF">
      <w:pPr>
        <w:rPr>
          <w:rFonts w:ascii="Times New Roman" w:hAnsi="Times New Roman" w:cs="Times New Roman"/>
          <w:sz w:val="24"/>
        </w:rPr>
      </w:pPr>
    </w:p>
    <w:p w14:paraId="16B25018" w14:textId="77777777" w:rsidR="004F427C" w:rsidRDefault="004F427C" w:rsidP="000B79FF">
      <w:pPr>
        <w:rPr>
          <w:rFonts w:ascii="Times New Roman" w:hAnsi="Times New Roman" w:cs="Times New Roman"/>
          <w:sz w:val="24"/>
        </w:rPr>
      </w:pPr>
    </w:p>
    <w:p w14:paraId="030813F3" w14:textId="77777777" w:rsidR="004F427C" w:rsidRDefault="004F427C" w:rsidP="000B79FF">
      <w:pPr>
        <w:rPr>
          <w:rFonts w:ascii="Times New Roman" w:hAnsi="Times New Roman" w:cs="Times New Roman"/>
          <w:sz w:val="24"/>
        </w:rPr>
      </w:pPr>
    </w:p>
    <w:p w14:paraId="035178F8" w14:textId="77777777" w:rsidR="00AE0CF1" w:rsidRDefault="00AE0CF1" w:rsidP="000B79FF">
      <w:pPr>
        <w:rPr>
          <w:rFonts w:ascii="Times New Roman" w:hAnsi="Times New Roman" w:cs="Times New Roman"/>
          <w:sz w:val="24"/>
        </w:rPr>
      </w:pPr>
    </w:p>
    <w:p w14:paraId="291390F1" w14:textId="77777777" w:rsidR="00AE0CF1" w:rsidRDefault="00AE0CF1" w:rsidP="000B79FF">
      <w:pPr>
        <w:rPr>
          <w:rFonts w:ascii="Times New Roman" w:hAnsi="Times New Roman" w:cs="Times New Roman"/>
          <w:sz w:val="24"/>
        </w:rPr>
      </w:pPr>
    </w:p>
    <w:p w14:paraId="617541EC" w14:textId="77777777" w:rsidR="00AE0CF1" w:rsidRDefault="00AE0CF1" w:rsidP="000B79FF">
      <w:pPr>
        <w:rPr>
          <w:rFonts w:ascii="Times New Roman" w:hAnsi="Times New Roman" w:cs="Times New Roman"/>
          <w:sz w:val="24"/>
        </w:rPr>
      </w:pPr>
    </w:p>
    <w:p w14:paraId="3B2E026F" w14:textId="77777777" w:rsidR="00AE0CF1" w:rsidRDefault="00AE0CF1" w:rsidP="000B79FF">
      <w:pPr>
        <w:rPr>
          <w:rFonts w:ascii="Times New Roman" w:hAnsi="Times New Roman" w:cs="Times New Roman"/>
          <w:sz w:val="24"/>
        </w:rPr>
      </w:pPr>
    </w:p>
    <w:p w14:paraId="40FBC43E" w14:textId="77777777" w:rsidR="00AE0CF1" w:rsidRDefault="00AE0CF1" w:rsidP="000B79FF">
      <w:pPr>
        <w:rPr>
          <w:rFonts w:ascii="Times New Roman" w:hAnsi="Times New Roman" w:cs="Times New Roman"/>
          <w:sz w:val="24"/>
        </w:rPr>
      </w:pPr>
    </w:p>
    <w:p w14:paraId="5B4C4B90" w14:textId="77777777" w:rsidR="00AE0CF1" w:rsidRDefault="00AE0CF1" w:rsidP="000B79FF">
      <w:pPr>
        <w:rPr>
          <w:rFonts w:ascii="Times New Roman" w:hAnsi="Times New Roman" w:cs="Times New Roman"/>
          <w:sz w:val="24"/>
        </w:rPr>
      </w:pPr>
    </w:p>
    <w:p w14:paraId="0A56C108" w14:textId="77777777" w:rsidR="00AE0CF1" w:rsidRDefault="00AE0CF1" w:rsidP="000B79FF">
      <w:pPr>
        <w:rPr>
          <w:rFonts w:ascii="Times New Roman" w:hAnsi="Times New Roman" w:cs="Times New Roman"/>
          <w:sz w:val="24"/>
        </w:rPr>
      </w:pPr>
    </w:p>
    <w:p w14:paraId="2BAF7834" w14:textId="77777777" w:rsidR="00AE0CF1" w:rsidRDefault="00AE0CF1" w:rsidP="000B79FF">
      <w:pPr>
        <w:rPr>
          <w:rFonts w:ascii="Times New Roman" w:hAnsi="Times New Roman" w:cs="Times New Roman"/>
          <w:sz w:val="24"/>
        </w:rPr>
      </w:pPr>
    </w:p>
    <w:p w14:paraId="5E9D8ECC" w14:textId="77777777" w:rsidR="00AE0CF1" w:rsidRDefault="00AE0CF1" w:rsidP="000B79FF">
      <w:pPr>
        <w:rPr>
          <w:rFonts w:ascii="Times New Roman" w:hAnsi="Times New Roman" w:cs="Times New Roman"/>
          <w:sz w:val="24"/>
        </w:rPr>
      </w:pPr>
    </w:p>
    <w:p w14:paraId="7E5FDF86" w14:textId="77777777" w:rsidR="00AE0CF1" w:rsidRDefault="00AE0CF1" w:rsidP="000B79FF">
      <w:pPr>
        <w:rPr>
          <w:rFonts w:ascii="Times New Roman" w:hAnsi="Times New Roman" w:cs="Times New Roman"/>
          <w:sz w:val="24"/>
        </w:rPr>
      </w:pPr>
    </w:p>
    <w:p w14:paraId="42C33773" w14:textId="77777777" w:rsidR="00AE0CF1" w:rsidRDefault="00AE0CF1" w:rsidP="000B79FF">
      <w:pPr>
        <w:rPr>
          <w:rFonts w:ascii="Times New Roman" w:hAnsi="Times New Roman" w:cs="Times New Roman"/>
          <w:sz w:val="24"/>
        </w:rPr>
      </w:pPr>
    </w:p>
    <w:p w14:paraId="0064AB53" w14:textId="77777777" w:rsidR="00AE0CF1" w:rsidRDefault="00AE0CF1" w:rsidP="000B79FF">
      <w:pPr>
        <w:rPr>
          <w:rFonts w:ascii="Times New Roman" w:hAnsi="Times New Roman" w:cs="Times New Roman"/>
          <w:sz w:val="24"/>
        </w:rPr>
      </w:pPr>
    </w:p>
    <w:p w14:paraId="43AE555A" w14:textId="77777777" w:rsidR="00C911D8" w:rsidRDefault="00C911D8" w:rsidP="000B79FF">
      <w:pPr>
        <w:rPr>
          <w:rFonts w:ascii="Times New Roman" w:hAnsi="Times New Roman" w:cs="Times New Roman"/>
          <w:sz w:val="24"/>
        </w:rPr>
      </w:pPr>
    </w:p>
    <w:p w14:paraId="1DFBECC2" w14:textId="77777777" w:rsidR="00C911D8" w:rsidRDefault="00C911D8" w:rsidP="000B79FF">
      <w:pPr>
        <w:rPr>
          <w:rFonts w:ascii="Times New Roman" w:hAnsi="Times New Roman" w:cs="Times New Roman"/>
          <w:sz w:val="24"/>
        </w:rPr>
      </w:pPr>
    </w:p>
    <w:p w14:paraId="7EACE5C6" w14:textId="77777777" w:rsidR="00AE0CF1" w:rsidRPr="004E209F" w:rsidRDefault="00AE0CF1" w:rsidP="00AE0CF1">
      <w:pPr>
        <w:rPr>
          <w:rFonts w:ascii="Times New Roman" w:hAnsi="Times New Roman" w:cs="Times New Roman"/>
          <w:sz w:val="24"/>
        </w:rPr>
      </w:pPr>
      <w:r w:rsidRPr="004E209F">
        <w:rPr>
          <w:rFonts w:ascii="Times New Roman" w:hAnsi="Times New Roman" w:cs="Times New Roman"/>
          <w:sz w:val="24"/>
        </w:rPr>
        <w:t xml:space="preserve">Online Resource </w:t>
      </w:r>
      <w:r>
        <w:rPr>
          <w:rFonts w:ascii="Times New Roman" w:hAnsi="Times New Roman" w:cs="Times New Roman"/>
          <w:sz w:val="24"/>
        </w:rPr>
        <w:t>3</w:t>
      </w:r>
      <w:r w:rsidRPr="004E209F">
        <w:rPr>
          <w:rFonts w:ascii="Times New Roman" w:hAnsi="Times New Roman" w:cs="Times New Roman"/>
          <w:sz w:val="24"/>
        </w:rPr>
        <w:t>. Relationship between axial length and the difference in retinal thickness measurements in the pericentral and peripheral sectors.</w:t>
      </w:r>
    </w:p>
    <w:p w14:paraId="1492C849" w14:textId="7702F11C" w:rsidR="00D94DFE" w:rsidRPr="00D94DFE" w:rsidRDefault="00D94DFE" w:rsidP="00D94DFE">
      <w:pPr>
        <w:rPr>
          <w:rFonts w:ascii="Times New Roman" w:hAnsi="Times New Roman" w:cs="Times New Roman"/>
          <w:sz w:val="24"/>
        </w:rPr>
      </w:pPr>
    </w:p>
    <w:p w14:paraId="51077458" w14:textId="27AF22C2" w:rsidR="00E4726D" w:rsidRPr="00E4726D" w:rsidRDefault="00E4726D" w:rsidP="00E4726D">
      <w:pPr>
        <w:rPr>
          <w:rFonts w:ascii="Times New Roman" w:hAnsi="Times New Roman" w:cs="Times New Roman"/>
          <w:sz w:val="24"/>
        </w:rPr>
      </w:pPr>
      <w:r w:rsidRPr="00E4726D">
        <w:rPr>
          <w:rFonts w:ascii="Times New Roman" w:hAnsi="Times New Roman" w:cs="Times New Roman"/>
          <w:noProof/>
          <w:sz w:val="24"/>
          <w:lang w:val="en-IN" w:eastAsia="en-IN"/>
        </w:rPr>
        <w:drawing>
          <wp:inline distT="0" distB="0" distL="0" distR="0" wp14:anchorId="63911CB7" wp14:editId="2E8C8B5C">
            <wp:extent cx="3351176" cy="5429250"/>
            <wp:effectExtent l="0" t="0" r="1905" b="0"/>
            <wp:docPr id="153916525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63124" cy="5448607"/>
                    </a:xfrm>
                    <a:prstGeom prst="rect">
                      <a:avLst/>
                    </a:prstGeom>
                    <a:noFill/>
                    <a:ln>
                      <a:noFill/>
                    </a:ln>
                  </pic:spPr>
                </pic:pic>
              </a:graphicData>
            </a:graphic>
          </wp:inline>
        </w:drawing>
      </w:r>
    </w:p>
    <w:p w14:paraId="688E3C0D" w14:textId="77777777" w:rsidR="00D94DFE" w:rsidRDefault="00D94DFE" w:rsidP="007F55B4">
      <w:pPr>
        <w:rPr>
          <w:rFonts w:ascii="Times New Roman" w:hAnsi="Times New Roman" w:cs="Times New Roman"/>
          <w:sz w:val="24"/>
        </w:rPr>
      </w:pPr>
    </w:p>
    <w:p w14:paraId="2A77723A" w14:textId="34500644" w:rsidR="007F55B4" w:rsidRPr="004E209F" w:rsidRDefault="00445D32" w:rsidP="007F55B4">
      <w:pPr>
        <w:rPr>
          <w:rFonts w:ascii="Times New Roman" w:hAnsi="Times New Roman" w:cs="Times New Roman"/>
          <w:sz w:val="24"/>
        </w:rPr>
      </w:pPr>
      <w:r w:rsidRPr="004E209F">
        <w:rPr>
          <w:rFonts w:ascii="Times New Roman" w:hAnsi="Times New Roman" w:cs="Times New Roman"/>
          <w:sz w:val="24"/>
        </w:rPr>
        <w:t>Scatter plots showing the relationship between axial length and the difference between uncorrected and corrected retinal thickness measurements (uncorrected − corrected) for the ETDRS sectors: (</w:t>
      </w:r>
      <w:r w:rsidR="00E12858" w:rsidRPr="004E209F">
        <w:rPr>
          <w:rFonts w:ascii="Times New Roman" w:hAnsi="Times New Roman" w:cs="Times New Roman"/>
          <w:sz w:val="24"/>
        </w:rPr>
        <w:t>a</w:t>
      </w:r>
      <w:r w:rsidRPr="004E209F">
        <w:rPr>
          <w:rFonts w:ascii="Times New Roman" w:hAnsi="Times New Roman" w:cs="Times New Roman"/>
          <w:sz w:val="24"/>
        </w:rPr>
        <w:t>) temporal inner, (</w:t>
      </w:r>
      <w:r w:rsidR="00E12858" w:rsidRPr="004E209F">
        <w:rPr>
          <w:rFonts w:ascii="Times New Roman" w:hAnsi="Times New Roman" w:cs="Times New Roman"/>
          <w:sz w:val="24"/>
        </w:rPr>
        <w:t>b</w:t>
      </w:r>
      <w:r w:rsidRPr="004E209F">
        <w:rPr>
          <w:rFonts w:ascii="Times New Roman" w:hAnsi="Times New Roman" w:cs="Times New Roman"/>
          <w:sz w:val="24"/>
        </w:rPr>
        <w:t>) superior inner, (</w:t>
      </w:r>
      <w:r w:rsidR="00E12858" w:rsidRPr="004E209F">
        <w:rPr>
          <w:rFonts w:ascii="Times New Roman" w:hAnsi="Times New Roman" w:cs="Times New Roman"/>
          <w:sz w:val="24"/>
        </w:rPr>
        <w:t>c</w:t>
      </w:r>
      <w:r w:rsidRPr="004E209F">
        <w:rPr>
          <w:rFonts w:ascii="Times New Roman" w:hAnsi="Times New Roman" w:cs="Times New Roman"/>
          <w:sz w:val="24"/>
        </w:rPr>
        <w:t>) nasal inner, (</w:t>
      </w:r>
      <w:r w:rsidR="00E12858" w:rsidRPr="004E209F">
        <w:rPr>
          <w:rFonts w:ascii="Times New Roman" w:hAnsi="Times New Roman" w:cs="Times New Roman"/>
          <w:sz w:val="24"/>
        </w:rPr>
        <w:t>d</w:t>
      </w:r>
      <w:r w:rsidRPr="004E209F">
        <w:rPr>
          <w:rFonts w:ascii="Times New Roman" w:hAnsi="Times New Roman" w:cs="Times New Roman"/>
          <w:sz w:val="24"/>
        </w:rPr>
        <w:t>) inferior inner, (</w:t>
      </w:r>
      <w:r w:rsidR="00E12858" w:rsidRPr="004E209F">
        <w:rPr>
          <w:rFonts w:ascii="Times New Roman" w:hAnsi="Times New Roman" w:cs="Times New Roman"/>
          <w:sz w:val="24"/>
        </w:rPr>
        <w:t>e</w:t>
      </w:r>
      <w:r w:rsidRPr="004E209F">
        <w:rPr>
          <w:rFonts w:ascii="Times New Roman" w:hAnsi="Times New Roman" w:cs="Times New Roman"/>
          <w:sz w:val="24"/>
        </w:rPr>
        <w:t>) temporal outer, (</w:t>
      </w:r>
      <w:r w:rsidR="00E12858" w:rsidRPr="004E209F">
        <w:rPr>
          <w:rFonts w:ascii="Times New Roman" w:hAnsi="Times New Roman" w:cs="Times New Roman"/>
          <w:sz w:val="24"/>
        </w:rPr>
        <w:t>f</w:t>
      </w:r>
      <w:r w:rsidRPr="004E209F">
        <w:rPr>
          <w:rFonts w:ascii="Times New Roman" w:hAnsi="Times New Roman" w:cs="Times New Roman"/>
          <w:sz w:val="24"/>
        </w:rPr>
        <w:t>) superior outer, (</w:t>
      </w:r>
      <w:r w:rsidR="00E12858" w:rsidRPr="004E209F">
        <w:rPr>
          <w:rFonts w:ascii="Times New Roman" w:hAnsi="Times New Roman" w:cs="Times New Roman"/>
          <w:sz w:val="24"/>
        </w:rPr>
        <w:t>g</w:t>
      </w:r>
      <w:r w:rsidRPr="004E209F">
        <w:rPr>
          <w:rFonts w:ascii="Times New Roman" w:hAnsi="Times New Roman" w:cs="Times New Roman"/>
          <w:sz w:val="24"/>
        </w:rPr>
        <w:t>) nasal outer, and (</w:t>
      </w:r>
      <w:r w:rsidR="00E12858" w:rsidRPr="004E209F">
        <w:rPr>
          <w:rFonts w:ascii="Times New Roman" w:hAnsi="Times New Roman" w:cs="Times New Roman"/>
          <w:sz w:val="24"/>
        </w:rPr>
        <w:t>h</w:t>
      </w:r>
      <w:r w:rsidRPr="004E209F">
        <w:rPr>
          <w:rFonts w:ascii="Times New Roman" w:hAnsi="Times New Roman" w:cs="Times New Roman"/>
          <w:sz w:val="24"/>
        </w:rPr>
        <w:t>) inferior outer.</w:t>
      </w:r>
    </w:p>
    <w:p w14:paraId="4365D97D" w14:textId="77777777" w:rsidR="007F55B4" w:rsidRPr="004E209F" w:rsidRDefault="00445D32" w:rsidP="007F55B4">
      <w:pPr>
        <w:rPr>
          <w:rFonts w:ascii="Times New Roman" w:hAnsi="Times New Roman" w:cs="Times New Roman"/>
          <w:sz w:val="24"/>
        </w:rPr>
      </w:pPr>
      <w:r w:rsidRPr="004E209F">
        <w:rPr>
          <w:rFonts w:ascii="Times New Roman" w:hAnsi="Times New Roman" w:cs="Times New Roman"/>
          <w:sz w:val="24"/>
        </w:rPr>
        <w:t>The solid lines represent the linear regression lines for each sector. Significant associations between axial length and the measurement difference were observed in the superior inner, inferior inner, and all peripheral sectors, whereas no significant association was detected in the temporal inner and nasal inner sectors.</w:t>
      </w:r>
    </w:p>
    <w:p w14:paraId="6D3C00AD" w14:textId="77777777" w:rsidR="007C7C89" w:rsidRDefault="007C7C89" w:rsidP="007F55B4">
      <w:pPr>
        <w:sectPr w:rsidR="007C7C89" w:rsidSect="0070247D">
          <w:type w:val="continuous"/>
          <w:pgSz w:w="11906" w:h="16838"/>
          <w:pgMar w:top="1985" w:right="1701" w:bottom="1701" w:left="1701" w:header="851" w:footer="992" w:gutter="0"/>
          <w:cols w:space="425"/>
          <w:docGrid w:type="lines" w:linePitch="360"/>
        </w:sectPr>
      </w:pPr>
    </w:p>
    <w:tbl>
      <w:tblPr>
        <w:tblW w:w="9639" w:type="dxa"/>
        <w:tblCellMar>
          <w:left w:w="99" w:type="dxa"/>
          <w:right w:w="99" w:type="dxa"/>
        </w:tblCellMar>
        <w:tblLook w:val="04A0" w:firstRow="1" w:lastRow="0" w:firstColumn="1" w:lastColumn="0" w:noHBand="0" w:noVBand="1"/>
      </w:tblPr>
      <w:tblGrid>
        <w:gridCol w:w="4820"/>
        <w:gridCol w:w="1295"/>
        <w:gridCol w:w="2249"/>
        <w:gridCol w:w="1275"/>
      </w:tblGrid>
      <w:tr w:rsidR="002C7B4C" w14:paraId="4E7FE8D9" w14:textId="77777777" w:rsidTr="0058642C">
        <w:trPr>
          <w:trHeight w:val="400"/>
        </w:trPr>
        <w:tc>
          <w:tcPr>
            <w:tcW w:w="9639" w:type="dxa"/>
            <w:gridSpan w:val="4"/>
            <w:tcBorders>
              <w:top w:val="nil"/>
              <w:left w:val="nil"/>
              <w:bottom w:val="nil"/>
              <w:right w:val="nil"/>
            </w:tcBorders>
            <w:noWrap/>
            <w:vAlign w:val="center"/>
            <w:hideMark/>
          </w:tcPr>
          <w:p w14:paraId="31F2E675" w14:textId="0967E57B" w:rsidR="007C7C89" w:rsidRPr="00394EC7" w:rsidRDefault="00445D32" w:rsidP="0058642C">
            <w:pPr>
              <w:widowControl/>
              <w:jc w:val="left"/>
              <w:rPr>
                <w:rFonts w:ascii="Times New Roman" w:eastAsia="Yu Gothic" w:hAnsi="Times New Roman" w:cs="Times New Roman"/>
                <w:color w:val="000000"/>
                <w:kern w:val="0"/>
                <w:sz w:val="24"/>
              </w:rPr>
            </w:pPr>
            <w:r>
              <w:rPr>
                <w:rFonts w:ascii="Times New Roman" w:eastAsia="Yu Gothic" w:hAnsi="Times New Roman" w:cs="Times New Roman"/>
                <w:color w:val="000000"/>
                <w:kern w:val="0"/>
                <w:sz w:val="24"/>
              </w:rPr>
              <w:t xml:space="preserve">Online Resource </w:t>
            </w:r>
            <w:r w:rsidR="004F427C">
              <w:rPr>
                <w:rFonts w:ascii="Times New Roman" w:eastAsia="Yu Gothic" w:hAnsi="Times New Roman" w:cs="Times New Roman"/>
                <w:color w:val="000000"/>
                <w:kern w:val="0"/>
                <w:sz w:val="24"/>
              </w:rPr>
              <w:t>4</w:t>
            </w:r>
            <w:r w:rsidRPr="00394EC7">
              <w:rPr>
                <w:rFonts w:ascii="Times New Roman" w:eastAsia="Yu Gothic" w:hAnsi="Times New Roman" w:cs="Times New Roman"/>
                <w:color w:val="000000"/>
                <w:kern w:val="0"/>
                <w:sz w:val="24"/>
              </w:rPr>
              <w:t xml:space="preserve">. GEE analysis </w:t>
            </w:r>
            <w:r>
              <w:rPr>
                <w:rFonts w:ascii="Times New Roman" w:eastAsia="Yu Gothic" w:hAnsi="Times New Roman" w:cs="Times New Roman"/>
                <w:color w:val="000000"/>
                <w:kern w:val="0"/>
                <w:sz w:val="24"/>
              </w:rPr>
              <w:t>of factors associated with</w:t>
            </w:r>
            <w:r w:rsidRPr="00394EC7">
              <w:rPr>
                <w:rFonts w:ascii="Times New Roman" w:eastAsia="Yu Gothic" w:hAnsi="Times New Roman" w:cs="Times New Roman"/>
                <w:color w:val="000000"/>
                <w:kern w:val="0"/>
                <w:sz w:val="24"/>
              </w:rPr>
              <w:t xml:space="preserve"> </w:t>
            </w:r>
            <w:r w:rsidR="0053163F" w:rsidRPr="00330902">
              <w:rPr>
                <w:rFonts w:ascii="Times New Roman" w:eastAsia="Yu Gothic" w:hAnsi="Times New Roman" w:cs="Times New Roman"/>
                <w:kern w:val="0"/>
                <w:sz w:val="24"/>
              </w:rPr>
              <w:t>CST</w:t>
            </w:r>
            <w:r w:rsidRPr="00394EC7">
              <w:rPr>
                <w:rFonts w:ascii="Times New Roman" w:eastAsia="Yu Gothic" w:hAnsi="Times New Roman" w:cs="Times New Roman"/>
                <w:color w:val="000000"/>
                <w:kern w:val="0"/>
                <w:sz w:val="24"/>
              </w:rPr>
              <w:t xml:space="preserve"> difference</w:t>
            </w:r>
          </w:p>
        </w:tc>
      </w:tr>
      <w:tr w:rsidR="002C7B4C" w14:paraId="6A2BF3D4" w14:textId="77777777" w:rsidTr="0058642C">
        <w:trPr>
          <w:trHeight w:val="400"/>
        </w:trPr>
        <w:tc>
          <w:tcPr>
            <w:tcW w:w="4820" w:type="dxa"/>
            <w:tcBorders>
              <w:top w:val="single" w:sz="4" w:space="0" w:color="auto"/>
              <w:left w:val="nil"/>
              <w:bottom w:val="single" w:sz="4" w:space="0" w:color="auto"/>
              <w:right w:val="nil"/>
            </w:tcBorders>
            <w:noWrap/>
            <w:vAlign w:val="center"/>
            <w:hideMark/>
          </w:tcPr>
          <w:p w14:paraId="1C14BE93" w14:textId="77777777" w:rsidR="007C7C89" w:rsidRPr="00394EC7" w:rsidRDefault="00445D32" w:rsidP="0058642C">
            <w:pPr>
              <w:widowControl/>
              <w:jc w:val="left"/>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Variable</w:t>
            </w:r>
          </w:p>
        </w:tc>
        <w:tc>
          <w:tcPr>
            <w:tcW w:w="1295" w:type="dxa"/>
            <w:tcBorders>
              <w:top w:val="single" w:sz="4" w:space="0" w:color="auto"/>
              <w:left w:val="nil"/>
              <w:bottom w:val="single" w:sz="4" w:space="0" w:color="auto"/>
              <w:right w:val="nil"/>
            </w:tcBorders>
            <w:noWrap/>
            <w:vAlign w:val="center"/>
            <w:hideMark/>
          </w:tcPr>
          <w:p w14:paraId="62DFDCE6"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β</w:t>
            </w:r>
          </w:p>
        </w:tc>
        <w:tc>
          <w:tcPr>
            <w:tcW w:w="2249" w:type="dxa"/>
            <w:tcBorders>
              <w:top w:val="single" w:sz="4" w:space="0" w:color="auto"/>
              <w:left w:val="nil"/>
              <w:bottom w:val="single" w:sz="4" w:space="0" w:color="auto"/>
              <w:right w:val="nil"/>
            </w:tcBorders>
            <w:noWrap/>
            <w:vAlign w:val="center"/>
            <w:hideMark/>
          </w:tcPr>
          <w:p w14:paraId="412A590B"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95% CI</w:t>
            </w:r>
          </w:p>
        </w:tc>
        <w:tc>
          <w:tcPr>
            <w:tcW w:w="1275" w:type="dxa"/>
            <w:tcBorders>
              <w:top w:val="single" w:sz="4" w:space="0" w:color="auto"/>
              <w:left w:val="nil"/>
              <w:bottom w:val="single" w:sz="4" w:space="0" w:color="auto"/>
              <w:right w:val="nil"/>
            </w:tcBorders>
            <w:noWrap/>
            <w:vAlign w:val="center"/>
            <w:hideMark/>
          </w:tcPr>
          <w:p w14:paraId="10A6CDA5" w14:textId="77777777" w:rsidR="007C7C89" w:rsidRPr="00330902" w:rsidRDefault="00445D32" w:rsidP="004E209F">
            <w:pPr>
              <w:widowControl/>
              <w:jc w:val="center"/>
              <w:rPr>
                <w:rFonts w:ascii="Times New Roman" w:eastAsia="Yu Gothic" w:hAnsi="Times New Roman" w:cs="Times New Roman"/>
                <w:i/>
                <w:iCs/>
                <w:color w:val="000000"/>
                <w:kern w:val="0"/>
                <w:sz w:val="24"/>
              </w:rPr>
            </w:pPr>
            <w:r w:rsidRPr="00330902">
              <w:rPr>
                <w:rFonts w:ascii="Times New Roman" w:eastAsia="Yu Gothic" w:hAnsi="Times New Roman" w:cs="Times New Roman"/>
                <w:i/>
                <w:iCs/>
                <w:color w:val="000000"/>
                <w:kern w:val="0"/>
                <w:sz w:val="24"/>
              </w:rPr>
              <w:t>P</w:t>
            </w:r>
          </w:p>
        </w:tc>
      </w:tr>
      <w:tr w:rsidR="002C7B4C" w14:paraId="4C71A277" w14:textId="77777777" w:rsidTr="0058642C">
        <w:trPr>
          <w:trHeight w:val="400"/>
        </w:trPr>
        <w:tc>
          <w:tcPr>
            <w:tcW w:w="4820" w:type="dxa"/>
            <w:tcBorders>
              <w:top w:val="nil"/>
              <w:left w:val="nil"/>
              <w:bottom w:val="nil"/>
              <w:right w:val="nil"/>
            </w:tcBorders>
            <w:noWrap/>
            <w:vAlign w:val="center"/>
            <w:hideMark/>
          </w:tcPr>
          <w:p w14:paraId="3335F165" w14:textId="77777777" w:rsidR="007C7C89" w:rsidRPr="00394EC7" w:rsidRDefault="00445D32" w:rsidP="0058642C">
            <w:pPr>
              <w:widowControl/>
              <w:jc w:val="left"/>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axial length (per 1-mm increase)</w:t>
            </w:r>
          </w:p>
        </w:tc>
        <w:tc>
          <w:tcPr>
            <w:tcW w:w="1295" w:type="dxa"/>
            <w:tcBorders>
              <w:top w:val="nil"/>
              <w:left w:val="nil"/>
              <w:bottom w:val="nil"/>
              <w:right w:val="nil"/>
            </w:tcBorders>
            <w:noWrap/>
            <w:vAlign w:val="center"/>
            <w:hideMark/>
          </w:tcPr>
          <w:p w14:paraId="377A8051"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2.128</w:t>
            </w:r>
          </w:p>
        </w:tc>
        <w:tc>
          <w:tcPr>
            <w:tcW w:w="2249" w:type="dxa"/>
            <w:tcBorders>
              <w:top w:val="nil"/>
              <w:left w:val="nil"/>
              <w:bottom w:val="nil"/>
              <w:right w:val="nil"/>
            </w:tcBorders>
            <w:noWrap/>
            <w:vAlign w:val="center"/>
            <w:hideMark/>
          </w:tcPr>
          <w:p w14:paraId="719967FC"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1.905 to 2.351</w:t>
            </w:r>
          </w:p>
        </w:tc>
        <w:tc>
          <w:tcPr>
            <w:tcW w:w="1275" w:type="dxa"/>
            <w:tcBorders>
              <w:top w:val="nil"/>
              <w:left w:val="nil"/>
              <w:bottom w:val="nil"/>
              <w:right w:val="nil"/>
            </w:tcBorders>
            <w:noWrap/>
            <w:vAlign w:val="center"/>
            <w:hideMark/>
          </w:tcPr>
          <w:p w14:paraId="2537101B"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&lt;0.001</w:t>
            </w:r>
          </w:p>
        </w:tc>
      </w:tr>
      <w:tr w:rsidR="002C7B4C" w14:paraId="5A981FA2" w14:textId="77777777" w:rsidTr="0058642C">
        <w:trPr>
          <w:trHeight w:val="400"/>
        </w:trPr>
        <w:tc>
          <w:tcPr>
            <w:tcW w:w="4820" w:type="dxa"/>
            <w:tcBorders>
              <w:top w:val="nil"/>
              <w:left w:val="nil"/>
              <w:bottom w:val="nil"/>
              <w:right w:val="nil"/>
            </w:tcBorders>
            <w:noWrap/>
            <w:vAlign w:val="center"/>
            <w:hideMark/>
          </w:tcPr>
          <w:p w14:paraId="3E729416" w14:textId="77777777" w:rsidR="007C7C89" w:rsidRPr="00394EC7" w:rsidRDefault="00445D32" w:rsidP="0058642C">
            <w:pPr>
              <w:widowControl/>
              <w:jc w:val="left"/>
              <w:rPr>
                <w:rFonts w:ascii="Times New Roman" w:eastAsia="Yu Gothic" w:hAnsi="Times New Roman" w:cs="Times New Roman"/>
                <w:color w:val="000000"/>
                <w:kern w:val="0"/>
                <w:sz w:val="24"/>
              </w:rPr>
            </w:pPr>
            <w:r>
              <w:rPr>
                <w:rFonts w:ascii="Times New Roman" w:eastAsia="Yu Gothic" w:hAnsi="Times New Roman" w:cs="Times New Roman"/>
                <w:color w:val="000000"/>
                <w:kern w:val="0"/>
                <w:sz w:val="24"/>
              </w:rPr>
              <w:t>L</w:t>
            </w:r>
            <w:r w:rsidRPr="00394EC7">
              <w:rPr>
                <w:rFonts w:ascii="Times New Roman" w:eastAsia="Yu Gothic" w:hAnsi="Times New Roman" w:cs="Times New Roman"/>
                <w:color w:val="000000"/>
                <w:kern w:val="0"/>
                <w:sz w:val="24"/>
              </w:rPr>
              <w:t>ens status (phakic vs. pseudophakic)</w:t>
            </w:r>
          </w:p>
        </w:tc>
        <w:tc>
          <w:tcPr>
            <w:tcW w:w="1295" w:type="dxa"/>
            <w:tcBorders>
              <w:top w:val="nil"/>
              <w:left w:val="nil"/>
              <w:bottom w:val="nil"/>
              <w:right w:val="nil"/>
            </w:tcBorders>
            <w:noWrap/>
            <w:vAlign w:val="center"/>
            <w:hideMark/>
          </w:tcPr>
          <w:p w14:paraId="4CA7D633"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0.105</w:t>
            </w:r>
          </w:p>
        </w:tc>
        <w:tc>
          <w:tcPr>
            <w:tcW w:w="2249" w:type="dxa"/>
            <w:tcBorders>
              <w:top w:val="nil"/>
              <w:left w:val="nil"/>
              <w:bottom w:val="nil"/>
              <w:right w:val="nil"/>
            </w:tcBorders>
            <w:noWrap/>
            <w:vAlign w:val="center"/>
            <w:hideMark/>
          </w:tcPr>
          <w:p w14:paraId="5DD143EF"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-0.447 to 0.657</w:t>
            </w:r>
          </w:p>
        </w:tc>
        <w:tc>
          <w:tcPr>
            <w:tcW w:w="1275" w:type="dxa"/>
            <w:tcBorders>
              <w:top w:val="nil"/>
              <w:left w:val="nil"/>
              <w:bottom w:val="nil"/>
              <w:right w:val="nil"/>
            </w:tcBorders>
            <w:noWrap/>
            <w:vAlign w:val="center"/>
            <w:hideMark/>
          </w:tcPr>
          <w:p w14:paraId="402806C2"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0.71</w:t>
            </w:r>
          </w:p>
        </w:tc>
      </w:tr>
      <w:tr w:rsidR="002C7B4C" w14:paraId="77EA5C59" w14:textId="77777777" w:rsidTr="0058642C">
        <w:trPr>
          <w:trHeight w:val="400"/>
        </w:trPr>
        <w:tc>
          <w:tcPr>
            <w:tcW w:w="4820" w:type="dxa"/>
            <w:tcBorders>
              <w:top w:val="nil"/>
              <w:left w:val="nil"/>
              <w:bottom w:val="single" w:sz="4" w:space="0" w:color="auto"/>
              <w:right w:val="nil"/>
            </w:tcBorders>
            <w:noWrap/>
            <w:vAlign w:val="center"/>
            <w:hideMark/>
          </w:tcPr>
          <w:p w14:paraId="19027DEB" w14:textId="77777777" w:rsidR="007C7C89" w:rsidRPr="00394EC7" w:rsidRDefault="00445D32" w:rsidP="0058642C">
            <w:pPr>
              <w:widowControl/>
              <w:jc w:val="left"/>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Vitreoretinal surgery history (present vs. absent)</w:t>
            </w:r>
          </w:p>
        </w:tc>
        <w:tc>
          <w:tcPr>
            <w:tcW w:w="1295" w:type="dxa"/>
            <w:tcBorders>
              <w:top w:val="nil"/>
              <w:left w:val="nil"/>
              <w:bottom w:val="single" w:sz="4" w:space="0" w:color="auto"/>
              <w:right w:val="nil"/>
            </w:tcBorders>
            <w:noWrap/>
            <w:vAlign w:val="center"/>
            <w:hideMark/>
          </w:tcPr>
          <w:p w14:paraId="0FA561B6"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-0.068</w:t>
            </w:r>
          </w:p>
        </w:tc>
        <w:tc>
          <w:tcPr>
            <w:tcW w:w="2249" w:type="dxa"/>
            <w:tcBorders>
              <w:top w:val="nil"/>
              <w:left w:val="nil"/>
              <w:bottom w:val="single" w:sz="4" w:space="0" w:color="auto"/>
              <w:right w:val="nil"/>
            </w:tcBorders>
            <w:noWrap/>
            <w:vAlign w:val="center"/>
            <w:hideMark/>
          </w:tcPr>
          <w:p w14:paraId="56A24594"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-1.079 to 0.943</w:t>
            </w:r>
          </w:p>
        </w:tc>
        <w:tc>
          <w:tcPr>
            <w:tcW w:w="1275" w:type="dxa"/>
            <w:tcBorders>
              <w:top w:val="nil"/>
              <w:left w:val="nil"/>
              <w:bottom w:val="single" w:sz="4" w:space="0" w:color="auto"/>
              <w:right w:val="nil"/>
            </w:tcBorders>
            <w:noWrap/>
            <w:vAlign w:val="center"/>
            <w:hideMark/>
          </w:tcPr>
          <w:p w14:paraId="2A541D07" w14:textId="55A37475"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0.89</w:t>
            </w:r>
          </w:p>
        </w:tc>
      </w:tr>
      <w:tr w:rsidR="002C7B4C" w14:paraId="2B624A98" w14:textId="77777777" w:rsidTr="0058642C">
        <w:trPr>
          <w:trHeight w:val="400"/>
        </w:trPr>
        <w:tc>
          <w:tcPr>
            <w:tcW w:w="9639" w:type="dxa"/>
            <w:gridSpan w:val="4"/>
            <w:tcBorders>
              <w:top w:val="nil"/>
              <w:left w:val="nil"/>
              <w:bottom w:val="nil"/>
              <w:right w:val="nil"/>
            </w:tcBorders>
            <w:noWrap/>
            <w:vAlign w:val="center"/>
            <w:hideMark/>
          </w:tcPr>
          <w:p w14:paraId="74E5B51F" w14:textId="46EB75A7" w:rsidR="007C7C89" w:rsidRPr="00394EC7" w:rsidRDefault="00445D32" w:rsidP="0058642C">
            <w:pPr>
              <w:widowControl/>
              <w:jc w:val="left"/>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A generalized estimating equation (GEE) analysis examining the association of axial length, lens status, and vitreoretinal surgery history w</w:t>
            </w:r>
            <w:r w:rsidRPr="00330902">
              <w:rPr>
                <w:rFonts w:ascii="Times New Roman" w:eastAsia="Yu Gothic" w:hAnsi="Times New Roman" w:cs="Times New Roman"/>
                <w:kern w:val="0"/>
                <w:sz w:val="24"/>
              </w:rPr>
              <w:t xml:space="preserve">ith </w:t>
            </w:r>
            <w:r w:rsidR="0053163F" w:rsidRPr="00330902">
              <w:rPr>
                <w:rFonts w:ascii="Times New Roman" w:eastAsia="Yu Gothic" w:hAnsi="Times New Roman" w:cs="Times New Roman"/>
                <w:kern w:val="0"/>
                <w:sz w:val="24"/>
              </w:rPr>
              <w:t>central subfield thickness</w:t>
            </w:r>
            <w:r w:rsidRPr="00330902">
              <w:rPr>
                <w:rFonts w:ascii="Times New Roman" w:eastAsia="Yu Gothic" w:hAnsi="Times New Roman" w:cs="Times New Roman"/>
                <w:kern w:val="0"/>
                <w:sz w:val="24"/>
              </w:rPr>
              <w:t xml:space="preserve"> (</w:t>
            </w:r>
            <w:r w:rsidR="0053163F" w:rsidRPr="00330902">
              <w:rPr>
                <w:rFonts w:ascii="Times New Roman" w:eastAsia="Yu Gothic" w:hAnsi="Times New Roman" w:cs="Times New Roman"/>
                <w:kern w:val="0"/>
                <w:sz w:val="24"/>
              </w:rPr>
              <w:t>CST</w:t>
            </w:r>
            <w:r w:rsidRPr="00330902">
              <w:rPr>
                <w:rFonts w:ascii="Times New Roman" w:eastAsia="Yu Gothic" w:hAnsi="Times New Roman" w:cs="Times New Roman"/>
                <w:kern w:val="0"/>
                <w:sz w:val="24"/>
              </w:rPr>
              <w:t xml:space="preserve">) difference. </w:t>
            </w:r>
            <w:r w:rsidR="0053163F" w:rsidRPr="00330902">
              <w:rPr>
                <w:rFonts w:ascii="Times New Roman" w:eastAsia="Yu Gothic" w:hAnsi="Times New Roman" w:cs="Times New Roman"/>
                <w:kern w:val="0"/>
                <w:sz w:val="24"/>
              </w:rPr>
              <w:t>CST</w:t>
            </w:r>
            <w:r w:rsidRPr="00330902">
              <w:rPr>
                <w:rFonts w:ascii="Times New Roman" w:eastAsia="Yu Gothic" w:hAnsi="Times New Roman" w:cs="Times New Roman"/>
                <w:kern w:val="0"/>
                <w:sz w:val="24"/>
              </w:rPr>
              <w:t xml:space="preserve"> difference was defined as uncorrected </w:t>
            </w:r>
            <w:r w:rsidR="0053163F" w:rsidRPr="00330902">
              <w:rPr>
                <w:rFonts w:ascii="Times New Roman" w:eastAsia="Yu Gothic" w:hAnsi="Times New Roman" w:cs="Times New Roman"/>
                <w:kern w:val="0"/>
                <w:sz w:val="24"/>
              </w:rPr>
              <w:t>CST</w:t>
            </w:r>
            <w:r w:rsidRPr="00330902">
              <w:rPr>
                <w:rFonts w:ascii="Times New Roman" w:eastAsia="Yu Gothic" w:hAnsi="Times New Roman" w:cs="Times New Roman"/>
                <w:kern w:val="0"/>
                <w:sz w:val="24"/>
              </w:rPr>
              <w:t xml:space="preserve"> minus corrected </w:t>
            </w:r>
            <w:r w:rsidR="0053163F" w:rsidRPr="00330902">
              <w:rPr>
                <w:rFonts w:ascii="Times New Roman" w:eastAsia="Yu Gothic" w:hAnsi="Times New Roman" w:cs="Times New Roman"/>
                <w:kern w:val="0"/>
                <w:sz w:val="24"/>
              </w:rPr>
              <w:t>CST</w:t>
            </w:r>
            <w:r w:rsidRPr="00330902">
              <w:rPr>
                <w:rFonts w:ascii="Times New Roman" w:eastAsia="Yu Gothic" w:hAnsi="Times New Roman" w:cs="Times New Roman"/>
                <w:kern w:val="0"/>
                <w:sz w:val="24"/>
              </w:rPr>
              <w:t>. Axial length</w:t>
            </w:r>
            <w:r w:rsidRPr="00394EC7">
              <w:rPr>
                <w:rFonts w:ascii="Times New Roman" w:eastAsia="Yu Gothic" w:hAnsi="Times New Roman" w:cs="Times New Roman"/>
                <w:color w:val="000000"/>
                <w:kern w:val="0"/>
                <w:sz w:val="24"/>
              </w:rPr>
              <w:t xml:space="preserve"> was entered as a continuous variable (per 1-mm increase). </w:t>
            </w:r>
            <w:r>
              <w:rPr>
                <w:rFonts w:ascii="Times New Roman" w:eastAsia="Yu Gothic" w:hAnsi="Times New Roman" w:cs="Times New Roman"/>
                <w:color w:val="000000"/>
                <w:kern w:val="0"/>
                <w:sz w:val="24"/>
              </w:rPr>
              <w:t>L</w:t>
            </w:r>
            <w:r w:rsidRPr="00394EC7">
              <w:rPr>
                <w:rFonts w:ascii="Times New Roman" w:eastAsia="Yu Gothic" w:hAnsi="Times New Roman" w:cs="Times New Roman"/>
                <w:color w:val="000000"/>
                <w:kern w:val="0"/>
                <w:sz w:val="24"/>
              </w:rPr>
              <w:t xml:space="preserve">ens status was coded as phakic vs. pseudophakic, and vitreoretinal surgery history as present vs. absent (reference categories: pseudophakic and absence of surgery). A </w:t>
            </w:r>
            <w:r>
              <w:rPr>
                <w:rFonts w:ascii="Times New Roman" w:eastAsia="Yu Gothic" w:hAnsi="Times New Roman" w:cs="Times New Roman"/>
                <w:color w:val="000000"/>
                <w:kern w:val="0"/>
                <w:sz w:val="24"/>
              </w:rPr>
              <w:t>GEE</w:t>
            </w:r>
            <w:r w:rsidRPr="00394EC7">
              <w:rPr>
                <w:rFonts w:ascii="Times New Roman" w:eastAsia="Yu Gothic" w:hAnsi="Times New Roman" w:cs="Times New Roman"/>
                <w:color w:val="000000"/>
                <w:kern w:val="0"/>
                <w:sz w:val="24"/>
              </w:rPr>
              <w:t xml:space="preserve"> with a normal distribution and identity link was used.</w:t>
            </w:r>
          </w:p>
        </w:tc>
      </w:tr>
    </w:tbl>
    <w:p w14:paraId="74D46515" w14:textId="77777777" w:rsidR="007C7C89" w:rsidRDefault="007C7C89" w:rsidP="007C7C89">
      <w:pPr>
        <w:rPr>
          <w:rFonts w:ascii="Times New Roman" w:hAnsi="Times New Roman" w:cs="Times New Roman"/>
        </w:rPr>
      </w:pPr>
    </w:p>
    <w:p w14:paraId="286FE104" w14:textId="77777777" w:rsidR="00AE0CF1" w:rsidRDefault="00AE0CF1" w:rsidP="007C7C89">
      <w:pPr>
        <w:rPr>
          <w:rFonts w:ascii="Times New Roman" w:hAnsi="Times New Roman" w:cs="Times New Roman"/>
        </w:rPr>
      </w:pPr>
    </w:p>
    <w:p w14:paraId="24F34B14" w14:textId="77777777" w:rsidR="00AE0CF1" w:rsidRDefault="00AE0CF1" w:rsidP="007C7C89">
      <w:pPr>
        <w:rPr>
          <w:rFonts w:ascii="Times New Roman" w:hAnsi="Times New Roman" w:cs="Times New Roman"/>
        </w:rPr>
      </w:pPr>
    </w:p>
    <w:p w14:paraId="5B2C5201" w14:textId="77777777" w:rsidR="00AE0CF1" w:rsidRDefault="00AE0CF1" w:rsidP="007C7C89">
      <w:pPr>
        <w:rPr>
          <w:rFonts w:ascii="Times New Roman" w:hAnsi="Times New Roman" w:cs="Times New Roman"/>
        </w:rPr>
      </w:pPr>
    </w:p>
    <w:p w14:paraId="5AA52D3B" w14:textId="77777777" w:rsidR="00AE0CF1" w:rsidRDefault="00AE0CF1" w:rsidP="007C7C89">
      <w:pPr>
        <w:rPr>
          <w:rFonts w:ascii="Times New Roman" w:hAnsi="Times New Roman" w:cs="Times New Roman"/>
        </w:rPr>
      </w:pPr>
    </w:p>
    <w:p w14:paraId="5E91C9C9" w14:textId="77777777" w:rsidR="00AE0CF1" w:rsidRDefault="00AE0CF1" w:rsidP="007C7C89">
      <w:pPr>
        <w:rPr>
          <w:rFonts w:ascii="Times New Roman" w:hAnsi="Times New Roman" w:cs="Times New Roman"/>
        </w:rPr>
      </w:pPr>
    </w:p>
    <w:p w14:paraId="355E5C9C" w14:textId="77777777" w:rsidR="00AE0CF1" w:rsidRDefault="00AE0CF1" w:rsidP="007C7C89">
      <w:pPr>
        <w:rPr>
          <w:rFonts w:ascii="Times New Roman" w:hAnsi="Times New Roman" w:cs="Times New Roman"/>
        </w:rPr>
      </w:pPr>
    </w:p>
    <w:p w14:paraId="0B55535F" w14:textId="77777777" w:rsidR="00AE0CF1" w:rsidRDefault="00AE0CF1" w:rsidP="007C7C89">
      <w:pPr>
        <w:rPr>
          <w:rFonts w:ascii="Times New Roman" w:hAnsi="Times New Roman" w:cs="Times New Roman"/>
        </w:rPr>
      </w:pPr>
    </w:p>
    <w:p w14:paraId="44E3056D" w14:textId="77777777" w:rsidR="00AE0CF1" w:rsidRPr="00394EC7" w:rsidRDefault="00AE0CF1" w:rsidP="007C7C89">
      <w:pPr>
        <w:rPr>
          <w:rFonts w:ascii="Times New Roman" w:hAnsi="Times New Roman" w:cs="Times New Roman"/>
        </w:rPr>
      </w:pPr>
    </w:p>
    <w:p w14:paraId="1336DBDB" w14:textId="77777777" w:rsidR="007C7C89" w:rsidRPr="00394EC7" w:rsidRDefault="007C7C89" w:rsidP="007C7C89">
      <w:pPr>
        <w:rPr>
          <w:rFonts w:ascii="Times New Roman" w:hAnsi="Times New Roman" w:cs="Times New Roman"/>
        </w:rPr>
      </w:pPr>
    </w:p>
    <w:tbl>
      <w:tblPr>
        <w:tblW w:w="20134" w:type="dxa"/>
        <w:tblCellMar>
          <w:left w:w="99" w:type="dxa"/>
          <w:right w:w="99" w:type="dxa"/>
        </w:tblCellMar>
        <w:tblLook w:val="04A0" w:firstRow="1" w:lastRow="0" w:firstColumn="1" w:lastColumn="0" w:noHBand="0" w:noVBand="1"/>
      </w:tblPr>
      <w:tblGrid>
        <w:gridCol w:w="4678"/>
        <w:gridCol w:w="738"/>
        <w:gridCol w:w="4111"/>
        <w:gridCol w:w="874"/>
        <w:gridCol w:w="9733"/>
      </w:tblGrid>
      <w:tr w:rsidR="002C7B4C" w14:paraId="36DCF187" w14:textId="77777777" w:rsidTr="0058642C">
        <w:trPr>
          <w:trHeight w:val="400"/>
        </w:trPr>
        <w:tc>
          <w:tcPr>
            <w:tcW w:w="20134" w:type="dxa"/>
            <w:gridSpan w:val="5"/>
            <w:tcBorders>
              <w:top w:val="nil"/>
              <w:left w:val="nil"/>
              <w:bottom w:val="nil"/>
              <w:right w:val="nil"/>
            </w:tcBorders>
            <w:noWrap/>
            <w:vAlign w:val="center"/>
            <w:hideMark/>
          </w:tcPr>
          <w:p w14:paraId="3A9D1289" w14:textId="79DBBBEE" w:rsidR="007C7C89" w:rsidRPr="00394EC7" w:rsidRDefault="00445D32" w:rsidP="0058642C">
            <w:pPr>
              <w:widowControl/>
              <w:jc w:val="left"/>
              <w:rPr>
                <w:rFonts w:ascii="Times New Roman" w:eastAsia="Yu Gothic" w:hAnsi="Times New Roman" w:cs="Times New Roman"/>
                <w:color w:val="000000"/>
                <w:kern w:val="0"/>
                <w:sz w:val="24"/>
              </w:rPr>
            </w:pPr>
            <w:r>
              <w:rPr>
                <w:rFonts w:ascii="Times New Roman" w:eastAsia="Yu Gothic" w:hAnsi="Times New Roman" w:cs="Times New Roman"/>
                <w:color w:val="000000"/>
                <w:kern w:val="0"/>
                <w:sz w:val="24"/>
              </w:rPr>
              <w:t xml:space="preserve">Online Resource </w:t>
            </w:r>
            <w:r w:rsidR="004F427C">
              <w:rPr>
                <w:rFonts w:ascii="Times New Roman" w:eastAsia="Yu Gothic" w:hAnsi="Times New Roman" w:cs="Times New Roman"/>
                <w:color w:val="000000"/>
                <w:kern w:val="0"/>
                <w:sz w:val="24"/>
              </w:rPr>
              <w:t>5</w:t>
            </w:r>
            <w:r w:rsidRPr="00394EC7">
              <w:rPr>
                <w:rFonts w:ascii="Times New Roman" w:eastAsia="Yu Gothic" w:hAnsi="Times New Roman" w:cs="Times New Roman"/>
                <w:color w:val="000000"/>
                <w:kern w:val="0"/>
                <w:sz w:val="24"/>
              </w:rPr>
              <w:t>. GEE analysis restricted to eyes without prior vitreoretinal surgery</w:t>
            </w:r>
          </w:p>
        </w:tc>
      </w:tr>
      <w:tr w:rsidR="002C7B4C" w14:paraId="7C7F4A08" w14:textId="77777777" w:rsidTr="004E209F">
        <w:trPr>
          <w:gridAfter w:val="1"/>
          <w:wAfter w:w="9733" w:type="dxa"/>
          <w:trHeight w:val="400"/>
        </w:trPr>
        <w:tc>
          <w:tcPr>
            <w:tcW w:w="4678" w:type="dxa"/>
            <w:tcBorders>
              <w:top w:val="single" w:sz="4" w:space="0" w:color="auto"/>
              <w:left w:val="nil"/>
              <w:bottom w:val="single" w:sz="4" w:space="0" w:color="auto"/>
              <w:right w:val="nil"/>
            </w:tcBorders>
            <w:noWrap/>
            <w:vAlign w:val="center"/>
            <w:hideMark/>
          </w:tcPr>
          <w:p w14:paraId="552AA720" w14:textId="77777777" w:rsidR="007C7C89" w:rsidRPr="00394EC7" w:rsidRDefault="00445D32" w:rsidP="0058642C">
            <w:pPr>
              <w:widowControl/>
              <w:jc w:val="left"/>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Variable</w:t>
            </w:r>
          </w:p>
        </w:tc>
        <w:tc>
          <w:tcPr>
            <w:tcW w:w="738" w:type="dxa"/>
            <w:tcBorders>
              <w:top w:val="single" w:sz="4" w:space="0" w:color="auto"/>
              <w:left w:val="nil"/>
              <w:bottom w:val="single" w:sz="4" w:space="0" w:color="auto"/>
              <w:right w:val="nil"/>
            </w:tcBorders>
            <w:noWrap/>
            <w:vAlign w:val="center"/>
            <w:hideMark/>
          </w:tcPr>
          <w:p w14:paraId="605A63B8"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β</w:t>
            </w:r>
          </w:p>
        </w:tc>
        <w:tc>
          <w:tcPr>
            <w:tcW w:w="4111" w:type="dxa"/>
            <w:tcBorders>
              <w:top w:val="single" w:sz="4" w:space="0" w:color="auto"/>
              <w:left w:val="nil"/>
              <w:bottom w:val="single" w:sz="4" w:space="0" w:color="auto"/>
              <w:right w:val="nil"/>
            </w:tcBorders>
            <w:noWrap/>
            <w:vAlign w:val="center"/>
            <w:hideMark/>
          </w:tcPr>
          <w:p w14:paraId="06B075AB"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95% CI</w:t>
            </w:r>
          </w:p>
        </w:tc>
        <w:tc>
          <w:tcPr>
            <w:tcW w:w="874" w:type="dxa"/>
            <w:tcBorders>
              <w:top w:val="single" w:sz="4" w:space="0" w:color="auto"/>
              <w:left w:val="nil"/>
              <w:bottom w:val="single" w:sz="4" w:space="0" w:color="auto"/>
              <w:right w:val="nil"/>
            </w:tcBorders>
            <w:noWrap/>
            <w:vAlign w:val="center"/>
            <w:hideMark/>
          </w:tcPr>
          <w:p w14:paraId="3A9EE335" w14:textId="77777777" w:rsidR="007C7C89" w:rsidRPr="00330902" w:rsidRDefault="00445D32" w:rsidP="004E209F">
            <w:pPr>
              <w:widowControl/>
              <w:jc w:val="center"/>
              <w:rPr>
                <w:rFonts w:ascii="Times New Roman" w:eastAsia="Yu Gothic" w:hAnsi="Times New Roman" w:cs="Times New Roman"/>
                <w:i/>
                <w:iCs/>
                <w:color w:val="000000"/>
                <w:kern w:val="0"/>
                <w:sz w:val="24"/>
              </w:rPr>
            </w:pPr>
            <w:r w:rsidRPr="00330902">
              <w:rPr>
                <w:rFonts w:ascii="Times New Roman" w:eastAsia="Yu Gothic" w:hAnsi="Times New Roman" w:cs="Times New Roman"/>
                <w:i/>
                <w:iCs/>
                <w:color w:val="000000"/>
                <w:kern w:val="0"/>
                <w:sz w:val="24"/>
              </w:rPr>
              <w:t>P</w:t>
            </w:r>
          </w:p>
        </w:tc>
      </w:tr>
      <w:tr w:rsidR="002C7B4C" w14:paraId="1263390D" w14:textId="77777777" w:rsidTr="004E209F">
        <w:trPr>
          <w:gridAfter w:val="1"/>
          <w:wAfter w:w="9733" w:type="dxa"/>
          <w:trHeight w:val="400"/>
        </w:trPr>
        <w:tc>
          <w:tcPr>
            <w:tcW w:w="4678" w:type="dxa"/>
            <w:tcBorders>
              <w:top w:val="nil"/>
              <w:left w:val="nil"/>
              <w:bottom w:val="nil"/>
              <w:right w:val="nil"/>
            </w:tcBorders>
            <w:noWrap/>
            <w:vAlign w:val="center"/>
            <w:hideMark/>
          </w:tcPr>
          <w:p w14:paraId="3A4816AF" w14:textId="77777777" w:rsidR="007C7C89" w:rsidRPr="00394EC7" w:rsidRDefault="00445D32" w:rsidP="0058642C">
            <w:pPr>
              <w:widowControl/>
              <w:jc w:val="left"/>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Axial length (per 1-mm increase)</w:t>
            </w:r>
          </w:p>
        </w:tc>
        <w:tc>
          <w:tcPr>
            <w:tcW w:w="738" w:type="dxa"/>
            <w:tcBorders>
              <w:top w:val="nil"/>
              <w:left w:val="nil"/>
              <w:bottom w:val="nil"/>
              <w:right w:val="nil"/>
            </w:tcBorders>
            <w:noWrap/>
            <w:vAlign w:val="center"/>
            <w:hideMark/>
          </w:tcPr>
          <w:p w14:paraId="7A9B0220"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2.335</w:t>
            </w:r>
          </w:p>
        </w:tc>
        <w:tc>
          <w:tcPr>
            <w:tcW w:w="4111" w:type="dxa"/>
            <w:tcBorders>
              <w:top w:val="nil"/>
              <w:left w:val="nil"/>
              <w:bottom w:val="nil"/>
              <w:right w:val="nil"/>
            </w:tcBorders>
            <w:noWrap/>
            <w:vAlign w:val="center"/>
            <w:hideMark/>
          </w:tcPr>
          <w:p w14:paraId="27AD7B90"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2.104 to 2.566</w:t>
            </w:r>
          </w:p>
        </w:tc>
        <w:tc>
          <w:tcPr>
            <w:tcW w:w="874" w:type="dxa"/>
            <w:tcBorders>
              <w:top w:val="nil"/>
              <w:left w:val="nil"/>
              <w:bottom w:val="nil"/>
              <w:right w:val="nil"/>
            </w:tcBorders>
            <w:noWrap/>
            <w:vAlign w:val="center"/>
            <w:hideMark/>
          </w:tcPr>
          <w:p w14:paraId="456A198E"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&lt;0.001</w:t>
            </w:r>
          </w:p>
        </w:tc>
      </w:tr>
      <w:tr w:rsidR="002C7B4C" w14:paraId="503E89A4" w14:textId="77777777" w:rsidTr="004E209F">
        <w:trPr>
          <w:gridAfter w:val="1"/>
          <w:wAfter w:w="9733" w:type="dxa"/>
          <w:trHeight w:val="400"/>
        </w:trPr>
        <w:tc>
          <w:tcPr>
            <w:tcW w:w="4678" w:type="dxa"/>
            <w:tcBorders>
              <w:top w:val="nil"/>
              <w:left w:val="nil"/>
              <w:bottom w:val="nil"/>
              <w:right w:val="nil"/>
            </w:tcBorders>
            <w:noWrap/>
            <w:vAlign w:val="center"/>
            <w:hideMark/>
          </w:tcPr>
          <w:p w14:paraId="039060BF" w14:textId="77777777" w:rsidR="007C7C89" w:rsidRPr="00394EC7" w:rsidRDefault="00445D32" w:rsidP="0058642C">
            <w:pPr>
              <w:widowControl/>
              <w:jc w:val="left"/>
              <w:rPr>
                <w:rFonts w:ascii="Times New Roman" w:eastAsia="Yu Gothic" w:hAnsi="Times New Roman" w:cs="Times New Roman"/>
                <w:color w:val="000000"/>
                <w:kern w:val="0"/>
                <w:sz w:val="24"/>
              </w:rPr>
            </w:pPr>
            <w:r>
              <w:rPr>
                <w:rFonts w:ascii="Times New Roman" w:eastAsia="Yu Gothic" w:hAnsi="Times New Roman" w:cs="Times New Roman"/>
                <w:color w:val="000000"/>
                <w:kern w:val="0"/>
                <w:sz w:val="24"/>
              </w:rPr>
              <w:t>L</w:t>
            </w:r>
            <w:r w:rsidRPr="00394EC7">
              <w:rPr>
                <w:rFonts w:ascii="Times New Roman" w:eastAsia="Yu Gothic" w:hAnsi="Times New Roman" w:cs="Times New Roman"/>
                <w:color w:val="000000"/>
                <w:kern w:val="0"/>
                <w:sz w:val="24"/>
              </w:rPr>
              <w:t>ens status (phakic vs. pseudophakic)</w:t>
            </w:r>
          </w:p>
        </w:tc>
        <w:tc>
          <w:tcPr>
            <w:tcW w:w="738" w:type="dxa"/>
            <w:tcBorders>
              <w:top w:val="nil"/>
              <w:left w:val="nil"/>
              <w:bottom w:val="nil"/>
              <w:right w:val="nil"/>
            </w:tcBorders>
            <w:noWrap/>
            <w:vAlign w:val="center"/>
            <w:hideMark/>
          </w:tcPr>
          <w:p w14:paraId="54DC3BA1"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0.104</w:t>
            </w:r>
          </w:p>
        </w:tc>
        <w:tc>
          <w:tcPr>
            <w:tcW w:w="4111" w:type="dxa"/>
            <w:tcBorders>
              <w:top w:val="nil"/>
              <w:left w:val="nil"/>
              <w:bottom w:val="nil"/>
              <w:right w:val="nil"/>
            </w:tcBorders>
            <w:noWrap/>
            <w:vAlign w:val="center"/>
            <w:hideMark/>
          </w:tcPr>
          <w:p w14:paraId="1FE86AD4"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-0.439 to 0.646</w:t>
            </w:r>
          </w:p>
        </w:tc>
        <w:tc>
          <w:tcPr>
            <w:tcW w:w="874" w:type="dxa"/>
            <w:tcBorders>
              <w:top w:val="nil"/>
              <w:left w:val="nil"/>
              <w:bottom w:val="nil"/>
              <w:right w:val="nil"/>
            </w:tcBorders>
            <w:noWrap/>
            <w:vAlign w:val="center"/>
            <w:hideMark/>
          </w:tcPr>
          <w:p w14:paraId="32570A9A" w14:textId="624048BB"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0.70</w:t>
            </w:r>
          </w:p>
        </w:tc>
      </w:tr>
      <w:tr w:rsidR="002C7B4C" w14:paraId="2BBB3FC3" w14:textId="77777777" w:rsidTr="004E209F">
        <w:trPr>
          <w:gridAfter w:val="1"/>
          <w:wAfter w:w="9733" w:type="dxa"/>
          <w:trHeight w:val="400"/>
        </w:trPr>
        <w:tc>
          <w:tcPr>
            <w:tcW w:w="4678" w:type="dxa"/>
            <w:tcBorders>
              <w:top w:val="nil"/>
              <w:left w:val="nil"/>
              <w:bottom w:val="single" w:sz="4" w:space="0" w:color="auto"/>
              <w:right w:val="nil"/>
            </w:tcBorders>
            <w:noWrap/>
            <w:vAlign w:val="center"/>
            <w:hideMark/>
          </w:tcPr>
          <w:p w14:paraId="0A332E4D" w14:textId="77777777" w:rsidR="007C7C89" w:rsidRPr="00394EC7" w:rsidRDefault="00445D32" w:rsidP="0058642C">
            <w:pPr>
              <w:widowControl/>
              <w:jc w:val="left"/>
              <w:rPr>
                <w:rFonts w:ascii="Times New Roman" w:eastAsia="Yu Gothic" w:hAnsi="Times New Roman" w:cs="Times New Roman"/>
                <w:color w:val="000000"/>
                <w:kern w:val="0"/>
                <w:sz w:val="24"/>
              </w:rPr>
            </w:pPr>
            <w:r>
              <w:rPr>
                <w:rFonts w:ascii="Times New Roman" w:eastAsia="Yu Gothic" w:hAnsi="Times New Roman" w:cs="Times New Roman"/>
                <w:color w:val="000000"/>
                <w:kern w:val="0"/>
                <w:sz w:val="24"/>
              </w:rPr>
              <w:t xml:space="preserve">ERM </w:t>
            </w:r>
            <w:r w:rsidRPr="00394EC7">
              <w:rPr>
                <w:rFonts w:ascii="Times New Roman" w:eastAsia="Yu Gothic" w:hAnsi="Times New Roman" w:cs="Times New Roman"/>
                <w:color w:val="000000"/>
                <w:kern w:val="0"/>
                <w:sz w:val="24"/>
              </w:rPr>
              <w:t>(present vs. absent)</w:t>
            </w:r>
          </w:p>
        </w:tc>
        <w:tc>
          <w:tcPr>
            <w:tcW w:w="738" w:type="dxa"/>
            <w:tcBorders>
              <w:top w:val="nil"/>
              <w:left w:val="nil"/>
              <w:bottom w:val="single" w:sz="4" w:space="0" w:color="auto"/>
              <w:right w:val="nil"/>
            </w:tcBorders>
            <w:noWrap/>
            <w:vAlign w:val="center"/>
            <w:hideMark/>
          </w:tcPr>
          <w:p w14:paraId="6883EBA7"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0.613</w:t>
            </w:r>
          </w:p>
        </w:tc>
        <w:tc>
          <w:tcPr>
            <w:tcW w:w="4111" w:type="dxa"/>
            <w:tcBorders>
              <w:top w:val="nil"/>
              <w:left w:val="nil"/>
              <w:bottom w:val="single" w:sz="4" w:space="0" w:color="auto"/>
              <w:right w:val="nil"/>
            </w:tcBorders>
            <w:noWrap/>
            <w:vAlign w:val="center"/>
            <w:hideMark/>
          </w:tcPr>
          <w:p w14:paraId="27F461E7" w14:textId="77777777"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-0.124 to 1.350</w:t>
            </w:r>
          </w:p>
        </w:tc>
        <w:tc>
          <w:tcPr>
            <w:tcW w:w="874" w:type="dxa"/>
            <w:tcBorders>
              <w:top w:val="nil"/>
              <w:left w:val="nil"/>
              <w:bottom w:val="single" w:sz="4" w:space="0" w:color="auto"/>
              <w:right w:val="nil"/>
            </w:tcBorders>
            <w:noWrap/>
            <w:vAlign w:val="center"/>
            <w:hideMark/>
          </w:tcPr>
          <w:p w14:paraId="655C9489" w14:textId="5733206C" w:rsidR="007C7C89" w:rsidRPr="00394EC7" w:rsidRDefault="00445D32" w:rsidP="004E209F">
            <w:pPr>
              <w:widowControl/>
              <w:jc w:val="center"/>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0.10</w:t>
            </w:r>
          </w:p>
        </w:tc>
      </w:tr>
      <w:tr w:rsidR="002C7B4C" w14:paraId="47EB9C33" w14:textId="77777777" w:rsidTr="004E209F">
        <w:trPr>
          <w:gridAfter w:val="1"/>
          <w:wAfter w:w="9733" w:type="dxa"/>
          <w:trHeight w:val="400"/>
        </w:trPr>
        <w:tc>
          <w:tcPr>
            <w:tcW w:w="10401" w:type="dxa"/>
            <w:gridSpan w:val="4"/>
            <w:tcBorders>
              <w:top w:val="nil"/>
              <w:left w:val="nil"/>
              <w:bottom w:val="nil"/>
              <w:right w:val="nil"/>
            </w:tcBorders>
            <w:noWrap/>
            <w:vAlign w:val="center"/>
            <w:hideMark/>
          </w:tcPr>
          <w:p w14:paraId="4989D635" w14:textId="66822879" w:rsidR="007C7C89" w:rsidRPr="00394EC7" w:rsidRDefault="00445D32" w:rsidP="0058642C">
            <w:pPr>
              <w:widowControl/>
              <w:jc w:val="left"/>
              <w:rPr>
                <w:rFonts w:ascii="Times New Roman" w:eastAsia="Yu Gothic" w:hAnsi="Times New Roman" w:cs="Times New Roman"/>
                <w:color w:val="000000"/>
                <w:kern w:val="0"/>
                <w:sz w:val="24"/>
              </w:rPr>
            </w:pPr>
            <w:r w:rsidRPr="00394EC7">
              <w:rPr>
                <w:rFonts w:ascii="Times New Roman" w:eastAsia="Yu Gothic" w:hAnsi="Times New Roman" w:cs="Times New Roman"/>
                <w:color w:val="000000"/>
                <w:kern w:val="0"/>
                <w:sz w:val="24"/>
              </w:rPr>
              <w:t>A generalized estimating equation (GEE) analysis restricted to eyes without prior vitreoretinal surgery to ev</w:t>
            </w:r>
            <w:r w:rsidRPr="00330902">
              <w:rPr>
                <w:rFonts w:ascii="Times New Roman" w:eastAsia="Yu Gothic" w:hAnsi="Times New Roman" w:cs="Times New Roman"/>
                <w:kern w:val="0"/>
                <w:sz w:val="24"/>
              </w:rPr>
              <w:t xml:space="preserve">aluate the potential influence of epiretinal membrane (ERM) on </w:t>
            </w:r>
            <w:r w:rsidR="0053163F" w:rsidRPr="00330902">
              <w:rPr>
                <w:rFonts w:ascii="Times New Roman" w:eastAsia="Yu Gothic" w:hAnsi="Times New Roman" w:cs="Times New Roman"/>
                <w:kern w:val="0"/>
                <w:sz w:val="24"/>
              </w:rPr>
              <w:t>central subfield thickness</w:t>
            </w:r>
            <w:r w:rsidRPr="00330902">
              <w:rPr>
                <w:rFonts w:ascii="Times New Roman" w:eastAsia="Yu Gothic" w:hAnsi="Times New Roman" w:cs="Times New Roman"/>
                <w:kern w:val="0"/>
                <w:sz w:val="24"/>
              </w:rPr>
              <w:t xml:space="preserve"> (</w:t>
            </w:r>
            <w:r w:rsidR="0053163F" w:rsidRPr="00330902">
              <w:rPr>
                <w:rFonts w:ascii="Times New Roman" w:eastAsia="Yu Gothic" w:hAnsi="Times New Roman" w:cs="Times New Roman"/>
                <w:kern w:val="0"/>
                <w:sz w:val="24"/>
              </w:rPr>
              <w:t>CST</w:t>
            </w:r>
            <w:r w:rsidRPr="00330902">
              <w:rPr>
                <w:rFonts w:ascii="Times New Roman" w:eastAsia="Yu Gothic" w:hAnsi="Times New Roman" w:cs="Times New Roman"/>
                <w:kern w:val="0"/>
                <w:sz w:val="24"/>
              </w:rPr>
              <w:t xml:space="preserve">) difference. </w:t>
            </w:r>
            <w:r w:rsidR="0053163F" w:rsidRPr="00330902">
              <w:rPr>
                <w:rFonts w:ascii="Times New Roman" w:eastAsia="Yu Gothic" w:hAnsi="Times New Roman" w:cs="Times New Roman"/>
                <w:kern w:val="0"/>
                <w:sz w:val="24"/>
              </w:rPr>
              <w:t>CST</w:t>
            </w:r>
            <w:r w:rsidRPr="00330902">
              <w:rPr>
                <w:rFonts w:ascii="Times New Roman" w:eastAsia="Yu Gothic" w:hAnsi="Times New Roman" w:cs="Times New Roman"/>
                <w:kern w:val="0"/>
                <w:sz w:val="24"/>
              </w:rPr>
              <w:t xml:space="preserve"> difference was defined as uncorrected </w:t>
            </w:r>
            <w:r w:rsidR="0053163F" w:rsidRPr="00330902">
              <w:rPr>
                <w:rFonts w:ascii="Times New Roman" w:eastAsia="Yu Gothic" w:hAnsi="Times New Roman" w:cs="Times New Roman"/>
                <w:kern w:val="0"/>
                <w:sz w:val="24"/>
              </w:rPr>
              <w:t>CST</w:t>
            </w:r>
            <w:r w:rsidRPr="00330902">
              <w:rPr>
                <w:rFonts w:ascii="Times New Roman" w:eastAsia="Yu Gothic" w:hAnsi="Times New Roman" w:cs="Times New Roman"/>
                <w:kern w:val="0"/>
                <w:sz w:val="24"/>
              </w:rPr>
              <w:t xml:space="preserve"> minus corrected </w:t>
            </w:r>
            <w:r w:rsidR="0053163F" w:rsidRPr="00330902">
              <w:rPr>
                <w:rFonts w:ascii="Times New Roman" w:eastAsia="Yu Gothic" w:hAnsi="Times New Roman" w:cs="Times New Roman"/>
                <w:kern w:val="0"/>
                <w:sz w:val="24"/>
              </w:rPr>
              <w:t>CST</w:t>
            </w:r>
            <w:r w:rsidRPr="00330902">
              <w:rPr>
                <w:rFonts w:ascii="Times New Roman" w:eastAsia="Yu Gothic" w:hAnsi="Times New Roman" w:cs="Times New Roman"/>
                <w:kern w:val="0"/>
                <w:sz w:val="24"/>
              </w:rPr>
              <w:t>. Axi</w:t>
            </w:r>
            <w:r w:rsidRPr="00394EC7">
              <w:rPr>
                <w:rFonts w:ascii="Times New Roman" w:eastAsia="Yu Gothic" w:hAnsi="Times New Roman" w:cs="Times New Roman"/>
                <w:color w:val="000000"/>
                <w:kern w:val="0"/>
                <w:sz w:val="24"/>
              </w:rPr>
              <w:t xml:space="preserve">al length was entered as a continuous variable (per 1-mm increase). </w:t>
            </w:r>
            <w:r>
              <w:rPr>
                <w:rFonts w:ascii="Times New Roman" w:eastAsia="Yu Gothic" w:hAnsi="Times New Roman" w:cs="Times New Roman"/>
                <w:color w:val="000000"/>
                <w:kern w:val="0"/>
                <w:sz w:val="24"/>
              </w:rPr>
              <w:t>L</w:t>
            </w:r>
            <w:r w:rsidRPr="00394EC7">
              <w:rPr>
                <w:rFonts w:ascii="Times New Roman" w:eastAsia="Yu Gothic" w:hAnsi="Times New Roman" w:cs="Times New Roman"/>
                <w:color w:val="000000"/>
                <w:kern w:val="0"/>
                <w:sz w:val="24"/>
              </w:rPr>
              <w:t xml:space="preserve">ens status was coded as phakic vs. pseudophakic, and epiretinal membrane as present vs. absent (reference categories: pseudophakic and absence of ERM). A </w:t>
            </w:r>
            <w:r>
              <w:rPr>
                <w:rFonts w:ascii="Times New Roman" w:eastAsia="Yu Gothic" w:hAnsi="Times New Roman" w:cs="Times New Roman"/>
                <w:color w:val="000000"/>
                <w:kern w:val="0"/>
                <w:sz w:val="24"/>
              </w:rPr>
              <w:t xml:space="preserve">GEE </w:t>
            </w:r>
            <w:r w:rsidRPr="00394EC7">
              <w:rPr>
                <w:rFonts w:ascii="Times New Roman" w:eastAsia="Yu Gothic" w:hAnsi="Times New Roman" w:cs="Times New Roman"/>
                <w:color w:val="000000"/>
                <w:kern w:val="0"/>
                <w:sz w:val="24"/>
              </w:rPr>
              <w:t>with a normal distribution and identity link was used.</w:t>
            </w:r>
          </w:p>
        </w:tc>
      </w:tr>
    </w:tbl>
    <w:p w14:paraId="34D42E6A" w14:textId="77777777" w:rsidR="007C7C89" w:rsidRPr="00F81100" w:rsidRDefault="007C7C89" w:rsidP="007C7C89"/>
    <w:p w14:paraId="5CA05FE9" w14:textId="77777777" w:rsidR="002173C1" w:rsidRDefault="002173C1" w:rsidP="007F55B4"/>
    <w:p w14:paraId="0F8C54D3" w14:textId="77777777" w:rsidR="002173C1" w:rsidRDefault="002173C1" w:rsidP="007F55B4"/>
    <w:p w14:paraId="159EDAB4" w14:textId="77777777" w:rsidR="002173C1" w:rsidRDefault="002173C1" w:rsidP="007F55B4"/>
    <w:p w14:paraId="0A38D9C6" w14:textId="77777777" w:rsidR="002173C1" w:rsidRDefault="002173C1" w:rsidP="007F55B4"/>
    <w:p w14:paraId="4207451D" w14:textId="77777777" w:rsidR="002173C1" w:rsidRDefault="002173C1" w:rsidP="007F55B4"/>
    <w:p w14:paraId="2BF34E9D" w14:textId="77777777" w:rsidR="002173C1" w:rsidRDefault="002173C1" w:rsidP="007F55B4"/>
    <w:p w14:paraId="301BB826" w14:textId="77777777" w:rsidR="002173C1" w:rsidRDefault="002173C1" w:rsidP="007F55B4"/>
    <w:p w14:paraId="32745ED9" w14:textId="77777777" w:rsidR="002173C1" w:rsidRDefault="002173C1" w:rsidP="007F55B4"/>
    <w:bookmarkEnd w:id="0"/>
    <w:p w14:paraId="35678AE4" w14:textId="77777777" w:rsidR="002173C1" w:rsidRPr="002173C1" w:rsidRDefault="002173C1" w:rsidP="007F55B4"/>
    <w:sectPr w:rsidR="002173C1" w:rsidRPr="002173C1" w:rsidSect="0070247D">
      <w:type w:val="continuous"/>
      <w:pgSz w:w="16840" w:h="11900" w:orient="landscape"/>
      <w:pgMar w:top="1701" w:right="1985" w:bottom="1701" w:left="1701"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F9C1F9" w14:textId="77777777" w:rsidR="00445D32" w:rsidRDefault="00445D32" w:rsidP="00E4726D">
      <w:r>
        <w:separator/>
      </w:r>
    </w:p>
  </w:endnote>
  <w:endnote w:type="continuationSeparator" w:id="0">
    <w:p w14:paraId="0E3F937B" w14:textId="77777777" w:rsidR="00445D32" w:rsidRDefault="00445D32" w:rsidP="00E47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altName w:val="MS Gothic"/>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860D70" w14:textId="77777777" w:rsidR="00445D32" w:rsidRDefault="00445D32" w:rsidP="00E4726D">
      <w:r>
        <w:separator/>
      </w:r>
    </w:p>
  </w:footnote>
  <w:footnote w:type="continuationSeparator" w:id="0">
    <w:p w14:paraId="2FD98021" w14:textId="77777777" w:rsidR="00445D32" w:rsidRDefault="00445D32" w:rsidP="00E472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9FF"/>
    <w:rsid w:val="00010188"/>
    <w:rsid w:val="00011638"/>
    <w:rsid w:val="00015F31"/>
    <w:rsid w:val="0001621F"/>
    <w:rsid w:val="00016265"/>
    <w:rsid w:val="0001727F"/>
    <w:rsid w:val="0002252E"/>
    <w:rsid w:val="000237F7"/>
    <w:rsid w:val="000240FC"/>
    <w:rsid w:val="00025598"/>
    <w:rsid w:val="000268F0"/>
    <w:rsid w:val="00033F3B"/>
    <w:rsid w:val="000340E0"/>
    <w:rsid w:val="00036161"/>
    <w:rsid w:val="000379C7"/>
    <w:rsid w:val="0004405D"/>
    <w:rsid w:val="00045402"/>
    <w:rsid w:val="00045751"/>
    <w:rsid w:val="00051574"/>
    <w:rsid w:val="00051907"/>
    <w:rsid w:val="00053981"/>
    <w:rsid w:val="00057657"/>
    <w:rsid w:val="00067911"/>
    <w:rsid w:val="00071164"/>
    <w:rsid w:val="00081AAC"/>
    <w:rsid w:val="00083231"/>
    <w:rsid w:val="00092DFC"/>
    <w:rsid w:val="0009377B"/>
    <w:rsid w:val="00095380"/>
    <w:rsid w:val="00097365"/>
    <w:rsid w:val="000A1E1C"/>
    <w:rsid w:val="000A56EA"/>
    <w:rsid w:val="000A6694"/>
    <w:rsid w:val="000A72E6"/>
    <w:rsid w:val="000A7F83"/>
    <w:rsid w:val="000B28D8"/>
    <w:rsid w:val="000B2DEA"/>
    <w:rsid w:val="000B4669"/>
    <w:rsid w:val="000B5139"/>
    <w:rsid w:val="000B79FF"/>
    <w:rsid w:val="000C685F"/>
    <w:rsid w:val="000D6E79"/>
    <w:rsid w:val="000D70BB"/>
    <w:rsid w:val="000E0CF5"/>
    <w:rsid w:val="000E0E62"/>
    <w:rsid w:val="000E26A6"/>
    <w:rsid w:val="000E5AB6"/>
    <w:rsid w:val="000E67A0"/>
    <w:rsid w:val="000E7A90"/>
    <w:rsid w:val="000F105C"/>
    <w:rsid w:val="000F6CD0"/>
    <w:rsid w:val="000F6DAC"/>
    <w:rsid w:val="000F761E"/>
    <w:rsid w:val="000F7765"/>
    <w:rsid w:val="00101186"/>
    <w:rsid w:val="00101CA6"/>
    <w:rsid w:val="00102516"/>
    <w:rsid w:val="00105291"/>
    <w:rsid w:val="001061B8"/>
    <w:rsid w:val="001076D0"/>
    <w:rsid w:val="00131084"/>
    <w:rsid w:val="00133586"/>
    <w:rsid w:val="001352A8"/>
    <w:rsid w:val="00140F8A"/>
    <w:rsid w:val="00143EC9"/>
    <w:rsid w:val="001520C4"/>
    <w:rsid w:val="00152E72"/>
    <w:rsid w:val="001565B1"/>
    <w:rsid w:val="00160078"/>
    <w:rsid w:val="00161B28"/>
    <w:rsid w:val="001700F2"/>
    <w:rsid w:val="001708C4"/>
    <w:rsid w:val="00177BC0"/>
    <w:rsid w:val="00177DCD"/>
    <w:rsid w:val="00181FBD"/>
    <w:rsid w:val="00182AD6"/>
    <w:rsid w:val="00182B90"/>
    <w:rsid w:val="00186EAB"/>
    <w:rsid w:val="00190A20"/>
    <w:rsid w:val="00192E93"/>
    <w:rsid w:val="00194348"/>
    <w:rsid w:val="001A0557"/>
    <w:rsid w:val="001A3930"/>
    <w:rsid w:val="001A436F"/>
    <w:rsid w:val="001A5F84"/>
    <w:rsid w:val="001A632D"/>
    <w:rsid w:val="001B1EF0"/>
    <w:rsid w:val="001B7D0B"/>
    <w:rsid w:val="001C29E8"/>
    <w:rsid w:val="001C320E"/>
    <w:rsid w:val="001D1A5E"/>
    <w:rsid w:val="001D24EB"/>
    <w:rsid w:val="001D4CAC"/>
    <w:rsid w:val="001D5157"/>
    <w:rsid w:val="001D670E"/>
    <w:rsid w:val="001D7AD4"/>
    <w:rsid w:val="001E5B35"/>
    <w:rsid w:val="001E6069"/>
    <w:rsid w:val="001E61EE"/>
    <w:rsid w:val="001F2269"/>
    <w:rsid w:val="001F3989"/>
    <w:rsid w:val="00204AE4"/>
    <w:rsid w:val="00215CE3"/>
    <w:rsid w:val="002173C1"/>
    <w:rsid w:val="00222584"/>
    <w:rsid w:val="00223465"/>
    <w:rsid w:val="00225FFB"/>
    <w:rsid w:val="0023636E"/>
    <w:rsid w:val="002373F4"/>
    <w:rsid w:val="0024114E"/>
    <w:rsid w:val="002413CC"/>
    <w:rsid w:val="00252B07"/>
    <w:rsid w:val="00252B12"/>
    <w:rsid w:val="002550A7"/>
    <w:rsid w:val="00255AB3"/>
    <w:rsid w:val="00257825"/>
    <w:rsid w:val="00261D9C"/>
    <w:rsid w:val="00263B74"/>
    <w:rsid w:val="00263F00"/>
    <w:rsid w:val="00264687"/>
    <w:rsid w:val="002648E7"/>
    <w:rsid w:val="002663FD"/>
    <w:rsid w:val="00266404"/>
    <w:rsid w:val="00271DCD"/>
    <w:rsid w:val="00272615"/>
    <w:rsid w:val="00274831"/>
    <w:rsid w:val="00274DF9"/>
    <w:rsid w:val="00281941"/>
    <w:rsid w:val="00286073"/>
    <w:rsid w:val="00291710"/>
    <w:rsid w:val="002918A9"/>
    <w:rsid w:val="00292E7E"/>
    <w:rsid w:val="002947B6"/>
    <w:rsid w:val="00295264"/>
    <w:rsid w:val="002A255D"/>
    <w:rsid w:val="002A294A"/>
    <w:rsid w:val="002A48D1"/>
    <w:rsid w:val="002A5425"/>
    <w:rsid w:val="002B2ED4"/>
    <w:rsid w:val="002B5856"/>
    <w:rsid w:val="002B7B34"/>
    <w:rsid w:val="002C30A0"/>
    <w:rsid w:val="002C707A"/>
    <w:rsid w:val="002C7B4C"/>
    <w:rsid w:val="002E3F93"/>
    <w:rsid w:val="002E44C8"/>
    <w:rsid w:val="002E719C"/>
    <w:rsid w:val="002F0D20"/>
    <w:rsid w:val="0030025F"/>
    <w:rsid w:val="00301ACE"/>
    <w:rsid w:val="00304B52"/>
    <w:rsid w:val="00306C44"/>
    <w:rsid w:val="00310AF4"/>
    <w:rsid w:val="0031261E"/>
    <w:rsid w:val="003152E8"/>
    <w:rsid w:val="00316343"/>
    <w:rsid w:val="00323B5C"/>
    <w:rsid w:val="00330902"/>
    <w:rsid w:val="00330905"/>
    <w:rsid w:val="00332728"/>
    <w:rsid w:val="0033543C"/>
    <w:rsid w:val="003378FF"/>
    <w:rsid w:val="00342666"/>
    <w:rsid w:val="00342E63"/>
    <w:rsid w:val="003454DB"/>
    <w:rsid w:val="00346404"/>
    <w:rsid w:val="00350431"/>
    <w:rsid w:val="00355738"/>
    <w:rsid w:val="00355A29"/>
    <w:rsid w:val="00363B12"/>
    <w:rsid w:val="003655A3"/>
    <w:rsid w:val="00370528"/>
    <w:rsid w:val="00370EFC"/>
    <w:rsid w:val="003719E4"/>
    <w:rsid w:val="003733BF"/>
    <w:rsid w:val="00373DBE"/>
    <w:rsid w:val="00376A2B"/>
    <w:rsid w:val="00384149"/>
    <w:rsid w:val="003869E3"/>
    <w:rsid w:val="00394DFF"/>
    <w:rsid w:val="00394EC7"/>
    <w:rsid w:val="003A06AE"/>
    <w:rsid w:val="003A09D5"/>
    <w:rsid w:val="003A0A68"/>
    <w:rsid w:val="003A0F7C"/>
    <w:rsid w:val="003A5550"/>
    <w:rsid w:val="003B05F9"/>
    <w:rsid w:val="003B5A0D"/>
    <w:rsid w:val="003B610D"/>
    <w:rsid w:val="003C67AB"/>
    <w:rsid w:val="003C6FA0"/>
    <w:rsid w:val="003C7436"/>
    <w:rsid w:val="003D25B3"/>
    <w:rsid w:val="003D2B1C"/>
    <w:rsid w:val="003D3629"/>
    <w:rsid w:val="003D60FF"/>
    <w:rsid w:val="003E0AA9"/>
    <w:rsid w:val="003F0875"/>
    <w:rsid w:val="004057B8"/>
    <w:rsid w:val="004061C3"/>
    <w:rsid w:val="00407C3E"/>
    <w:rsid w:val="004107FA"/>
    <w:rsid w:val="00413EB9"/>
    <w:rsid w:val="00416841"/>
    <w:rsid w:val="0041763C"/>
    <w:rsid w:val="004203E9"/>
    <w:rsid w:val="0042336F"/>
    <w:rsid w:val="004335FC"/>
    <w:rsid w:val="00434BFB"/>
    <w:rsid w:val="00435931"/>
    <w:rsid w:val="00437C41"/>
    <w:rsid w:val="00440A82"/>
    <w:rsid w:val="00443595"/>
    <w:rsid w:val="00443971"/>
    <w:rsid w:val="004442F4"/>
    <w:rsid w:val="00445D32"/>
    <w:rsid w:val="00446416"/>
    <w:rsid w:val="004507D2"/>
    <w:rsid w:val="00450B4C"/>
    <w:rsid w:val="00450C78"/>
    <w:rsid w:val="00450DAA"/>
    <w:rsid w:val="004523CA"/>
    <w:rsid w:val="004556BA"/>
    <w:rsid w:val="004563D5"/>
    <w:rsid w:val="00456DD1"/>
    <w:rsid w:val="00464372"/>
    <w:rsid w:val="00465565"/>
    <w:rsid w:val="004736B3"/>
    <w:rsid w:val="00484B54"/>
    <w:rsid w:val="004858AF"/>
    <w:rsid w:val="0048745F"/>
    <w:rsid w:val="00493111"/>
    <w:rsid w:val="00493495"/>
    <w:rsid w:val="004944E7"/>
    <w:rsid w:val="004946A1"/>
    <w:rsid w:val="00494C3F"/>
    <w:rsid w:val="004A52DD"/>
    <w:rsid w:val="004A6AD8"/>
    <w:rsid w:val="004B1377"/>
    <w:rsid w:val="004B3CA5"/>
    <w:rsid w:val="004B49DD"/>
    <w:rsid w:val="004B6A97"/>
    <w:rsid w:val="004B7810"/>
    <w:rsid w:val="004B7EA0"/>
    <w:rsid w:val="004C2D2A"/>
    <w:rsid w:val="004C68DA"/>
    <w:rsid w:val="004D046C"/>
    <w:rsid w:val="004E18E7"/>
    <w:rsid w:val="004E1B2C"/>
    <w:rsid w:val="004E209F"/>
    <w:rsid w:val="004E31AB"/>
    <w:rsid w:val="004E3E07"/>
    <w:rsid w:val="004E5939"/>
    <w:rsid w:val="004E766A"/>
    <w:rsid w:val="004F0094"/>
    <w:rsid w:val="004F427C"/>
    <w:rsid w:val="004F6DDB"/>
    <w:rsid w:val="00500DD5"/>
    <w:rsid w:val="00506BBC"/>
    <w:rsid w:val="0051236A"/>
    <w:rsid w:val="0051690C"/>
    <w:rsid w:val="00520FAB"/>
    <w:rsid w:val="00522D9F"/>
    <w:rsid w:val="0052457D"/>
    <w:rsid w:val="005256CD"/>
    <w:rsid w:val="005300B6"/>
    <w:rsid w:val="0053163F"/>
    <w:rsid w:val="0053299C"/>
    <w:rsid w:val="00532B24"/>
    <w:rsid w:val="00534FAC"/>
    <w:rsid w:val="00541CBB"/>
    <w:rsid w:val="00545243"/>
    <w:rsid w:val="00555660"/>
    <w:rsid w:val="005566B0"/>
    <w:rsid w:val="0057221E"/>
    <w:rsid w:val="00573018"/>
    <w:rsid w:val="00575A61"/>
    <w:rsid w:val="00582418"/>
    <w:rsid w:val="005846FC"/>
    <w:rsid w:val="00584EEA"/>
    <w:rsid w:val="00585F4A"/>
    <w:rsid w:val="0058642C"/>
    <w:rsid w:val="00586BDE"/>
    <w:rsid w:val="005A0761"/>
    <w:rsid w:val="005A1F3F"/>
    <w:rsid w:val="005A3367"/>
    <w:rsid w:val="005B0341"/>
    <w:rsid w:val="005B0544"/>
    <w:rsid w:val="005B0625"/>
    <w:rsid w:val="005B2342"/>
    <w:rsid w:val="005B4DDC"/>
    <w:rsid w:val="005B521F"/>
    <w:rsid w:val="005B5DAE"/>
    <w:rsid w:val="005B716E"/>
    <w:rsid w:val="005B7E0E"/>
    <w:rsid w:val="005C2ACA"/>
    <w:rsid w:val="005C4020"/>
    <w:rsid w:val="005C4CD5"/>
    <w:rsid w:val="005C4F9E"/>
    <w:rsid w:val="005C5C17"/>
    <w:rsid w:val="005D1591"/>
    <w:rsid w:val="005D2175"/>
    <w:rsid w:val="005D2B01"/>
    <w:rsid w:val="005D3B9E"/>
    <w:rsid w:val="005D6923"/>
    <w:rsid w:val="005E14BF"/>
    <w:rsid w:val="005E4618"/>
    <w:rsid w:val="005F054A"/>
    <w:rsid w:val="005F3A2A"/>
    <w:rsid w:val="005F7EF2"/>
    <w:rsid w:val="0060146A"/>
    <w:rsid w:val="00607B81"/>
    <w:rsid w:val="00613384"/>
    <w:rsid w:val="00617505"/>
    <w:rsid w:val="0062047B"/>
    <w:rsid w:val="0062050B"/>
    <w:rsid w:val="006207BE"/>
    <w:rsid w:val="00621DD7"/>
    <w:rsid w:val="006271D4"/>
    <w:rsid w:val="00627716"/>
    <w:rsid w:val="006278F8"/>
    <w:rsid w:val="00630893"/>
    <w:rsid w:val="00631EEA"/>
    <w:rsid w:val="00632244"/>
    <w:rsid w:val="00636A7C"/>
    <w:rsid w:val="00645E09"/>
    <w:rsid w:val="0065072E"/>
    <w:rsid w:val="00653AC4"/>
    <w:rsid w:val="006601EA"/>
    <w:rsid w:val="00661DC9"/>
    <w:rsid w:val="0066205E"/>
    <w:rsid w:val="00662DE8"/>
    <w:rsid w:val="0066360F"/>
    <w:rsid w:val="00672173"/>
    <w:rsid w:val="006725F7"/>
    <w:rsid w:val="006734C5"/>
    <w:rsid w:val="00673BD8"/>
    <w:rsid w:val="00674050"/>
    <w:rsid w:val="00676EFC"/>
    <w:rsid w:val="00677F69"/>
    <w:rsid w:val="00681D54"/>
    <w:rsid w:val="0068212D"/>
    <w:rsid w:val="00682E09"/>
    <w:rsid w:val="00683D5E"/>
    <w:rsid w:val="00684A29"/>
    <w:rsid w:val="00684CB8"/>
    <w:rsid w:val="006852C0"/>
    <w:rsid w:val="00687695"/>
    <w:rsid w:val="00690901"/>
    <w:rsid w:val="006A102F"/>
    <w:rsid w:val="006A31F0"/>
    <w:rsid w:val="006A79B6"/>
    <w:rsid w:val="006B121E"/>
    <w:rsid w:val="006B3993"/>
    <w:rsid w:val="006C5129"/>
    <w:rsid w:val="006C6EDE"/>
    <w:rsid w:val="006C7023"/>
    <w:rsid w:val="006C7E79"/>
    <w:rsid w:val="006D0EF4"/>
    <w:rsid w:val="006D213B"/>
    <w:rsid w:val="006D2456"/>
    <w:rsid w:val="006D2C32"/>
    <w:rsid w:val="006D65FE"/>
    <w:rsid w:val="006E0285"/>
    <w:rsid w:val="006E0BFF"/>
    <w:rsid w:val="006E0E00"/>
    <w:rsid w:val="006E1326"/>
    <w:rsid w:val="006E4981"/>
    <w:rsid w:val="006E6325"/>
    <w:rsid w:val="006F2DC4"/>
    <w:rsid w:val="0070247D"/>
    <w:rsid w:val="00702FBD"/>
    <w:rsid w:val="007033CF"/>
    <w:rsid w:val="00706B25"/>
    <w:rsid w:val="0071106B"/>
    <w:rsid w:val="0071248C"/>
    <w:rsid w:val="00717739"/>
    <w:rsid w:val="00721814"/>
    <w:rsid w:val="007258EF"/>
    <w:rsid w:val="00735AF3"/>
    <w:rsid w:val="007367E0"/>
    <w:rsid w:val="00741E2F"/>
    <w:rsid w:val="007467B7"/>
    <w:rsid w:val="00747FB9"/>
    <w:rsid w:val="00752038"/>
    <w:rsid w:val="0075542B"/>
    <w:rsid w:val="007562D1"/>
    <w:rsid w:val="00761418"/>
    <w:rsid w:val="00763A9E"/>
    <w:rsid w:val="0076567D"/>
    <w:rsid w:val="00767655"/>
    <w:rsid w:val="00775387"/>
    <w:rsid w:val="00784F48"/>
    <w:rsid w:val="00791AFE"/>
    <w:rsid w:val="007958E1"/>
    <w:rsid w:val="007960E2"/>
    <w:rsid w:val="00797B98"/>
    <w:rsid w:val="007A0A63"/>
    <w:rsid w:val="007A234A"/>
    <w:rsid w:val="007A38AC"/>
    <w:rsid w:val="007A6E12"/>
    <w:rsid w:val="007B1EA5"/>
    <w:rsid w:val="007B3DAD"/>
    <w:rsid w:val="007C4657"/>
    <w:rsid w:val="007C7177"/>
    <w:rsid w:val="007C7C89"/>
    <w:rsid w:val="007D5824"/>
    <w:rsid w:val="007D5892"/>
    <w:rsid w:val="007E27B6"/>
    <w:rsid w:val="007E304C"/>
    <w:rsid w:val="007E5D91"/>
    <w:rsid w:val="007F13BF"/>
    <w:rsid w:val="007F3D4D"/>
    <w:rsid w:val="007F44C6"/>
    <w:rsid w:val="007F55B4"/>
    <w:rsid w:val="007F71EA"/>
    <w:rsid w:val="008138E7"/>
    <w:rsid w:val="00814509"/>
    <w:rsid w:val="0081682D"/>
    <w:rsid w:val="00817E7B"/>
    <w:rsid w:val="008225BE"/>
    <w:rsid w:val="00823DD2"/>
    <w:rsid w:val="00824737"/>
    <w:rsid w:val="00824E28"/>
    <w:rsid w:val="00825BE1"/>
    <w:rsid w:val="00830C55"/>
    <w:rsid w:val="00833077"/>
    <w:rsid w:val="0083370B"/>
    <w:rsid w:val="00833B9C"/>
    <w:rsid w:val="0083627C"/>
    <w:rsid w:val="00836548"/>
    <w:rsid w:val="00837D34"/>
    <w:rsid w:val="008404DE"/>
    <w:rsid w:val="00840823"/>
    <w:rsid w:val="00841B4A"/>
    <w:rsid w:val="00846690"/>
    <w:rsid w:val="0085511A"/>
    <w:rsid w:val="00857BF5"/>
    <w:rsid w:val="008610AB"/>
    <w:rsid w:val="008645FF"/>
    <w:rsid w:val="00866CAE"/>
    <w:rsid w:val="00867405"/>
    <w:rsid w:val="008728FA"/>
    <w:rsid w:val="00890C6A"/>
    <w:rsid w:val="00890FEA"/>
    <w:rsid w:val="00892170"/>
    <w:rsid w:val="008A0105"/>
    <w:rsid w:val="008A044E"/>
    <w:rsid w:val="008A6D54"/>
    <w:rsid w:val="008A7E67"/>
    <w:rsid w:val="008B43C1"/>
    <w:rsid w:val="008C2145"/>
    <w:rsid w:val="008C31EE"/>
    <w:rsid w:val="008C3725"/>
    <w:rsid w:val="008D0836"/>
    <w:rsid w:val="008D491B"/>
    <w:rsid w:val="008E2793"/>
    <w:rsid w:val="008E2FCD"/>
    <w:rsid w:val="008E5748"/>
    <w:rsid w:val="008E7CB1"/>
    <w:rsid w:val="008E7CC1"/>
    <w:rsid w:val="00902D82"/>
    <w:rsid w:val="009030AB"/>
    <w:rsid w:val="00903144"/>
    <w:rsid w:val="00904C44"/>
    <w:rsid w:val="009117C0"/>
    <w:rsid w:val="00915384"/>
    <w:rsid w:val="00915578"/>
    <w:rsid w:val="0091618F"/>
    <w:rsid w:val="00923672"/>
    <w:rsid w:val="00923A3B"/>
    <w:rsid w:val="00925109"/>
    <w:rsid w:val="0093071A"/>
    <w:rsid w:val="00931ED4"/>
    <w:rsid w:val="009331CC"/>
    <w:rsid w:val="00933EAE"/>
    <w:rsid w:val="009408C3"/>
    <w:rsid w:val="0094278E"/>
    <w:rsid w:val="009453CC"/>
    <w:rsid w:val="00946801"/>
    <w:rsid w:val="009518CD"/>
    <w:rsid w:val="009529EF"/>
    <w:rsid w:val="00953AEB"/>
    <w:rsid w:val="00955548"/>
    <w:rsid w:val="00962FE1"/>
    <w:rsid w:val="009632AB"/>
    <w:rsid w:val="0096353D"/>
    <w:rsid w:val="00965BF5"/>
    <w:rsid w:val="00970915"/>
    <w:rsid w:val="00970ABE"/>
    <w:rsid w:val="00970B39"/>
    <w:rsid w:val="00973479"/>
    <w:rsid w:val="00976C3F"/>
    <w:rsid w:val="0098264D"/>
    <w:rsid w:val="00982C93"/>
    <w:rsid w:val="00984420"/>
    <w:rsid w:val="009861C1"/>
    <w:rsid w:val="00987243"/>
    <w:rsid w:val="00993749"/>
    <w:rsid w:val="009957C2"/>
    <w:rsid w:val="009B0DF6"/>
    <w:rsid w:val="009C609D"/>
    <w:rsid w:val="009C73DA"/>
    <w:rsid w:val="009D5C53"/>
    <w:rsid w:val="009E0393"/>
    <w:rsid w:val="009E110E"/>
    <w:rsid w:val="009E1B5B"/>
    <w:rsid w:val="009E6F8A"/>
    <w:rsid w:val="00A01314"/>
    <w:rsid w:val="00A01788"/>
    <w:rsid w:val="00A04058"/>
    <w:rsid w:val="00A05AC8"/>
    <w:rsid w:val="00A1489D"/>
    <w:rsid w:val="00A16BAF"/>
    <w:rsid w:val="00A204E0"/>
    <w:rsid w:val="00A22074"/>
    <w:rsid w:val="00A24B85"/>
    <w:rsid w:val="00A25360"/>
    <w:rsid w:val="00A2733C"/>
    <w:rsid w:val="00A27AD3"/>
    <w:rsid w:val="00A32022"/>
    <w:rsid w:val="00A32297"/>
    <w:rsid w:val="00A405E7"/>
    <w:rsid w:val="00A409E0"/>
    <w:rsid w:val="00A43447"/>
    <w:rsid w:val="00A43C29"/>
    <w:rsid w:val="00A446D4"/>
    <w:rsid w:val="00A50EDF"/>
    <w:rsid w:val="00A52BB0"/>
    <w:rsid w:val="00A55482"/>
    <w:rsid w:val="00A64B4F"/>
    <w:rsid w:val="00A66DE4"/>
    <w:rsid w:val="00A67861"/>
    <w:rsid w:val="00A73C2A"/>
    <w:rsid w:val="00A73D18"/>
    <w:rsid w:val="00A82AA9"/>
    <w:rsid w:val="00A9105B"/>
    <w:rsid w:val="00A9266D"/>
    <w:rsid w:val="00A942CE"/>
    <w:rsid w:val="00A9710F"/>
    <w:rsid w:val="00AA0027"/>
    <w:rsid w:val="00AA1F52"/>
    <w:rsid w:val="00AA77B3"/>
    <w:rsid w:val="00AB6D06"/>
    <w:rsid w:val="00AC3106"/>
    <w:rsid w:val="00AC5F13"/>
    <w:rsid w:val="00AC6DE7"/>
    <w:rsid w:val="00AD226F"/>
    <w:rsid w:val="00AD2848"/>
    <w:rsid w:val="00AE0423"/>
    <w:rsid w:val="00AE0CF1"/>
    <w:rsid w:val="00AE2C43"/>
    <w:rsid w:val="00AE3333"/>
    <w:rsid w:val="00AE3AA2"/>
    <w:rsid w:val="00AE4064"/>
    <w:rsid w:val="00AE4B9C"/>
    <w:rsid w:val="00AE6AC9"/>
    <w:rsid w:val="00AE6C94"/>
    <w:rsid w:val="00AF5BA8"/>
    <w:rsid w:val="00AF6E85"/>
    <w:rsid w:val="00B023CB"/>
    <w:rsid w:val="00B1378D"/>
    <w:rsid w:val="00B13AD5"/>
    <w:rsid w:val="00B200B4"/>
    <w:rsid w:val="00B2012B"/>
    <w:rsid w:val="00B20582"/>
    <w:rsid w:val="00B20F4F"/>
    <w:rsid w:val="00B2330C"/>
    <w:rsid w:val="00B23699"/>
    <w:rsid w:val="00B25E7E"/>
    <w:rsid w:val="00B25F6D"/>
    <w:rsid w:val="00B31753"/>
    <w:rsid w:val="00B32206"/>
    <w:rsid w:val="00B3527C"/>
    <w:rsid w:val="00B3769C"/>
    <w:rsid w:val="00B420B7"/>
    <w:rsid w:val="00B47431"/>
    <w:rsid w:val="00B521A0"/>
    <w:rsid w:val="00B535FF"/>
    <w:rsid w:val="00B57923"/>
    <w:rsid w:val="00B65456"/>
    <w:rsid w:val="00B70C5F"/>
    <w:rsid w:val="00B74322"/>
    <w:rsid w:val="00B74CF9"/>
    <w:rsid w:val="00B766A2"/>
    <w:rsid w:val="00B779C7"/>
    <w:rsid w:val="00B84E0D"/>
    <w:rsid w:val="00B85196"/>
    <w:rsid w:val="00B85D3E"/>
    <w:rsid w:val="00B948ED"/>
    <w:rsid w:val="00B94F10"/>
    <w:rsid w:val="00B9664D"/>
    <w:rsid w:val="00BA2CCA"/>
    <w:rsid w:val="00BA5EEA"/>
    <w:rsid w:val="00BC529B"/>
    <w:rsid w:val="00BC5699"/>
    <w:rsid w:val="00BE05EC"/>
    <w:rsid w:val="00BE24D3"/>
    <w:rsid w:val="00BE2AEC"/>
    <w:rsid w:val="00BE42B5"/>
    <w:rsid w:val="00BE6140"/>
    <w:rsid w:val="00BE7BB6"/>
    <w:rsid w:val="00BF156B"/>
    <w:rsid w:val="00BF2A9E"/>
    <w:rsid w:val="00BF6D32"/>
    <w:rsid w:val="00C056BA"/>
    <w:rsid w:val="00C05A84"/>
    <w:rsid w:val="00C12D41"/>
    <w:rsid w:val="00C2029A"/>
    <w:rsid w:val="00C42472"/>
    <w:rsid w:val="00C4514E"/>
    <w:rsid w:val="00C53854"/>
    <w:rsid w:val="00C55990"/>
    <w:rsid w:val="00C5683C"/>
    <w:rsid w:val="00C60CEB"/>
    <w:rsid w:val="00C70349"/>
    <w:rsid w:val="00C7060D"/>
    <w:rsid w:val="00C707FD"/>
    <w:rsid w:val="00C77479"/>
    <w:rsid w:val="00C8253B"/>
    <w:rsid w:val="00C83EAE"/>
    <w:rsid w:val="00C85A42"/>
    <w:rsid w:val="00C911D8"/>
    <w:rsid w:val="00C91FB1"/>
    <w:rsid w:val="00C96766"/>
    <w:rsid w:val="00CA2F37"/>
    <w:rsid w:val="00CA4CA1"/>
    <w:rsid w:val="00CB2BCB"/>
    <w:rsid w:val="00CB5279"/>
    <w:rsid w:val="00CB5991"/>
    <w:rsid w:val="00CC065F"/>
    <w:rsid w:val="00CC16A8"/>
    <w:rsid w:val="00CC2121"/>
    <w:rsid w:val="00CC3F65"/>
    <w:rsid w:val="00CC46EF"/>
    <w:rsid w:val="00CC7D5F"/>
    <w:rsid w:val="00CD659B"/>
    <w:rsid w:val="00CE0738"/>
    <w:rsid w:val="00CE0844"/>
    <w:rsid w:val="00CE20D3"/>
    <w:rsid w:val="00CE2F1F"/>
    <w:rsid w:val="00CE3C1B"/>
    <w:rsid w:val="00CF0DFB"/>
    <w:rsid w:val="00CF323D"/>
    <w:rsid w:val="00CF4FC5"/>
    <w:rsid w:val="00CF5ED7"/>
    <w:rsid w:val="00CF5F1D"/>
    <w:rsid w:val="00CF7480"/>
    <w:rsid w:val="00D02643"/>
    <w:rsid w:val="00D02E8D"/>
    <w:rsid w:val="00D03FB2"/>
    <w:rsid w:val="00D041E1"/>
    <w:rsid w:val="00D04B8E"/>
    <w:rsid w:val="00D06194"/>
    <w:rsid w:val="00D15D33"/>
    <w:rsid w:val="00D238F7"/>
    <w:rsid w:val="00D25279"/>
    <w:rsid w:val="00D2602A"/>
    <w:rsid w:val="00D3571B"/>
    <w:rsid w:val="00D36E85"/>
    <w:rsid w:val="00D37281"/>
    <w:rsid w:val="00D373F7"/>
    <w:rsid w:val="00D40249"/>
    <w:rsid w:val="00D41B66"/>
    <w:rsid w:val="00D43C43"/>
    <w:rsid w:val="00D46A3F"/>
    <w:rsid w:val="00D50507"/>
    <w:rsid w:val="00D524A9"/>
    <w:rsid w:val="00D561D5"/>
    <w:rsid w:val="00D6264F"/>
    <w:rsid w:val="00D732D1"/>
    <w:rsid w:val="00D8211E"/>
    <w:rsid w:val="00D824BD"/>
    <w:rsid w:val="00D83756"/>
    <w:rsid w:val="00D86BBE"/>
    <w:rsid w:val="00D92E15"/>
    <w:rsid w:val="00D93888"/>
    <w:rsid w:val="00D94DFE"/>
    <w:rsid w:val="00DA0653"/>
    <w:rsid w:val="00DA1853"/>
    <w:rsid w:val="00DA49E2"/>
    <w:rsid w:val="00DA727F"/>
    <w:rsid w:val="00DB15BE"/>
    <w:rsid w:val="00DB2466"/>
    <w:rsid w:val="00DB2D0B"/>
    <w:rsid w:val="00DC4244"/>
    <w:rsid w:val="00DD3708"/>
    <w:rsid w:val="00DD3EC5"/>
    <w:rsid w:val="00DD6E38"/>
    <w:rsid w:val="00DE348F"/>
    <w:rsid w:val="00DE53C1"/>
    <w:rsid w:val="00DF486F"/>
    <w:rsid w:val="00DF6D21"/>
    <w:rsid w:val="00DF72EA"/>
    <w:rsid w:val="00E019D0"/>
    <w:rsid w:val="00E0614D"/>
    <w:rsid w:val="00E06E77"/>
    <w:rsid w:val="00E07623"/>
    <w:rsid w:val="00E126C8"/>
    <w:rsid w:val="00E12858"/>
    <w:rsid w:val="00E15E8C"/>
    <w:rsid w:val="00E256EF"/>
    <w:rsid w:val="00E26608"/>
    <w:rsid w:val="00E26BA2"/>
    <w:rsid w:val="00E338CE"/>
    <w:rsid w:val="00E34E1B"/>
    <w:rsid w:val="00E36270"/>
    <w:rsid w:val="00E42BD5"/>
    <w:rsid w:val="00E434C9"/>
    <w:rsid w:val="00E446A4"/>
    <w:rsid w:val="00E45635"/>
    <w:rsid w:val="00E4726D"/>
    <w:rsid w:val="00E506CB"/>
    <w:rsid w:val="00E511E6"/>
    <w:rsid w:val="00E516F8"/>
    <w:rsid w:val="00E6040C"/>
    <w:rsid w:val="00E61AFC"/>
    <w:rsid w:val="00E62214"/>
    <w:rsid w:val="00E6351E"/>
    <w:rsid w:val="00E7066B"/>
    <w:rsid w:val="00E803CA"/>
    <w:rsid w:val="00E82E30"/>
    <w:rsid w:val="00E84B4A"/>
    <w:rsid w:val="00E95A3F"/>
    <w:rsid w:val="00E96368"/>
    <w:rsid w:val="00EA198C"/>
    <w:rsid w:val="00EA5F53"/>
    <w:rsid w:val="00EA5F65"/>
    <w:rsid w:val="00EB1ECB"/>
    <w:rsid w:val="00EB3B58"/>
    <w:rsid w:val="00EB5C15"/>
    <w:rsid w:val="00EB7BC3"/>
    <w:rsid w:val="00ED3462"/>
    <w:rsid w:val="00ED4F03"/>
    <w:rsid w:val="00ED6A55"/>
    <w:rsid w:val="00EE3356"/>
    <w:rsid w:val="00EF2A02"/>
    <w:rsid w:val="00EF362F"/>
    <w:rsid w:val="00EF5906"/>
    <w:rsid w:val="00EF67B9"/>
    <w:rsid w:val="00F0015A"/>
    <w:rsid w:val="00F01AE1"/>
    <w:rsid w:val="00F03974"/>
    <w:rsid w:val="00F12CF1"/>
    <w:rsid w:val="00F16527"/>
    <w:rsid w:val="00F16CAD"/>
    <w:rsid w:val="00F20107"/>
    <w:rsid w:val="00F205A9"/>
    <w:rsid w:val="00F20BD3"/>
    <w:rsid w:val="00F23F04"/>
    <w:rsid w:val="00F242C8"/>
    <w:rsid w:val="00F24E71"/>
    <w:rsid w:val="00F271C5"/>
    <w:rsid w:val="00F2723D"/>
    <w:rsid w:val="00F30816"/>
    <w:rsid w:val="00F30A7D"/>
    <w:rsid w:val="00F35757"/>
    <w:rsid w:val="00F37769"/>
    <w:rsid w:val="00F411A7"/>
    <w:rsid w:val="00F44765"/>
    <w:rsid w:val="00F45190"/>
    <w:rsid w:val="00F45827"/>
    <w:rsid w:val="00F4709E"/>
    <w:rsid w:val="00F51071"/>
    <w:rsid w:val="00F51EFE"/>
    <w:rsid w:val="00F526AB"/>
    <w:rsid w:val="00F52764"/>
    <w:rsid w:val="00F545F9"/>
    <w:rsid w:val="00F555B5"/>
    <w:rsid w:val="00F559B1"/>
    <w:rsid w:val="00F55BA4"/>
    <w:rsid w:val="00F564A1"/>
    <w:rsid w:val="00F5787E"/>
    <w:rsid w:val="00F603AE"/>
    <w:rsid w:val="00F60458"/>
    <w:rsid w:val="00F637E9"/>
    <w:rsid w:val="00F6490C"/>
    <w:rsid w:val="00F65787"/>
    <w:rsid w:val="00F67890"/>
    <w:rsid w:val="00F71036"/>
    <w:rsid w:val="00F71C7F"/>
    <w:rsid w:val="00F737FC"/>
    <w:rsid w:val="00F74E8D"/>
    <w:rsid w:val="00F74E8F"/>
    <w:rsid w:val="00F81100"/>
    <w:rsid w:val="00F83E50"/>
    <w:rsid w:val="00F865C6"/>
    <w:rsid w:val="00F90B5C"/>
    <w:rsid w:val="00F95EAC"/>
    <w:rsid w:val="00FA149E"/>
    <w:rsid w:val="00FA2FF1"/>
    <w:rsid w:val="00FA62DF"/>
    <w:rsid w:val="00FA6782"/>
    <w:rsid w:val="00FA7645"/>
    <w:rsid w:val="00FB1D94"/>
    <w:rsid w:val="00FB2370"/>
    <w:rsid w:val="00FB6073"/>
    <w:rsid w:val="00FC249C"/>
    <w:rsid w:val="00FD13A4"/>
    <w:rsid w:val="00FD1CE5"/>
    <w:rsid w:val="00FE3AF9"/>
    <w:rsid w:val="00FE5F5B"/>
    <w:rsid w:val="00FE6FDF"/>
    <w:rsid w:val="00FE705A"/>
    <w:rsid w:val="00FF2EBA"/>
    <w:rsid w:val="00FF46E3"/>
    <w:rsid w:val="00FF6C44"/>
    <w:rsid w:val="00FF748F"/>
    <w:rsid w:val="00FF76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DEA6C0"/>
  <w15:chartTrackingRefBased/>
  <w15:docId w15:val="{140143A3-E269-604B-8E62-67C8929E3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0B79F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0B79F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0B79FF"/>
    <w:pPr>
      <w:keepNext/>
      <w:keepLines/>
      <w:spacing w:before="160" w:after="80"/>
      <w:outlineLvl w:val="2"/>
    </w:pPr>
    <w:rPr>
      <w:rFonts w:asciiTheme="majorHAnsi" w:eastAsiaTheme="majorEastAsia" w:hAnsiTheme="majorHAnsi" w:cstheme="majorBidi"/>
      <w:color w:val="000000" w:themeColor="text1"/>
      <w:sz w:val="24"/>
    </w:rPr>
  </w:style>
  <w:style w:type="paragraph" w:styleId="Heading4">
    <w:name w:val="heading 4"/>
    <w:basedOn w:val="Normal"/>
    <w:next w:val="Normal"/>
    <w:link w:val="Heading4Char"/>
    <w:uiPriority w:val="9"/>
    <w:semiHidden/>
    <w:unhideWhenUsed/>
    <w:qFormat/>
    <w:rsid w:val="000B79FF"/>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0B79F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0B79F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0B79F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0B79F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0B79F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9FF"/>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0B79FF"/>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0B79FF"/>
    <w:rPr>
      <w:rFonts w:asciiTheme="majorHAnsi" w:eastAsiaTheme="majorEastAsia" w:hAnsiTheme="majorHAnsi" w:cstheme="majorBidi"/>
      <w:color w:val="000000" w:themeColor="text1"/>
      <w:sz w:val="24"/>
    </w:rPr>
  </w:style>
  <w:style w:type="character" w:customStyle="1" w:styleId="Heading4Char">
    <w:name w:val="Heading 4 Char"/>
    <w:basedOn w:val="DefaultParagraphFont"/>
    <w:link w:val="Heading4"/>
    <w:uiPriority w:val="9"/>
    <w:semiHidden/>
    <w:rsid w:val="000B79FF"/>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0B79FF"/>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0B79FF"/>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0B79FF"/>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0B79FF"/>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0B79FF"/>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0B79FF"/>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79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79F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79F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0B79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79FF"/>
    <w:rPr>
      <w:i/>
      <w:iCs/>
      <w:color w:val="404040" w:themeColor="text1" w:themeTint="BF"/>
    </w:rPr>
  </w:style>
  <w:style w:type="paragraph" w:styleId="ListParagraph">
    <w:name w:val="List Paragraph"/>
    <w:basedOn w:val="Normal"/>
    <w:uiPriority w:val="34"/>
    <w:qFormat/>
    <w:rsid w:val="000B79FF"/>
    <w:pPr>
      <w:ind w:left="720"/>
      <w:contextualSpacing/>
    </w:pPr>
  </w:style>
  <w:style w:type="character" w:styleId="IntenseEmphasis">
    <w:name w:val="Intense Emphasis"/>
    <w:basedOn w:val="DefaultParagraphFont"/>
    <w:uiPriority w:val="21"/>
    <w:qFormat/>
    <w:rsid w:val="000B79FF"/>
    <w:rPr>
      <w:i/>
      <w:iCs/>
      <w:color w:val="0F4761" w:themeColor="accent1" w:themeShade="BF"/>
    </w:rPr>
  </w:style>
  <w:style w:type="paragraph" w:styleId="IntenseQuote">
    <w:name w:val="Intense Quote"/>
    <w:basedOn w:val="Normal"/>
    <w:next w:val="Normal"/>
    <w:link w:val="IntenseQuoteChar"/>
    <w:uiPriority w:val="30"/>
    <w:qFormat/>
    <w:rsid w:val="000B79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79FF"/>
    <w:rPr>
      <w:i/>
      <w:iCs/>
      <w:color w:val="0F4761" w:themeColor="accent1" w:themeShade="BF"/>
    </w:rPr>
  </w:style>
  <w:style w:type="character" w:styleId="IntenseReference">
    <w:name w:val="Intense Reference"/>
    <w:basedOn w:val="DefaultParagraphFont"/>
    <w:uiPriority w:val="32"/>
    <w:qFormat/>
    <w:rsid w:val="000B79FF"/>
    <w:rPr>
      <w:b/>
      <w:bCs/>
      <w:smallCaps/>
      <w:color w:val="0F4761" w:themeColor="accent1" w:themeShade="BF"/>
      <w:spacing w:val="5"/>
    </w:rPr>
  </w:style>
  <w:style w:type="paragraph" w:styleId="Revision">
    <w:name w:val="Revision"/>
    <w:hidden/>
    <w:uiPriority w:val="99"/>
    <w:semiHidden/>
    <w:rsid w:val="00D561D5"/>
  </w:style>
  <w:style w:type="character" w:styleId="CommentReference">
    <w:name w:val="annotation reference"/>
    <w:basedOn w:val="DefaultParagraphFont"/>
    <w:uiPriority w:val="99"/>
    <w:semiHidden/>
    <w:unhideWhenUsed/>
    <w:rsid w:val="00D561D5"/>
    <w:rPr>
      <w:sz w:val="16"/>
      <w:szCs w:val="16"/>
    </w:rPr>
  </w:style>
  <w:style w:type="paragraph" w:styleId="CommentText">
    <w:name w:val="annotation text"/>
    <w:basedOn w:val="Normal"/>
    <w:link w:val="CommentTextChar"/>
    <w:uiPriority w:val="99"/>
    <w:unhideWhenUsed/>
    <w:rsid w:val="00D561D5"/>
    <w:rPr>
      <w:sz w:val="20"/>
      <w:szCs w:val="20"/>
    </w:rPr>
  </w:style>
  <w:style w:type="character" w:customStyle="1" w:styleId="CommentTextChar">
    <w:name w:val="Comment Text Char"/>
    <w:basedOn w:val="DefaultParagraphFont"/>
    <w:link w:val="CommentText"/>
    <w:uiPriority w:val="99"/>
    <w:rsid w:val="00D561D5"/>
    <w:rPr>
      <w:sz w:val="20"/>
      <w:szCs w:val="20"/>
    </w:rPr>
  </w:style>
  <w:style w:type="paragraph" w:styleId="CommentSubject">
    <w:name w:val="annotation subject"/>
    <w:basedOn w:val="CommentText"/>
    <w:next w:val="CommentText"/>
    <w:link w:val="CommentSubjectChar"/>
    <w:uiPriority w:val="99"/>
    <w:semiHidden/>
    <w:unhideWhenUsed/>
    <w:rsid w:val="00D561D5"/>
    <w:rPr>
      <w:b/>
      <w:bCs/>
    </w:rPr>
  </w:style>
  <w:style w:type="character" w:customStyle="1" w:styleId="CommentSubjectChar">
    <w:name w:val="Comment Subject Char"/>
    <w:basedOn w:val="CommentTextChar"/>
    <w:link w:val="CommentSubject"/>
    <w:uiPriority w:val="99"/>
    <w:semiHidden/>
    <w:rsid w:val="00D561D5"/>
    <w:rPr>
      <w:b/>
      <w:bCs/>
      <w:sz w:val="20"/>
      <w:szCs w:val="20"/>
    </w:rPr>
  </w:style>
  <w:style w:type="paragraph" w:styleId="Header">
    <w:name w:val="header"/>
    <w:basedOn w:val="Normal"/>
    <w:link w:val="HeaderChar"/>
    <w:uiPriority w:val="99"/>
    <w:unhideWhenUsed/>
    <w:rsid w:val="00E4726D"/>
    <w:pPr>
      <w:tabs>
        <w:tab w:val="center" w:pos="4252"/>
        <w:tab w:val="right" w:pos="8504"/>
      </w:tabs>
      <w:snapToGrid w:val="0"/>
    </w:pPr>
  </w:style>
  <w:style w:type="character" w:customStyle="1" w:styleId="HeaderChar">
    <w:name w:val="Header Char"/>
    <w:basedOn w:val="DefaultParagraphFont"/>
    <w:link w:val="Header"/>
    <w:uiPriority w:val="99"/>
    <w:rsid w:val="00E4726D"/>
  </w:style>
  <w:style w:type="paragraph" w:styleId="Footer">
    <w:name w:val="footer"/>
    <w:basedOn w:val="Normal"/>
    <w:link w:val="FooterChar"/>
    <w:uiPriority w:val="99"/>
    <w:unhideWhenUsed/>
    <w:rsid w:val="00E4726D"/>
    <w:pPr>
      <w:tabs>
        <w:tab w:val="center" w:pos="4252"/>
        <w:tab w:val="right" w:pos="8504"/>
      </w:tabs>
      <w:snapToGrid w:val="0"/>
    </w:pPr>
  </w:style>
  <w:style w:type="character" w:customStyle="1" w:styleId="FooterChar">
    <w:name w:val="Footer Char"/>
    <w:basedOn w:val="DefaultParagraphFont"/>
    <w:link w:val="Footer"/>
    <w:uiPriority w:val="99"/>
    <w:rsid w:val="00E47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643</Words>
  <Characters>3667</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Yoshiaki Chiku</dc:creator>
  <cp:lastModifiedBy>Ananthi Shiyamala</cp:lastModifiedBy>
  <cp:revision>8</cp:revision>
  <cp:lastPrinted>2026-04-15T05:16:00Z</cp:lastPrinted>
  <dcterms:created xsi:type="dcterms:W3CDTF">2026-04-13T05:28:00Z</dcterms:created>
  <dcterms:modified xsi:type="dcterms:W3CDTF">2026-06-18T12:40:00Z</dcterms:modified>
</cp:coreProperties>
</file>