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446"/>
        <w:tblW w:w="1503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12"/>
        <w:gridCol w:w="2252"/>
        <w:gridCol w:w="833"/>
        <w:gridCol w:w="1435"/>
        <w:gridCol w:w="851"/>
        <w:gridCol w:w="850"/>
        <w:gridCol w:w="4235"/>
        <w:gridCol w:w="2868"/>
      </w:tblGrid>
      <w:tr w:rsidR="00FE2056" w:rsidRPr="0093667A" w14:paraId="0BB30782" w14:textId="77777777" w:rsidTr="00F3331B">
        <w:trPr>
          <w:trHeight w:val="132"/>
        </w:trPr>
        <w:tc>
          <w:tcPr>
            <w:tcW w:w="15036" w:type="dxa"/>
            <w:gridSpan w:val="8"/>
            <w:shd w:val="clear" w:color="auto" w:fill="FFFFFF" w:themeFill="background1"/>
          </w:tcPr>
          <w:p w14:paraId="24DEA029" w14:textId="77777777" w:rsidR="00FE2056" w:rsidRPr="00246569" w:rsidRDefault="00FE2056" w:rsidP="00954A54">
            <w:pPr>
              <w:snapToGrid w:val="0"/>
              <w:ind w:left="798" w:hangingChars="399" w:hanging="798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6569">
              <w:rPr>
                <w:rFonts w:ascii="Arial" w:eastAsia="DengXian" w:hAnsi="Arial" w:cs="Arial"/>
                <w:b/>
                <w:bCs/>
                <w:iCs/>
                <w:sz w:val="20"/>
                <w:szCs w:val="20"/>
              </w:rPr>
              <w:t xml:space="preserve">Table </w:t>
            </w:r>
            <w:r w:rsidRPr="00246569">
              <w:rPr>
                <w:rFonts w:ascii="Arial" w:hAnsi="Arial" w:cs="Arial" w:hint="eastAsia"/>
                <w:b/>
                <w:bCs/>
                <w:iCs/>
                <w:sz w:val="20"/>
                <w:szCs w:val="20"/>
              </w:rPr>
              <w:t>S</w:t>
            </w:r>
            <w:r w:rsidRPr="002465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1 Key</w:t>
            </w:r>
            <w:r w:rsidRPr="00246569">
              <w:rPr>
                <w:rFonts w:ascii="Arial" w:eastAsia="DengXian" w:hAnsi="Arial" w:cs="Arial"/>
                <w:b/>
                <w:bCs/>
                <w:iCs/>
                <w:sz w:val="20"/>
                <w:szCs w:val="20"/>
              </w:rPr>
              <w:t xml:space="preserve"> Results of Trials of Anti-TIGIT Monotherapy as Late-Line Systemic Therapy for </w:t>
            </w:r>
            <w:r w:rsidRPr="00246569">
              <w:rPr>
                <w:rFonts w:ascii="Arial" w:hAnsi="Arial" w:cs="Arial" w:hint="eastAsia"/>
                <w:b/>
                <w:bCs/>
                <w:iCs/>
                <w:sz w:val="20"/>
                <w:szCs w:val="20"/>
              </w:rPr>
              <w:t>Solid Tumors</w:t>
            </w:r>
          </w:p>
        </w:tc>
      </w:tr>
      <w:tr w:rsidR="00FE2056" w:rsidRPr="0093667A" w14:paraId="25C93EF8" w14:textId="77777777" w:rsidTr="00F3331B">
        <w:trPr>
          <w:trHeight w:val="427"/>
        </w:trPr>
        <w:tc>
          <w:tcPr>
            <w:tcW w:w="1712" w:type="dxa"/>
            <w:shd w:val="clear" w:color="auto" w:fill="FFFFFF" w:themeFill="background1"/>
          </w:tcPr>
          <w:p w14:paraId="6E33CC0F" w14:textId="77777777" w:rsidR="00FE2056" w:rsidRPr="00246569" w:rsidRDefault="00FE2056" w:rsidP="00954A54">
            <w:pPr>
              <w:snapToGrid w:val="0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Trial</w:t>
            </w:r>
          </w:p>
        </w:tc>
        <w:tc>
          <w:tcPr>
            <w:tcW w:w="2252" w:type="dxa"/>
            <w:shd w:val="clear" w:color="auto" w:fill="FFFFFF" w:themeFill="background1"/>
          </w:tcPr>
          <w:p w14:paraId="54284060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Population</w:t>
            </w:r>
          </w:p>
        </w:tc>
        <w:tc>
          <w:tcPr>
            <w:tcW w:w="833" w:type="dxa"/>
            <w:shd w:val="clear" w:color="auto" w:fill="FFFFFF" w:themeFill="background1"/>
          </w:tcPr>
          <w:p w14:paraId="273A967E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proofErr w:type="spellStart"/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P’t</w:t>
            </w:r>
            <w:proofErr w:type="spellEnd"/>
          </w:p>
          <w:p w14:paraId="0DAC1DAB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435" w:type="dxa"/>
            <w:shd w:val="clear" w:color="auto" w:fill="FFFFFF" w:themeFill="background1"/>
          </w:tcPr>
          <w:p w14:paraId="1EFADDF3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hAnsi="Arial" w:cs="Arial"/>
                <w:b/>
                <w:bCs/>
                <w:sz w:val="20"/>
                <w:szCs w:val="20"/>
              </w:rPr>
              <w:t>Treatment</w:t>
            </w:r>
          </w:p>
        </w:tc>
        <w:tc>
          <w:tcPr>
            <w:tcW w:w="851" w:type="dxa"/>
            <w:shd w:val="clear" w:color="auto" w:fill="FFFFFF" w:themeFill="background1"/>
          </w:tcPr>
          <w:p w14:paraId="192168EE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  <w:lang w:eastAsia="en-US"/>
              </w:rPr>
            </w:pP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ORR</w:t>
            </w: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br/>
              <w:t>(%)</w:t>
            </w:r>
          </w:p>
        </w:tc>
        <w:tc>
          <w:tcPr>
            <w:tcW w:w="850" w:type="dxa"/>
            <w:shd w:val="clear" w:color="auto" w:fill="FFFFFF" w:themeFill="background1"/>
          </w:tcPr>
          <w:p w14:paraId="31C32809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b/>
                <w:bCs/>
                <w:sz w:val="20"/>
                <w:szCs w:val="20"/>
                <w:vertAlign w:val="superscript"/>
              </w:rPr>
            </w:pP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DCR (%)</w:t>
            </w:r>
          </w:p>
        </w:tc>
        <w:tc>
          <w:tcPr>
            <w:tcW w:w="4235" w:type="dxa"/>
            <w:shd w:val="clear" w:color="auto" w:fill="FFFFFF" w:themeFill="background1"/>
          </w:tcPr>
          <w:p w14:paraId="26E3B63D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b/>
                <w:bCs/>
                <w:sz w:val="20"/>
                <w:szCs w:val="20"/>
              </w:rPr>
              <w:t xml:space="preserve">Common </w:t>
            </w:r>
            <w:r w:rsidRPr="00246569">
              <w:rPr>
                <w:rFonts w:ascii="Arial" w:eastAsia="DengXian" w:hAnsi="Arial" w:cs="Arial"/>
                <w:b/>
                <w:bCs/>
                <w:sz w:val="20"/>
                <w:szCs w:val="20"/>
              </w:rPr>
              <w:t>TRAE</w:t>
            </w:r>
            <w:r w:rsidRPr="00246569">
              <w:rPr>
                <w:rFonts w:ascii="Arial" w:hAnsi="Arial" w:cs="Arial" w:hint="eastAsia"/>
                <w:b/>
                <w:bCs/>
                <w:sz w:val="20"/>
                <w:szCs w:val="20"/>
              </w:rPr>
              <w:t xml:space="preserve"> (n, %)</w:t>
            </w:r>
          </w:p>
        </w:tc>
        <w:tc>
          <w:tcPr>
            <w:tcW w:w="2868" w:type="dxa"/>
            <w:shd w:val="clear" w:color="auto" w:fill="FFFFFF" w:themeFill="background1"/>
          </w:tcPr>
          <w:p w14:paraId="08D31B41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b/>
                <w:bCs/>
                <w:sz w:val="20"/>
                <w:szCs w:val="20"/>
              </w:rPr>
              <w:t>Note</w:t>
            </w:r>
          </w:p>
        </w:tc>
      </w:tr>
      <w:tr w:rsidR="00FE2056" w:rsidRPr="0093667A" w14:paraId="6331A592" w14:textId="77777777" w:rsidTr="00F3331B">
        <w:trPr>
          <w:trHeight w:val="309"/>
        </w:trPr>
        <w:tc>
          <w:tcPr>
            <w:tcW w:w="15036" w:type="dxa"/>
            <w:gridSpan w:val="8"/>
            <w:shd w:val="clear" w:color="auto" w:fill="FFFFFF" w:themeFill="background1"/>
          </w:tcPr>
          <w:p w14:paraId="348165F8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6569">
              <w:rPr>
                <w:b/>
                <w:bCs/>
                <w:sz w:val="20"/>
                <w:szCs w:val="20"/>
              </w:rPr>
              <w:t>Anti</w:t>
            </w:r>
            <w:r w:rsidRPr="002465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-TIGIT</w:t>
            </w:r>
            <w:r w:rsidRPr="00246569">
              <w:rPr>
                <w:rFonts w:ascii="Arial" w:hAnsi="Arial" w:cs="Arial" w:hint="eastAsia"/>
                <w:b/>
                <w:bCs/>
                <w:iCs/>
                <w:sz w:val="20"/>
                <w:szCs w:val="20"/>
              </w:rPr>
              <w:t xml:space="preserve"> monotherapy (</w:t>
            </w:r>
            <w:r w:rsidRPr="0024656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dose escalation</w:t>
            </w:r>
            <w:r w:rsidRPr="00246569">
              <w:rPr>
                <w:rFonts w:ascii="Arial" w:hAnsi="Arial" w:cs="Arial" w:hint="eastAsia"/>
                <w:b/>
                <w:bCs/>
                <w:iCs/>
                <w:sz w:val="20"/>
                <w:szCs w:val="20"/>
              </w:rPr>
              <w:t>)</w:t>
            </w:r>
          </w:p>
        </w:tc>
      </w:tr>
      <w:tr w:rsidR="00FE2056" w:rsidRPr="0093667A" w14:paraId="455E43F1" w14:textId="77777777" w:rsidTr="00F3331B">
        <w:trPr>
          <w:trHeight w:val="309"/>
        </w:trPr>
        <w:tc>
          <w:tcPr>
            <w:tcW w:w="15036" w:type="dxa"/>
            <w:gridSpan w:val="8"/>
            <w:shd w:val="clear" w:color="auto" w:fill="FFFFFF" w:themeFill="background1"/>
          </w:tcPr>
          <w:p w14:paraId="02A9C103" w14:textId="77777777" w:rsidR="00FE2056" w:rsidRPr="00246569" w:rsidRDefault="00FE2056" w:rsidP="00954A54">
            <w:pPr>
              <w:snapToGrid w:val="0"/>
              <w:ind w:firstLineChars="50" w:firstLine="10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6569">
              <w:rPr>
                <w:rFonts w:ascii="Arial" w:hAnsi="Arial" w:cs="Arial"/>
                <w:b/>
                <w:bCs/>
                <w:iCs/>
                <w:sz w:val="20"/>
                <w:szCs w:val="20"/>
                <w:lang w:val="en-GB"/>
              </w:rPr>
              <w:t>GO30103 </w:t>
            </w:r>
          </w:p>
        </w:tc>
      </w:tr>
      <w:tr w:rsidR="00FE2056" w:rsidRPr="0093667A" w14:paraId="079C3224" w14:textId="77777777" w:rsidTr="00F3331B">
        <w:trPr>
          <w:trHeight w:val="779"/>
        </w:trPr>
        <w:tc>
          <w:tcPr>
            <w:tcW w:w="1712" w:type="dxa"/>
            <w:shd w:val="clear" w:color="auto" w:fill="FFFFFF" w:themeFill="background1"/>
          </w:tcPr>
          <w:p w14:paraId="4C6142B4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2" w:type="dxa"/>
            <w:shd w:val="clear" w:color="auto" w:fill="FFFFFF" w:themeFill="background1"/>
          </w:tcPr>
          <w:p w14:paraId="4A48CF2D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b/>
                <w:sz w:val="20"/>
                <w:szCs w:val="20"/>
              </w:rPr>
              <w:t>S</w:t>
            </w:r>
            <w:r w:rsidRPr="00246569">
              <w:rPr>
                <w:rFonts w:ascii="Arial" w:eastAsia="DengXian" w:hAnsi="Arial" w:cs="Arial"/>
                <w:b/>
                <w:sz w:val="20"/>
                <w:szCs w:val="20"/>
              </w:rPr>
              <w:t>olid tumor patients</w:t>
            </w:r>
          </w:p>
        </w:tc>
        <w:tc>
          <w:tcPr>
            <w:tcW w:w="833" w:type="dxa"/>
            <w:shd w:val="clear" w:color="auto" w:fill="FFFFFF" w:themeFill="background1"/>
            <w:vAlign w:val="center"/>
          </w:tcPr>
          <w:p w14:paraId="6640DEBE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24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14:paraId="61AE005B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569">
              <w:rPr>
                <w:rFonts w:ascii="Arial" w:eastAsia="DengXian" w:hAnsi="Arial" w:cs="Arial"/>
                <w:sz w:val="20"/>
                <w:szCs w:val="20"/>
              </w:rPr>
              <w:t>Tiragolumab</w:t>
            </w:r>
            <w:proofErr w:type="spellEnd"/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B507B06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8C7877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16.7</w:t>
            </w:r>
          </w:p>
        </w:tc>
        <w:tc>
          <w:tcPr>
            <w:tcW w:w="4235" w:type="dxa"/>
            <w:shd w:val="clear" w:color="auto" w:fill="FFFFFF" w:themeFill="background1"/>
            <w:vAlign w:val="center"/>
          </w:tcPr>
          <w:p w14:paraId="6CF61444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/>
                <w:sz w:val="20"/>
                <w:szCs w:val="20"/>
              </w:rPr>
              <w:t>fatigue (5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Pr="00246569">
              <w:rPr>
                <w:rFonts w:ascii="Arial" w:hAnsi="Arial" w:cs="Arial"/>
                <w:sz w:val="20"/>
                <w:szCs w:val="20"/>
              </w:rPr>
              <w:t>21%), pruritus (3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,</w:t>
            </w:r>
            <w:r w:rsidRPr="00246569">
              <w:rPr>
                <w:rFonts w:ascii="Arial" w:hAnsi="Arial" w:cs="Arial"/>
                <w:sz w:val="20"/>
                <w:szCs w:val="20"/>
              </w:rPr>
              <w:t>13%), arthralgia (2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Pr="00246569">
              <w:rPr>
                <w:rFonts w:ascii="Arial" w:hAnsi="Arial" w:cs="Arial"/>
                <w:sz w:val="20"/>
                <w:szCs w:val="20"/>
              </w:rPr>
              <w:t>8%):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only grade 1 and 2</w:t>
            </w:r>
          </w:p>
        </w:tc>
        <w:tc>
          <w:tcPr>
            <w:tcW w:w="2868" w:type="dxa"/>
            <w:shd w:val="clear" w:color="auto" w:fill="FFFFFF" w:themeFill="background1"/>
            <w:vAlign w:val="center"/>
          </w:tcPr>
          <w:p w14:paraId="377466E5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/>
                <w:sz w:val="20"/>
                <w:szCs w:val="20"/>
              </w:rPr>
              <w:t xml:space="preserve">8% had received prior 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ICI</w:t>
            </w:r>
            <w:r w:rsidRPr="00246569">
              <w:rPr>
                <w:rFonts w:ascii="Arial" w:hAnsi="Arial" w:cs="Arial"/>
                <w:sz w:val="20"/>
                <w:szCs w:val="20"/>
              </w:rPr>
              <w:br/>
              <w:t>4% had grade 3 TRAE of increased creatinine</w:t>
            </w:r>
          </w:p>
        </w:tc>
      </w:tr>
      <w:tr w:rsidR="00FE2056" w:rsidRPr="0093667A" w14:paraId="39422E37" w14:textId="77777777" w:rsidTr="00F3331B">
        <w:trPr>
          <w:trHeight w:val="402"/>
        </w:trPr>
        <w:tc>
          <w:tcPr>
            <w:tcW w:w="15036" w:type="dxa"/>
            <w:gridSpan w:val="8"/>
            <w:tcBorders>
              <w:right w:val="single" w:sz="4" w:space="0" w:color="auto"/>
            </w:tcBorders>
            <w:shd w:val="clear" w:color="auto" w:fill="FFFFFF" w:themeFill="background1"/>
          </w:tcPr>
          <w:p w14:paraId="0E3C457B" w14:textId="77777777" w:rsidR="00FE2056" w:rsidRPr="00246569" w:rsidRDefault="00FE2056" w:rsidP="00954A54">
            <w:pPr>
              <w:snapToGrid w:val="0"/>
              <w:ind w:firstLineChars="50" w:firstLine="1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hAnsi="Arial" w:cs="Arial"/>
                <w:b/>
                <w:bCs/>
                <w:sz w:val="20"/>
                <w:szCs w:val="20"/>
              </w:rPr>
              <w:t>MK-7684-001</w:t>
            </w:r>
          </w:p>
        </w:tc>
      </w:tr>
      <w:tr w:rsidR="00FE2056" w:rsidRPr="0093667A" w14:paraId="691C689D" w14:textId="77777777" w:rsidTr="00F3331B">
        <w:trPr>
          <w:trHeight w:val="288"/>
        </w:trPr>
        <w:tc>
          <w:tcPr>
            <w:tcW w:w="1712" w:type="dxa"/>
            <w:shd w:val="clear" w:color="auto" w:fill="FFFFFF" w:themeFill="background1"/>
          </w:tcPr>
          <w:p w14:paraId="3AF3C61A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503B048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b/>
                <w:sz w:val="20"/>
                <w:szCs w:val="20"/>
              </w:rPr>
              <w:t>S</w:t>
            </w:r>
            <w:r w:rsidRPr="00246569">
              <w:rPr>
                <w:rFonts w:ascii="Arial" w:eastAsia="DengXian" w:hAnsi="Arial" w:cs="Arial"/>
                <w:b/>
                <w:sz w:val="20"/>
                <w:szCs w:val="20"/>
              </w:rPr>
              <w:t>olid tumor patients</w:t>
            </w:r>
          </w:p>
        </w:tc>
        <w:tc>
          <w:tcPr>
            <w:tcW w:w="8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E9604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/>
                <w:sz w:val="20"/>
                <w:szCs w:val="20"/>
              </w:rPr>
              <w:t>3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4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14:paraId="1E1E0BD2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proofErr w:type="spellStart"/>
            <w:r w:rsidRPr="00246569">
              <w:rPr>
                <w:rFonts w:ascii="Arial" w:hAnsi="Arial" w:cs="Arial"/>
                <w:sz w:val="20"/>
                <w:szCs w:val="20"/>
              </w:rPr>
              <w:t>Vibostolimab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2E24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ECD0F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32</w:t>
            </w:r>
          </w:p>
        </w:tc>
        <w:tc>
          <w:tcPr>
            <w:tcW w:w="423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D71D9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f</w:t>
            </w:r>
            <w:r w:rsidRPr="00246569">
              <w:rPr>
                <w:rFonts w:ascii="Arial" w:hAnsi="Arial" w:cs="Arial"/>
                <w:sz w:val="20"/>
                <w:szCs w:val="20"/>
              </w:rPr>
              <w:t>atigue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(</w:t>
            </w:r>
            <w:r w:rsidRPr="00246569">
              <w:rPr>
                <w:rFonts w:ascii="Arial" w:hAnsi="Arial" w:cs="Arial"/>
                <w:sz w:val="20"/>
                <w:szCs w:val="20"/>
              </w:rPr>
              <w:t>5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,</w:t>
            </w:r>
            <w:r w:rsidRPr="00246569">
              <w:rPr>
                <w:rFonts w:ascii="Arial" w:hAnsi="Arial" w:cs="Arial"/>
                <w:sz w:val="20"/>
                <w:szCs w:val="20"/>
              </w:rPr>
              <w:t>15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%</w:t>
            </w:r>
            <w:r w:rsidRPr="00246569">
              <w:rPr>
                <w:rFonts w:ascii="Arial" w:hAnsi="Arial" w:cs="Arial"/>
                <w:sz w:val="20"/>
                <w:szCs w:val="20"/>
              </w:rPr>
              <w:t>)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, pruritus (</w:t>
            </w:r>
            <w:r w:rsidRPr="00246569">
              <w:rPr>
                <w:rFonts w:ascii="Arial" w:hAnsi="Arial" w:cs="Arial"/>
                <w:sz w:val="20"/>
                <w:szCs w:val="20"/>
              </w:rPr>
              <w:t>5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Pr="00246569">
              <w:rPr>
                <w:rFonts w:ascii="Arial" w:hAnsi="Arial" w:cs="Arial"/>
                <w:sz w:val="20"/>
                <w:szCs w:val="20"/>
              </w:rPr>
              <w:t>15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%</w:t>
            </w:r>
            <w:r w:rsidRPr="00246569">
              <w:rPr>
                <w:rFonts w:ascii="Arial" w:hAnsi="Arial" w:cs="Arial"/>
                <w:sz w:val="20"/>
                <w:szCs w:val="20"/>
              </w:rPr>
              <w:t>)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, n</w:t>
            </w:r>
            <w:r w:rsidRPr="00246569">
              <w:rPr>
                <w:rFonts w:ascii="Arial" w:hAnsi="Arial" w:cs="Arial"/>
                <w:sz w:val="20"/>
                <w:szCs w:val="20"/>
              </w:rPr>
              <w:t>ausea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(</w:t>
            </w:r>
            <w:r w:rsidRPr="00246569">
              <w:rPr>
                <w:rFonts w:ascii="Arial" w:hAnsi="Arial" w:cs="Arial"/>
                <w:sz w:val="20"/>
                <w:szCs w:val="20"/>
              </w:rPr>
              <w:t>3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Pr="00246569">
              <w:rPr>
                <w:rFonts w:ascii="Arial" w:hAnsi="Arial" w:cs="Arial"/>
                <w:sz w:val="20"/>
                <w:szCs w:val="20"/>
              </w:rPr>
              <w:t>9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%</w:t>
            </w:r>
            <w:r w:rsidRPr="00246569">
              <w:rPr>
                <w:rFonts w:ascii="Arial" w:hAnsi="Arial" w:cs="Arial"/>
                <w:sz w:val="20"/>
                <w:szCs w:val="20"/>
              </w:rPr>
              <w:t>)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r</w:t>
            </w:r>
            <w:r w:rsidRPr="00246569">
              <w:rPr>
                <w:rFonts w:ascii="Arial" w:hAnsi="Arial" w:cs="Arial"/>
                <w:sz w:val="20"/>
                <w:szCs w:val="20"/>
              </w:rPr>
              <w:t>ash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(</w:t>
            </w:r>
            <w:r w:rsidRPr="00246569">
              <w:rPr>
                <w:rFonts w:ascii="Arial" w:hAnsi="Arial" w:cs="Arial"/>
                <w:sz w:val="20"/>
                <w:szCs w:val="20"/>
              </w:rPr>
              <w:t>3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, </w:t>
            </w:r>
            <w:r w:rsidRPr="00246569">
              <w:rPr>
                <w:rFonts w:ascii="Arial" w:hAnsi="Arial" w:cs="Arial"/>
                <w:sz w:val="20"/>
                <w:szCs w:val="20"/>
              </w:rPr>
              <w:t>9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%</w:t>
            </w:r>
            <w:r w:rsidRPr="0024656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5618E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/>
                <w:sz w:val="20"/>
                <w:szCs w:val="20"/>
              </w:rPr>
              <w:t xml:space="preserve">9% had grade 3-4 TRAE </w:t>
            </w:r>
          </w:p>
        </w:tc>
      </w:tr>
      <w:tr w:rsidR="00FE2056" w:rsidRPr="0093667A" w14:paraId="264547BD" w14:textId="77777777" w:rsidTr="00F3331B">
        <w:trPr>
          <w:trHeight w:val="288"/>
        </w:trPr>
        <w:tc>
          <w:tcPr>
            <w:tcW w:w="1712" w:type="dxa"/>
            <w:shd w:val="clear" w:color="auto" w:fill="FFFFFF" w:themeFill="background1"/>
          </w:tcPr>
          <w:p w14:paraId="01E63BAF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52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8C6A95" w14:textId="77777777" w:rsidR="00FE2056" w:rsidRPr="00246569" w:rsidRDefault="00FE2056" w:rsidP="00954A54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b/>
                <w:bCs/>
                <w:sz w:val="20"/>
                <w:szCs w:val="20"/>
              </w:rPr>
              <w:t>A</w:t>
            </w:r>
            <w:r w:rsidRPr="00246569">
              <w:rPr>
                <w:rFonts w:ascii="Arial" w:hAnsi="Arial" w:cs="Arial"/>
                <w:b/>
                <w:bCs/>
                <w:sz w:val="20"/>
                <w:szCs w:val="20"/>
              </w:rPr>
              <w:t>nti-PD-1/PD-L1 refractory NSCLC</w:t>
            </w:r>
          </w:p>
        </w:tc>
        <w:tc>
          <w:tcPr>
            <w:tcW w:w="83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1D74F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34</w:t>
            </w:r>
          </w:p>
        </w:tc>
        <w:tc>
          <w:tcPr>
            <w:tcW w:w="1435" w:type="dxa"/>
            <w:shd w:val="clear" w:color="auto" w:fill="FFFFFF" w:themeFill="background1"/>
            <w:vAlign w:val="center"/>
          </w:tcPr>
          <w:p w14:paraId="1C0DC1F3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46569">
              <w:rPr>
                <w:rFonts w:ascii="Arial" w:hAnsi="Arial" w:cs="Arial"/>
                <w:sz w:val="20"/>
                <w:szCs w:val="20"/>
              </w:rPr>
              <w:t>Vibostolimab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64F5B" w14:textId="77777777" w:rsidR="00FE2056" w:rsidRPr="00246569" w:rsidRDefault="00FE2056" w:rsidP="00954A54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F4C38" w14:textId="77777777" w:rsidR="00FE2056" w:rsidRPr="00246569" w:rsidRDefault="00FE2056" w:rsidP="00954A54">
            <w:pPr>
              <w:snapToGrid w:val="0"/>
              <w:jc w:val="center"/>
              <w:rPr>
                <w:rFonts w:ascii="Arial" w:eastAsia="DengXian" w:hAnsi="Arial" w:cs="Arial"/>
                <w:sz w:val="20"/>
                <w:szCs w:val="20"/>
              </w:rPr>
            </w:pPr>
            <w:r w:rsidRPr="00246569">
              <w:rPr>
                <w:rFonts w:ascii="Arial" w:eastAsia="DengXian" w:hAnsi="Arial" w:cs="Arial"/>
                <w:sz w:val="20"/>
                <w:szCs w:val="20"/>
              </w:rPr>
              <w:t>3</w:t>
            </w:r>
          </w:p>
        </w:tc>
        <w:tc>
          <w:tcPr>
            <w:tcW w:w="423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BEB57" w14:textId="77777777" w:rsidR="00FE2056" w:rsidRPr="00246569" w:rsidRDefault="00FE2056" w:rsidP="00954A54">
            <w:pPr>
              <w:snapToGrid w:val="0"/>
              <w:rPr>
                <w:rFonts w:ascii="Arial" w:eastAsia="DengXian" w:hAnsi="Arial" w:cs="Arial"/>
                <w:sz w:val="20"/>
                <w:szCs w:val="20"/>
                <w:lang w:val="en-GB"/>
              </w:rPr>
            </w:pPr>
            <w:r w:rsidRPr="00246569">
              <w:rPr>
                <w:rFonts w:ascii="Arial" w:hAnsi="Arial" w:cs="Arial" w:hint="eastAsia"/>
                <w:sz w:val="20"/>
                <w:szCs w:val="20"/>
              </w:rPr>
              <w:t>f</w:t>
            </w:r>
            <w:r w:rsidRPr="00246569">
              <w:rPr>
                <w:rFonts w:ascii="Arial" w:hAnsi="Arial" w:cs="Arial"/>
                <w:sz w:val="20"/>
                <w:szCs w:val="20"/>
              </w:rPr>
              <w:t>atigue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(7,21%</w:t>
            </w:r>
            <w:r w:rsidRPr="00246569">
              <w:rPr>
                <w:rFonts w:ascii="Arial" w:hAnsi="Arial" w:cs="Arial"/>
                <w:sz w:val="20"/>
                <w:szCs w:val="20"/>
              </w:rPr>
              <w:t>), rash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(7, 21%</w:t>
            </w:r>
            <w:r w:rsidRPr="00246569">
              <w:rPr>
                <w:rFonts w:ascii="Arial" w:hAnsi="Arial" w:cs="Arial"/>
                <w:sz w:val="20"/>
                <w:szCs w:val="20"/>
              </w:rPr>
              <w:t xml:space="preserve">), arthralgia 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(</w:t>
            </w:r>
            <w:r w:rsidRPr="00246569">
              <w:rPr>
                <w:rFonts w:ascii="Arial" w:hAnsi="Arial" w:cs="Arial"/>
                <w:sz w:val="20"/>
                <w:szCs w:val="20"/>
              </w:rPr>
              <w:t>4,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 xml:space="preserve"> </w:t>
            </w:r>
            <w:r w:rsidRPr="00246569">
              <w:rPr>
                <w:rFonts w:ascii="Arial" w:hAnsi="Arial" w:cs="Arial"/>
                <w:sz w:val="20"/>
                <w:szCs w:val="20"/>
              </w:rPr>
              <w:t>12%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, and </w:t>
            </w:r>
            <w:r w:rsidRPr="00246569">
              <w:rPr>
                <w:rFonts w:ascii="Arial" w:hAnsi="Arial" w:cs="Arial" w:hint="eastAsia"/>
                <w:sz w:val="20"/>
                <w:szCs w:val="20"/>
              </w:rPr>
              <w:t>pruritus (3, 9%</w:t>
            </w:r>
            <w:r w:rsidRPr="00246569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05121" w14:textId="77777777" w:rsidR="00FE2056" w:rsidRPr="00246569" w:rsidRDefault="00FE2056" w:rsidP="00954A54">
            <w:pPr>
              <w:snapToGrid w:val="0"/>
              <w:rPr>
                <w:rFonts w:ascii="Arial" w:eastAsia="DengXian" w:hAnsi="Arial" w:cs="Arial"/>
                <w:sz w:val="20"/>
                <w:szCs w:val="20"/>
              </w:rPr>
            </w:pPr>
            <w:r w:rsidRPr="00246569">
              <w:rPr>
                <w:rFonts w:ascii="Arial" w:hAnsi="Arial" w:cs="Arial"/>
                <w:sz w:val="20"/>
                <w:szCs w:val="20"/>
              </w:rPr>
              <w:t>15% had grade 3-4 TRAE</w:t>
            </w:r>
          </w:p>
        </w:tc>
      </w:tr>
      <w:tr w:rsidR="00FE2056" w:rsidRPr="0093667A" w14:paraId="400AFF92" w14:textId="77777777" w:rsidTr="00F3331B">
        <w:trPr>
          <w:trHeight w:val="288"/>
        </w:trPr>
        <w:tc>
          <w:tcPr>
            <w:tcW w:w="1503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DF4F4" w14:textId="77777777" w:rsidR="00FE2056" w:rsidRPr="00AC28C4" w:rsidRDefault="00FE2056" w:rsidP="00954A54">
            <w:pPr>
              <w:snapToGrid w:val="0"/>
              <w:rPr>
                <w:rFonts w:ascii="Arial" w:eastAsia="DengXian" w:hAnsi="Arial" w:cs="Arial"/>
                <w:sz w:val="20"/>
                <w:szCs w:val="20"/>
              </w:rPr>
            </w:pPr>
            <w:r w:rsidRPr="00AC28C4">
              <w:rPr>
                <w:rFonts w:ascii="Arial" w:eastAsia="DengXian" w:hAnsi="Arial" w:cs="Arial"/>
                <w:sz w:val="20"/>
                <w:szCs w:val="20"/>
              </w:rPr>
              <w:t>No grade 5 TRAEs were reported in either of the two trials mentioned above.</w:t>
            </w:r>
            <w:r>
              <w:rPr>
                <w:rFonts w:ascii="Arial" w:eastAsia="DengXian" w:hAnsi="Arial" w:cs="Arial"/>
                <w:sz w:val="20"/>
                <w:szCs w:val="20"/>
              </w:rPr>
              <w:br/>
            </w:r>
            <w:r w:rsidRPr="00246569">
              <w:rPr>
                <w:rFonts w:ascii="Arial" w:eastAsia="DengXian" w:hAnsi="Arial" w:cs="Arial"/>
                <w:sz w:val="20"/>
                <w:szCs w:val="20"/>
              </w:rPr>
              <w:t xml:space="preserve">Abbreviation: No, number; TIGIT, T cell immunoreceptor with Ig and ITIM domains; </w:t>
            </w:r>
            <w:r w:rsidRPr="00246569">
              <w:rPr>
                <w:rFonts w:ascii="Arial" w:hAnsi="Arial" w:cs="Arial"/>
                <w:sz w:val="20"/>
                <w:szCs w:val="20"/>
              </w:rPr>
              <w:t>ORR, objective response rate; DCR, disease control rate; TRAE, treatment-related adverse events; ICI: immune checkpoint inhibitor; PD-1/PD-L1,</w:t>
            </w:r>
            <w:r w:rsidRPr="00246569">
              <w:rPr>
                <w:sz w:val="20"/>
                <w:szCs w:val="20"/>
              </w:rPr>
              <w:t xml:space="preserve"> </w:t>
            </w:r>
            <w:r w:rsidRPr="00246569">
              <w:rPr>
                <w:rFonts w:ascii="Arial" w:hAnsi="Arial" w:cs="Arial"/>
                <w:sz w:val="20"/>
                <w:szCs w:val="20"/>
              </w:rPr>
              <w:t>programmed cell death protein 1//programmed cell death ligand 1</w:t>
            </w:r>
          </w:p>
        </w:tc>
      </w:tr>
    </w:tbl>
    <w:p w14:paraId="0DCDA21E" w14:textId="2B95B6A4" w:rsidR="006E5457" w:rsidRPr="00FE2056" w:rsidRDefault="00FE2056">
      <w:pPr>
        <w:rPr>
          <w:rFonts w:ascii="Arial" w:hAnsi="Arial" w:cs="Arial"/>
        </w:rPr>
      </w:pPr>
      <w:r w:rsidRPr="00FE2056">
        <w:rPr>
          <w:rFonts w:ascii="Arial" w:hAnsi="Arial" w:cs="Arial"/>
        </w:rPr>
        <w:t xml:space="preserve">Supplementary Table </w:t>
      </w:r>
      <w:r>
        <w:rPr>
          <w:rFonts w:ascii="Arial" w:hAnsi="Arial" w:cs="Arial" w:hint="eastAsia"/>
        </w:rPr>
        <w:t>1</w:t>
      </w:r>
      <w:r w:rsidRPr="00FE2056">
        <w:rPr>
          <w:rFonts w:ascii="Arial" w:hAnsi="Arial" w:cs="Arial"/>
        </w:rPr>
        <w:t xml:space="preserve">. Key Results of Trials of Anti-TIGIT </w:t>
      </w:r>
      <w:r>
        <w:rPr>
          <w:rFonts w:ascii="Arial" w:hAnsi="Arial" w:cs="Arial" w:hint="eastAsia"/>
        </w:rPr>
        <w:t>Monotherapy</w:t>
      </w:r>
      <w:r w:rsidRPr="00FE2056">
        <w:rPr>
          <w:rFonts w:ascii="Arial" w:hAnsi="Arial" w:cs="Arial"/>
        </w:rPr>
        <w:t xml:space="preserve"> as Late-Line Systemic</w:t>
      </w:r>
      <w:bookmarkStart w:id="0" w:name="_GoBack"/>
      <w:bookmarkEnd w:id="0"/>
      <w:r w:rsidRPr="00FE2056">
        <w:rPr>
          <w:rFonts w:ascii="Arial" w:hAnsi="Arial" w:cs="Arial"/>
        </w:rPr>
        <w:t xml:space="preserve"> Therapy for </w:t>
      </w:r>
      <w:r>
        <w:rPr>
          <w:rFonts w:ascii="Arial" w:hAnsi="Arial" w:cs="Arial" w:hint="eastAsia"/>
        </w:rPr>
        <w:t>Solid Tumors</w:t>
      </w:r>
    </w:p>
    <w:sectPr w:rsidR="006E5457" w:rsidRPr="00FE2056" w:rsidSect="00FE20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E2056"/>
    <w:rsid w:val="00205A5C"/>
    <w:rsid w:val="006E5457"/>
    <w:rsid w:val="00A450EC"/>
    <w:rsid w:val="00A96347"/>
    <w:rsid w:val="00DB36C2"/>
    <w:rsid w:val="00F3331B"/>
    <w:rsid w:val="00F51909"/>
    <w:rsid w:val="00FE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43488"/>
  <w15:chartTrackingRefBased/>
  <w15:docId w15:val="{31CD6D50-EA04-41FD-83A1-5FB1B12A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056"/>
    <w:pPr>
      <w:widowControl w:val="0"/>
      <w:spacing w:after="0" w:line="240" w:lineRule="auto"/>
    </w:pPr>
    <w:rPr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0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0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0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0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0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0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056"/>
    <w:pPr>
      <w:spacing w:after="0" w:line="240" w:lineRule="auto"/>
    </w:pPr>
    <w:rPr>
      <w:kern w:val="0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F389D-2029-4E4B-9114-66D14531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Chinehhuai Chuang</dc:creator>
  <cp:keywords/>
  <dc:description/>
  <cp:lastModifiedBy>Priyanka  Ravichandran</cp:lastModifiedBy>
  <cp:revision>3</cp:revision>
  <dcterms:created xsi:type="dcterms:W3CDTF">2024-12-15T08:07:00Z</dcterms:created>
  <dcterms:modified xsi:type="dcterms:W3CDTF">2024-12-31T04:15:00Z</dcterms:modified>
</cp:coreProperties>
</file>