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2B8CF" w14:textId="77777777" w:rsidR="00026B72" w:rsidRPr="00200C62" w:rsidRDefault="00D42523" w:rsidP="00026B72">
      <w:pPr>
        <w:pStyle w:val="Body"/>
        <w:rPr>
          <w:b/>
          <w:bCs/>
        </w:rPr>
      </w:pPr>
      <w:r w:rsidRPr="00200C62">
        <w:rPr>
          <w:rFonts w:hint="eastAsia"/>
          <w:b/>
          <w:bCs/>
        </w:rPr>
        <w:t>F</w:t>
      </w:r>
      <w:r w:rsidRPr="00200C62">
        <w:rPr>
          <w:b/>
          <w:bCs/>
        </w:rPr>
        <w:t>ig</w:t>
      </w:r>
      <w:r w:rsidR="00614A9F">
        <w:rPr>
          <w:rFonts w:hint="eastAsia"/>
          <w:b/>
          <w:bCs/>
        </w:rPr>
        <w:t xml:space="preserve"> </w:t>
      </w:r>
      <w:r w:rsidRPr="00200C62">
        <w:rPr>
          <w:b/>
          <w:bCs/>
        </w:rPr>
        <w:t xml:space="preserve">S1. </w:t>
      </w:r>
      <w:r w:rsidR="00026B72" w:rsidRPr="00F363E1">
        <w:rPr>
          <w:b/>
          <w:bCs/>
        </w:rPr>
        <w:t>Correlation of 2D-SWE and VCTE per device</w:t>
      </w:r>
    </w:p>
    <w:p w14:paraId="0D4530ED" w14:textId="0D509C99" w:rsidR="00026B72" w:rsidRPr="00026B72" w:rsidRDefault="00026B72" w:rsidP="00D42523">
      <w:pPr>
        <w:pStyle w:val="Body"/>
        <w:rPr>
          <w:rFonts w:hint="eastAsia"/>
        </w:rPr>
      </w:pPr>
      <w:r w:rsidRPr="00B577CD">
        <w:rPr>
          <w:color w:val="000000" w:themeColor="text1"/>
        </w:rPr>
        <w:t xml:space="preserve">2D-SWE and VCTE were positively correlated in both </w:t>
      </w:r>
      <w:r>
        <w:rPr>
          <w:rFonts w:hint="eastAsia"/>
          <w:color w:val="000000" w:themeColor="text1"/>
        </w:rPr>
        <w:t xml:space="preserve">(a) </w:t>
      </w:r>
      <w:proofErr w:type="spellStart"/>
      <w:r w:rsidRPr="00B577CD">
        <w:rPr>
          <w:color w:val="000000" w:themeColor="text1"/>
        </w:rPr>
        <w:t>Aplio</w:t>
      </w:r>
      <w:proofErr w:type="spellEnd"/>
      <w:r w:rsidRPr="00B577CD">
        <w:rPr>
          <w:color w:val="000000" w:themeColor="text1"/>
        </w:rPr>
        <w:t xml:space="preserve"> a550 </w:t>
      </w:r>
      <w:r>
        <w:rPr>
          <w:rFonts w:hint="eastAsia"/>
          <w:color w:val="000000" w:themeColor="text1"/>
        </w:rPr>
        <w:t>(N =</w:t>
      </w:r>
      <w:r w:rsidRPr="00AE19AD">
        <w:rPr>
          <w:rFonts w:hint="eastAsia"/>
          <w:color w:val="000000" w:themeColor="text1"/>
        </w:rPr>
        <w:t xml:space="preserve"> 58</w:t>
      </w:r>
      <w:r>
        <w:rPr>
          <w:rFonts w:hint="eastAsia"/>
          <w:color w:val="000000" w:themeColor="text1"/>
        </w:rPr>
        <w:t xml:space="preserve">) </w:t>
      </w:r>
      <w:r w:rsidRPr="00B577CD">
        <w:rPr>
          <w:color w:val="000000" w:themeColor="text1"/>
        </w:rPr>
        <w:t xml:space="preserve">and </w:t>
      </w:r>
      <w:r>
        <w:rPr>
          <w:rFonts w:hint="eastAsia"/>
          <w:color w:val="000000" w:themeColor="text1"/>
        </w:rPr>
        <w:t xml:space="preserve">(b) </w:t>
      </w:r>
      <w:proofErr w:type="spellStart"/>
      <w:r>
        <w:rPr>
          <w:rFonts w:hint="eastAsia"/>
          <w:color w:val="000000" w:themeColor="text1"/>
        </w:rPr>
        <w:t>Aplio</w:t>
      </w:r>
      <w:proofErr w:type="spellEnd"/>
      <w:r>
        <w:rPr>
          <w:rFonts w:hint="eastAsia"/>
          <w:color w:val="000000" w:themeColor="text1"/>
        </w:rPr>
        <w:t xml:space="preserve"> </w:t>
      </w:r>
      <w:r w:rsidRPr="00B577CD">
        <w:rPr>
          <w:color w:val="000000" w:themeColor="text1"/>
        </w:rPr>
        <w:t>i700</w:t>
      </w:r>
      <w:r w:rsidRPr="00A50006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 xml:space="preserve">(N = </w:t>
      </w:r>
      <w:r w:rsidRPr="00AE19AD">
        <w:rPr>
          <w:rFonts w:hint="eastAsia"/>
          <w:color w:val="000000" w:themeColor="text1"/>
        </w:rPr>
        <w:t>132)</w:t>
      </w:r>
      <w:r w:rsidRPr="00AE19AD">
        <w:rPr>
          <w:color w:val="000000" w:themeColor="text1"/>
        </w:rPr>
        <w:t xml:space="preserve"> </w:t>
      </w:r>
      <w:r w:rsidRPr="00A50006">
        <w:rPr>
          <w:color w:val="000000" w:themeColor="text1"/>
        </w:rPr>
        <w:t>(r</w:t>
      </w:r>
      <w:r>
        <w:rPr>
          <w:rFonts w:hint="eastAsia"/>
          <w:color w:val="000000" w:themeColor="text1"/>
        </w:rPr>
        <w:t xml:space="preserve"> </w:t>
      </w:r>
      <w:r w:rsidRPr="00A50006">
        <w:rPr>
          <w:color w:val="000000" w:themeColor="text1"/>
        </w:rPr>
        <w:t>=</w:t>
      </w:r>
      <w:r>
        <w:rPr>
          <w:rFonts w:hint="eastAsia"/>
          <w:color w:val="000000" w:themeColor="text1"/>
        </w:rPr>
        <w:t xml:space="preserve"> </w:t>
      </w:r>
      <w:r w:rsidRPr="00A50006">
        <w:rPr>
          <w:color w:val="000000" w:themeColor="text1"/>
        </w:rPr>
        <w:t>0.7</w:t>
      </w:r>
      <w:r>
        <w:rPr>
          <w:rFonts w:hint="eastAsia"/>
          <w:color w:val="000000" w:themeColor="text1"/>
        </w:rPr>
        <w:t>3 and r = 0.79, respectively,</w:t>
      </w:r>
      <w:r w:rsidRPr="00A50006">
        <w:rPr>
          <w:color w:val="000000" w:themeColor="text1"/>
        </w:rPr>
        <w:t xml:space="preserve"> Pearson product-rate correlation coefficient analysis).</w:t>
      </w:r>
    </w:p>
    <w:p w14:paraId="3FC5B840" w14:textId="77777777" w:rsidR="00693F08" w:rsidRPr="00DE7636" w:rsidRDefault="00693F08" w:rsidP="00D42523">
      <w:pPr>
        <w:pStyle w:val="Body"/>
      </w:pPr>
    </w:p>
    <w:p w14:paraId="2A447D26" w14:textId="77777777" w:rsidR="00026B72" w:rsidRPr="00200C62" w:rsidRDefault="00D42523" w:rsidP="00026B72">
      <w:pPr>
        <w:pStyle w:val="Body"/>
        <w:rPr>
          <w:b/>
          <w:bCs/>
        </w:rPr>
      </w:pPr>
      <w:r w:rsidRPr="00200C62">
        <w:rPr>
          <w:rFonts w:hint="eastAsia"/>
          <w:b/>
          <w:bCs/>
        </w:rPr>
        <w:t>F</w:t>
      </w:r>
      <w:r w:rsidRPr="00200C62">
        <w:rPr>
          <w:b/>
          <w:bCs/>
        </w:rPr>
        <w:t>ig</w:t>
      </w:r>
      <w:r w:rsidR="004654AD">
        <w:rPr>
          <w:rFonts w:hint="eastAsia"/>
          <w:b/>
          <w:bCs/>
        </w:rPr>
        <w:t xml:space="preserve"> </w:t>
      </w:r>
      <w:r w:rsidRPr="00200C62">
        <w:rPr>
          <w:b/>
          <w:bCs/>
        </w:rPr>
        <w:t xml:space="preserve">S2. </w:t>
      </w:r>
      <w:r w:rsidR="00026B72" w:rsidRPr="00D5237F">
        <w:rPr>
          <w:b/>
          <w:bCs/>
        </w:rPr>
        <w:t>Comparison of diagnostic performance of 2D-SWE and VCTE</w:t>
      </w:r>
    </w:p>
    <w:p w14:paraId="3443633D" w14:textId="0A8C37F2" w:rsidR="00D42523" w:rsidRPr="00026B72" w:rsidRDefault="00026B72" w:rsidP="00026B72">
      <w:pPr>
        <w:pStyle w:val="Body"/>
        <w:rPr>
          <w:rFonts w:hint="eastAsia"/>
          <w:color w:val="000000" w:themeColor="text1"/>
        </w:rPr>
      </w:pPr>
      <w:r w:rsidRPr="00D97B38">
        <w:rPr>
          <w:color w:val="000000" w:themeColor="text1"/>
        </w:rPr>
        <w:t xml:space="preserve">Receiver operating characteristic curves of </w:t>
      </w:r>
      <w:r>
        <w:rPr>
          <w:rFonts w:hint="eastAsia"/>
          <w:color w:val="000000" w:themeColor="text1"/>
        </w:rPr>
        <w:t>2D-SWE and VCTE</w:t>
      </w:r>
      <w:r w:rsidRPr="00D97B38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 xml:space="preserve">for </w:t>
      </w:r>
      <w:r w:rsidRPr="00D97B38">
        <w:rPr>
          <w:color w:val="000000" w:themeColor="text1"/>
        </w:rPr>
        <w:t>diagnos</w:t>
      </w:r>
      <w:r>
        <w:rPr>
          <w:rFonts w:hint="eastAsia"/>
          <w:color w:val="000000" w:themeColor="text1"/>
        </w:rPr>
        <w:t>ing</w:t>
      </w:r>
      <w:r w:rsidRPr="00D97B38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each stage of liver fibrosis</w:t>
      </w:r>
      <w:r w:rsidRPr="00D97B38">
        <w:rPr>
          <w:color w:val="000000" w:themeColor="text1"/>
        </w:rPr>
        <w:t>.</w:t>
      </w:r>
      <w:r>
        <w:rPr>
          <w:rFonts w:hint="eastAsia"/>
          <w:color w:val="000000" w:themeColor="text1"/>
        </w:rPr>
        <w:t xml:space="preserve"> </w:t>
      </w:r>
      <w:r w:rsidRPr="00B96D9C">
        <w:t xml:space="preserve">Diagnostic performance for </w:t>
      </w:r>
      <w:r>
        <w:rPr>
          <w:rFonts w:hint="eastAsia"/>
        </w:rPr>
        <w:t xml:space="preserve">(a) </w:t>
      </w:r>
      <w:r w:rsidRPr="00B96D9C">
        <w:t xml:space="preserve">F2, </w:t>
      </w:r>
      <w:r>
        <w:rPr>
          <w:rFonts w:hint="eastAsia"/>
        </w:rPr>
        <w:t xml:space="preserve">(b) </w:t>
      </w:r>
      <w:r w:rsidRPr="00B96D9C">
        <w:t>F3</w:t>
      </w:r>
      <w:r>
        <w:rPr>
          <w:rFonts w:hint="eastAsia"/>
        </w:rPr>
        <w:t>,</w:t>
      </w:r>
      <w:r w:rsidRPr="00B96D9C">
        <w:t xml:space="preserve"> and </w:t>
      </w:r>
      <w:r>
        <w:rPr>
          <w:rFonts w:hint="eastAsia"/>
        </w:rPr>
        <w:t xml:space="preserve">(c) </w:t>
      </w:r>
      <w:r w:rsidRPr="00B96D9C">
        <w:t>F4 was comparable between 2D-SWE and VCTE</w:t>
      </w:r>
      <w:r>
        <w:rPr>
          <w:rFonts w:hint="eastAsia"/>
        </w:rPr>
        <w:t xml:space="preserve"> (</w:t>
      </w:r>
      <w:r w:rsidRPr="00FB7557">
        <w:rPr>
          <w:rFonts w:hint="eastAsia"/>
          <w:i/>
          <w:iCs/>
        </w:rPr>
        <w:t>P</w:t>
      </w:r>
      <w:r>
        <w:rPr>
          <w:rFonts w:hint="eastAsia"/>
        </w:rPr>
        <w:t xml:space="preserve"> = 0.92, </w:t>
      </w:r>
      <w:r w:rsidRPr="00D613D0">
        <w:rPr>
          <w:rFonts w:hint="eastAsia"/>
          <w:i/>
          <w:iCs/>
        </w:rPr>
        <w:t>P</w:t>
      </w:r>
      <w:r>
        <w:rPr>
          <w:rFonts w:hint="eastAsia"/>
        </w:rPr>
        <w:t xml:space="preserve"> = 0.65, and </w:t>
      </w:r>
      <w:r w:rsidRPr="00D613D0">
        <w:rPr>
          <w:rFonts w:hint="eastAsia"/>
          <w:i/>
          <w:iCs/>
        </w:rPr>
        <w:t>P</w:t>
      </w:r>
      <w:r>
        <w:rPr>
          <w:rFonts w:hint="eastAsia"/>
        </w:rPr>
        <w:t xml:space="preserve"> = 0.48, respectively, DeLong</w:t>
      </w:r>
      <w:r>
        <w:t>’</w:t>
      </w:r>
      <w:r>
        <w:rPr>
          <w:rFonts w:hint="eastAsia"/>
        </w:rPr>
        <w:t>s test).</w:t>
      </w:r>
    </w:p>
    <w:p w14:paraId="711C07D8" w14:textId="77777777" w:rsidR="00BD528E" w:rsidRDefault="00BD528E"/>
    <w:p w14:paraId="4D3B1EF3" w14:textId="77777777" w:rsidR="00026B72" w:rsidRPr="00200C62" w:rsidRDefault="00DE7636" w:rsidP="00026B72">
      <w:pPr>
        <w:pStyle w:val="Body"/>
        <w:rPr>
          <w:b/>
          <w:bCs/>
        </w:rPr>
      </w:pPr>
      <w:r w:rsidRPr="00200C62">
        <w:rPr>
          <w:rFonts w:hint="eastAsia"/>
          <w:b/>
          <w:bCs/>
        </w:rPr>
        <w:t>F</w:t>
      </w:r>
      <w:r w:rsidRPr="00200C62">
        <w:rPr>
          <w:b/>
          <w:bCs/>
        </w:rPr>
        <w:t>ig</w:t>
      </w:r>
      <w:r>
        <w:rPr>
          <w:rFonts w:hint="eastAsia"/>
          <w:b/>
          <w:bCs/>
        </w:rPr>
        <w:t xml:space="preserve"> </w:t>
      </w:r>
      <w:r w:rsidRPr="00200C62">
        <w:rPr>
          <w:b/>
          <w:bCs/>
        </w:rPr>
        <w:t>S</w:t>
      </w:r>
      <w:r>
        <w:rPr>
          <w:rFonts w:hint="eastAsia"/>
          <w:b/>
          <w:bCs/>
        </w:rPr>
        <w:t>3</w:t>
      </w:r>
      <w:r w:rsidRPr="00200C62">
        <w:rPr>
          <w:b/>
          <w:bCs/>
        </w:rPr>
        <w:t xml:space="preserve">. </w:t>
      </w:r>
      <w:r w:rsidR="00026B72" w:rsidRPr="00F363E1">
        <w:rPr>
          <w:b/>
          <w:bCs/>
        </w:rPr>
        <w:t xml:space="preserve">Correlation of </w:t>
      </w:r>
      <w:r w:rsidR="00026B72">
        <w:rPr>
          <w:rFonts w:hint="eastAsia"/>
          <w:b/>
          <w:bCs/>
        </w:rPr>
        <w:t>ATI</w:t>
      </w:r>
      <w:r w:rsidR="00026B72" w:rsidRPr="00F363E1">
        <w:rPr>
          <w:b/>
          <w:bCs/>
        </w:rPr>
        <w:t xml:space="preserve"> and </w:t>
      </w:r>
      <w:r w:rsidR="00026B72">
        <w:rPr>
          <w:rFonts w:hint="eastAsia"/>
          <w:b/>
          <w:bCs/>
        </w:rPr>
        <w:t>CAP</w:t>
      </w:r>
      <w:r w:rsidR="00026B72" w:rsidRPr="00F363E1">
        <w:rPr>
          <w:b/>
          <w:bCs/>
        </w:rPr>
        <w:t xml:space="preserve"> per device</w:t>
      </w:r>
    </w:p>
    <w:p w14:paraId="2605F2AA" w14:textId="404AF131" w:rsidR="00026B72" w:rsidRPr="00026B72" w:rsidRDefault="00026B72" w:rsidP="00DE7636">
      <w:pPr>
        <w:pStyle w:val="Body"/>
        <w:rPr>
          <w:rFonts w:hint="eastAsia"/>
        </w:rPr>
      </w:pPr>
      <w:r>
        <w:rPr>
          <w:rFonts w:hint="eastAsia"/>
          <w:color w:val="000000" w:themeColor="text1"/>
        </w:rPr>
        <w:t>ATI</w:t>
      </w:r>
      <w:r w:rsidRPr="00B577CD">
        <w:rPr>
          <w:color w:val="000000" w:themeColor="text1"/>
        </w:rPr>
        <w:t xml:space="preserve"> and </w:t>
      </w:r>
      <w:r>
        <w:rPr>
          <w:rFonts w:hint="eastAsia"/>
          <w:color w:val="000000" w:themeColor="text1"/>
        </w:rPr>
        <w:t>CAP</w:t>
      </w:r>
      <w:r w:rsidRPr="00B577CD">
        <w:rPr>
          <w:color w:val="000000" w:themeColor="text1"/>
        </w:rPr>
        <w:t xml:space="preserve"> were positively correlated in both </w:t>
      </w:r>
      <w:r>
        <w:rPr>
          <w:rFonts w:hint="eastAsia"/>
          <w:color w:val="000000" w:themeColor="text1"/>
        </w:rPr>
        <w:t xml:space="preserve">(a) </w:t>
      </w:r>
      <w:proofErr w:type="spellStart"/>
      <w:r w:rsidRPr="00B577CD">
        <w:rPr>
          <w:color w:val="000000" w:themeColor="text1"/>
        </w:rPr>
        <w:t>Aplio</w:t>
      </w:r>
      <w:proofErr w:type="spellEnd"/>
      <w:r w:rsidRPr="00B577CD">
        <w:rPr>
          <w:color w:val="000000" w:themeColor="text1"/>
        </w:rPr>
        <w:t xml:space="preserve"> a550</w:t>
      </w:r>
      <w:r>
        <w:rPr>
          <w:rFonts w:hint="eastAsia"/>
          <w:color w:val="000000" w:themeColor="text1"/>
        </w:rPr>
        <w:t xml:space="preserve"> (N = </w:t>
      </w:r>
      <w:r w:rsidRPr="00AE19AD">
        <w:rPr>
          <w:rFonts w:hint="eastAsia"/>
          <w:color w:val="000000" w:themeColor="text1"/>
        </w:rPr>
        <w:t xml:space="preserve">58) </w:t>
      </w:r>
      <w:r w:rsidRPr="00AE19AD">
        <w:rPr>
          <w:color w:val="000000" w:themeColor="text1"/>
        </w:rPr>
        <w:t xml:space="preserve">and </w:t>
      </w:r>
      <w:r w:rsidRPr="00AE19AD">
        <w:rPr>
          <w:rFonts w:hint="eastAsia"/>
          <w:color w:val="000000" w:themeColor="text1"/>
        </w:rPr>
        <w:t xml:space="preserve">(b) </w:t>
      </w:r>
      <w:proofErr w:type="spellStart"/>
      <w:r w:rsidRPr="00AE19AD">
        <w:rPr>
          <w:rFonts w:hint="eastAsia"/>
          <w:color w:val="000000" w:themeColor="text1"/>
        </w:rPr>
        <w:t>Aplio</w:t>
      </w:r>
      <w:proofErr w:type="spellEnd"/>
      <w:r w:rsidRPr="00AE19AD">
        <w:rPr>
          <w:rFonts w:hint="eastAsia"/>
          <w:color w:val="000000" w:themeColor="text1"/>
        </w:rPr>
        <w:t xml:space="preserve"> </w:t>
      </w:r>
      <w:r w:rsidRPr="00AE19AD">
        <w:rPr>
          <w:color w:val="000000" w:themeColor="text1"/>
        </w:rPr>
        <w:t xml:space="preserve">i700 </w:t>
      </w:r>
      <w:r w:rsidRPr="00AE19AD">
        <w:rPr>
          <w:rFonts w:hint="eastAsia"/>
          <w:color w:val="000000" w:themeColor="text1"/>
        </w:rPr>
        <w:t>(N = 132)</w:t>
      </w:r>
      <w:r w:rsidRPr="00A50006">
        <w:rPr>
          <w:color w:val="000000" w:themeColor="text1"/>
        </w:rPr>
        <w:t xml:space="preserve"> (r</w:t>
      </w:r>
      <w:r>
        <w:rPr>
          <w:rFonts w:hint="eastAsia"/>
          <w:color w:val="000000" w:themeColor="text1"/>
        </w:rPr>
        <w:t xml:space="preserve"> </w:t>
      </w:r>
      <w:r w:rsidRPr="00A50006">
        <w:rPr>
          <w:color w:val="000000" w:themeColor="text1"/>
        </w:rPr>
        <w:t>=</w:t>
      </w:r>
      <w:r>
        <w:rPr>
          <w:rFonts w:hint="eastAsia"/>
          <w:color w:val="000000" w:themeColor="text1"/>
        </w:rPr>
        <w:t xml:space="preserve"> </w:t>
      </w:r>
      <w:r w:rsidRPr="00A50006">
        <w:rPr>
          <w:color w:val="000000" w:themeColor="text1"/>
        </w:rPr>
        <w:t>0.</w:t>
      </w:r>
      <w:r>
        <w:rPr>
          <w:rFonts w:hint="eastAsia"/>
          <w:color w:val="000000" w:themeColor="text1"/>
        </w:rPr>
        <w:t>59 and r = 0.75, respectively,</w:t>
      </w:r>
      <w:r w:rsidRPr="00A50006">
        <w:rPr>
          <w:color w:val="000000" w:themeColor="text1"/>
        </w:rPr>
        <w:t xml:space="preserve"> Pearson product-rate correlation coefficient analysis).</w:t>
      </w:r>
    </w:p>
    <w:p w14:paraId="25E62758" w14:textId="77777777" w:rsidR="00DE7636" w:rsidRDefault="00DE7636"/>
    <w:p w14:paraId="5C8F7C9C" w14:textId="77777777" w:rsidR="00026B72" w:rsidRPr="00200C62" w:rsidRDefault="00F363E1" w:rsidP="00026B72">
      <w:pPr>
        <w:pStyle w:val="Body"/>
        <w:rPr>
          <w:b/>
          <w:bCs/>
        </w:rPr>
      </w:pPr>
      <w:r w:rsidRPr="00200C62">
        <w:rPr>
          <w:rFonts w:hint="eastAsia"/>
          <w:b/>
          <w:bCs/>
        </w:rPr>
        <w:t>F</w:t>
      </w:r>
      <w:r w:rsidRPr="00200C62">
        <w:rPr>
          <w:b/>
          <w:bCs/>
        </w:rPr>
        <w:t>ig</w:t>
      </w:r>
      <w:r>
        <w:rPr>
          <w:rFonts w:hint="eastAsia"/>
          <w:b/>
          <w:bCs/>
        </w:rPr>
        <w:t xml:space="preserve"> </w:t>
      </w:r>
      <w:r w:rsidRPr="00200C62">
        <w:rPr>
          <w:b/>
          <w:bCs/>
        </w:rPr>
        <w:t>S</w:t>
      </w:r>
      <w:r>
        <w:rPr>
          <w:rFonts w:hint="eastAsia"/>
          <w:b/>
          <w:bCs/>
        </w:rPr>
        <w:t>4</w:t>
      </w:r>
      <w:r w:rsidRPr="00200C62">
        <w:rPr>
          <w:b/>
          <w:bCs/>
        </w:rPr>
        <w:t xml:space="preserve">. </w:t>
      </w:r>
      <w:r w:rsidR="00026B72" w:rsidRPr="00D5237F">
        <w:rPr>
          <w:b/>
          <w:bCs/>
        </w:rPr>
        <w:t xml:space="preserve">Comparison of diagnostic performance of </w:t>
      </w:r>
      <w:r w:rsidR="00026B72">
        <w:rPr>
          <w:rFonts w:hint="eastAsia"/>
          <w:b/>
          <w:bCs/>
        </w:rPr>
        <w:t xml:space="preserve">ATI </w:t>
      </w:r>
      <w:r w:rsidR="00026B72" w:rsidRPr="00D5237F">
        <w:rPr>
          <w:b/>
          <w:bCs/>
        </w:rPr>
        <w:t xml:space="preserve">and </w:t>
      </w:r>
      <w:r w:rsidR="00026B72">
        <w:rPr>
          <w:rFonts w:hint="eastAsia"/>
          <w:b/>
          <w:bCs/>
        </w:rPr>
        <w:t>CAP</w:t>
      </w:r>
    </w:p>
    <w:p w14:paraId="07AC4DB5" w14:textId="77777777" w:rsidR="00026B72" w:rsidRDefault="00026B72" w:rsidP="00026B72">
      <w:pPr>
        <w:pStyle w:val="Body"/>
      </w:pPr>
      <w:r w:rsidRPr="00D97B38">
        <w:rPr>
          <w:color w:val="000000" w:themeColor="text1"/>
        </w:rPr>
        <w:t xml:space="preserve">Receiver operating characteristic curves of </w:t>
      </w:r>
      <w:r>
        <w:rPr>
          <w:rFonts w:hint="eastAsia"/>
          <w:color w:val="000000" w:themeColor="text1"/>
        </w:rPr>
        <w:t>ATI and CAP</w:t>
      </w:r>
      <w:r w:rsidRPr="00D97B38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 xml:space="preserve">for </w:t>
      </w:r>
      <w:r w:rsidRPr="00D97B38">
        <w:rPr>
          <w:color w:val="000000" w:themeColor="text1"/>
        </w:rPr>
        <w:t>diagnos</w:t>
      </w:r>
      <w:r>
        <w:rPr>
          <w:rFonts w:hint="eastAsia"/>
          <w:color w:val="000000" w:themeColor="text1"/>
        </w:rPr>
        <w:t>ing</w:t>
      </w:r>
      <w:r w:rsidRPr="00D97B38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each grade of hepatic steatosis</w:t>
      </w:r>
      <w:r w:rsidRPr="00D97B38">
        <w:rPr>
          <w:color w:val="000000" w:themeColor="text1"/>
        </w:rPr>
        <w:t>.</w:t>
      </w:r>
      <w:r>
        <w:rPr>
          <w:rFonts w:hint="eastAsia"/>
          <w:color w:val="000000" w:themeColor="text1"/>
        </w:rPr>
        <w:t xml:space="preserve"> </w:t>
      </w:r>
      <w:r w:rsidRPr="00B96D9C">
        <w:t xml:space="preserve">Diagnostic performance for </w:t>
      </w:r>
      <w:r>
        <w:rPr>
          <w:rFonts w:hint="eastAsia"/>
        </w:rPr>
        <w:t>(a) S1</w:t>
      </w:r>
      <w:r w:rsidRPr="00B96D9C">
        <w:t xml:space="preserve">, </w:t>
      </w:r>
      <w:r>
        <w:rPr>
          <w:rFonts w:hint="eastAsia"/>
        </w:rPr>
        <w:t>(b) S2,</w:t>
      </w:r>
      <w:r w:rsidRPr="00B96D9C">
        <w:t xml:space="preserve"> and </w:t>
      </w:r>
      <w:r>
        <w:rPr>
          <w:rFonts w:hint="eastAsia"/>
        </w:rPr>
        <w:t>(c) S3</w:t>
      </w:r>
      <w:r w:rsidRPr="00B96D9C">
        <w:t xml:space="preserve"> was comparable between </w:t>
      </w:r>
      <w:r>
        <w:rPr>
          <w:rFonts w:hint="eastAsia"/>
        </w:rPr>
        <w:t>ATI</w:t>
      </w:r>
      <w:r w:rsidRPr="00B96D9C">
        <w:t xml:space="preserve"> and </w:t>
      </w:r>
      <w:r>
        <w:rPr>
          <w:rFonts w:hint="eastAsia"/>
        </w:rPr>
        <w:t>CAP (</w:t>
      </w:r>
      <w:r w:rsidRPr="00FB7557">
        <w:rPr>
          <w:rFonts w:hint="eastAsia"/>
          <w:i/>
          <w:iCs/>
        </w:rPr>
        <w:t>P</w:t>
      </w:r>
      <w:r>
        <w:rPr>
          <w:rFonts w:hint="eastAsia"/>
        </w:rPr>
        <w:t xml:space="preserve"> = 0.96, </w:t>
      </w:r>
      <w:r w:rsidRPr="00D613D0">
        <w:rPr>
          <w:rFonts w:hint="eastAsia"/>
          <w:i/>
          <w:iCs/>
        </w:rPr>
        <w:t>P</w:t>
      </w:r>
      <w:r>
        <w:rPr>
          <w:rFonts w:hint="eastAsia"/>
        </w:rPr>
        <w:t xml:space="preserve"> = 0.87, and </w:t>
      </w:r>
      <w:r w:rsidRPr="00D613D0">
        <w:rPr>
          <w:rFonts w:hint="eastAsia"/>
          <w:i/>
          <w:iCs/>
        </w:rPr>
        <w:t>P</w:t>
      </w:r>
      <w:r>
        <w:rPr>
          <w:rFonts w:hint="eastAsia"/>
        </w:rPr>
        <w:t xml:space="preserve"> = 0.20, respectively, DeLong</w:t>
      </w:r>
      <w:r>
        <w:t>’</w:t>
      </w:r>
      <w:r>
        <w:rPr>
          <w:rFonts w:hint="eastAsia"/>
        </w:rPr>
        <w:t>s test).</w:t>
      </w:r>
    </w:p>
    <w:p w14:paraId="0F206C97" w14:textId="782DD4D8" w:rsidR="00693F08" w:rsidRPr="00026B72" w:rsidRDefault="00693F08" w:rsidP="00026B72">
      <w:pPr>
        <w:pStyle w:val="Body"/>
      </w:pPr>
    </w:p>
    <w:p w14:paraId="6A3C727B" w14:textId="77777777" w:rsidR="00F363E1" w:rsidRPr="00693F08" w:rsidRDefault="00F363E1"/>
    <w:sectPr w:rsidR="00F363E1" w:rsidRPr="00693F08" w:rsidSect="00240824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A90D" w14:textId="77777777" w:rsidR="00240824" w:rsidRDefault="00240824" w:rsidP="00024A0A">
      <w:r>
        <w:separator/>
      </w:r>
    </w:p>
  </w:endnote>
  <w:endnote w:type="continuationSeparator" w:id="0">
    <w:p w14:paraId="4ABE9BA6" w14:textId="77777777" w:rsidR="00240824" w:rsidRDefault="00240824" w:rsidP="00024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CA711" w14:textId="77777777" w:rsidR="00240824" w:rsidRDefault="00240824" w:rsidP="00024A0A">
      <w:r>
        <w:separator/>
      </w:r>
    </w:p>
  </w:footnote>
  <w:footnote w:type="continuationSeparator" w:id="0">
    <w:p w14:paraId="47186DEA" w14:textId="77777777" w:rsidR="00240824" w:rsidRDefault="00240824" w:rsidP="00024A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23"/>
    <w:rsid w:val="00024A0A"/>
    <w:rsid w:val="00026B72"/>
    <w:rsid w:val="000E0924"/>
    <w:rsid w:val="000E2111"/>
    <w:rsid w:val="00162733"/>
    <w:rsid w:val="00206290"/>
    <w:rsid w:val="00240824"/>
    <w:rsid w:val="002A1BCA"/>
    <w:rsid w:val="004654AD"/>
    <w:rsid w:val="004B6937"/>
    <w:rsid w:val="004F6221"/>
    <w:rsid w:val="00534D8D"/>
    <w:rsid w:val="00547073"/>
    <w:rsid w:val="00614A9F"/>
    <w:rsid w:val="006275F0"/>
    <w:rsid w:val="00693F08"/>
    <w:rsid w:val="006C3834"/>
    <w:rsid w:val="007B2787"/>
    <w:rsid w:val="00814B5C"/>
    <w:rsid w:val="00992774"/>
    <w:rsid w:val="009F0A2F"/>
    <w:rsid w:val="00A44EA2"/>
    <w:rsid w:val="00AE1644"/>
    <w:rsid w:val="00AE19AD"/>
    <w:rsid w:val="00B577CD"/>
    <w:rsid w:val="00B96D9C"/>
    <w:rsid w:val="00BA0881"/>
    <w:rsid w:val="00BA66A8"/>
    <w:rsid w:val="00BB2F76"/>
    <w:rsid w:val="00BD528E"/>
    <w:rsid w:val="00C87491"/>
    <w:rsid w:val="00D42523"/>
    <w:rsid w:val="00D5237F"/>
    <w:rsid w:val="00D613D0"/>
    <w:rsid w:val="00DC59A9"/>
    <w:rsid w:val="00DE7636"/>
    <w:rsid w:val="00DF1D0F"/>
    <w:rsid w:val="00F237C3"/>
    <w:rsid w:val="00F25378"/>
    <w:rsid w:val="00F363E1"/>
    <w:rsid w:val="00FB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02286C"/>
  <w15:chartTrackingRefBased/>
  <w15:docId w15:val="{A249A4C1-AFB2-48F6-8833-DF92F2E1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link w:val="Body0"/>
    <w:qFormat/>
    <w:rsid w:val="00D42523"/>
    <w:pPr>
      <w:tabs>
        <w:tab w:val="left" w:pos="709"/>
      </w:tabs>
      <w:adjustRightInd w:val="0"/>
      <w:snapToGrid w:val="0"/>
      <w:spacing w:line="480" w:lineRule="auto"/>
    </w:pPr>
    <w:rPr>
      <w:rFonts w:ascii="Times New Roman" w:eastAsia="ＭＳ 明朝" w:hAnsi="Times New Roman" w:cs="Times New Roman"/>
      <w:snapToGrid w:val="0"/>
      <w:sz w:val="24"/>
      <w:szCs w:val="24"/>
    </w:rPr>
  </w:style>
  <w:style w:type="character" w:customStyle="1" w:styleId="Body0">
    <w:name w:val="Body (文字)"/>
    <w:link w:val="Body"/>
    <w:locked/>
    <w:rsid w:val="00D42523"/>
    <w:rPr>
      <w:rFonts w:ascii="Times New Roman" w:eastAsia="ＭＳ 明朝" w:hAnsi="Times New Roman" w:cs="Times New Roman"/>
      <w:snapToGrid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24A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4A0A"/>
  </w:style>
  <w:style w:type="paragraph" w:styleId="a5">
    <w:name w:val="footer"/>
    <w:basedOn w:val="a"/>
    <w:link w:val="a6"/>
    <w:uiPriority w:val="99"/>
    <w:unhideWhenUsed/>
    <w:rsid w:val="00024A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4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Nakatsuka Takuma</dc:creator>
  <cp:keywords/>
  <dc:description/>
  <cp:lastModifiedBy>小林　玉宜</cp:lastModifiedBy>
  <cp:revision>38</cp:revision>
  <dcterms:created xsi:type="dcterms:W3CDTF">2023-08-18T03:42:00Z</dcterms:created>
  <dcterms:modified xsi:type="dcterms:W3CDTF">2024-03-25T12:14:00Z</dcterms:modified>
</cp:coreProperties>
</file>