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FD404" w14:textId="07FB0259" w:rsidR="00284144" w:rsidRPr="00BD67DD" w:rsidRDefault="00AB7CD8" w:rsidP="00AB6B55">
      <w:bookmarkStart w:id="0" w:name="_Hlk8318741"/>
      <w:bookmarkStart w:id="1" w:name="_GoBack"/>
      <w:r w:rsidRPr="00BD67DD">
        <w:t xml:space="preserve">Electronic supplementary </w:t>
      </w:r>
      <w:r w:rsidR="00AE041A">
        <w:t>material</w:t>
      </w:r>
    </w:p>
    <w:p w14:paraId="21DFB582" w14:textId="5A5AD1FA" w:rsidR="00920413" w:rsidRPr="00BD67DD" w:rsidRDefault="00F035DB" w:rsidP="00AB6B55">
      <w:pPr>
        <w:pStyle w:val="RSCH01PaperTitle"/>
        <w:jc w:val="center"/>
        <w:rPr>
          <w:rFonts w:ascii="Arial" w:hAnsi="Arial" w:cs="Arial"/>
        </w:rPr>
      </w:pPr>
      <w:r w:rsidRPr="00BD67DD">
        <w:rPr>
          <w:rFonts w:ascii="Arial" w:hAnsi="Arial" w:cs="Arial"/>
        </w:rPr>
        <w:t xml:space="preserve">Rotatable microfluidic device for simultaneous study of bilateral chemosensory neurons in </w:t>
      </w:r>
      <w:r w:rsidRPr="00BD67DD">
        <w:rPr>
          <w:rFonts w:ascii="Arial" w:hAnsi="Arial" w:cs="Arial"/>
          <w:i/>
        </w:rPr>
        <w:t>Caenorhabditis elegans</w:t>
      </w:r>
    </w:p>
    <w:p w14:paraId="1E4304FC" w14:textId="77777777" w:rsidR="00920413" w:rsidRPr="00BD67DD" w:rsidRDefault="00920413"/>
    <w:bookmarkEnd w:id="0"/>
    <w:p w14:paraId="31D27D06" w14:textId="5151FDCB" w:rsidR="007A1318" w:rsidRPr="00267667" w:rsidRDefault="007A1318" w:rsidP="007A1318">
      <w:pPr>
        <w:pStyle w:val="RSCH02PaperAuthorsandByline"/>
        <w:rPr>
          <w:rFonts w:ascii="Arial" w:hAnsi="Arial" w:cs="Arial"/>
          <w:sz w:val="22"/>
        </w:rPr>
      </w:pPr>
      <w:r w:rsidRPr="00267667">
        <w:rPr>
          <w:rFonts w:ascii="Arial" w:hAnsi="Arial" w:cs="Arial"/>
          <w:sz w:val="22"/>
        </w:rPr>
        <w:t>Jinyang Chung†</w:t>
      </w:r>
      <w:r w:rsidRPr="00267667">
        <w:rPr>
          <w:rFonts w:ascii="Arial" w:hAnsi="Arial" w:cs="Arial"/>
          <w:sz w:val="22"/>
          <w:vertAlign w:val="superscript"/>
        </w:rPr>
        <w:t>a</w:t>
      </w:r>
      <w:r w:rsidRPr="00267667">
        <w:rPr>
          <w:rFonts w:ascii="Arial" w:hAnsi="Arial" w:cs="Arial"/>
          <w:sz w:val="22"/>
        </w:rPr>
        <w:t>, Christopher A. Brittin†</w:t>
      </w:r>
      <w:r w:rsidRPr="00267667">
        <w:rPr>
          <w:rFonts w:ascii="Arial" w:hAnsi="Arial" w:cs="Arial"/>
          <w:sz w:val="22"/>
          <w:vertAlign w:val="superscript"/>
        </w:rPr>
        <w:t>b</w:t>
      </w:r>
      <w:r w:rsidRPr="00267667">
        <w:rPr>
          <w:rFonts w:ascii="Arial" w:hAnsi="Arial" w:cs="Arial"/>
          <w:sz w:val="22"/>
        </w:rPr>
        <w:t>, Stephen D. Evans</w:t>
      </w:r>
      <w:r w:rsidRPr="00267667">
        <w:rPr>
          <w:rFonts w:ascii="Arial" w:hAnsi="Arial" w:cs="Arial"/>
          <w:sz w:val="22"/>
          <w:vertAlign w:val="superscript"/>
        </w:rPr>
        <w:t xml:space="preserve"> a</w:t>
      </w:r>
      <w:r w:rsidRPr="00267667">
        <w:rPr>
          <w:rFonts w:ascii="Arial" w:hAnsi="Arial" w:cs="Arial"/>
          <w:sz w:val="22"/>
        </w:rPr>
        <w:t>, Netta Cohen*</w:t>
      </w:r>
      <w:r w:rsidRPr="00267667">
        <w:rPr>
          <w:rFonts w:ascii="Arial" w:hAnsi="Arial" w:cs="Arial"/>
          <w:sz w:val="22"/>
          <w:vertAlign w:val="superscript"/>
        </w:rPr>
        <w:t>b</w:t>
      </w:r>
      <w:r w:rsidRPr="00267667">
        <w:rPr>
          <w:rFonts w:ascii="Arial" w:hAnsi="Arial" w:cs="Arial"/>
          <w:sz w:val="22"/>
        </w:rPr>
        <w:t>, and Jung-uk Shim*</w:t>
      </w:r>
      <w:r w:rsidRPr="00267667">
        <w:rPr>
          <w:rFonts w:ascii="Arial" w:hAnsi="Arial" w:cs="Arial"/>
          <w:sz w:val="22"/>
          <w:vertAlign w:val="superscript"/>
        </w:rPr>
        <w:t xml:space="preserve">a </w:t>
      </w:r>
    </w:p>
    <w:p w14:paraId="73132DD0" w14:textId="77777777" w:rsidR="007A1318" w:rsidRPr="00267667" w:rsidRDefault="007A1318" w:rsidP="007A1318">
      <w:pPr>
        <w:pStyle w:val="RSCF02FootnotestoTitleAuthors"/>
        <w:rPr>
          <w:rFonts w:ascii="Arial" w:hAnsi="Arial" w:cs="Arial"/>
          <w:sz w:val="22"/>
          <w:szCs w:val="22"/>
        </w:rPr>
      </w:pPr>
      <w:r w:rsidRPr="00267667">
        <w:rPr>
          <w:rFonts w:ascii="Arial" w:hAnsi="Arial" w:cs="Arial"/>
          <w:sz w:val="22"/>
          <w:szCs w:val="22"/>
        </w:rPr>
        <w:t>a.</w:t>
      </w:r>
      <w:r w:rsidRPr="00267667">
        <w:rPr>
          <w:rFonts w:ascii="Arial" w:hAnsi="Arial" w:cs="Arial"/>
          <w:sz w:val="22"/>
          <w:szCs w:val="22"/>
        </w:rPr>
        <w:tab/>
        <w:t>School of Physics and Astronomy, University of Leeds, Leeds, UK</w:t>
      </w:r>
    </w:p>
    <w:p w14:paraId="41D16E36" w14:textId="77777777" w:rsidR="007A1318" w:rsidRPr="00267667" w:rsidRDefault="007A1318" w:rsidP="007A1318">
      <w:pPr>
        <w:pStyle w:val="RSCF02FootnotestoTitleAuthors"/>
        <w:rPr>
          <w:rFonts w:ascii="Arial" w:hAnsi="Arial" w:cs="Arial"/>
          <w:sz w:val="22"/>
          <w:szCs w:val="22"/>
        </w:rPr>
      </w:pPr>
      <w:r w:rsidRPr="00267667">
        <w:rPr>
          <w:rFonts w:ascii="Arial" w:hAnsi="Arial" w:cs="Arial"/>
          <w:sz w:val="22"/>
          <w:szCs w:val="22"/>
        </w:rPr>
        <w:t>b.</w:t>
      </w:r>
      <w:r w:rsidRPr="00267667">
        <w:rPr>
          <w:rFonts w:ascii="Arial" w:hAnsi="Arial" w:cs="Arial"/>
          <w:sz w:val="22"/>
          <w:szCs w:val="22"/>
        </w:rPr>
        <w:tab/>
        <w:t xml:space="preserve">School of Computing, University of Leeds, Leeds, UK </w:t>
      </w:r>
    </w:p>
    <w:p w14:paraId="1A7DEBF4" w14:textId="77777777" w:rsidR="007A1318" w:rsidRPr="00267667" w:rsidRDefault="007A1318" w:rsidP="007A1318">
      <w:pPr>
        <w:pStyle w:val="RSCF02FootnotestoTitleAuthors"/>
        <w:rPr>
          <w:rFonts w:ascii="Arial" w:hAnsi="Arial" w:cs="Arial"/>
          <w:sz w:val="22"/>
          <w:szCs w:val="22"/>
        </w:rPr>
      </w:pPr>
      <w:r w:rsidRPr="00267667">
        <w:rPr>
          <w:rFonts w:ascii="Arial" w:hAnsi="Arial" w:cs="Arial"/>
          <w:sz w:val="22"/>
          <w:szCs w:val="22"/>
        </w:rPr>
        <w:t xml:space="preserve">† These authors contributed equally. </w:t>
      </w:r>
    </w:p>
    <w:p w14:paraId="19093316" w14:textId="4221CAA5" w:rsidR="00920413" w:rsidRPr="00267667" w:rsidRDefault="00540B2C" w:rsidP="00540B2C">
      <w:pPr>
        <w:pStyle w:val="RSCB02ArticleText"/>
        <w:tabs>
          <w:tab w:val="left" w:pos="1244"/>
        </w:tabs>
        <w:rPr>
          <w:rFonts w:ascii="Arial" w:hAnsi="Arial" w:cs="Arial"/>
          <w:sz w:val="22"/>
          <w:szCs w:val="22"/>
          <w:lang w:val="en-US" w:eastAsia="ko-KR"/>
        </w:rPr>
      </w:pPr>
      <w:r w:rsidRPr="00267667">
        <w:rPr>
          <w:rFonts w:ascii="Arial" w:hAnsi="Arial" w:cs="Arial"/>
          <w:sz w:val="22"/>
          <w:szCs w:val="22"/>
          <w:lang w:val="en-US" w:eastAsia="ko-KR"/>
        </w:rPr>
        <w:tab/>
      </w:r>
    </w:p>
    <w:p w14:paraId="2567FDE0" w14:textId="3825A832" w:rsidR="00540B2C" w:rsidRPr="00267667" w:rsidRDefault="00540B2C" w:rsidP="00AB6B55">
      <w:pPr>
        <w:pStyle w:val="RSCB02ArticleText"/>
        <w:tabs>
          <w:tab w:val="left" w:pos="1244"/>
        </w:tabs>
        <w:rPr>
          <w:rFonts w:ascii="Arial" w:hAnsi="Arial" w:cs="Arial"/>
          <w:sz w:val="22"/>
          <w:szCs w:val="22"/>
          <w:lang w:val="en-US" w:eastAsia="ko-KR"/>
        </w:rPr>
      </w:pPr>
    </w:p>
    <w:p w14:paraId="17B25657" w14:textId="2FA708B8" w:rsidR="00AB6B55" w:rsidRPr="00267667" w:rsidRDefault="00AB6B55" w:rsidP="00AB6B55">
      <w:pPr>
        <w:pStyle w:val="RSCB02ArticleText"/>
        <w:tabs>
          <w:tab w:val="left" w:pos="1244"/>
        </w:tabs>
        <w:rPr>
          <w:rFonts w:ascii="Arial" w:hAnsi="Arial" w:cs="Arial"/>
          <w:sz w:val="22"/>
          <w:szCs w:val="22"/>
          <w:lang w:val="en-US" w:eastAsia="ko-KR"/>
        </w:rPr>
      </w:pPr>
    </w:p>
    <w:p w14:paraId="36064EC4" w14:textId="77777777" w:rsidR="00AB6B55" w:rsidRPr="00267667" w:rsidRDefault="00AB6B55" w:rsidP="00AB6B55">
      <w:pPr>
        <w:pStyle w:val="RSCB02ArticleText"/>
        <w:tabs>
          <w:tab w:val="left" w:pos="1244"/>
        </w:tabs>
        <w:rPr>
          <w:rFonts w:ascii="Arial" w:hAnsi="Arial" w:cs="Arial"/>
          <w:sz w:val="22"/>
          <w:szCs w:val="22"/>
          <w:lang w:val="en-US" w:eastAsia="ko-KR"/>
        </w:rPr>
      </w:pPr>
    </w:p>
    <w:p w14:paraId="77F465BD" w14:textId="77777777" w:rsidR="006B11D2" w:rsidRPr="00267667" w:rsidRDefault="006B11D2" w:rsidP="006B11D2">
      <w:pPr>
        <w:spacing w:before="0" w:after="200"/>
        <w:jc w:val="both"/>
        <w:rPr>
          <w:rFonts w:eastAsia="Batang"/>
          <w:w w:val="108"/>
          <w:sz w:val="22"/>
          <w:szCs w:val="22"/>
          <w:lang w:val="en-US" w:eastAsia="en-US"/>
        </w:rPr>
      </w:pPr>
      <w:bookmarkStart w:id="2" w:name="__Fieldmark__462_3049143843"/>
      <w:bookmarkStart w:id="3" w:name="__Fieldmark__4073_3500648980"/>
      <w:bookmarkStart w:id="4" w:name="__Fieldmark__465_3049143843"/>
      <w:bookmarkStart w:id="5" w:name="__Fieldmark__3013_631916029"/>
      <w:bookmarkStart w:id="6" w:name="__Fieldmark__4171_3500648980"/>
      <w:bookmarkStart w:id="7" w:name="__Fieldmark__556_3049143843"/>
      <w:bookmarkStart w:id="8" w:name="__Fieldmark__4214_3500648980"/>
      <w:bookmarkStart w:id="9" w:name="__Fieldmark__3059_631916029"/>
      <w:bookmarkStart w:id="10" w:name="__Fieldmark__592_3049143843"/>
      <w:bookmarkStart w:id="11" w:name="__Fieldmark__3144_631916029"/>
      <w:bookmarkStart w:id="12" w:name="__Fieldmark__3242_631916029"/>
      <w:bookmarkStart w:id="13" w:name="__Fieldmark__3205_6319160291"/>
      <w:bookmarkStart w:id="14" w:name="__Fieldmark__4757_3500648980"/>
      <w:bookmarkStart w:id="15" w:name="__Fieldmark__3348_6319160292"/>
      <w:bookmarkStart w:id="16" w:name="__Fieldmark__3424_631916029"/>
      <w:bookmarkStart w:id="17" w:name="__Fieldmark__916_3049143843"/>
      <w:bookmarkStart w:id="18" w:name="__Fieldmark__4914_350064898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267667">
        <w:rPr>
          <w:rFonts w:eastAsia="Batang"/>
          <w:noProof/>
          <w:w w:val="108"/>
          <w:sz w:val="22"/>
          <w:szCs w:val="22"/>
          <w:lang w:val="en-US" w:eastAsia="en-US"/>
        </w:rPr>
        <w:drawing>
          <wp:inline distT="0" distB="0" distL="0" distR="0" wp14:anchorId="49725B23" wp14:editId="431F1A5E">
            <wp:extent cx="3621338" cy="1237595"/>
            <wp:effectExtent l="0" t="0" r="0" b="1270"/>
            <wp:docPr id="16" name="Picture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F5BBA2-2118-4BCC-8AAC-60142AF92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F5BBA2-2118-4BCC-8AAC-60142AF92290}"/>
                        </a:ext>
                      </a:extLst>
                    </pic:cNvPr>
                    <pic:cNvPicPr>
                      <a:picLocks noChangeAspect="1"/>
                    </pic:cNvPicPr>
                  </pic:nvPicPr>
                  <pic:blipFill>
                    <a:blip r:embed="rId5"/>
                    <a:stretch>
                      <a:fillRect/>
                    </a:stretch>
                  </pic:blipFill>
                  <pic:spPr>
                    <a:xfrm>
                      <a:off x="0" y="0"/>
                      <a:ext cx="3621338" cy="1237595"/>
                    </a:xfrm>
                    <a:prstGeom prst="rect">
                      <a:avLst/>
                    </a:prstGeom>
                  </pic:spPr>
                </pic:pic>
              </a:graphicData>
            </a:graphic>
          </wp:inline>
        </w:drawing>
      </w:r>
    </w:p>
    <w:p w14:paraId="39EAB105" w14:textId="0734C8C6" w:rsidR="006B11D2" w:rsidRPr="00267667" w:rsidRDefault="006B11D2" w:rsidP="006B11D2">
      <w:pPr>
        <w:pStyle w:val="RSCB02ArticleText"/>
        <w:spacing w:line="240" w:lineRule="auto"/>
        <w:rPr>
          <w:rFonts w:ascii="Arial" w:hAnsi="Arial" w:cs="Arial"/>
          <w:sz w:val="22"/>
          <w:szCs w:val="22"/>
        </w:rPr>
      </w:pPr>
      <w:r w:rsidRPr="00267667">
        <w:rPr>
          <w:rFonts w:ascii="Arial" w:hAnsi="Arial" w:cs="Arial"/>
          <w:sz w:val="22"/>
          <w:szCs w:val="22"/>
        </w:rPr>
        <w:t>Fig. S1. The wide entrance region of the worm trap. The pillar structure forces a worm to enter the trap with their head first. The wide and shallow channel located at the entrance of the trap lets a worm crawl on a x-y plane, which aligns the dorso-ventral plane of a worm parallel to x-y plane by itself. The width between pillars are 50 μm. Scale bar indicates 500 µm.</w:t>
      </w:r>
    </w:p>
    <w:p w14:paraId="0F06FF51" w14:textId="1A7D806C" w:rsidR="000570F5" w:rsidRPr="00267667" w:rsidRDefault="000570F5" w:rsidP="006B11D2">
      <w:pPr>
        <w:pStyle w:val="RSCB02ArticleText"/>
        <w:spacing w:line="240" w:lineRule="auto"/>
        <w:rPr>
          <w:rFonts w:ascii="Arial" w:hAnsi="Arial" w:cs="Arial"/>
          <w:sz w:val="22"/>
          <w:szCs w:val="22"/>
        </w:rPr>
      </w:pPr>
    </w:p>
    <w:p w14:paraId="4CDD144A" w14:textId="77777777" w:rsidR="000570F5" w:rsidRPr="00267667" w:rsidRDefault="000570F5" w:rsidP="006B11D2">
      <w:pPr>
        <w:pStyle w:val="RSCB02ArticleText"/>
        <w:spacing w:line="240" w:lineRule="auto"/>
        <w:rPr>
          <w:rFonts w:ascii="Arial" w:hAnsi="Arial" w:cs="Arial"/>
          <w:sz w:val="22"/>
          <w:szCs w:val="22"/>
        </w:rPr>
      </w:pPr>
    </w:p>
    <w:p w14:paraId="7CAE3C11" w14:textId="7DBBB84C" w:rsidR="000570F5" w:rsidRPr="00267667" w:rsidRDefault="000570F5" w:rsidP="006B11D2">
      <w:pPr>
        <w:pStyle w:val="RSCB02ArticleText"/>
        <w:spacing w:line="240" w:lineRule="auto"/>
        <w:rPr>
          <w:rFonts w:ascii="Arial" w:hAnsi="Arial" w:cs="Arial"/>
          <w:sz w:val="22"/>
          <w:szCs w:val="22"/>
        </w:rPr>
      </w:pPr>
      <w:r w:rsidRPr="00267667">
        <w:rPr>
          <w:rFonts w:ascii="Arial" w:hAnsi="Arial" w:cs="Arial"/>
          <w:noProof/>
          <w:sz w:val="22"/>
          <w:szCs w:val="22"/>
          <w:lang w:val="en-US"/>
        </w:rPr>
        <w:lastRenderedPageBreak/>
        <w:drawing>
          <wp:inline distT="0" distB="0" distL="0" distR="0" wp14:anchorId="259A32AC" wp14:editId="1DF580B3">
            <wp:extent cx="5731510" cy="5213350"/>
            <wp:effectExtent l="0" t="0" r="0" b="0"/>
            <wp:docPr id="4" name="Picture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2A34762-EEDE-4395-89DE-23BED193E2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2A34762-EEDE-4395-89DE-23BED193E2D8}"/>
                        </a:ext>
                      </a:extLst>
                    </pic:cNvPr>
                    <pic:cNvPicPr>
                      <a:picLocks noChangeAspect="1"/>
                    </pic:cNvPicPr>
                  </pic:nvPicPr>
                  <pic:blipFill>
                    <a:blip r:embed="rId6"/>
                    <a:stretch>
                      <a:fillRect/>
                    </a:stretch>
                  </pic:blipFill>
                  <pic:spPr>
                    <a:xfrm>
                      <a:off x="0" y="0"/>
                      <a:ext cx="5731510" cy="5213350"/>
                    </a:xfrm>
                    <a:prstGeom prst="rect">
                      <a:avLst/>
                    </a:prstGeom>
                  </pic:spPr>
                </pic:pic>
              </a:graphicData>
            </a:graphic>
          </wp:inline>
        </w:drawing>
      </w:r>
    </w:p>
    <w:p w14:paraId="5BB47956" w14:textId="73FFD07F" w:rsidR="000570F5" w:rsidRPr="00267667" w:rsidRDefault="000570F5" w:rsidP="006B11D2">
      <w:pPr>
        <w:pStyle w:val="RSCB02ArticleText"/>
        <w:spacing w:line="240" w:lineRule="auto"/>
        <w:rPr>
          <w:rFonts w:ascii="Arial" w:hAnsi="Arial" w:cs="Arial"/>
          <w:sz w:val="22"/>
          <w:szCs w:val="22"/>
        </w:rPr>
      </w:pPr>
      <w:r w:rsidRPr="00267667">
        <w:rPr>
          <w:rFonts w:ascii="Arial" w:hAnsi="Arial" w:cs="Arial"/>
          <w:sz w:val="22"/>
          <w:szCs w:val="22"/>
        </w:rPr>
        <w:t xml:space="preserve">Fig. S2. </w:t>
      </w:r>
      <w:r w:rsidR="006A2829" w:rsidRPr="00267667">
        <w:rPr>
          <w:rFonts w:ascii="Arial" w:hAnsi="Arial" w:cs="Arial"/>
          <w:sz w:val="22"/>
          <w:szCs w:val="22"/>
        </w:rPr>
        <w:t>The</w:t>
      </w:r>
      <w:r w:rsidR="009210F5" w:rsidRPr="00267667">
        <w:rPr>
          <w:rFonts w:ascii="Arial" w:hAnsi="Arial" w:cs="Arial"/>
          <w:sz w:val="22"/>
          <w:szCs w:val="22"/>
        </w:rPr>
        <w:t xml:space="preserve"> experimental setup</w:t>
      </w:r>
      <w:r w:rsidR="006A2829" w:rsidRPr="00267667">
        <w:rPr>
          <w:rFonts w:ascii="Arial" w:hAnsi="Arial" w:cs="Arial"/>
          <w:sz w:val="22"/>
          <w:szCs w:val="22"/>
        </w:rPr>
        <w:t xml:space="preserve"> for manipulating pressures and delivering worms</w:t>
      </w:r>
      <w:r w:rsidR="009210F5" w:rsidRPr="00267667">
        <w:rPr>
          <w:rFonts w:ascii="Arial" w:hAnsi="Arial" w:cs="Arial"/>
          <w:sz w:val="22"/>
          <w:szCs w:val="22"/>
        </w:rPr>
        <w:t>. a) Pressure supply system</w:t>
      </w:r>
      <w:r w:rsidR="00EF44C3" w:rsidRPr="00267667">
        <w:rPr>
          <w:rFonts w:ascii="Arial" w:hAnsi="Arial" w:cs="Arial"/>
          <w:sz w:val="22"/>
          <w:szCs w:val="22"/>
        </w:rPr>
        <w:t>.</w:t>
      </w:r>
      <w:r w:rsidR="009210F5" w:rsidRPr="00267667">
        <w:rPr>
          <w:rFonts w:ascii="Arial" w:hAnsi="Arial" w:cs="Arial"/>
          <w:sz w:val="22"/>
          <w:szCs w:val="22"/>
        </w:rPr>
        <w:t xml:space="preserve"> b) </w:t>
      </w:r>
      <w:r w:rsidR="006A2829" w:rsidRPr="00267667">
        <w:rPr>
          <w:rFonts w:ascii="Arial" w:hAnsi="Arial" w:cs="Arial"/>
          <w:sz w:val="22"/>
          <w:szCs w:val="22"/>
        </w:rPr>
        <w:t>S</w:t>
      </w:r>
      <w:r w:rsidR="00EF44C3" w:rsidRPr="00267667">
        <w:rPr>
          <w:rFonts w:ascii="Arial" w:hAnsi="Arial" w:cs="Arial"/>
          <w:sz w:val="22"/>
          <w:szCs w:val="22"/>
        </w:rPr>
        <w:t>emi-automatic</w:t>
      </w:r>
      <w:r w:rsidR="006A2829" w:rsidRPr="00267667">
        <w:rPr>
          <w:rFonts w:ascii="Arial" w:hAnsi="Arial" w:cs="Arial"/>
          <w:sz w:val="22"/>
          <w:szCs w:val="22"/>
        </w:rPr>
        <w:t xml:space="preserve"> w</w:t>
      </w:r>
      <w:r w:rsidR="009210F5" w:rsidRPr="00267667">
        <w:rPr>
          <w:rFonts w:ascii="Arial" w:hAnsi="Arial" w:cs="Arial"/>
          <w:sz w:val="22"/>
          <w:szCs w:val="22"/>
        </w:rPr>
        <w:t xml:space="preserve">orm </w:t>
      </w:r>
      <w:r w:rsidR="006A2829" w:rsidRPr="00267667">
        <w:rPr>
          <w:rFonts w:ascii="Arial" w:hAnsi="Arial" w:cs="Arial"/>
          <w:sz w:val="22"/>
          <w:szCs w:val="22"/>
        </w:rPr>
        <w:t>delivery module</w:t>
      </w:r>
      <w:r w:rsidR="009210F5" w:rsidRPr="00267667">
        <w:rPr>
          <w:rFonts w:ascii="Arial" w:hAnsi="Arial" w:cs="Arial"/>
          <w:sz w:val="22"/>
          <w:szCs w:val="22"/>
        </w:rPr>
        <w:t>.</w:t>
      </w:r>
    </w:p>
    <w:p w14:paraId="47BAFE8E" w14:textId="7AB37E07" w:rsidR="00F523ED" w:rsidRPr="00267667" w:rsidRDefault="00F523ED" w:rsidP="00013ABD">
      <w:pPr>
        <w:spacing w:before="0" w:line="240" w:lineRule="auto"/>
        <w:rPr>
          <w:rFonts w:eastAsia="Batang"/>
          <w:w w:val="108"/>
          <w:sz w:val="22"/>
          <w:szCs w:val="22"/>
          <w:lang w:eastAsia="en-US"/>
        </w:rPr>
      </w:pPr>
      <w:r w:rsidRPr="00267667">
        <w:rPr>
          <w:sz w:val="22"/>
          <w:szCs w:val="22"/>
        </w:rPr>
        <w:br w:type="page"/>
      </w:r>
      <w:bookmarkStart w:id="19" w:name="_Hlk26965475"/>
      <w:bookmarkStart w:id="20" w:name="_Hlk26736676"/>
    </w:p>
    <w:p w14:paraId="6B5E5422" w14:textId="47A22F5B" w:rsidR="00F523ED" w:rsidRPr="00267667" w:rsidRDefault="00F523ED" w:rsidP="00F523ED">
      <w:pPr>
        <w:rPr>
          <w:b/>
          <w:bCs/>
          <w:sz w:val="22"/>
          <w:szCs w:val="22"/>
        </w:rPr>
      </w:pPr>
      <w:r w:rsidRPr="00267667">
        <w:rPr>
          <w:b/>
          <w:bCs/>
          <w:sz w:val="22"/>
          <w:szCs w:val="22"/>
        </w:rPr>
        <w:lastRenderedPageBreak/>
        <w:t>Determination of the twisted angle</w:t>
      </w:r>
    </w:p>
    <w:p w14:paraId="1B78470B" w14:textId="77777777" w:rsidR="000572DC" w:rsidRPr="00267667" w:rsidRDefault="000572DC" w:rsidP="000572DC">
      <w:pPr>
        <w:rPr>
          <w:rFonts w:eastAsia="Gulim"/>
          <w:color w:val="auto"/>
          <w:sz w:val="22"/>
          <w:szCs w:val="22"/>
          <w:shd w:val="clear" w:color="auto" w:fill="FFFFFF"/>
        </w:rPr>
      </w:pPr>
      <w:bookmarkStart w:id="21" w:name="_Hlk26965485"/>
      <w:bookmarkEnd w:id="19"/>
      <w:r w:rsidRPr="00267667">
        <w:rPr>
          <w:rFonts w:eastAsia="Gulim"/>
          <w:color w:val="auto"/>
          <w:sz w:val="22"/>
          <w:szCs w:val="22"/>
          <w:shd w:val="clear" w:color="auto" w:fill="FFFFFF"/>
        </w:rPr>
        <w:t>We choose the rotation angle (10</w:t>
      </w:r>
      <w:r w:rsidRPr="00267667">
        <w:rPr>
          <w:rFonts w:eastAsia="Gulim" w:hint="eastAsia"/>
          <w:color w:val="auto"/>
          <w:sz w:val="22"/>
          <w:szCs w:val="22"/>
          <w:shd w:val="clear" w:color="auto" w:fill="FFFFFF"/>
        </w:rPr>
        <w:t>˚</w:t>
      </w:r>
      <w:r w:rsidRPr="00267667">
        <w:rPr>
          <w:rFonts w:eastAsia="Gulim"/>
          <w:color w:val="auto"/>
          <w:sz w:val="22"/>
          <w:szCs w:val="22"/>
          <w:shd w:val="clear" w:color="auto" w:fill="FFFFFF"/>
        </w:rPr>
        <w:t>) as an acceptable condition because the right and left cells of a neuron are located within the depth of field of our microscope system. The microscope equips with a 40X magnification objective and numerical aperture of 0.6. In this system, and the depth of field is approximately 2 µm. It was calculated with the following equation.</w:t>
      </w:r>
    </w:p>
    <w:p w14:paraId="704A2B5D" w14:textId="72B39699" w:rsidR="000572DC" w:rsidRPr="00267667" w:rsidRDefault="000572DC" w:rsidP="000572DC">
      <w:pPr>
        <w:rPr>
          <w:rFonts w:eastAsia="Gulim"/>
          <w:color w:val="auto"/>
          <w:sz w:val="22"/>
          <w:szCs w:val="22"/>
          <w:shd w:val="clear" w:color="auto" w:fill="FFFFFF"/>
        </w:rPr>
      </w:pPr>
      <m:oMathPara>
        <m:oMath>
          <m:r>
            <w:rPr>
              <w:rFonts w:ascii="Cambria Math" w:hAnsi="Cambria Math"/>
              <w:color w:val="auto"/>
              <w:sz w:val="22"/>
              <w:szCs w:val="22"/>
            </w:rPr>
            <m:t xml:space="preserve">d= </m:t>
          </m:r>
          <m:f>
            <m:fPr>
              <m:ctrlPr>
                <w:rPr>
                  <w:rFonts w:ascii="Cambria Math" w:hAnsi="Cambria Math"/>
                  <w:color w:val="auto"/>
                  <w:sz w:val="22"/>
                  <w:szCs w:val="22"/>
                </w:rPr>
              </m:ctrlPr>
            </m:fPr>
            <m:num>
              <m:r>
                <w:rPr>
                  <w:rFonts w:ascii="Cambria Math" w:hAnsi="Cambria Math"/>
                  <w:color w:val="auto"/>
                  <w:sz w:val="22"/>
                  <w:szCs w:val="22"/>
                </w:rPr>
                <m:t>λ</m:t>
              </m:r>
              <m:rad>
                <m:radPr>
                  <m:degHide m:val="1"/>
                  <m:ctrlPr>
                    <w:rPr>
                      <w:rFonts w:ascii="Cambria Math" w:hAnsi="Cambria Math"/>
                      <w:i/>
                      <w:color w:val="auto"/>
                      <w:sz w:val="22"/>
                      <w:szCs w:val="22"/>
                    </w:rPr>
                  </m:ctrlPr>
                </m:radPr>
                <m:deg/>
                <m:e>
                  <m:sSup>
                    <m:sSupPr>
                      <m:ctrlPr>
                        <w:rPr>
                          <w:rFonts w:ascii="Cambria Math" w:hAnsi="Cambria Math"/>
                          <w:i/>
                          <w:color w:val="auto"/>
                          <w:sz w:val="22"/>
                          <w:szCs w:val="22"/>
                        </w:rPr>
                      </m:ctrlPr>
                    </m:sSupPr>
                    <m:e>
                      <m:r>
                        <w:rPr>
                          <w:rFonts w:ascii="Cambria Math" w:hAnsi="Cambria Math"/>
                          <w:color w:val="auto"/>
                          <w:sz w:val="22"/>
                          <w:szCs w:val="22"/>
                        </w:rPr>
                        <m:t>n</m:t>
                      </m:r>
                    </m:e>
                    <m:sup>
                      <m:r>
                        <w:rPr>
                          <w:rFonts w:ascii="Cambria Math" w:hAnsi="Cambria Math"/>
                          <w:color w:val="auto"/>
                          <w:sz w:val="22"/>
                          <w:szCs w:val="22"/>
                        </w:rPr>
                        <m:t>2</m:t>
                      </m:r>
                    </m:sup>
                  </m:sSup>
                  <m:r>
                    <w:rPr>
                      <w:rFonts w:ascii="Cambria Math" w:hAnsi="Cambria Math"/>
                      <w:color w:val="auto"/>
                      <w:sz w:val="22"/>
                      <w:szCs w:val="22"/>
                    </w:rPr>
                    <m:t>-</m:t>
                  </m:r>
                  <m:sSup>
                    <m:sSupPr>
                      <m:ctrlPr>
                        <w:rPr>
                          <w:rFonts w:ascii="Cambria Math" w:hAnsi="Cambria Math"/>
                          <w:i/>
                          <w:color w:val="auto"/>
                          <w:sz w:val="22"/>
                          <w:szCs w:val="22"/>
                        </w:rPr>
                      </m:ctrlPr>
                    </m:sSupPr>
                    <m:e>
                      <m:r>
                        <w:rPr>
                          <w:rFonts w:ascii="Cambria Math" w:hAnsi="Cambria Math"/>
                          <w:color w:val="auto"/>
                          <w:sz w:val="22"/>
                          <w:szCs w:val="22"/>
                        </w:rPr>
                        <m:t>(na)</m:t>
                      </m:r>
                    </m:e>
                    <m:sup>
                      <m:r>
                        <w:rPr>
                          <w:rFonts w:ascii="Cambria Math" w:hAnsi="Cambria Math"/>
                          <w:color w:val="auto"/>
                          <w:sz w:val="22"/>
                          <w:szCs w:val="22"/>
                        </w:rPr>
                        <m:t>2</m:t>
                      </m:r>
                    </m:sup>
                  </m:sSup>
                </m:e>
              </m:rad>
            </m:num>
            <m:den>
              <m:sSup>
                <m:sSupPr>
                  <m:ctrlPr>
                    <w:rPr>
                      <w:rFonts w:ascii="Cambria Math" w:hAnsi="Cambria Math"/>
                      <w:i/>
                      <w:color w:val="auto"/>
                      <w:sz w:val="22"/>
                      <w:szCs w:val="22"/>
                    </w:rPr>
                  </m:ctrlPr>
                </m:sSupPr>
                <m:e>
                  <m:r>
                    <w:rPr>
                      <w:rFonts w:ascii="Cambria Math" w:hAnsi="Cambria Math"/>
                      <w:color w:val="auto"/>
                      <w:sz w:val="22"/>
                      <w:szCs w:val="22"/>
                    </w:rPr>
                    <m:t>(na)</m:t>
                  </m:r>
                </m:e>
                <m:sup>
                  <m:r>
                    <w:rPr>
                      <w:rFonts w:ascii="Cambria Math" w:hAnsi="Cambria Math"/>
                      <w:color w:val="auto"/>
                      <w:sz w:val="22"/>
                      <w:szCs w:val="22"/>
                    </w:rPr>
                    <m:t>2</m:t>
                  </m:r>
                </m:sup>
              </m:sSup>
            </m:den>
          </m:f>
        </m:oMath>
      </m:oMathPara>
    </w:p>
    <w:p w14:paraId="686E7BBB" w14:textId="559A0434" w:rsidR="000572DC" w:rsidRPr="00267667" w:rsidRDefault="000572DC" w:rsidP="000572DC">
      <w:pPr>
        <w:rPr>
          <w:color w:val="auto"/>
          <w:sz w:val="22"/>
          <w:szCs w:val="22"/>
        </w:rPr>
      </w:pPr>
      <w:r w:rsidRPr="00267667">
        <w:rPr>
          <w:color w:val="auto"/>
          <w:sz w:val="22"/>
          <w:szCs w:val="22"/>
        </w:rPr>
        <w:t xml:space="preserve">where </w:t>
      </w:r>
      <w:r w:rsidRPr="00267667">
        <w:rPr>
          <w:i/>
          <w:color w:val="auto"/>
          <w:sz w:val="22"/>
          <w:szCs w:val="22"/>
        </w:rPr>
        <w:t>d</w:t>
      </w:r>
      <w:r w:rsidRPr="00267667">
        <w:rPr>
          <w:color w:val="auto"/>
          <w:sz w:val="22"/>
          <w:szCs w:val="22"/>
        </w:rPr>
        <w:t xml:space="preserve"> the depth of field, </w:t>
      </w:r>
      <w:r w:rsidRPr="00267667">
        <w:rPr>
          <w:rFonts w:ascii="Cambria Math" w:hAnsi="Cambria Math" w:cs="Cambria Math"/>
          <w:color w:val="auto"/>
          <w:sz w:val="22"/>
          <w:szCs w:val="22"/>
        </w:rPr>
        <w:t>𝛌</w:t>
      </w:r>
      <w:r w:rsidRPr="00267667">
        <w:rPr>
          <w:color w:val="auto"/>
          <w:sz w:val="22"/>
          <w:szCs w:val="22"/>
        </w:rPr>
        <w:t xml:space="preserve"> the wavelength (540 nm), </w:t>
      </w:r>
      <w:r w:rsidRPr="00267667">
        <w:rPr>
          <w:i/>
          <w:color w:val="auto"/>
          <w:sz w:val="22"/>
          <w:szCs w:val="22"/>
        </w:rPr>
        <w:t>n</w:t>
      </w:r>
      <w:r w:rsidRPr="00267667">
        <w:rPr>
          <w:color w:val="auto"/>
          <w:sz w:val="22"/>
          <w:szCs w:val="22"/>
        </w:rPr>
        <w:t xml:space="preserve"> the refractive index of PDMS (1.43) and </w:t>
      </w:r>
      <w:r w:rsidRPr="00267667">
        <w:rPr>
          <w:i/>
          <w:color w:val="auto"/>
          <w:sz w:val="22"/>
          <w:szCs w:val="22"/>
        </w:rPr>
        <w:t>na</w:t>
      </w:r>
      <w:r w:rsidRPr="00267667">
        <w:rPr>
          <w:color w:val="auto"/>
          <w:sz w:val="22"/>
          <w:szCs w:val="22"/>
        </w:rPr>
        <w:t xml:space="preserve"> the numerical aperture of the objective (0.6). The rotation angle (θ) is calculated by</w:t>
      </w:r>
    </w:p>
    <w:p w14:paraId="718D92F7" w14:textId="26356B98" w:rsidR="000572DC" w:rsidRPr="00267667" w:rsidRDefault="000572DC" w:rsidP="000572DC">
      <w:pPr>
        <w:rPr>
          <w:color w:val="auto"/>
          <w:sz w:val="22"/>
          <w:szCs w:val="22"/>
        </w:rPr>
      </w:pPr>
      <m:oMathPara>
        <m:oMath>
          <m:r>
            <w:rPr>
              <w:rFonts w:ascii="Cambria Math" w:hAnsi="Cambria Math"/>
              <w:color w:val="auto"/>
              <w:sz w:val="22"/>
              <w:szCs w:val="22"/>
            </w:rPr>
            <m:t>θ=</m:t>
          </m:r>
          <m:func>
            <m:funcPr>
              <m:ctrlPr>
                <w:rPr>
                  <w:rFonts w:ascii="Cambria Math" w:hAnsi="Cambria Math"/>
                  <w:i/>
                  <w:color w:val="auto"/>
                  <w:sz w:val="22"/>
                  <w:szCs w:val="22"/>
                </w:rPr>
              </m:ctrlPr>
            </m:funcPr>
            <m:fName>
              <m:sSup>
                <m:sSupPr>
                  <m:ctrlPr>
                    <w:rPr>
                      <w:rFonts w:ascii="Cambria Math" w:hAnsi="Cambria Math"/>
                      <w:i/>
                      <w:color w:val="auto"/>
                      <w:sz w:val="22"/>
                      <w:szCs w:val="22"/>
                    </w:rPr>
                  </m:ctrlPr>
                </m:sSupPr>
                <m:e>
                  <m:r>
                    <m:rPr>
                      <m:sty m:val="p"/>
                    </m:rPr>
                    <w:rPr>
                      <w:rFonts w:ascii="Cambria Math" w:hAnsi="Cambria Math"/>
                      <w:color w:val="auto"/>
                      <w:sz w:val="22"/>
                      <w:szCs w:val="22"/>
                    </w:rPr>
                    <m:t>sin</m:t>
                  </m:r>
                </m:e>
                <m:sup>
                  <m:r>
                    <w:rPr>
                      <w:rFonts w:ascii="Cambria Math" w:hAnsi="Cambria Math"/>
                      <w:color w:val="auto"/>
                      <w:sz w:val="22"/>
                      <w:szCs w:val="22"/>
                    </w:rPr>
                    <m:t>-1</m:t>
                  </m:r>
                </m:sup>
              </m:sSup>
            </m:fName>
            <m:e>
              <m:r>
                <w:rPr>
                  <w:rFonts w:ascii="Cambria Math" w:hAnsi="Cambria Math"/>
                  <w:color w:val="auto"/>
                  <w:sz w:val="22"/>
                  <w:szCs w:val="22"/>
                </w:rPr>
                <m:t>(</m:t>
              </m:r>
              <m:f>
                <m:fPr>
                  <m:type m:val="lin"/>
                  <m:ctrlPr>
                    <w:rPr>
                      <w:rFonts w:ascii="Cambria Math" w:hAnsi="Cambria Math"/>
                      <w:i/>
                      <w:color w:val="auto"/>
                      <w:sz w:val="22"/>
                      <w:szCs w:val="22"/>
                    </w:rPr>
                  </m:ctrlPr>
                </m:fPr>
                <m:num>
                  <m:r>
                    <w:rPr>
                      <w:rFonts w:ascii="Cambria Math" w:hAnsi="Cambria Math"/>
                      <w:color w:val="auto"/>
                      <w:sz w:val="22"/>
                      <w:szCs w:val="22"/>
                    </w:rPr>
                    <m:t>(d+2 ×0.5c)</m:t>
                  </m:r>
                </m:num>
                <m:den>
                  <m:r>
                    <w:rPr>
                      <w:rFonts w:ascii="Cambria Math" w:hAnsi="Cambria Math"/>
                      <w:color w:val="auto"/>
                      <w:sz w:val="22"/>
                      <w:szCs w:val="22"/>
                    </w:rPr>
                    <m:t>l)</m:t>
                  </m:r>
                </m:den>
              </m:f>
            </m:e>
          </m:func>
        </m:oMath>
      </m:oMathPara>
    </w:p>
    <w:p w14:paraId="7FE00BB5" w14:textId="59C1DAF0" w:rsidR="00F523ED" w:rsidRPr="00267667" w:rsidRDefault="000572DC" w:rsidP="000572DC">
      <w:pPr>
        <w:rPr>
          <w:color w:val="auto"/>
          <w:sz w:val="22"/>
          <w:szCs w:val="22"/>
        </w:rPr>
      </w:pPr>
      <w:r w:rsidRPr="00267667">
        <w:rPr>
          <w:color w:val="auto"/>
          <w:sz w:val="22"/>
          <w:szCs w:val="22"/>
        </w:rPr>
        <w:t xml:space="preserve">The distance between </w:t>
      </w:r>
      <w:r w:rsidR="002B5DBE" w:rsidRPr="00267667">
        <w:rPr>
          <w:color w:val="auto"/>
          <w:sz w:val="22"/>
          <w:szCs w:val="22"/>
        </w:rPr>
        <w:t xml:space="preserve">the </w:t>
      </w:r>
      <w:r w:rsidRPr="00267667">
        <w:rPr>
          <w:color w:val="auto"/>
          <w:sz w:val="22"/>
          <w:szCs w:val="22"/>
        </w:rPr>
        <w:t>left an</w:t>
      </w:r>
      <w:r w:rsidR="00016C95" w:rsidRPr="00267667">
        <w:rPr>
          <w:color w:val="auto"/>
          <w:sz w:val="22"/>
          <w:szCs w:val="22"/>
        </w:rPr>
        <w:t>d right cells (l) is 25 ± 1.0 µm, which</w:t>
      </w:r>
      <w:r w:rsidRPr="00267667">
        <w:rPr>
          <w:color w:val="auto"/>
          <w:sz w:val="22"/>
          <w:szCs w:val="22"/>
        </w:rPr>
        <w:t xml:space="preserve"> was measured </w:t>
      </w:r>
      <w:r w:rsidR="0069335A" w:rsidRPr="00267667">
        <w:rPr>
          <w:color w:val="auto"/>
          <w:sz w:val="22"/>
          <w:szCs w:val="22"/>
        </w:rPr>
        <w:t xml:space="preserve">from </w:t>
      </w:r>
      <w:r w:rsidR="00DF3817" w:rsidRPr="00267667">
        <w:rPr>
          <w:color w:val="auto"/>
          <w:sz w:val="22"/>
          <w:szCs w:val="22"/>
        </w:rPr>
        <w:t>thirteen</w:t>
      </w:r>
      <w:r w:rsidR="0069335A" w:rsidRPr="00267667">
        <w:rPr>
          <w:color w:val="auto"/>
          <w:sz w:val="22"/>
          <w:szCs w:val="22"/>
        </w:rPr>
        <w:t xml:space="preserve"> worms</w:t>
      </w:r>
      <w:r w:rsidRPr="00267667">
        <w:rPr>
          <w:color w:val="auto"/>
          <w:sz w:val="22"/>
          <w:szCs w:val="22"/>
        </w:rPr>
        <w:t>. The cell body diameter (</w:t>
      </w:r>
      <w:r w:rsidRPr="00267667">
        <w:rPr>
          <w:i/>
          <w:color w:val="auto"/>
          <w:sz w:val="22"/>
          <w:szCs w:val="22"/>
        </w:rPr>
        <w:t>c</w:t>
      </w:r>
      <w:r w:rsidRPr="00267667">
        <w:rPr>
          <w:color w:val="auto"/>
          <w:sz w:val="22"/>
          <w:szCs w:val="22"/>
        </w:rPr>
        <w:t>) of the neuron is known as 2 µm.</w:t>
      </w:r>
    </w:p>
    <w:bookmarkEnd w:id="20"/>
    <w:bookmarkEnd w:id="21"/>
    <w:p w14:paraId="2CA390D9" w14:textId="38B80AA9" w:rsidR="00383A51" w:rsidRPr="00267667" w:rsidRDefault="00383A51" w:rsidP="00383A51">
      <w:pPr>
        <w:rPr>
          <w:color w:val="auto"/>
          <w:sz w:val="22"/>
          <w:szCs w:val="22"/>
        </w:rPr>
      </w:pPr>
      <w:r w:rsidRPr="00267667">
        <w:rPr>
          <w:color w:val="auto"/>
          <w:sz w:val="22"/>
          <w:szCs w:val="22"/>
        </w:rPr>
        <w:t>We measured the twist angle of worms for each assay</w:t>
      </w:r>
      <w:r w:rsidR="002B5DBE" w:rsidRPr="00267667">
        <w:rPr>
          <w:color w:val="auto"/>
          <w:sz w:val="22"/>
          <w:szCs w:val="22"/>
        </w:rPr>
        <w:t>,</w:t>
      </w:r>
      <w:r w:rsidR="00350F33" w:rsidRPr="00267667">
        <w:rPr>
          <w:color w:val="auto"/>
          <w:sz w:val="22"/>
          <w:szCs w:val="22"/>
        </w:rPr>
        <w:t xml:space="preserve"> </w:t>
      </w:r>
      <w:r w:rsidRPr="00267667">
        <w:rPr>
          <w:color w:val="auto"/>
          <w:sz w:val="22"/>
          <w:szCs w:val="22"/>
        </w:rPr>
        <w:t>and we took measurements if the angle is less than 10 degree. Although we didn’t measure the angle after completion of the measurements, we haven’t observed any sudden twist-movement of worms during the measurements (for 1-2 minutes) and thus any significant changes in the fluorescence intensities.</w:t>
      </w:r>
    </w:p>
    <w:p w14:paraId="51596D07" w14:textId="77777777" w:rsidR="00F523ED" w:rsidRPr="00267667" w:rsidRDefault="00F523ED" w:rsidP="006B11D2">
      <w:pPr>
        <w:pStyle w:val="RSCB02ArticleText"/>
        <w:spacing w:line="240" w:lineRule="auto"/>
        <w:rPr>
          <w:rFonts w:ascii="Arial" w:hAnsi="Arial" w:cs="Arial"/>
          <w:sz w:val="22"/>
          <w:szCs w:val="22"/>
        </w:rPr>
      </w:pPr>
    </w:p>
    <w:p w14:paraId="6296396B" w14:textId="77777777" w:rsidR="00AB6B55" w:rsidRPr="00267667" w:rsidRDefault="00AB6B55" w:rsidP="006B11D2">
      <w:pPr>
        <w:pStyle w:val="RSCB02ArticleText"/>
        <w:spacing w:line="240" w:lineRule="auto"/>
        <w:rPr>
          <w:rFonts w:ascii="Arial" w:eastAsiaTheme="minorEastAsia" w:hAnsi="Arial" w:cs="Arial"/>
          <w:noProof/>
          <w:w w:val="100"/>
          <w:sz w:val="22"/>
          <w:szCs w:val="22"/>
          <w:lang w:eastAsia="ko-KR"/>
        </w:rPr>
      </w:pPr>
    </w:p>
    <w:p w14:paraId="15113715" w14:textId="3BF5DFC4" w:rsidR="006B11D2" w:rsidRPr="00267667" w:rsidRDefault="006B11D2" w:rsidP="006B11D2">
      <w:pPr>
        <w:pStyle w:val="RSCB02ArticleText"/>
        <w:spacing w:line="240" w:lineRule="auto"/>
        <w:rPr>
          <w:rFonts w:ascii="Arial" w:hAnsi="Arial" w:cs="Arial"/>
          <w:sz w:val="22"/>
          <w:szCs w:val="22"/>
        </w:rPr>
      </w:pPr>
      <w:r w:rsidRPr="00267667">
        <w:rPr>
          <w:rFonts w:ascii="Arial" w:eastAsiaTheme="minorEastAsia" w:hAnsi="Arial" w:cs="Arial"/>
          <w:noProof/>
          <w:w w:val="100"/>
          <w:sz w:val="22"/>
          <w:szCs w:val="22"/>
          <w:lang w:eastAsia="ko-KR"/>
        </w:rPr>
        <w:t xml:space="preserve"> </w:t>
      </w:r>
      <w:r w:rsidRPr="00267667">
        <w:rPr>
          <w:rFonts w:ascii="Arial" w:hAnsi="Arial" w:cs="Arial"/>
          <w:noProof/>
          <w:sz w:val="22"/>
          <w:szCs w:val="22"/>
          <w:lang w:val="en-US"/>
        </w:rPr>
        <w:drawing>
          <wp:inline distT="0" distB="0" distL="0" distR="0" wp14:anchorId="1B435B06" wp14:editId="0207A49D">
            <wp:extent cx="5731510" cy="2412365"/>
            <wp:effectExtent l="0" t="0" r="0" b="0"/>
            <wp:docPr id="10" name="Picture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9CD33DE-4996-4E06-84EB-8032952CD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9CD33DE-4996-4E06-84EB-8032952CDE72}"/>
                        </a:ext>
                      </a:extLst>
                    </pic:cNvPr>
                    <pic:cNvPicPr>
                      <a:picLocks noChangeAspect="1"/>
                    </pic:cNvPicPr>
                  </pic:nvPicPr>
                  <pic:blipFill>
                    <a:blip r:embed="rId7"/>
                    <a:stretch>
                      <a:fillRect/>
                    </a:stretch>
                  </pic:blipFill>
                  <pic:spPr>
                    <a:xfrm>
                      <a:off x="0" y="0"/>
                      <a:ext cx="5731510" cy="2412365"/>
                    </a:xfrm>
                    <a:prstGeom prst="rect">
                      <a:avLst/>
                    </a:prstGeom>
                  </pic:spPr>
                </pic:pic>
              </a:graphicData>
            </a:graphic>
          </wp:inline>
        </w:drawing>
      </w:r>
    </w:p>
    <w:p w14:paraId="48FA6106" w14:textId="3C31D1C2" w:rsidR="006B11D2" w:rsidRPr="00267667" w:rsidRDefault="006B11D2" w:rsidP="006B11D2">
      <w:pPr>
        <w:pStyle w:val="RSCB02ArticleText"/>
        <w:spacing w:line="240" w:lineRule="auto"/>
        <w:rPr>
          <w:rFonts w:ascii="Arial" w:hAnsi="Arial" w:cs="Arial"/>
          <w:sz w:val="22"/>
          <w:szCs w:val="22"/>
        </w:rPr>
      </w:pPr>
      <w:r w:rsidRPr="00267667">
        <w:rPr>
          <w:rFonts w:ascii="Arial" w:hAnsi="Arial" w:cs="Arial"/>
          <w:sz w:val="22"/>
          <w:szCs w:val="22"/>
        </w:rPr>
        <w:t>Fig. S</w:t>
      </w:r>
      <w:r w:rsidR="003C49BE" w:rsidRPr="00267667">
        <w:rPr>
          <w:rFonts w:ascii="Arial" w:hAnsi="Arial" w:cs="Arial"/>
          <w:sz w:val="22"/>
          <w:szCs w:val="22"/>
        </w:rPr>
        <w:t>3</w:t>
      </w:r>
      <w:r w:rsidRPr="00267667">
        <w:rPr>
          <w:rFonts w:ascii="Arial" w:hAnsi="Arial" w:cs="Arial"/>
          <w:sz w:val="22"/>
          <w:szCs w:val="22"/>
        </w:rPr>
        <w:t xml:space="preserve">. Distribution of the twisted angle of immobilised worms. The focus knob of a microscope is used to measure the height (vertical distance) between the pair of bilateral neurons. To calibrate the height measured with the focus knob, a suspension of beads (1 μm, polystyrene) is injected and dried in a microfluidic channel. We took the height difference of beads that was adsorbed on ceiling and bottom of the channel. The actual channel sizes are determined by measuring dimensions of photoresist patterns fabricated on a Si wafer with a profiler. We find the 76% of immobilised worms (80 / 105 worms) are twisted within 10 degrees from a focal plane. This method has minor level of errors due to the eye-observation.  </w:t>
      </w:r>
    </w:p>
    <w:p w14:paraId="114F647F" w14:textId="748D1409" w:rsidR="00AB6B55" w:rsidRPr="00267667" w:rsidRDefault="00AB6B55">
      <w:pPr>
        <w:spacing w:before="0" w:line="240" w:lineRule="auto"/>
        <w:rPr>
          <w:rFonts w:eastAsia="Batang"/>
          <w:w w:val="108"/>
          <w:sz w:val="22"/>
          <w:szCs w:val="22"/>
          <w:lang w:eastAsia="en-US"/>
        </w:rPr>
      </w:pPr>
      <w:r w:rsidRPr="00267667">
        <w:rPr>
          <w:sz w:val="22"/>
          <w:szCs w:val="22"/>
        </w:rPr>
        <w:br w:type="page"/>
      </w:r>
    </w:p>
    <w:p w14:paraId="4AC21EB8" w14:textId="77777777" w:rsidR="006B11D2" w:rsidRPr="00267667" w:rsidRDefault="006B11D2" w:rsidP="00AB6B55">
      <w:pPr>
        <w:spacing w:before="0" w:after="200"/>
        <w:jc w:val="both"/>
        <w:rPr>
          <w:sz w:val="22"/>
          <w:szCs w:val="22"/>
        </w:rPr>
      </w:pPr>
      <w:r w:rsidRPr="00267667">
        <w:rPr>
          <w:sz w:val="22"/>
          <w:szCs w:val="22"/>
        </w:rPr>
        <w:lastRenderedPageBreak/>
        <w:t>Table S1. Peak intensities of responsive ASH neurons. The peak intensity increased as the concentration of NaCl increased. There was no difference between left and right neurons.</w:t>
      </w:r>
    </w:p>
    <w:p w14:paraId="1421674B" w14:textId="77777777" w:rsidR="006B11D2" w:rsidRPr="00267667" w:rsidRDefault="006B11D2" w:rsidP="006B11D2">
      <w:pPr>
        <w:jc w:val="both"/>
        <w:rPr>
          <w:sz w:val="22"/>
          <w:szCs w:val="22"/>
        </w:rPr>
      </w:pPr>
    </w:p>
    <w:tbl>
      <w:tblPr>
        <w:tblW w:w="4403" w:type="dxa"/>
        <w:jc w:val="center"/>
        <w:tblLook w:val="04A0" w:firstRow="1" w:lastRow="0" w:firstColumn="1" w:lastColumn="0" w:noHBand="0" w:noVBand="1"/>
      </w:tblPr>
      <w:tblGrid>
        <w:gridCol w:w="1229"/>
        <w:gridCol w:w="1587"/>
        <w:gridCol w:w="1587"/>
      </w:tblGrid>
      <w:tr w:rsidR="006B11D2" w:rsidRPr="00267667" w14:paraId="2BF4930B" w14:textId="77777777" w:rsidTr="006B11D2">
        <w:trPr>
          <w:trHeight w:val="311"/>
          <w:jc w:val="center"/>
        </w:trPr>
        <w:tc>
          <w:tcPr>
            <w:tcW w:w="1229" w:type="dxa"/>
            <w:tcBorders>
              <w:top w:val="single" w:sz="8" w:space="0" w:color="auto"/>
              <w:left w:val="nil"/>
              <w:bottom w:val="single" w:sz="8" w:space="0" w:color="auto"/>
              <w:right w:val="single" w:sz="8" w:space="0" w:color="auto"/>
            </w:tcBorders>
            <w:shd w:val="clear" w:color="auto" w:fill="auto"/>
            <w:noWrap/>
            <w:vAlign w:val="bottom"/>
            <w:hideMark/>
          </w:tcPr>
          <w:p w14:paraId="608451AE" w14:textId="2F124B7A"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Stimulus</w:t>
            </w:r>
          </w:p>
        </w:tc>
        <w:tc>
          <w:tcPr>
            <w:tcW w:w="1587" w:type="dxa"/>
            <w:tcBorders>
              <w:top w:val="single" w:sz="8" w:space="0" w:color="auto"/>
              <w:left w:val="single" w:sz="8" w:space="0" w:color="auto"/>
              <w:bottom w:val="single" w:sz="8" w:space="0" w:color="auto"/>
              <w:right w:val="nil"/>
            </w:tcBorders>
            <w:shd w:val="clear" w:color="auto" w:fill="auto"/>
            <w:noWrap/>
            <w:vAlign w:val="bottom"/>
            <w:hideMark/>
          </w:tcPr>
          <w:p w14:paraId="4F3E6B35" w14:textId="77777777"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ASHL</w:t>
            </w:r>
          </w:p>
        </w:tc>
        <w:tc>
          <w:tcPr>
            <w:tcW w:w="1587" w:type="dxa"/>
            <w:tcBorders>
              <w:top w:val="single" w:sz="8" w:space="0" w:color="auto"/>
              <w:left w:val="single" w:sz="4" w:space="0" w:color="auto"/>
              <w:bottom w:val="single" w:sz="8" w:space="0" w:color="auto"/>
              <w:right w:val="nil"/>
            </w:tcBorders>
            <w:shd w:val="clear" w:color="auto" w:fill="auto"/>
            <w:noWrap/>
            <w:vAlign w:val="bottom"/>
            <w:hideMark/>
          </w:tcPr>
          <w:p w14:paraId="28A3B8C8" w14:textId="77777777"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ASHR</w:t>
            </w:r>
          </w:p>
        </w:tc>
      </w:tr>
      <w:tr w:rsidR="006B11D2" w:rsidRPr="00267667" w14:paraId="506546E3" w14:textId="77777777" w:rsidTr="006B11D2">
        <w:trPr>
          <w:trHeight w:val="326"/>
          <w:jc w:val="center"/>
        </w:trPr>
        <w:tc>
          <w:tcPr>
            <w:tcW w:w="1229" w:type="dxa"/>
            <w:tcBorders>
              <w:top w:val="single" w:sz="8" w:space="0" w:color="auto"/>
              <w:left w:val="nil"/>
              <w:bottom w:val="nil"/>
              <w:right w:val="single" w:sz="8" w:space="0" w:color="auto"/>
            </w:tcBorders>
            <w:shd w:val="clear" w:color="auto" w:fill="auto"/>
            <w:noWrap/>
            <w:vAlign w:val="bottom"/>
            <w:hideMark/>
          </w:tcPr>
          <w:p w14:paraId="60B9E449" w14:textId="77777777"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500 mM</w:t>
            </w:r>
          </w:p>
        </w:tc>
        <w:tc>
          <w:tcPr>
            <w:tcW w:w="1587" w:type="dxa"/>
            <w:tcBorders>
              <w:top w:val="single" w:sz="8" w:space="0" w:color="auto"/>
              <w:left w:val="single" w:sz="8" w:space="0" w:color="auto"/>
              <w:bottom w:val="nil"/>
              <w:right w:val="nil"/>
            </w:tcBorders>
            <w:shd w:val="clear" w:color="auto" w:fill="auto"/>
            <w:noWrap/>
            <w:vAlign w:val="bottom"/>
            <w:hideMark/>
          </w:tcPr>
          <w:p w14:paraId="5677B5CF" w14:textId="02156638"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4.</w:t>
            </w:r>
            <w:r w:rsidR="00AB7CD8" w:rsidRPr="00267667">
              <w:rPr>
                <w:rFonts w:eastAsia="Times New Roman"/>
                <w:color w:val="000000"/>
                <w:sz w:val="22"/>
                <w:szCs w:val="22"/>
              </w:rPr>
              <w:t>2</w:t>
            </w:r>
            <w:r w:rsidRPr="00267667">
              <w:rPr>
                <w:rFonts w:eastAsia="Times New Roman"/>
                <w:color w:val="000000"/>
                <w:sz w:val="22"/>
                <w:szCs w:val="22"/>
              </w:rPr>
              <w:t xml:space="preserve"> ± 0.</w:t>
            </w:r>
            <w:r w:rsidR="00AB7CD8" w:rsidRPr="00267667">
              <w:rPr>
                <w:rFonts w:eastAsia="Times New Roman"/>
                <w:color w:val="000000"/>
                <w:sz w:val="22"/>
                <w:szCs w:val="22"/>
              </w:rPr>
              <w:t>3</w:t>
            </w:r>
          </w:p>
        </w:tc>
        <w:tc>
          <w:tcPr>
            <w:tcW w:w="1587" w:type="dxa"/>
            <w:tcBorders>
              <w:top w:val="single" w:sz="8" w:space="0" w:color="auto"/>
              <w:left w:val="single" w:sz="4" w:space="0" w:color="auto"/>
              <w:bottom w:val="nil"/>
              <w:right w:val="nil"/>
            </w:tcBorders>
            <w:shd w:val="clear" w:color="auto" w:fill="auto"/>
            <w:noWrap/>
            <w:vAlign w:val="bottom"/>
            <w:hideMark/>
          </w:tcPr>
          <w:p w14:paraId="4986B89D" w14:textId="6A4573F4"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3.</w:t>
            </w:r>
            <w:r w:rsidR="00AB7CD8" w:rsidRPr="00267667">
              <w:rPr>
                <w:rFonts w:eastAsia="Times New Roman"/>
                <w:color w:val="000000"/>
                <w:sz w:val="22"/>
                <w:szCs w:val="22"/>
              </w:rPr>
              <w:t>9</w:t>
            </w:r>
            <w:r w:rsidRPr="00267667">
              <w:rPr>
                <w:rFonts w:eastAsia="Times New Roman"/>
                <w:color w:val="000000"/>
                <w:sz w:val="22"/>
                <w:szCs w:val="22"/>
              </w:rPr>
              <w:t xml:space="preserve"> ± 0.</w:t>
            </w:r>
            <w:r w:rsidR="00AB7CD8" w:rsidRPr="00267667">
              <w:rPr>
                <w:rFonts w:eastAsia="Times New Roman"/>
                <w:color w:val="000000"/>
                <w:sz w:val="22"/>
                <w:szCs w:val="22"/>
              </w:rPr>
              <w:t>3</w:t>
            </w:r>
          </w:p>
        </w:tc>
      </w:tr>
      <w:tr w:rsidR="006B11D2" w:rsidRPr="00267667" w14:paraId="60572F93" w14:textId="77777777" w:rsidTr="006B11D2">
        <w:trPr>
          <w:trHeight w:val="311"/>
          <w:jc w:val="center"/>
        </w:trPr>
        <w:tc>
          <w:tcPr>
            <w:tcW w:w="1229" w:type="dxa"/>
            <w:tcBorders>
              <w:top w:val="nil"/>
              <w:left w:val="nil"/>
              <w:bottom w:val="nil"/>
              <w:right w:val="single" w:sz="8" w:space="0" w:color="auto"/>
            </w:tcBorders>
            <w:shd w:val="clear" w:color="auto" w:fill="auto"/>
            <w:noWrap/>
            <w:vAlign w:val="bottom"/>
            <w:hideMark/>
          </w:tcPr>
          <w:p w14:paraId="585D42DD" w14:textId="77777777"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300 mM</w:t>
            </w:r>
          </w:p>
        </w:tc>
        <w:tc>
          <w:tcPr>
            <w:tcW w:w="1587" w:type="dxa"/>
            <w:tcBorders>
              <w:top w:val="nil"/>
              <w:left w:val="single" w:sz="8" w:space="0" w:color="auto"/>
              <w:bottom w:val="nil"/>
              <w:right w:val="nil"/>
            </w:tcBorders>
            <w:shd w:val="clear" w:color="auto" w:fill="auto"/>
            <w:noWrap/>
            <w:vAlign w:val="bottom"/>
            <w:hideMark/>
          </w:tcPr>
          <w:p w14:paraId="0CDAEE4E" w14:textId="70CF800A"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3.3 ± 0.</w:t>
            </w:r>
            <w:r w:rsidR="00AB7CD8" w:rsidRPr="00267667">
              <w:rPr>
                <w:rFonts w:eastAsia="Times New Roman"/>
                <w:color w:val="000000"/>
                <w:sz w:val="22"/>
                <w:szCs w:val="22"/>
              </w:rPr>
              <w:t>5</w:t>
            </w:r>
          </w:p>
        </w:tc>
        <w:tc>
          <w:tcPr>
            <w:tcW w:w="1587" w:type="dxa"/>
            <w:tcBorders>
              <w:top w:val="nil"/>
              <w:left w:val="single" w:sz="4" w:space="0" w:color="auto"/>
              <w:bottom w:val="nil"/>
              <w:right w:val="nil"/>
            </w:tcBorders>
            <w:shd w:val="clear" w:color="auto" w:fill="auto"/>
            <w:noWrap/>
            <w:vAlign w:val="bottom"/>
            <w:hideMark/>
          </w:tcPr>
          <w:p w14:paraId="45F4EDE4" w14:textId="579E71F0"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2.9 ± 0.4</w:t>
            </w:r>
          </w:p>
        </w:tc>
      </w:tr>
      <w:tr w:rsidR="006B11D2" w:rsidRPr="00267667" w14:paraId="176C657F" w14:textId="77777777" w:rsidTr="006B11D2">
        <w:trPr>
          <w:trHeight w:val="311"/>
          <w:jc w:val="center"/>
        </w:trPr>
        <w:tc>
          <w:tcPr>
            <w:tcW w:w="1229" w:type="dxa"/>
            <w:tcBorders>
              <w:top w:val="nil"/>
              <w:left w:val="nil"/>
              <w:bottom w:val="nil"/>
              <w:right w:val="single" w:sz="8" w:space="0" w:color="auto"/>
            </w:tcBorders>
            <w:shd w:val="clear" w:color="auto" w:fill="auto"/>
            <w:noWrap/>
            <w:vAlign w:val="bottom"/>
            <w:hideMark/>
          </w:tcPr>
          <w:p w14:paraId="0BC8FBE3" w14:textId="77777777"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200 mM</w:t>
            </w:r>
          </w:p>
        </w:tc>
        <w:tc>
          <w:tcPr>
            <w:tcW w:w="1587" w:type="dxa"/>
            <w:tcBorders>
              <w:top w:val="nil"/>
              <w:left w:val="single" w:sz="8" w:space="0" w:color="auto"/>
              <w:bottom w:val="nil"/>
              <w:right w:val="nil"/>
            </w:tcBorders>
            <w:shd w:val="clear" w:color="auto" w:fill="auto"/>
            <w:noWrap/>
            <w:vAlign w:val="bottom"/>
            <w:hideMark/>
          </w:tcPr>
          <w:p w14:paraId="3873F301" w14:textId="09F2446A"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2.5 ± 0.3</w:t>
            </w:r>
          </w:p>
        </w:tc>
        <w:tc>
          <w:tcPr>
            <w:tcW w:w="1587" w:type="dxa"/>
            <w:tcBorders>
              <w:top w:val="nil"/>
              <w:left w:val="single" w:sz="4" w:space="0" w:color="auto"/>
              <w:bottom w:val="nil"/>
              <w:right w:val="nil"/>
            </w:tcBorders>
            <w:shd w:val="clear" w:color="auto" w:fill="auto"/>
            <w:noWrap/>
            <w:vAlign w:val="bottom"/>
            <w:hideMark/>
          </w:tcPr>
          <w:p w14:paraId="533E4866" w14:textId="580A6544" w:rsidR="006B11D2" w:rsidRPr="00267667" w:rsidRDefault="006B11D2" w:rsidP="00B342AD">
            <w:pPr>
              <w:spacing w:before="0" w:line="240" w:lineRule="auto"/>
              <w:jc w:val="center"/>
              <w:rPr>
                <w:rFonts w:eastAsia="Times New Roman"/>
                <w:color w:val="000000"/>
                <w:sz w:val="22"/>
                <w:szCs w:val="22"/>
              </w:rPr>
            </w:pPr>
            <w:r w:rsidRPr="00267667">
              <w:rPr>
                <w:rFonts w:eastAsia="Times New Roman"/>
                <w:color w:val="000000"/>
                <w:sz w:val="22"/>
                <w:szCs w:val="22"/>
              </w:rPr>
              <w:t>3.1 ± 0.4</w:t>
            </w:r>
          </w:p>
        </w:tc>
      </w:tr>
      <w:tr w:rsidR="006B11D2" w:rsidRPr="00267667" w14:paraId="4A0A3EB9" w14:textId="77777777" w:rsidTr="006B11D2">
        <w:trPr>
          <w:trHeight w:val="311"/>
          <w:jc w:val="center"/>
        </w:trPr>
        <w:tc>
          <w:tcPr>
            <w:tcW w:w="1229" w:type="dxa"/>
            <w:tcBorders>
              <w:top w:val="nil"/>
              <w:left w:val="nil"/>
              <w:bottom w:val="nil"/>
              <w:right w:val="single" w:sz="8" w:space="0" w:color="auto"/>
            </w:tcBorders>
            <w:shd w:val="clear" w:color="auto" w:fill="auto"/>
            <w:noWrap/>
            <w:vAlign w:val="bottom"/>
            <w:hideMark/>
          </w:tcPr>
          <w:p w14:paraId="347E76F4" w14:textId="77777777" w:rsidR="006B11D2" w:rsidRPr="00267667" w:rsidRDefault="006B11D2" w:rsidP="00B342AD">
            <w:pPr>
              <w:spacing w:before="0" w:line="240" w:lineRule="auto"/>
              <w:jc w:val="center"/>
              <w:rPr>
                <w:rFonts w:eastAsia="Times New Roman"/>
                <w:sz w:val="22"/>
                <w:szCs w:val="22"/>
              </w:rPr>
            </w:pPr>
            <w:r w:rsidRPr="00267667">
              <w:rPr>
                <w:rFonts w:eastAsia="Times New Roman"/>
                <w:sz w:val="22"/>
                <w:szCs w:val="22"/>
              </w:rPr>
              <w:t>100 mM*</w:t>
            </w:r>
          </w:p>
        </w:tc>
        <w:tc>
          <w:tcPr>
            <w:tcW w:w="1587" w:type="dxa"/>
            <w:tcBorders>
              <w:top w:val="nil"/>
              <w:left w:val="single" w:sz="8" w:space="0" w:color="auto"/>
              <w:bottom w:val="nil"/>
              <w:right w:val="nil"/>
            </w:tcBorders>
            <w:shd w:val="clear" w:color="auto" w:fill="auto"/>
            <w:noWrap/>
            <w:vAlign w:val="bottom"/>
            <w:hideMark/>
          </w:tcPr>
          <w:p w14:paraId="72A642DB" w14:textId="1CEF99C3" w:rsidR="006B11D2" w:rsidRPr="00267667" w:rsidRDefault="006B11D2" w:rsidP="00B342AD">
            <w:pPr>
              <w:spacing w:before="0" w:line="240" w:lineRule="auto"/>
              <w:jc w:val="center"/>
              <w:rPr>
                <w:rFonts w:eastAsia="Times New Roman"/>
                <w:sz w:val="22"/>
                <w:szCs w:val="22"/>
              </w:rPr>
            </w:pPr>
            <w:r w:rsidRPr="00267667">
              <w:rPr>
                <w:rFonts w:eastAsia="Times New Roman"/>
                <w:sz w:val="22"/>
                <w:szCs w:val="22"/>
              </w:rPr>
              <w:t>1.1 ± 0.0</w:t>
            </w:r>
          </w:p>
        </w:tc>
        <w:tc>
          <w:tcPr>
            <w:tcW w:w="1587" w:type="dxa"/>
            <w:tcBorders>
              <w:top w:val="nil"/>
              <w:left w:val="single" w:sz="4" w:space="0" w:color="auto"/>
              <w:bottom w:val="nil"/>
              <w:right w:val="nil"/>
            </w:tcBorders>
            <w:shd w:val="clear" w:color="auto" w:fill="auto"/>
            <w:noWrap/>
            <w:vAlign w:val="bottom"/>
            <w:hideMark/>
          </w:tcPr>
          <w:p w14:paraId="6F5FD20D" w14:textId="7595306A" w:rsidR="006B11D2" w:rsidRPr="00267667" w:rsidRDefault="006B11D2" w:rsidP="00B342AD">
            <w:pPr>
              <w:spacing w:before="0" w:line="240" w:lineRule="auto"/>
              <w:jc w:val="center"/>
              <w:rPr>
                <w:rFonts w:eastAsia="Times New Roman"/>
                <w:sz w:val="22"/>
                <w:szCs w:val="22"/>
              </w:rPr>
            </w:pPr>
            <w:r w:rsidRPr="00267667">
              <w:rPr>
                <w:rFonts w:eastAsia="Times New Roman"/>
                <w:sz w:val="22"/>
                <w:szCs w:val="22"/>
              </w:rPr>
              <w:t>1.0 ± 0.0</w:t>
            </w:r>
          </w:p>
        </w:tc>
      </w:tr>
      <w:tr w:rsidR="006B11D2" w:rsidRPr="00267667" w14:paraId="1FB3E852" w14:textId="77777777" w:rsidTr="006B11D2">
        <w:trPr>
          <w:trHeight w:val="326"/>
          <w:jc w:val="center"/>
        </w:trPr>
        <w:tc>
          <w:tcPr>
            <w:tcW w:w="1229" w:type="dxa"/>
            <w:tcBorders>
              <w:top w:val="nil"/>
              <w:left w:val="nil"/>
              <w:bottom w:val="single" w:sz="8" w:space="0" w:color="auto"/>
              <w:right w:val="single" w:sz="8" w:space="0" w:color="auto"/>
            </w:tcBorders>
            <w:shd w:val="clear" w:color="auto" w:fill="auto"/>
            <w:noWrap/>
            <w:vAlign w:val="bottom"/>
            <w:hideMark/>
          </w:tcPr>
          <w:p w14:paraId="06151EBF" w14:textId="77777777" w:rsidR="006B11D2" w:rsidRPr="00267667" w:rsidRDefault="006B11D2" w:rsidP="00B342AD">
            <w:pPr>
              <w:spacing w:before="0" w:line="240" w:lineRule="auto"/>
              <w:jc w:val="center"/>
              <w:rPr>
                <w:rFonts w:eastAsia="Times New Roman"/>
                <w:sz w:val="22"/>
                <w:szCs w:val="22"/>
              </w:rPr>
            </w:pPr>
            <w:r w:rsidRPr="00267667">
              <w:rPr>
                <w:rFonts w:eastAsia="Times New Roman"/>
                <w:sz w:val="22"/>
                <w:szCs w:val="22"/>
              </w:rPr>
              <w:t>0 mM*</w:t>
            </w:r>
          </w:p>
        </w:tc>
        <w:tc>
          <w:tcPr>
            <w:tcW w:w="1587" w:type="dxa"/>
            <w:tcBorders>
              <w:top w:val="nil"/>
              <w:left w:val="single" w:sz="8" w:space="0" w:color="auto"/>
              <w:bottom w:val="single" w:sz="8" w:space="0" w:color="auto"/>
              <w:right w:val="nil"/>
            </w:tcBorders>
            <w:shd w:val="clear" w:color="auto" w:fill="auto"/>
            <w:noWrap/>
            <w:vAlign w:val="bottom"/>
            <w:hideMark/>
          </w:tcPr>
          <w:p w14:paraId="73492933" w14:textId="026C1CF9" w:rsidR="006B11D2" w:rsidRPr="00267667" w:rsidRDefault="006B11D2" w:rsidP="00B342AD">
            <w:pPr>
              <w:spacing w:before="0" w:line="240" w:lineRule="auto"/>
              <w:jc w:val="center"/>
              <w:rPr>
                <w:rFonts w:eastAsia="Times New Roman"/>
                <w:sz w:val="22"/>
                <w:szCs w:val="22"/>
              </w:rPr>
            </w:pPr>
            <w:r w:rsidRPr="00267667">
              <w:rPr>
                <w:rFonts w:eastAsia="Times New Roman"/>
                <w:sz w:val="22"/>
                <w:szCs w:val="22"/>
              </w:rPr>
              <w:t>1.1 ± 0.0</w:t>
            </w:r>
          </w:p>
        </w:tc>
        <w:tc>
          <w:tcPr>
            <w:tcW w:w="1587" w:type="dxa"/>
            <w:tcBorders>
              <w:top w:val="nil"/>
              <w:left w:val="single" w:sz="4" w:space="0" w:color="auto"/>
              <w:bottom w:val="single" w:sz="8" w:space="0" w:color="auto"/>
              <w:right w:val="nil"/>
            </w:tcBorders>
            <w:shd w:val="clear" w:color="auto" w:fill="auto"/>
            <w:noWrap/>
            <w:vAlign w:val="bottom"/>
            <w:hideMark/>
          </w:tcPr>
          <w:p w14:paraId="58BE82FC" w14:textId="1660AB4F" w:rsidR="006B11D2" w:rsidRPr="00267667" w:rsidRDefault="006B11D2" w:rsidP="00B342AD">
            <w:pPr>
              <w:spacing w:before="0" w:line="240" w:lineRule="auto"/>
              <w:jc w:val="center"/>
              <w:rPr>
                <w:rFonts w:eastAsia="Times New Roman"/>
                <w:sz w:val="22"/>
                <w:szCs w:val="22"/>
              </w:rPr>
            </w:pPr>
            <w:r w:rsidRPr="00267667">
              <w:rPr>
                <w:rFonts w:eastAsia="Times New Roman"/>
                <w:sz w:val="22"/>
                <w:szCs w:val="22"/>
              </w:rPr>
              <w:t>1.</w:t>
            </w:r>
            <w:r w:rsidR="00AB7CD8" w:rsidRPr="00267667">
              <w:rPr>
                <w:rFonts w:eastAsia="Times New Roman"/>
                <w:sz w:val="22"/>
                <w:szCs w:val="22"/>
              </w:rPr>
              <w:t>1</w:t>
            </w:r>
            <w:r w:rsidRPr="00267667">
              <w:rPr>
                <w:rFonts w:eastAsia="Times New Roman"/>
                <w:sz w:val="22"/>
                <w:szCs w:val="22"/>
              </w:rPr>
              <w:t xml:space="preserve"> ± 0.0</w:t>
            </w:r>
          </w:p>
        </w:tc>
      </w:tr>
    </w:tbl>
    <w:p w14:paraId="53E46568" w14:textId="77777777" w:rsidR="006B11D2" w:rsidRPr="00267667" w:rsidRDefault="006B11D2" w:rsidP="006B11D2">
      <w:pPr>
        <w:jc w:val="both"/>
        <w:rPr>
          <w:sz w:val="22"/>
          <w:szCs w:val="22"/>
        </w:rPr>
      </w:pPr>
      <w:r w:rsidRPr="00267667">
        <w:rPr>
          <w:sz w:val="22"/>
          <w:szCs w:val="22"/>
        </w:rPr>
        <w:t>*: The peak intensity in 0 mM and 100 mM was calculated with non-responsive neurons as there was no responsive neuron in 0 mM and 100 mM.</w:t>
      </w:r>
    </w:p>
    <w:p w14:paraId="7C133BE4" w14:textId="77777777" w:rsidR="006B11D2" w:rsidRPr="00267667" w:rsidRDefault="006B11D2" w:rsidP="006B11D2">
      <w:pPr>
        <w:jc w:val="both"/>
        <w:rPr>
          <w:sz w:val="22"/>
          <w:szCs w:val="22"/>
        </w:rPr>
      </w:pPr>
    </w:p>
    <w:p w14:paraId="35B68289" w14:textId="77777777" w:rsidR="00540B2C" w:rsidRPr="00267667" w:rsidRDefault="00540B2C" w:rsidP="00540B2C">
      <w:pPr>
        <w:spacing w:before="0" w:after="200"/>
        <w:jc w:val="both"/>
        <w:rPr>
          <w:sz w:val="22"/>
          <w:szCs w:val="22"/>
        </w:rPr>
      </w:pPr>
    </w:p>
    <w:p w14:paraId="1DAE1D11" w14:textId="61EBFF85" w:rsidR="006B11D2" w:rsidRPr="00267667" w:rsidRDefault="006B11D2" w:rsidP="00AB6B55">
      <w:pPr>
        <w:spacing w:before="0" w:after="200"/>
        <w:jc w:val="both"/>
        <w:rPr>
          <w:sz w:val="22"/>
          <w:szCs w:val="22"/>
        </w:rPr>
      </w:pPr>
      <w:r w:rsidRPr="00267667">
        <w:rPr>
          <w:sz w:val="22"/>
          <w:szCs w:val="22"/>
        </w:rPr>
        <w:t>Table S2. The fraction of synchronous ASE pair and the probability of synchrony. The threshold of the responsive neuron was set as 1.35 of the G-CaMP intensity change. This value was determined after viewing all the calcium transient images. The maximum G-CaMP intensity change between 0 and 30 seconds at both upstep and downstep were used for determining the neuron being responsive.</w:t>
      </w:r>
    </w:p>
    <w:p w14:paraId="3B9DE041" w14:textId="77777777" w:rsidR="006B11D2" w:rsidRPr="00267667" w:rsidRDefault="006B11D2" w:rsidP="006B11D2">
      <w:pPr>
        <w:jc w:val="both"/>
        <w:rPr>
          <w:sz w:val="22"/>
          <w:szCs w:val="22"/>
        </w:rPr>
      </w:pPr>
    </w:p>
    <w:p w14:paraId="32B0F79A" w14:textId="77777777" w:rsidR="006B11D2" w:rsidRPr="00267667" w:rsidRDefault="006B11D2" w:rsidP="006B11D2">
      <w:pPr>
        <w:jc w:val="both"/>
        <w:rPr>
          <w:sz w:val="22"/>
          <w:szCs w:val="22"/>
        </w:rPr>
      </w:pPr>
      <w:r w:rsidRPr="00267667">
        <w:rPr>
          <w:sz w:val="22"/>
          <w:szCs w:val="22"/>
        </w:rPr>
        <w:t>Fraction of synchronous neuron pairs</w:t>
      </w:r>
    </w:p>
    <w:tbl>
      <w:tblPr>
        <w:tblW w:w="9923" w:type="dxa"/>
        <w:tblLook w:val="04A0" w:firstRow="1" w:lastRow="0" w:firstColumn="1" w:lastColumn="0" w:noHBand="0" w:noVBand="1"/>
      </w:tblPr>
      <w:tblGrid>
        <w:gridCol w:w="1680"/>
        <w:gridCol w:w="1280"/>
        <w:gridCol w:w="1280"/>
        <w:gridCol w:w="1280"/>
        <w:gridCol w:w="1280"/>
        <w:gridCol w:w="684"/>
        <w:gridCol w:w="567"/>
        <w:gridCol w:w="2268"/>
      </w:tblGrid>
      <w:tr w:rsidR="006B11D2" w:rsidRPr="00267667" w14:paraId="3DAA3217" w14:textId="77777777" w:rsidTr="006B11D2">
        <w:trPr>
          <w:trHeight w:val="300"/>
        </w:trPr>
        <w:tc>
          <w:tcPr>
            <w:tcW w:w="1680" w:type="dxa"/>
            <w:vMerge w:val="restart"/>
            <w:tcBorders>
              <w:top w:val="single" w:sz="8" w:space="0" w:color="auto"/>
              <w:left w:val="nil"/>
              <w:bottom w:val="single" w:sz="8" w:space="0" w:color="auto"/>
              <w:right w:val="single" w:sz="8" w:space="0" w:color="auto"/>
            </w:tcBorders>
            <w:shd w:val="clear" w:color="auto" w:fill="auto"/>
            <w:noWrap/>
            <w:vAlign w:val="center"/>
            <w:hideMark/>
          </w:tcPr>
          <w:p w14:paraId="4A17AE8E"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Stimulus</w:t>
            </w:r>
          </w:p>
        </w:tc>
        <w:tc>
          <w:tcPr>
            <w:tcW w:w="1181" w:type="dxa"/>
            <w:vMerge w:val="restart"/>
            <w:tcBorders>
              <w:top w:val="single" w:sz="8" w:space="0" w:color="auto"/>
              <w:left w:val="single" w:sz="8" w:space="0" w:color="auto"/>
              <w:bottom w:val="single" w:sz="8" w:space="0" w:color="auto"/>
              <w:right w:val="single" w:sz="4" w:space="0" w:color="auto"/>
            </w:tcBorders>
            <w:shd w:val="clear" w:color="auto" w:fill="auto"/>
            <w:vAlign w:val="center"/>
            <w:hideMark/>
          </w:tcPr>
          <w:p w14:paraId="09904EBD"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Both </w:t>
            </w:r>
            <w:r w:rsidRPr="00267667">
              <w:rPr>
                <w:rFonts w:eastAsia="Times New Roman"/>
                <w:color w:val="000000"/>
                <w:sz w:val="22"/>
                <w:szCs w:val="22"/>
              </w:rPr>
              <w:br/>
              <w:t>responsive</w:t>
            </w:r>
          </w:p>
        </w:tc>
        <w:tc>
          <w:tcPr>
            <w:tcW w:w="1181" w:type="dxa"/>
            <w:vMerge w:val="restart"/>
            <w:tcBorders>
              <w:top w:val="single" w:sz="8" w:space="0" w:color="auto"/>
              <w:left w:val="single" w:sz="4" w:space="0" w:color="auto"/>
              <w:bottom w:val="single" w:sz="8" w:space="0" w:color="auto"/>
              <w:right w:val="single" w:sz="4" w:space="0" w:color="auto"/>
            </w:tcBorders>
            <w:shd w:val="clear" w:color="auto" w:fill="auto"/>
            <w:vAlign w:val="center"/>
            <w:hideMark/>
          </w:tcPr>
          <w:p w14:paraId="00295147"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ASEL only </w:t>
            </w:r>
            <w:r w:rsidRPr="00267667">
              <w:rPr>
                <w:rFonts w:eastAsia="Times New Roman"/>
                <w:color w:val="000000"/>
                <w:sz w:val="22"/>
                <w:szCs w:val="22"/>
              </w:rPr>
              <w:br/>
              <w:t>responsive</w:t>
            </w:r>
          </w:p>
        </w:tc>
        <w:tc>
          <w:tcPr>
            <w:tcW w:w="1181" w:type="dxa"/>
            <w:vMerge w:val="restart"/>
            <w:tcBorders>
              <w:top w:val="single" w:sz="8" w:space="0" w:color="auto"/>
              <w:left w:val="single" w:sz="4" w:space="0" w:color="auto"/>
              <w:bottom w:val="single" w:sz="8" w:space="0" w:color="auto"/>
              <w:right w:val="single" w:sz="4" w:space="0" w:color="auto"/>
            </w:tcBorders>
            <w:shd w:val="clear" w:color="auto" w:fill="auto"/>
            <w:vAlign w:val="center"/>
            <w:hideMark/>
          </w:tcPr>
          <w:p w14:paraId="4C1FAF23"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ASER only </w:t>
            </w:r>
            <w:r w:rsidRPr="00267667">
              <w:rPr>
                <w:rFonts w:eastAsia="Times New Roman"/>
                <w:color w:val="000000"/>
                <w:sz w:val="22"/>
                <w:szCs w:val="22"/>
              </w:rPr>
              <w:br/>
              <w:t>responsive</w:t>
            </w:r>
          </w:p>
        </w:tc>
        <w:tc>
          <w:tcPr>
            <w:tcW w:w="1181" w:type="dxa"/>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14:paraId="768EC135"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neither </w:t>
            </w:r>
            <w:r w:rsidRPr="00267667">
              <w:rPr>
                <w:rFonts w:eastAsia="Times New Roman"/>
                <w:color w:val="000000"/>
                <w:sz w:val="22"/>
                <w:szCs w:val="22"/>
              </w:rPr>
              <w:br/>
              <w:t>responsive</w:t>
            </w:r>
          </w:p>
        </w:tc>
        <w:tc>
          <w:tcPr>
            <w:tcW w:w="684" w:type="dxa"/>
            <w:vMerge w:val="restart"/>
            <w:tcBorders>
              <w:top w:val="single" w:sz="8" w:space="0" w:color="auto"/>
              <w:left w:val="single" w:sz="8" w:space="0" w:color="auto"/>
              <w:bottom w:val="single" w:sz="8" w:space="0" w:color="auto"/>
              <w:right w:val="nil"/>
            </w:tcBorders>
            <w:shd w:val="clear" w:color="auto" w:fill="auto"/>
            <w:noWrap/>
            <w:vAlign w:val="center"/>
            <w:hideMark/>
          </w:tcPr>
          <w:p w14:paraId="5D970144"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total</w:t>
            </w:r>
          </w:p>
        </w:tc>
        <w:tc>
          <w:tcPr>
            <w:tcW w:w="567" w:type="dxa"/>
            <w:tcBorders>
              <w:top w:val="nil"/>
              <w:left w:val="nil"/>
              <w:bottom w:val="nil"/>
              <w:right w:val="nil"/>
            </w:tcBorders>
            <w:shd w:val="clear" w:color="auto" w:fill="auto"/>
            <w:noWrap/>
            <w:vAlign w:val="bottom"/>
            <w:hideMark/>
          </w:tcPr>
          <w:p w14:paraId="05188704" w14:textId="77777777" w:rsidR="006B11D2" w:rsidRPr="00267667" w:rsidRDefault="006B11D2" w:rsidP="006B11D2">
            <w:pPr>
              <w:spacing w:before="0" w:line="240" w:lineRule="auto"/>
              <w:jc w:val="center"/>
              <w:rPr>
                <w:rFonts w:eastAsia="Times New Roman"/>
                <w:color w:val="000000"/>
                <w:sz w:val="22"/>
                <w:szCs w:val="22"/>
              </w:rPr>
            </w:pPr>
          </w:p>
        </w:tc>
        <w:tc>
          <w:tcPr>
            <w:tcW w:w="2268" w:type="dxa"/>
            <w:vMerge w:val="restart"/>
            <w:tcBorders>
              <w:top w:val="single" w:sz="8" w:space="0" w:color="auto"/>
              <w:left w:val="nil"/>
              <w:bottom w:val="single" w:sz="8" w:space="0" w:color="auto"/>
              <w:right w:val="nil"/>
            </w:tcBorders>
            <w:shd w:val="clear" w:color="auto" w:fill="auto"/>
            <w:vAlign w:val="center"/>
            <w:hideMark/>
          </w:tcPr>
          <w:p w14:paraId="19005ADB"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Fraction of synchronous neuron pair</w:t>
            </w:r>
            <w:r w:rsidRPr="00267667">
              <w:rPr>
                <w:rFonts w:eastAsia="Times New Roman"/>
                <w:color w:val="000000"/>
                <w:sz w:val="22"/>
                <w:szCs w:val="22"/>
              </w:rPr>
              <w:br/>
              <w:t>(both or neither neurons respond)</w:t>
            </w:r>
          </w:p>
        </w:tc>
      </w:tr>
      <w:tr w:rsidR="006B11D2" w:rsidRPr="00267667" w14:paraId="39946628" w14:textId="77777777" w:rsidTr="006B11D2">
        <w:trPr>
          <w:trHeight w:val="300"/>
        </w:trPr>
        <w:tc>
          <w:tcPr>
            <w:tcW w:w="1680" w:type="dxa"/>
            <w:vMerge/>
            <w:tcBorders>
              <w:top w:val="single" w:sz="8" w:space="0" w:color="auto"/>
              <w:left w:val="nil"/>
              <w:bottom w:val="single" w:sz="8" w:space="0" w:color="auto"/>
              <w:right w:val="single" w:sz="8" w:space="0" w:color="auto"/>
            </w:tcBorders>
            <w:vAlign w:val="center"/>
            <w:hideMark/>
          </w:tcPr>
          <w:p w14:paraId="45506E7A" w14:textId="77777777" w:rsidR="006B11D2" w:rsidRPr="00267667" w:rsidRDefault="006B11D2" w:rsidP="006B11D2">
            <w:pPr>
              <w:spacing w:before="0" w:line="240" w:lineRule="auto"/>
              <w:jc w:val="both"/>
              <w:rPr>
                <w:rFonts w:eastAsia="Times New Roman"/>
                <w:color w:val="000000"/>
                <w:sz w:val="22"/>
                <w:szCs w:val="22"/>
              </w:rPr>
            </w:pPr>
          </w:p>
        </w:tc>
        <w:tc>
          <w:tcPr>
            <w:tcW w:w="1181" w:type="dxa"/>
            <w:vMerge/>
            <w:tcBorders>
              <w:top w:val="single" w:sz="8" w:space="0" w:color="auto"/>
              <w:left w:val="single" w:sz="8" w:space="0" w:color="auto"/>
              <w:bottom w:val="single" w:sz="8" w:space="0" w:color="auto"/>
              <w:right w:val="single" w:sz="4" w:space="0" w:color="auto"/>
            </w:tcBorders>
            <w:vAlign w:val="center"/>
            <w:hideMark/>
          </w:tcPr>
          <w:p w14:paraId="39AB1B28" w14:textId="77777777" w:rsidR="006B11D2" w:rsidRPr="00267667" w:rsidRDefault="006B11D2" w:rsidP="006B11D2">
            <w:pPr>
              <w:spacing w:before="0" w:line="240" w:lineRule="auto"/>
              <w:jc w:val="center"/>
              <w:rPr>
                <w:rFonts w:eastAsia="Times New Roman"/>
                <w:color w:val="000000"/>
                <w:sz w:val="22"/>
                <w:szCs w:val="22"/>
              </w:rPr>
            </w:pPr>
          </w:p>
        </w:tc>
        <w:tc>
          <w:tcPr>
            <w:tcW w:w="1181" w:type="dxa"/>
            <w:vMerge/>
            <w:tcBorders>
              <w:top w:val="single" w:sz="8" w:space="0" w:color="auto"/>
              <w:left w:val="single" w:sz="4" w:space="0" w:color="auto"/>
              <w:bottom w:val="single" w:sz="8" w:space="0" w:color="auto"/>
              <w:right w:val="single" w:sz="4" w:space="0" w:color="auto"/>
            </w:tcBorders>
            <w:vAlign w:val="center"/>
            <w:hideMark/>
          </w:tcPr>
          <w:p w14:paraId="743DA964" w14:textId="77777777" w:rsidR="006B11D2" w:rsidRPr="00267667" w:rsidRDefault="006B11D2" w:rsidP="006B11D2">
            <w:pPr>
              <w:spacing w:before="0" w:line="240" w:lineRule="auto"/>
              <w:jc w:val="center"/>
              <w:rPr>
                <w:rFonts w:eastAsia="Times New Roman"/>
                <w:color w:val="000000"/>
                <w:sz w:val="22"/>
                <w:szCs w:val="22"/>
              </w:rPr>
            </w:pPr>
          </w:p>
        </w:tc>
        <w:tc>
          <w:tcPr>
            <w:tcW w:w="1181" w:type="dxa"/>
            <w:vMerge/>
            <w:tcBorders>
              <w:top w:val="single" w:sz="8" w:space="0" w:color="auto"/>
              <w:left w:val="single" w:sz="4" w:space="0" w:color="auto"/>
              <w:bottom w:val="single" w:sz="8" w:space="0" w:color="auto"/>
              <w:right w:val="single" w:sz="4" w:space="0" w:color="auto"/>
            </w:tcBorders>
            <w:vAlign w:val="center"/>
            <w:hideMark/>
          </w:tcPr>
          <w:p w14:paraId="7C9855B0" w14:textId="77777777" w:rsidR="006B11D2" w:rsidRPr="00267667" w:rsidRDefault="006B11D2" w:rsidP="006B11D2">
            <w:pPr>
              <w:spacing w:before="0" w:line="240" w:lineRule="auto"/>
              <w:jc w:val="center"/>
              <w:rPr>
                <w:rFonts w:eastAsia="Times New Roman"/>
                <w:color w:val="000000"/>
                <w:sz w:val="22"/>
                <w:szCs w:val="22"/>
              </w:rPr>
            </w:pPr>
          </w:p>
        </w:tc>
        <w:tc>
          <w:tcPr>
            <w:tcW w:w="1181" w:type="dxa"/>
            <w:vMerge/>
            <w:tcBorders>
              <w:top w:val="single" w:sz="8" w:space="0" w:color="auto"/>
              <w:left w:val="single" w:sz="4" w:space="0" w:color="auto"/>
              <w:bottom w:val="single" w:sz="8" w:space="0" w:color="auto"/>
              <w:right w:val="single" w:sz="8" w:space="0" w:color="auto"/>
            </w:tcBorders>
            <w:vAlign w:val="center"/>
            <w:hideMark/>
          </w:tcPr>
          <w:p w14:paraId="7B1C4495" w14:textId="77777777" w:rsidR="006B11D2" w:rsidRPr="00267667" w:rsidRDefault="006B11D2" w:rsidP="006B11D2">
            <w:pPr>
              <w:spacing w:before="0" w:line="240" w:lineRule="auto"/>
              <w:jc w:val="center"/>
              <w:rPr>
                <w:rFonts w:eastAsia="Times New Roman"/>
                <w:color w:val="000000"/>
                <w:sz w:val="22"/>
                <w:szCs w:val="22"/>
              </w:rPr>
            </w:pPr>
          </w:p>
        </w:tc>
        <w:tc>
          <w:tcPr>
            <w:tcW w:w="684" w:type="dxa"/>
            <w:vMerge/>
            <w:tcBorders>
              <w:top w:val="single" w:sz="8" w:space="0" w:color="auto"/>
              <w:left w:val="single" w:sz="8" w:space="0" w:color="auto"/>
              <w:bottom w:val="single" w:sz="8" w:space="0" w:color="auto"/>
              <w:right w:val="nil"/>
            </w:tcBorders>
            <w:vAlign w:val="center"/>
            <w:hideMark/>
          </w:tcPr>
          <w:p w14:paraId="06800DE1" w14:textId="77777777" w:rsidR="006B11D2" w:rsidRPr="00267667" w:rsidRDefault="006B11D2" w:rsidP="006B11D2">
            <w:pPr>
              <w:spacing w:before="0" w:line="240" w:lineRule="auto"/>
              <w:jc w:val="center"/>
              <w:rPr>
                <w:rFonts w:eastAsia="Times New Roman"/>
                <w:color w:val="000000"/>
                <w:sz w:val="22"/>
                <w:szCs w:val="22"/>
              </w:rPr>
            </w:pPr>
          </w:p>
        </w:tc>
        <w:tc>
          <w:tcPr>
            <w:tcW w:w="567" w:type="dxa"/>
            <w:tcBorders>
              <w:top w:val="nil"/>
              <w:left w:val="nil"/>
              <w:bottom w:val="nil"/>
              <w:right w:val="nil"/>
            </w:tcBorders>
            <w:shd w:val="clear" w:color="auto" w:fill="auto"/>
            <w:noWrap/>
            <w:vAlign w:val="bottom"/>
            <w:hideMark/>
          </w:tcPr>
          <w:p w14:paraId="79A12D0D" w14:textId="77777777" w:rsidR="006B11D2" w:rsidRPr="00267667" w:rsidRDefault="006B11D2" w:rsidP="006B11D2">
            <w:pPr>
              <w:spacing w:before="0" w:line="240" w:lineRule="auto"/>
              <w:jc w:val="both"/>
              <w:rPr>
                <w:rFonts w:eastAsia="Times New Roman"/>
                <w:color w:val="000000"/>
                <w:sz w:val="22"/>
                <w:szCs w:val="22"/>
              </w:rPr>
            </w:pPr>
            <w:r w:rsidRPr="00267667">
              <w:rPr>
                <w:rFonts w:eastAsia="Times New Roman"/>
                <w:color w:val="000000"/>
                <w:sz w:val="22"/>
                <w:szCs w:val="22"/>
              </w:rPr>
              <w:t>=&gt;</w:t>
            </w:r>
          </w:p>
        </w:tc>
        <w:tc>
          <w:tcPr>
            <w:tcW w:w="2268" w:type="dxa"/>
            <w:vMerge/>
            <w:tcBorders>
              <w:top w:val="single" w:sz="8" w:space="0" w:color="auto"/>
              <w:left w:val="nil"/>
              <w:bottom w:val="single" w:sz="8" w:space="0" w:color="auto"/>
              <w:right w:val="nil"/>
            </w:tcBorders>
            <w:vAlign w:val="center"/>
            <w:hideMark/>
          </w:tcPr>
          <w:p w14:paraId="374A5465" w14:textId="77777777" w:rsidR="006B11D2" w:rsidRPr="00267667" w:rsidRDefault="006B11D2" w:rsidP="006B11D2">
            <w:pPr>
              <w:spacing w:before="0" w:line="240" w:lineRule="auto"/>
              <w:jc w:val="both"/>
              <w:rPr>
                <w:rFonts w:eastAsia="Times New Roman"/>
                <w:color w:val="000000"/>
                <w:sz w:val="22"/>
                <w:szCs w:val="22"/>
              </w:rPr>
            </w:pPr>
          </w:p>
        </w:tc>
      </w:tr>
      <w:tr w:rsidR="006B11D2" w:rsidRPr="00267667" w14:paraId="5D90AFBC" w14:textId="77777777" w:rsidTr="006B11D2">
        <w:trPr>
          <w:trHeight w:val="315"/>
        </w:trPr>
        <w:tc>
          <w:tcPr>
            <w:tcW w:w="1680" w:type="dxa"/>
            <w:tcBorders>
              <w:top w:val="single" w:sz="8" w:space="0" w:color="auto"/>
              <w:left w:val="nil"/>
              <w:bottom w:val="single" w:sz="8" w:space="0" w:color="auto"/>
              <w:right w:val="single" w:sz="8" w:space="0" w:color="auto"/>
            </w:tcBorders>
            <w:shd w:val="clear" w:color="auto" w:fill="auto"/>
            <w:noWrap/>
            <w:vAlign w:val="center"/>
            <w:hideMark/>
          </w:tcPr>
          <w:p w14:paraId="0D1FE09B" w14:textId="77777777" w:rsidR="006B11D2" w:rsidRPr="00267667" w:rsidRDefault="006B11D2" w:rsidP="006B11D2">
            <w:pPr>
              <w:spacing w:before="0" w:line="240" w:lineRule="auto"/>
              <w:jc w:val="both"/>
              <w:rPr>
                <w:rFonts w:eastAsia="Times New Roman"/>
                <w:color w:val="000000"/>
                <w:sz w:val="22"/>
                <w:szCs w:val="22"/>
              </w:rPr>
            </w:pPr>
            <w:r w:rsidRPr="00267667">
              <w:rPr>
                <w:rFonts w:eastAsia="Times New Roman"/>
                <w:color w:val="000000"/>
                <w:sz w:val="22"/>
                <w:szCs w:val="22"/>
              </w:rPr>
              <w:t>50 mM -&gt; 100 mM -&gt; 50 mM</w:t>
            </w:r>
          </w:p>
        </w:tc>
        <w:tc>
          <w:tcPr>
            <w:tcW w:w="118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AF84625"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10</w:t>
            </w:r>
          </w:p>
        </w:tc>
        <w:tc>
          <w:tcPr>
            <w:tcW w:w="1181"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41A7B6E2"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4</w:t>
            </w:r>
          </w:p>
        </w:tc>
        <w:tc>
          <w:tcPr>
            <w:tcW w:w="1181"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A1FD3D7"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3</w:t>
            </w:r>
          </w:p>
        </w:tc>
        <w:tc>
          <w:tcPr>
            <w:tcW w:w="1181"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20ED3D9"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w:t>
            </w:r>
          </w:p>
        </w:tc>
        <w:tc>
          <w:tcPr>
            <w:tcW w:w="684" w:type="dxa"/>
            <w:tcBorders>
              <w:top w:val="single" w:sz="8" w:space="0" w:color="auto"/>
              <w:left w:val="single" w:sz="8" w:space="0" w:color="auto"/>
              <w:bottom w:val="single" w:sz="8" w:space="0" w:color="auto"/>
              <w:right w:val="nil"/>
            </w:tcBorders>
            <w:shd w:val="clear" w:color="auto" w:fill="auto"/>
            <w:noWrap/>
            <w:vAlign w:val="center"/>
            <w:hideMark/>
          </w:tcPr>
          <w:p w14:paraId="5DE1DF28"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18</w:t>
            </w:r>
          </w:p>
        </w:tc>
        <w:tc>
          <w:tcPr>
            <w:tcW w:w="567" w:type="dxa"/>
            <w:tcBorders>
              <w:top w:val="nil"/>
              <w:left w:val="nil"/>
              <w:bottom w:val="nil"/>
              <w:right w:val="nil"/>
            </w:tcBorders>
            <w:shd w:val="clear" w:color="auto" w:fill="auto"/>
            <w:noWrap/>
            <w:vAlign w:val="bottom"/>
            <w:hideMark/>
          </w:tcPr>
          <w:p w14:paraId="3D3AEBA1" w14:textId="77777777" w:rsidR="006B11D2" w:rsidRPr="00267667" w:rsidRDefault="006B11D2" w:rsidP="006B11D2">
            <w:pPr>
              <w:spacing w:before="0" w:line="240" w:lineRule="auto"/>
              <w:jc w:val="both"/>
              <w:rPr>
                <w:rFonts w:eastAsia="Times New Roman"/>
                <w:color w:val="000000"/>
                <w:sz w:val="22"/>
                <w:szCs w:val="22"/>
              </w:rPr>
            </w:pPr>
          </w:p>
        </w:tc>
        <w:tc>
          <w:tcPr>
            <w:tcW w:w="2268" w:type="dxa"/>
            <w:tcBorders>
              <w:top w:val="single" w:sz="8" w:space="0" w:color="auto"/>
              <w:left w:val="nil"/>
              <w:bottom w:val="single" w:sz="8" w:space="0" w:color="auto"/>
              <w:right w:val="nil"/>
            </w:tcBorders>
            <w:shd w:val="clear" w:color="auto" w:fill="auto"/>
            <w:noWrap/>
            <w:vAlign w:val="center"/>
            <w:hideMark/>
          </w:tcPr>
          <w:p w14:paraId="186E611F"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0.61</w:t>
            </w:r>
          </w:p>
        </w:tc>
      </w:tr>
    </w:tbl>
    <w:p w14:paraId="12B2B876" w14:textId="77777777" w:rsidR="006B11D2" w:rsidRPr="00267667" w:rsidRDefault="006B11D2" w:rsidP="006B11D2">
      <w:pPr>
        <w:jc w:val="both"/>
        <w:rPr>
          <w:sz w:val="22"/>
          <w:szCs w:val="22"/>
        </w:rPr>
      </w:pPr>
    </w:p>
    <w:p w14:paraId="6D5B2F53" w14:textId="77777777" w:rsidR="006B11D2" w:rsidRPr="00267667" w:rsidRDefault="006B11D2" w:rsidP="006B11D2">
      <w:pPr>
        <w:jc w:val="both"/>
        <w:rPr>
          <w:sz w:val="22"/>
          <w:szCs w:val="22"/>
        </w:rPr>
      </w:pPr>
      <w:r w:rsidRPr="00267667">
        <w:rPr>
          <w:sz w:val="22"/>
          <w:szCs w:val="22"/>
        </w:rPr>
        <w:t>Probability of synchrony</w:t>
      </w:r>
    </w:p>
    <w:tbl>
      <w:tblPr>
        <w:tblW w:w="8132" w:type="dxa"/>
        <w:tblLook w:val="04A0" w:firstRow="1" w:lastRow="0" w:firstColumn="1" w:lastColumn="0" w:noHBand="0" w:noVBand="1"/>
      </w:tblPr>
      <w:tblGrid>
        <w:gridCol w:w="1680"/>
        <w:gridCol w:w="1260"/>
        <w:gridCol w:w="1260"/>
        <w:gridCol w:w="762"/>
        <w:gridCol w:w="2409"/>
        <w:gridCol w:w="840"/>
      </w:tblGrid>
      <w:tr w:rsidR="006B11D2" w:rsidRPr="00267667" w14:paraId="727175FB" w14:textId="77777777" w:rsidTr="006B11D2">
        <w:trPr>
          <w:trHeight w:val="315"/>
        </w:trPr>
        <w:tc>
          <w:tcPr>
            <w:tcW w:w="1680" w:type="dxa"/>
            <w:vMerge w:val="restart"/>
            <w:tcBorders>
              <w:top w:val="single" w:sz="8" w:space="0" w:color="auto"/>
              <w:left w:val="nil"/>
              <w:bottom w:val="single" w:sz="4" w:space="0" w:color="000000"/>
              <w:right w:val="single" w:sz="8" w:space="0" w:color="auto"/>
            </w:tcBorders>
            <w:shd w:val="clear" w:color="auto" w:fill="auto"/>
            <w:noWrap/>
            <w:vAlign w:val="center"/>
            <w:hideMark/>
          </w:tcPr>
          <w:p w14:paraId="5E3386A6"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Stimulus</w:t>
            </w:r>
          </w:p>
        </w:tc>
        <w:tc>
          <w:tcPr>
            <w:tcW w:w="1260" w:type="dxa"/>
            <w:vMerge w:val="restart"/>
            <w:tcBorders>
              <w:top w:val="single" w:sz="8" w:space="0" w:color="auto"/>
              <w:left w:val="single" w:sz="8" w:space="0" w:color="auto"/>
              <w:bottom w:val="single" w:sz="4" w:space="0" w:color="000000"/>
              <w:right w:val="nil"/>
            </w:tcBorders>
            <w:shd w:val="clear" w:color="auto" w:fill="auto"/>
            <w:noWrap/>
            <w:vAlign w:val="center"/>
            <w:hideMark/>
          </w:tcPr>
          <w:p w14:paraId="79C1861D"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ASEL (p</w:t>
            </w:r>
            <w:r w:rsidRPr="00267667">
              <w:rPr>
                <w:rFonts w:eastAsia="Times New Roman"/>
                <w:color w:val="000000"/>
                <w:sz w:val="22"/>
                <w:szCs w:val="22"/>
                <w:vertAlign w:val="subscript"/>
              </w:rPr>
              <w:t>L</w:t>
            </w:r>
            <w:r w:rsidRPr="00267667">
              <w:rPr>
                <w:rFonts w:eastAsia="Times New Roman"/>
                <w:color w:val="000000"/>
                <w:sz w:val="22"/>
                <w:szCs w:val="22"/>
              </w:rPr>
              <w:t>)</w:t>
            </w:r>
          </w:p>
        </w:tc>
        <w:tc>
          <w:tcPr>
            <w:tcW w:w="1260" w:type="dxa"/>
            <w:vMerge w:val="restart"/>
            <w:tcBorders>
              <w:top w:val="single" w:sz="8" w:space="0" w:color="auto"/>
              <w:left w:val="single" w:sz="4" w:space="0" w:color="auto"/>
              <w:bottom w:val="single" w:sz="4" w:space="0" w:color="000000"/>
              <w:right w:val="nil"/>
            </w:tcBorders>
            <w:shd w:val="clear" w:color="auto" w:fill="auto"/>
            <w:noWrap/>
            <w:vAlign w:val="center"/>
            <w:hideMark/>
          </w:tcPr>
          <w:p w14:paraId="1042F163"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ASER (p</w:t>
            </w:r>
            <w:r w:rsidRPr="00267667">
              <w:rPr>
                <w:rFonts w:eastAsia="Times New Roman"/>
                <w:color w:val="000000"/>
                <w:sz w:val="22"/>
                <w:szCs w:val="22"/>
                <w:vertAlign w:val="subscript"/>
              </w:rPr>
              <w:t>R</w:t>
            </w:r>
            <w:r w:rsidRPr="00267667">
              <w:rPr>
                <w:rFonts w:eastAsia="Times New Roman"/>
                <w:color w:val="000000"/>
                <w:sz w:val="22"/>
                <w:szCs w:val="22"/>
              </w:rPr>
              <w:t>)</w:t>
            </w:r>
          </w:p>
        </w:tc>
        <w:tc>
          <w:tcPr>
            <w:tcW w:w="762" w:type="dxa"/>
            <w:tcBorders>
              <w:top w:val="nil"/>
              <w:left w:val="nil"/>
              <w:bottom w:val="nil"/>
              <w:right w:val="nil"/>
            </w:tcBorders>
            <w:shd w:val="clear" w:color="auto" w:fill="auto"/>
            <w:noWrap/>
            <w:vAlign w:val="bottom"/>
            <w:hideMark/>
          </w:tcPr>
          <w:p w14:paraId="73331756" w14:textId="77777777" w:rsidR="006B11D2" w:rsidRPr="00267667" w:rsidRDefault="006B11D2" w:rsidP="006B11D2">
            <w:pPr>
              <w:spacing w:before="0" w:line="240" w:lineRule="auto"/>
              <w:jc w:val="both"/>
              <w:rPr>
                <w:rFonts w:eastAsia="Times New Roman"/>
                <w:color w:val="000000"/>
                <w:sz w:val="22"/>
                <w:szCs w:val="22"/>
              </w:rPr>
            </w:pPr>
          </w:p>
        </w:tc>
        <w:tc>
          <w:tcPr>
            <w:tcW w:w="2409" w:type="dxa"/>
            <w:vMerge w:val="restart"/>
            <w:tcBorders>
              <w:top w:val="single" w:sz="8" w:space="0" w:color="auto"/>
              <w:left w:val="nil"/>
              <w:bottom w:val="single" w:sz="4" w:space="0" w:color="auto"/>
              <w:right w:val="single" w:sz="4" w:space="0" w:color="auto"/>
            </w:tcBorders>
            <w:shd w:val="clear" w:color="auto" w:fill="auto"/>
            <w:vAlign w:val="center"/>
            <w:hideMark/>
          </w:tcPr>
          <w:p w14:paraId="0A133D2D"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Probability of synchrony</w:t>
            </w:r>
            <w:r w:rsidRPr="00267667">
              <w:rPr>
                <w:rFonts w:eastAsia="Times New Roman"/>
                <w:color w:val="000000"/>
                <w:sz w:val="22"/>
                <w:szCs w:val="22"/>
              </w:rPr>
              <w:br/>
              <w:t>(P=p</w:t>
            </w:r>
            <w:r w:rsidRPr="00267667">
              <w:rPr>
                <w:rFonts w:eastAsia="Times New Roman"/>
                <w:color w:val="000000"/>
                <w:sz w:val="22"/>
                <w:szCs w:val="22"/>
                <w:vertAlign w:val="subscript"/>
              </w:rPr>
              <w:t>L</w:t>
            </w:r>
            <w:r w:rsidRPr="00267667">
              <w:rPr>
                <w:rFonts w:eastAsia="Times New Roman"/>
                <w:color w:val="000000"/>
                <w:sz w:val="22"/>
                <w:szCs w:val="22"/>
              </w:rPr>
              <w:t>p</w:t>
            </w:r>
            <w:r w:rsidRPr="00267667">
              <w:rPr>
                <w:rFonts w:eastAsia="Times New Roman"/>
                <w:color w:val="000000"/>
                <w:sz w:val="22"/>
                <w:szCs w:val="22"/>
                <w:vertAlign w:val="subscript"/>
              </w:rPr>
              <w:t>R</w:t>
            </w:r>
            <w:r w:rsidRPr="00267667">
              <w:rPr>
                <w:rFonts w:eastAsia="Times New Roman"/>
                <w:color w:val="000000"/>
                <w:sz w:val="22"/>
                <w:szCs w:val="22"/>
              </w:rPr>
              <w:t xml:space="preserve"> + (1-p</w:t>
            </w:r>
            <w:r w:rsidRPr="00267667">
              <w:rPr>
                <w:rFonts w:eastAsia="Times New Roman"/>
                <w:color w:val="000000"/>
                <w:sz w:val="22"/>
                <w:szCs w:val="22"/>
                <w:vertAlign w:val="subscript"/>
              </w:rPr>
              <w:t>L</w:t>
            </w:r>
            <w:r w:rsidRPr="00267667">
              <w:rPr>
                <w:rFonts w:eastAsia="Times New Roman"/>
                <w:color w:val="000000"/>
                <w:sz w:val="22"/>
                <w:szCs w:val="22"/>
              </w:rPr>
              <w:t>)(1-p</w:t>
            </w:r>
            <w:r w:rsidRPr="00267667">
              <w:rPr>
                <w:rFonts w:eastAsia="Times New Roman"/>
                <w:color w:val="000000"/>
                <w:sz w:val="22"/>
                <w:szCs w:val="22"/>
                <w:vertAlign w:val="subscript"/>
              </w:rPr>
              <w:t>R</w:t>
            </w:r>
            <w:r w:rsidRPr="00267667">
              <w:rPr>
                <w:rFonts w:eastAsia="Times New Roman"/>
                <w:color w:val="000000"/>
                <w:sz w:val="22"/>
                <w:szCs w:val="22"/>
              </w:rPr>
              <w:t>))</w:t>
            </w:r>
          </w:p>
        </w:tc>
        <w:tc>
          <w:tcPr>
            <w:tcW w:w="761" w:type="dxa"/>
            <w:vMerge w:val="restart"/>
            <w:tcBorders>
              <w:top w:val="single" w:sz="8" w:space="0" w:color="auto"/>
              <w:left w:val="single" w:sz="4" w:space="0" w:color="auto"/>
              <w:bottom w:val="single" w:sz="4" w:space="0" w:color="auto"/>
              <w:right w:val="nil"/>
            </w:tcBorders>
            <w:shd w:val="clear" w:color="auto" w:fill="auto"/>
            <w:noWrap/>
            <w:vAlign w:val="center"/>
            <w:hideMark/>
          </w:tcPr>
          <w:p w14:paraId="1F1E8F70"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STD/n</w:t>
            </w:r>
          </w:p>
        </w:tc>
      </w:tr>
      <w:tr w:rsidR="006B11D2" w:rsidRPr="00267667" w14:paraId="72CB66A6" w14:textId="77777777" w:rsidTr="006B11D2">
        <w:trPr>
          <w:trHeight w:val="300"/>
        </w:trPr>
        <w:tc>
          <w:tcPr>
            <w:tcW w:w="1680" w:type="dxa"/>
            <w:vMerge/>
            <w:tcBorders>
              <w:top w:val="single" w:sz="8" w:space="0" w:color="auto"/>
              <w:left w:val="nil"/>
              <w:bottom w:val="single" w:sz="4" w:space="0" w:color="000000"/>
              <w:right w:val="single" w:sz="8" w:space="0" w:color="auto"/>
            </w:tcBorders>
            <w:vAlign w:val="center"/>
            <w:hideMark/>
          </w:tcPr>
          <w:p w14:paraId="05C8042A" w14:textId="77777777" w:rsidR="006B11D2" w:rsidRPr="00267667" w:rsidRDefault="006B11D2" w:rsidP="006B11D2">
            <w:pPr>
              <w:spacing w:before="0" w:line="240" w:lineRule="auto"/>
              <w:jc w:val="both"/>
              <w:rPr>
                <w:rFonts w:eastAsia="Times New Roman"/>
                <w:color w:val="000000"/>
                <w:sz w:val="22"/>
                <w:szCs w:val="22"/>
              </w:rPr>
            </w:pPr>
          </w:p>
        </w:tc>
        <w:tc>
          <w:tcPr>
            <w:tcW w:w="1260" w:type="dxa"/>
            <w:vMerge/>
            <w:tcBorders>
              <w:top w:val="single" w:sz="8" w:space="0" w:color="auto"/>
              <w:left w:val="single" w:sz="8" w:space="0" w:color="auto"/>
              <w:bottom w:val="single" w:sz="4" w:space="0" w:color="000000"/>
              <w:right w:val="nil"/>
            </w:tcBorders>
            <w:vAlign w:val="center"/>
            <w:hideMark/>
          </w:tcPr>
          <w:p w14:paraId="65547AF9" w14:textId="77777777" w:rsidR="006B11D2" w:rsidRPr="00267667" w:rsidRDefault="006B11D2" w:rsidP="006B11D2">
            <w:pPr>
              <w:spacing w:before="0" w:line="240" w:lineRule="auto"/>
              <w:jc w:val="center"/>
              <w:rPr>
                <w:rFonts w:eastAsia="Times New Roman"/>
                <w:color w:val="000000"/>
                <w:sz w:val="22"/>
                <w:szCs w:val="22"/>
              </w:rPr>
            </w:pPr>
          </w:p>
        </w:tc>
        <w:tc>
          <w:tcPr>
            <w:tcW w:w="1260" w:type="dxa"/>
            <w:vMerge/>
            <w:tcBorders>
              <w:top w:val="single" w:sz="8" w:space="0" w:color="auto"/>
              <w:left w:val="single" w:sz="4" w:space="0" w:color="auto"/>
              <w:bottom w:val="single" w:sz="4" w:space="0" w:color="000000"/>
              <w:right w:val="nil"/>
            </w:tcBorders>
            <w:vAlign w:val="center"/>
            <w:hideMark/>
          </w:tcPr>
          <w:p w14:paraId="74FE99BD" w14:textId="77777777" w:rsidR="006B11D2" w:rsidRPr="00267667" w:rsidRDefault="006B11D2" w:rsidP="006B11D2">
            <w:pPr>
              <w:spacing w:before="0" w:line="240" w:lineRule="auto"/>
              <w:jc w:val="center"/>
              <w:rPr>
                <w:rFonts w:eastAsia="Times New Roman"/>
                <w:color w:val="000000"/>
                <w:sz w:val="22"/>
                <w:szCs w:val="22"/>
              </w:rPr>
            </w:pPr>
          </w:p>
        </w:tc>
        <w:tc>
          <w:tcPr>
            <w:tcW w:w="762" w:type="dxa"/>
            <w:tcBorders>
              <w:top w:val="nil"/>
              <w:left w:val="nil"/>
              <w:bottom w:val="nil"/>
              <w:right w:val="nil"/>
            </w:tcBorders>
            <w:shd w:val="clear" w:color="auto" w:fill="auto"/>
            <w:noWrap/>
            <w:vAlign w:val="bottom"/>
            <w:hideMark/>
          </w:tcPr>
          <w:p w14:paraId="665CEE74" w14:textId="77777777" w:rsidR="006B11D2" w:rsidRPr="00267667" w:rsidRDefault="006B11D2" w:rsidP="006B11D2">
            <w:pPr>
              <w:spacing w:before="0" w:line="240" w:lineRule="auto"/>
              <w:jc w:val="both"/>
              <w:rPr>
                <w:rFonts w:eastAsia="Times New Roman"/>
                <w:color w:val="000000"/>
                <w:sz w:val="22"/>
                <w:szCs w:val="22"/>
              </w:rPr>
            </w:pPr>
            <w:r w:rsidRPr="00267667">
              <w:rPr>
                <w:rFonts w:eastAsia="Times New Roman"/>
                <w:color w:val="000000"/>
                <w:sz w:val="22"/>
                <w:szCs w:val="22"/>
              </w:rPr>
              <w:t>=&gt;</w:t>
            </w:r>
          </w:p>
        </w:tc>
        <w:tc>
          <w:tcPr>
            <w:tcW w:w="2409" w:type="dxa"/>
            <w:vMerge/>
            <w:tcBorders>
              <w:top w:val="single" w:sz="8" w:space="0" w:color="auto"/>
              <w:left w:val="nil"/>
              <w:bottom w:val="single" w:sz="4" w:space="0" w:color="auto"/>
              <w:right w:val="single" w:sz="4" w:space="0" w:color="auto"/>
            </w:tcBorders>
            <w:vAlign w:val="center"/>
            <w:hideMark/>
          </w:tcPr>
          <w:p w14:paraId="1634CFA7" w14:textId="77777777" w:rsidR="006B11D2" w:rsidRPr="00267667" w:rsidRDefault="006B11D2" w:rsidP="006B11D2">
            <w:pPr>
              <w:spacing w:before="0" w:line="240" w:lineRule="auto"/>
              <w:jc w:val="center"/>
              <w:rPr>
                <w:rFonts w:eastAsia="Times New Roman"/>
                <w:color w:val="000000"/>
                <w:sz w:val="22"/>
                <w:szCs w:val="22"/>
              </w:rPr>
            </w:pPr>
          </w:p>
        </w:tc>
        <w:tc>
          <w:tcPr>
            <w:tcW w:w="761" w:type="dxa"/>
            <w:vMerge/>
            <w:tcBorders>
              <w:top w:val="single" w:sz="8" w:space="0" w:color="auto"/>
              <w:left w:val="single" w:sz="4" w:space="0" w:color="auto"/>
              <w:bottom w:val="single" w:sz="4" w:space="0" w:color="auto"/>
              <w:right w:val="nil"/>
            </w:tcBorders>
            <w:vAlign w:val="center"/>
            <w:hideMark/>
          </w:tcPr>
          <w:p w14:paraId="030F08A5" w14:textId="77777777" w:rsidR="006B11D2" w:rsidRPr="00267667" w:rsidRDefault="006B11D2" w:rsidP="006B11D2">
            <w:pPr>
              <w:spacing w:before="0" w:line="240" w:lineRule="auto"/>
              <w:jc w:val="center"/>
              <w:rPr>
                <w:rFonts w:eastAsia="Times New Roman"/>
                <w:color w:val="000000"/>
                <w:sz w:val="22"/>
                <w:szCs w:val="22"/>
              </w:rPr>
            </w:pPr>
          </w:p>
        </w:tc>
      </w:tr>
      <w:tr w:rsidR="006B11D2" w:rsidRPr="00267667" w14:paraId="60D4369C" w14:textId="77777777" w:rsidTr="006B11D2">
        <w:trPr>
          <w:trHeight w:val="315"/>
        </w:trPr>
        <w:tc>
          <w:tcPr>
            <w:tcW w:w="1680" w:type="dxa"/>
            <w:tcBorders>
              <w:top w:val="nil"/>
              <w:left w:val="nil"/>
              <w:bottom w:val="single" w:sz="8" w:space="0" w:color="auto"/>
              <w:right w:val="single" w:sz="8" w:space="0" w:color="auto"/>
            </w:tcBorders>
            <w:shd w:val="clear" w:color="auto" w:fill="auto"/>
            <w:noWrap/>
            <w:vAlign w:val="center"/>
            <w:hideMark/>
          </w:tcPr>
          <w:p w14:paraId="002DDDCE" w14:textId="77777777" w:rsidR="006B11D2" w:rsidRPr="00267667" w:rsidRDefault="006B11D2" w:rsidP="006B11D2">
            <w:pPr>
              <w:spacing w:before="0" w:line="240" w:lineRule="auto"/>
              <w:jc w:val="both"/>
              <w:rPr>
                <w:rFonts w:eastAsia="Times New Roman"/>
                <w:color w:val="000000"/>
                <w:sz w:val="22"/>
                <w:szCs w:val="22"/>
              </w:rPr>
            </w:pPr>
            <w:r w:rsidRPr="00267667">
              <w:rPr>
                <w:rFonts w:eastAsia="Times New Roman"/>
                <w:color w:val="000000"/>
                <w:sz w:val="22"/>
                <w:szCs w:val="22"/>
              </w:rPr>
              <w:t>50 mM -&gt; 100 mM -&gt; 50 mM</w:t>
            </w:r>
          </w:p>
        </w:tc>
        <w:tc>
          <w:tcPr>
            <w:tcW w:w="1260" w:type="dxa"/>
            <w:tcBorders>
              <w:top w:val="nil"/>
              <w:left w:val="single" w:sz="8" w:space="0" w:color="auto"/>
              <w:bottom w:val="single" w:sz="8" w:space="0" w:color="auto"/>
              <w:right w:val="nil"/>
            </w:tcBorders>
            <w:shd w:val="clear" w:color="auto" w:fill="auto"/>
            <w:noWrap/>
            <w:vAlign w:val="center"/>
            <w:hideMark/>
          </w:tcPr>
          <w:p w14:paraId="7AA2D6D0"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0.78</w:t>
            </w:r>
          </w:p>
        </w:tc>
        <w:tc>
          <w:tcPr>
            <w:tcW w:w="1260" w:type="dxa"/>
            <w:tcBorders>
              <w:top w:val="nil"/>
              <w:left w:val="single" w:sz="4" w:space="0" w:color="auto"/>
              <w:bottom w:val="single" w:sz="8" w:space="0" w:color="auto"/>
              <w:right w:val="nil"/>
            </w:tcBorders>
            <w:shd w:val="clear" w:color="auto" w:fill="auto"/>
            <w:noWrap/>
            <w:vAlign w:val="center"/>
            <w:hideMark/>
          </w:tcPr>
          <w:p w14:paraId="5417E57F"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0.72</w:t>
            </w:r>
          </w:p>
        </w:tc>
        <w:tc>
          <w:tcPr>
            <w:tcW w:w="762" w:type="dxa"/>
            <w:tcBorders>
              <w:top w:val="nil"/>
              <w:left w:val="nil"/>
              <w:bottom w:val="nil"/>
              <w:right w:val="nil"/>
            </w:tcBorders>
            <w:shd w:val="clear" w:color="auto" w:fill="auto"/>
            <w:noWrap/>
            <w:vAlign w:val="bottom"/>
            <w:hideMark/>
          </w:tcPr>
          <w:p w14:paraId="33CC0BA2" w14:textId="77777777" w:rsidR="006B11D2" w:rsidRPr="00267667" w:rsidRDefault="006B11D2" w:rsidP="006B11D2">
            <w:pPr>
              <w:spacing w:before="0" w:line="240" w:lineRule="auto"/>
              <w:jc w:val="both"/>
              <w:rPr>
                <w:rFonts w:eastAsia="Times New Roman"/>
                <w:color w:val="000000"/>
                <w:sz w:val="22"/>
                <w:szCs w:val="22"/>
              </w:rPr>
            </w:pPr>
          </w:p>
        </w:tc>
        <w:tc>
          <w:tcPr>
            <w:tcW w:w="2409" w:type="dxa"/>
            <w:tcBorders>
              <w:top w:val="nil"/>
              <w:left w:val="nil"/>
              <w:bottom w:val="single" w:sz="8" w:space="0" w:color="auto"/>
              <w:right w:val="single" w:sz="4" w:space="0" w:color="auto"/>
            </w:tcBorders>
            <w:shd w:val="clear" w:color="auto" w:fill="auto"/>
            <w:noWrap/>
            <w:vAlign w:val="center"/>
            <w:hideMark/>
          </w:tcPr>
          <w:p w14:paraId="35E71F2B"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0.62</w:t>
            </w:r>
          </w:p>
        </w:tc>
        <w:tc>
          <w:tcPr>
            <w:tcW w:w="761" w:type="dxa"/>
            <w:tcBorders>
              <w:top w:val="nil"/>
              <w:left w:val="single" w:sz="4" w:space="0" w:color="auto"/>
              <w:bottom w:val="single" w:sz="8" w:space="0" w:color="auto"/>
              <w:right w:val="nil"/>
            </w:tcBorders>
            <w:shd w:val="clear" w:color="auto" w:fill="auto"/>
            <w:noWrap/>
            <w:vAlign w:val="center"/>
            <w:hideMark/>
          </w:tcPr>
          <w:p w14:paraId="7EA37BE0"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0.11</w:t>
            </w:r>
          </w:p>
        </w:tc>
      </w:tr>
    </w:tbl>
    <w:p w14:paraId="483FF0CA" w14:textId="77777777" w:rsidR="006B11D2" w:rsidRPr="00267667" w:rsidRDefault="006B11D2" w:rsidP="006B11D2">
      <w:pPr>
        <w:jc w:val="both"/>
        <w:rPr>
          <w:sz w:val="22"/>
          <w:szCs w:val="22"/>
        </w:rPr>
      </w:pPr>
    </w:p>
    <w:p w14:paraId="5805415C" w14:textId="77777777" w:rsidR="006B11D2" w:rsidRPr="00267667" w:rsidRDefault="006B11D2" w:rsidP="006B11D2">
      <w:pPr>
        <w:spacing w:before="0" w:after="200"/>
        <w:jc w:val="both"/>
        <w:rPr>
          <w:sz w:val="22"/>
          <w:szCs w:val="22"/>
        </w:rPr>
      </w:pPr>
      <w:r w:rsidRPr="00267667">
        <w:rPr>
          <w:sz w:val="22"/>
          <w:szCs w:val="22"/>
        </w:rPr>
        <w:br w:type="page"/>
      </w:r>
    </w:p>
    <w:p w14:paraId="5CA9474D" w14:textId="77777777" w:rsidR="006B11D2" w:rsidRPr="00267667" w:rsidRDefault="006B11D2" w:rsidP="006B11D2">
      <w:pPr>
        <w:jc w:val="both"/>
        <w:rPr>
          <w:sz w:val="22"/>
          <w:szCs w:val="22"/>
        </w:rPr>
      </w:pPr>
      <w:r w:rsidRPr="00267667">
        <w:rPr>
          <w:sz w:val="22"/>
          <w:szCs w:val="22"/>
        </w:rPr>
        <w:lastRenderedPageBreak/>
        <w:t>Table S3. The fraction of synchronous ASH pair and the probability of synchrony continuing on figure 2e and figure 4. The threshold of the responsive neuron was set as 1.35 of the G-CaMP intensity change (</w:t>
      </w:r>
      <w:r w:rsidRPr="00267667">
        <w:rPr>
          <w:i/>
          <w:sz w:val="22"/>
          <w:szCs w:val="22"/>
        </w:rPr>
        <w:t>F/F</w:t>
      </w:r>
      <w:r w:rsidRPr="00267667">
        <w:rPr>
          <w:i/>
          <w:sz w:val="22"/>
          <w:szCs w:val="22"/>
          <w:vertAlign w:val="subscript"/>
        </w:rPr>
        <w:t>0</w:t>
      </w:r>
      <w:r w:rsidRPr="00267667">
        <w:rPr>
          <w:sz w:val="22"/>
          <w:szCs w:val="22"/>
        </w:rPr>
        <w:t>). This value was determined after viewing all the calcium transient images. The neurons of which the maximum intensities between 2 and 4 second are higher than the threshold are regarded as responsive neurons. The fraction of the responsive neurons increased as the concentration of NaCl increased.</w:t>
      </w:r>
    </w:p>
    <w:p w14:paraId="65214FDA" w14:textId="77777777" w:rsidR="006B11D2" w:rsidRPr="00267667" w:rsidRDefault="006B11D2" w:rsidP="006B11D2">
      <w:pPr>
        <w:jc w:val="both"/>
        <w:rPr>
          <w:color w:val="FF0000"/>
          <w:sz w:val="22"/>
          <w:szCs w:val="22"/>
        </w:rPr>
      </w:pPr>
    </w:p>
    <w:p w14:paraId="4A015A34" w14:textId="77777777" w:rsidR="006B11D2" w:rsidRPr="00267667" w:rsidRDefault="006B11D2" w:rsidP="006B11D2">
      <w:pPr>
        <w:jc w:val="both"/>
        <w:rPr>
          <w:sz w:val="22"/>
          <w:szCs w:val="22"/>
        </w:rPr>
      </w:pPr>
      <w:r w:rsidRPr="00267667">
        <w:rPr>
          <w:sz w:val="22"/>
          <w:szCs w:val="22"/>
        </w:rPr>
        <w:t>Fraction of synchronous neuron pairs</w:t>
      </w:r>
    </w:p>
    <w:tbl>
      <w:tblPr>
        <w:tblW w:w="9072" w:type="dxa"/>
        <w:tblLook w:val="04A0" w:firstRow="1" w:lastRow="0" w:firstColumn="1" w:lastColumn="0" w:noHBand="0" w:noVBand="1"/>
      </w:tblPr>
      <w:tblGrid>
        <w:gridCol w:w="1134"/>
        <w:gridCol w:w="1280"/>
        <w:gridCol w:w="1280"/>
        <w:gridCol w:w="1280"/>
        <w:gridCol w:w="1280"/>
        <w:gridCol w:w="636"/>
        <w:gridCol w:w="473"/>
        <w:gridCol w:w="2126"/>
      </w:tblGrid>
      <w:tr w:rsidR="006B11D2" w:rsidRPr="00267667" w14:paraId="67253C46" w14:textId="77777777" w:rsidTr="006B11D2">
        <w:trPr>
          <w:trHeight w:val="360"/>
        </w:trPr>
        <w:tc>
          <w:tcPr>
            <w:tcW w:w="1134" w:type="dxa"/>
            <w:vMerge w:val="restart"/>
            <w:tcBorders>
              <w:top w:val="single" w:sz="8" w:space="0" w:color="auto"/>
              <w:left w:val="nil"/>
              <w:bottom w:val="single" w:sz="8" w:space="0" w:color="auto"/>
              <w:right w:val="single" w:sz="8" w:space="0" w:color="auto"/>
            </w:tcBorders>
            <w:shd w:val="clear" w:color="auto" w:fill="auto"/>
            <w:noWrap/>
            <w:vAlign w:val="center"/>
            <w:hideMark/>
          </w:tcPr>
          <w:p w14:paraId="30EE47F8"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Stimulus</w:t>
            </w:r>
          </w:p>
        </w:tc>
        <w:tc>
          <w:tcPr>
            <w:tcW w:w="1181" w:type="dxa"/>
            <w:vMerge w:val="restart"/>
            <w:tcBorders>
              <w:top w:val="single" w:sz="8" w:space="0" w:color="auto"/>
              <w:left w:val="single" w:sz="8" w:space="0" w:color="auto"/>
              <w:bottom w:val="single" w:sz="8" w:space="0" w:color="auto"/>
              <w:right w:val="single" w:sz="4" w:space="0" w:color="auto"/>
            </w:tcBorders>
            <w:shd w:val="clear" w:color="auto" w:fill="auto"/>
            <w:vAlign w:val="center"/>
            <w:hideMark/>
          </w:tcPr>
          <w:p w14:paraId="404BCF15"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Both </w:t>
            </w:r>
            <w:r w:rsidRPr="00267667">
              <w:rPr>
                <w:rFonts w:eastAsia="Times New Roman"/>
                <w:color w:val="000000"/>
                <w:sz w:val="22"/>
                <w:szCs w:val="22"/>
              </w:rPr>
              <w:br/>
              <w:t>responsive</w:t>
            </w:r>
          </w:p>
        </w:tc>
        <w:tc>
          <w:tcPr>
            <w:tcW w:w="1181" w:type="dxa"/>
            <w:vMerge w:val="restart"/>
            <w:tcBorders>
              <w:top w:val="single" w:sz="8" w:space="0" w:color="auto"/>
              <w:left w:val="single" w:sz="4" w:space="0" w:color="auto"/>
              <w:bottom w:val="single" w:sz="8" w:space="0" w:color="auto"/>
              <w:right w:val="single" w:sz="4" w:space="0" w:color="auto"/>
            </w:tcBorders>
            <w:shd w:val="clear" w:color="auto" w:fill="auto"/>
            <w:vAlign w:val="center"/>
            <w:hideMark/>
          </w:tcPr>
          <w:p w14:paraId="3754383D"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ASHL only </w:t>
            </w:r>
            <w:r w:rsidRPr="00267667">
              <w:rPr>
                <w:rFonts w:eastAsia="Times New Roman"/>
                <w:color w:val="000000"/>
                <w:sz w:val="22"/>
                <w:szCs w:val="22"/>
              </w:rPr>
              <w:br/>
              <w:t>responsive</w:t>
            </w:r>
          </w:p>
        </w:tc>
        <w:tc>
          <w:tcPr>
            <w:tcW w:w="1181" w:type="dxa"/>
            <w:vMerge w:val="restart"/>
            <w:tcBorders>
              <w:top w:val="single" w:sz="8" w:space="0" w:color="auto"/>
              <w:left w:val="single" w:sz="4" w:space="0" w:color="auto"/>
              <w:bottom w:val="single" w:sz="8" w:space="0" w:color="auto"/>
              <w:right w:val="single" w:sz="4" w:space="0" w:color="auto"/>
            </w:tcBorders>
            <w:shd w:val="clear" w:color="auto" w:fill="auto"/>
            <w:vAlign w:val="center"/>
            <w:hideMark/>
          </w:tcPr>
          <w:p w14:paraId="34FE4D4F"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ASHR only </w:t>
            </w:r>
            <w:r w:rsidRPr="00267667">
              <w:rPr>
                <w:rFonts w:eastAsia="Times New Roman"/>
                <w:color w:val="000000"/>
                <w:sz w:val="22"/>
                <w:szCs w:val="22"/>
              </w:rPr>
              <w:br/>
              <w:t>responsive</w:t>
            </w:r>
          </w:p>
        </w:tc>
        <w:tc>
          <w:tcPr>
            <w:tcW w:w="1181" w:type="dxa"/>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14:paraId="1AE89EAD"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 xml:space="preserve">neither </w:t>
            </w:r>
            <w:r w:rsidRPr="00267667">
              <w:rPr>
                <w:rFonts w:eastAsia="Times New Roman"/>
                <w:color w:val="000000"/>
                <w:sz w:val="22"/>
                <w:szCs w:val="22"/>
              </w:rPr>
              <w:br/>
              <w:t>responsive</w:t>
            </w:r>
          </w:p>
        </w:tc>
        <w:tc>
          <w:tcPr>
            <w:tcW w:w="636" w:type="dxa"/>
            <w:vMerge w:val="restart"/>
            <w:tcBorders>
              <w:top w:val="single" w:sz="8" w:space="0" w:color="auto"/>
              <w:left w:val="single" w:sz="8" w:space="0" w:color="auto"/>
              <w:bottom w:val="single" w:sz="8" w:space="0" w:color="auto"/>
              <w:right w:val="nil"/>
            </w:tcBorders>
            <w:shd w:val="clear" w:color="auto" w:fill="auto"/>
            <w:noWrap/>
            <w:vAlign w:val="center"/>
            <w:hideMark/>
          </w:tcPr>
          <w:p w14:paraId="691C178E"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total</w:t>
            </w:r>
          </w:p>
        </w:tc>
        <w:tc>
          <w:tcPr>
            <w:tcW w:w="452" w:type="dxa"/>
            <w:tcBorders>
              <w:top w:val="nil"/>
              <w:left w:val="nil"/>
              <w:bottom w:val="nil"/>
              <w:right w:val="nil"/>
            </w:tcBorders>
            <w:shd w:val="clear" w:color="auto" w:fill="auto"/>
            <w:noWrap/>
            <w:vAlign w:val="bottom"/>
            <w:hideMark/>
          </w:tcPr>
          <w:p w14:paraId="75C09214" w14:textId="77777777" w:rsidR="006B11D2" w:rsidRPr="00267667" w:rsidRDefault="006B11D2" w:rsidP="006B11D2">
            <w:pPr>
              <w:spacing w:before="0" w:line="240" w:lineRule="auto"/>
              <w:jc w:val="center"/>
              <w:rPr>
                <w:rFonts w:eastAsia="Times New Roman"/>
                <w:color w:val="000000"/>
                <w:sz w:val="22"/>
                <w:szCs w:val="22"/>
              </w:rPr>
            </w:pPr>
          </w:p>
        </w:tc>
        <w:tc>
          <w:tcPr>
            <w:tcW w:w="2126" w:type="dxa"/>
            <w:vMerge w:val="restart"/>
            <w:tcBorders>
              <w:top w:val="single" w:sz="8" w:space="0" w:color="auto"/>
              <w:left w:val="nil"/>
              <w:bottom w:val="single" w:sz="8" w:space="0" w:color="auto"/>
              <w:right w:val="nil"/>
            </w:tcBorders>
            <w:shd w:val="clear" w:color="auto" w:fill="auto"/>
            <w:vAlign w:val="center"/>
            <w:hideMark/>
          </w:tcPr>
          <w:p w14:paraId="77B0EDE4"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Fraction of synchronous neuron pair</w:t>
            </w:r>
          </w:p>
          <w:p w14:paraId="59A341EE"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(both or neither neurons respond)</w:t>
            </w:r>
          </w:p>
        </w:tc>
      </w:tr>
      <w:tr w:rsidR="006B11D2" w:rsidRPr="00267667" w14:paraId="112BDA6D" w14:textId="77777777" w:rsidTr="006B11D2">
        <w:trPr>
          <w:trHeight w:val="315"/>
        </w:trPr>
        <w:tc>
          <w:tcPr>
            <w:tcW w:w="1134" w:type="dxa"/>
            <w:vMerge/>
            <w:tcBorders>
              <w:top w:val="single" w:sz="8" w:space="0" w:color="auto"/>
              <w:left w:val="nil"/>
              <w:bottom w:val="single" w:sz="8" w:space="0" w:color="auto"/>
              <w:right w:val="single" w:sz="8" w:space="0" w:color="auto"/>
            </w:tcBorders>
            <w:vAlign w:val="center"/>
            <w:hideMark/>
          </w:tcPr>
          <w:p w14:paraId="1A862A17" w14:textId="77777777" w:rsidR="006B11D2" w:rsidRPr="00267667" w:rsidRDefault="006B11D2" w:rsidP="006B11D2">
            <w:pPr>
              <w:spacing w:before="0" w:line="240" w:lineRule="auto"/>
              <w:jc w:val="center"/>
              <w:rPr>
                <w:rFonts w:eastAsia="Times New Roman"/>
                <w:color w:val="000000"/>
                <w:sz w:val="22"/>
                <w:szCs w:val="22"/>
              </w:rPr>
            </w:pPr>
          </w:p>
        </w:tc>
        <w:tc>
          <w:tcPr>
            <w:tcW w:w="1181" w:type="dxa"/>
            <w:vMerge/>
            <w:tcBorders>
              <w:top w:val="single" w:sz="8" w:space="0" w:color="auto"/>
              <w:left w:val="single" w:sz="8" w:space="0" w:color="auto"/>
              <w:bottom w:val="single" w:sz="8" w:space="0" w:color="auto"/>
              <w:right w:val="single" w:sz="4" w:space="0" w:color="auto"/>
            </w:tcBorders>
            <w:vAlign w:val="center"/>
            <w:hideMark/>
          </w:tcPr>
          <w:p w14:paraId="280973F9" w14:textId="77777777" w:rsidR="006B11D2" w:rsidRPr="00267667" w:rsidRDefault="006B11D2" w:rsidP="006B11D2">
            <w:pPr>
              <w:spacing w:before="0" w:line="240" w:lineRule="auto"/>
              <w:jc w:val="center"/>
              <w:rPr>
                <w:rFonts w:eastAsia="Times New Roman"/>
                <w:color w:val="000000"/>
                <w:sz w:val="22"/>
                <w:szCs w:val="22"/>
              </w:rPr>
            </w:pPr>
          </w:p>
        </w:tc>
        <w:tc>
          <w:tcPr>
            <w:tcW w:w="1181" w:type="dxa"/>
            <w:vMerge/>
            <w:tcBorders>
              <w:top w:val="single" w:sz="8" w:space="0" w:color="auto"/>
              <w:left w:val="single" w:sz="4" w:space="0" w:color="auto"/>
              <w:bottom w:val="single" w:sz="8" w:space="0" w:color="auto"/>
              <w:right w:val="single" w:sz="4" w:space="0" w:color="auto"/>
            </w:tcBorders>
            <w:vAlign w:val="center"/>
            <w:hideMark/>
          </w:tcPr>
          <w:p w14:paraId="0DB2D31A" w14:textId="77777777" w:rsidR="006B11D2" w:rsidRPr="00267667" w:rsidRDefault="006B11D2" w:rsidP="006B11D2">
            <w:pPr>
              <w:spacing w:before="0" w:line="240" w:lineRule="auto"/>
              <w:jc w:val="center"/>
              <w:rPr>
                <w:rFonts w:eastAsia="Times New Roman"/>
                <w:color w:val="000000"/>
                <w:sz w:val="22"/>
                <w:szCs w:val="22"/>
              </w:rPr>
            </w:pPr>
          </w:p>
        </w:tc>
        <w:tc>
          <w:tcPr>
            <w:tcW w:w="1181" w:type="dxa"/>
            <w:vMerge/>
            <w:tcBorders>
              <w:top w:val="single" w:sz="8" w:space="0" w:color="auto"/>
              <w:left w:val="single" w:sz="4" w:space="0" w:color="auto"/>
              <w:bottom w:val="single" w:sz="8" w:space="0" w:color="auto"/>
              <w:right w:val="single" w:sz="4" w:space="0" w:color="auto"/>
            </w:tcBorders>
            <w:vAlign w:val="center"/>
            <w:hideMark/>
          </w:tcPr>
          <w:p w14:paraId="20595667" w14:textId="77777777" w:rsidR="006B11D2" w:rsidRPr="00267667" w:rsidRDefault="006B11D2" w:rsidP="006B11D2">
            <w:pPr>
              <w:spacing w:before="0" w:line="240" w:lineRule="auto"/>
              <w:jc w:val="center"/>
              <w:rPr>
                <w:rFonts w:eastAsia="Times New Roman"/>
                <w:color w:val="000000"/>
                <w:sz w:val="22"/>
                <w:szCs w:val="22"/>
              </w:rPr>
            </w:pPr>
          </w:p>
        </w:tc>
        <w:tc>
          <w:tcPr>
            <w:tcW w:w="1181" w:type="dxa"/>
            <w:vMerge/>
            <w:tcBorders>
              <w:top w:val="single" w:sz="8" w:space="0" w:color="auto"/>
              <w:left w:val="single" w:sz="4" w:space="0" w:color="auto"/>
              <w:bottom w:val="single" w:sz="8" w:space="0" w:color="auto"/>
              <w:right w:val="single" w:sz="8" w:space="0" w:color="auto"/>
            </w:tcBorders>
            <w:vAlign w:val="center"/>
            <w:hideMark/>
          </w:tcPr>
          <w:p w14:paraId="1E546B9C" w14:textId="77777777" w:rsidR="006B11D2" w:rsidRPr="00267667" w:rsidRDefault="006B11D2" w:rsidP="006B11D2">
            <w:pPr>
              <w:spacing w:before="0" w:line="240" w:lineRule="auto"/>
              <w:jc w:val="center"/>
              <w:rPr>
                <w:rFonts w:eastAsia="Times New Roman"/>
                <w:color w:val="000000"/>
                <w:sz w:val="22"/>
                <w:szCs w:val="22"/>
              </w:rPr>
            </w:pPr>
          </w:p>
        </w:tc>
        <w:tc>
          <w:tcPr>
            <w:tcW w:w="636" w:type="dxa"/>
            <w:vMerge/>
            <w:tcBorders>
              <w:top w:val="single" w:sz="8" w:space="0" w:color="auto"/>
              <w:left w:val="single" w:sz="8" w:space="0" w:color="auto"/>
              <w:bottom w:val="single" w:sz="8" w:space="0" w:color="auto"/>
              <w:right w:val="nil"/>
            </w:tcBorders>
            <w:vAlign w:val="center"/>
            <w:hideMark/>
          </w:tcPr>
          <w:p w14:paraId="27B1105F" w14:textId="77777777" w:rsidR="006B11D2" w:rsidRPr="00267667" w:rsidRDefault="006B11D2" w:rsidP="006B11D2">
            <w:pPr>
              <w:spacing w:before="0" w:line="240" w:lineRule="auto"/>
              <w:jc w:val="center"/>
              <w:rPr>
                <w:rFonts w:eastAsia="Times New Roman"/>
                <w:color w:val="000000"/>
                <w:sz w:val="22"/>
                <w:szCs w:val="22"/>
              </w:rPr>
            </w:pPr>
          </w:p>
        </w:tc>
        <w:tc>
          <w:tcPr>
            <w:tcW w:w="452" w:type="dxa"/>
            <w:tcBorders>
              <w:top w:val="nil"/>
              <w:left w:val="nil"/>
              <w:bottom w:val="nil"/>
              <w:right w:val="nil"/>
            </w:tcBorders>
            <w:shd w:val="clear" w:color="auto" w:fill="auto"/>
            <w:noWrap/>
            <w:vAlign w:val="bottom"/>
            <w:hideMark/>
          </w:tcPr>
          <w:p w14:paraId="4ECDD80A" w14:textId="77777777" w:rsidR="006B11D2" w:rsidRPr="00267667" w:rsidRDefault="006B11D2" w:rsidP="006B11D2">
            <w:pPr>
              <w:spacing w:before="0" w:line="240" w:lineRule="auto"/>
              <w:jc w:val="center"/>
              <w:rPr>
                <w:rFonts w:eastAsia="Times New Roman"/>
                <w:color w:val="000000"/>
                <w:sz w:val="22"/>
                <w:szCs w:val="22"/>
              </w:rPr>
            </w:pPr>
          </w:p>
        </w:tc>
        <w:tc>
          <w:tcPr>
            <w:tcW w:w="2126" w:type="dxa"/>
            <w:vMerge/>
            <w:tcBorders>
              <w:top w:val="single" w:sz="8" w:space="0" w:color="auto"/>
              <w:left w:val="nil"/>
              <w:bottom w:val="single" w:sz="8" w:space="0" w:color="auto"/>
              <w:right w:val="nil"/>
            </w:tcBorders>
            <w:vAlign w:val="center"/>
            <w:hideMark/>
          </w:tcPr>
          <w:p w14:paraId="49E5D511" w14:textId="77777777" w:rsidR="006B11D2" w:rsidRPr="00267667" w:rsidRDefault="006B11D2" w:rsidP="006B11D2">
            <w:pPr>
              <w:spacing w:before="0" w:line="240" w:lineRule="auto"/>
              <w:jc w:val="center"/>
              <w:rPr>
                <w:rFonts w:eastAsia="Times New Roman"/>
                <w:color w:val="000000"/>
                <w:sz w:val="22"/>
                <w:szCs w:val="22"/>
              </w:rPr>
            </w:pPr>
          </w:p>
        </w:tc>
      </w:tr>
      <w:tr w:rsidR="006B11D2" w:rsidRPr="00267667" w14:paraId="74034347" w14:textId="77777777" w:rsidTr="006B11D2">
        <w:trPr>
          <w:trHeight w:val="315"/>
        </w:trPr>
        <w:tc>
          <w:tcPr>
            <w:tcW w:w="1134" w:type="dxa"/>
            <w:tcBorders>
              <w:top w:val="single" w:sz="8" w:space="0" w:color="auto"/>
              <w:left w:val="nil"/>
              <w:bottom w:val="nil"/>
              <w:right w:val="single" w:sz="8" w:space="0" w:color="auto"/>
            </w:tcBorders>
            <w:shd w:val="clear" w:color="auto" w:fill="auto"/>
            <w:noWrap/>
            <w:vAlign w:val="center"/>
            <w:hideMark/>
          </w:tcPr>
          <w:p w14:paraId="5A6734A1"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500mM</w:t>
            </w:r>
          </w:p>
        </w:tc>
        <w:tc>
          <w:tcPr>
            <w:tcW w:w="1181" w:type="dxa"/>
            <w:tcBorders>
              <w:top w:val="single" w:sz="8" w:space="0" w:color="auto"/>
              <w:left w:val="single" w:sz="8" w:space="0" w:color="auto"/>
              <w:bottom w:val="nil"/>
              <w:right w:val="single" w:sz="4" w:space="0" w:color="auto"/>
            </w:tcBorders>
            <w:shd w:val="clear" w:color="auto" w:fill="auto"/>
            <w:noWrap/>
            <w:vAlign w:val="center"/>
            <w:hideMark/>
          </w:tcPr>
          <w:p w14:paraId="445AE4B2"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17</w:t>
            </w:r>
          </w:p>
        </w:tc>
        <w:tc>
          <w:tcPr>
            <w:tcW w:w="1181" w:type="dxa"/>
            <w:tcBorders>
              <w:top w:val="single" w:sz="8" w:space="0" w:color="auto"/>
              <w:left w:val="single" w:sz="4" w:space="0" w:color="auto"/>
              <w:bottom w:val="nil"/>
              <w:right w:val="single" w:sz="4" w:space="0" w:color="auto"/>
            </w:tcBorders>
            <w:shd w:val="clear" w:color="auto" w:fill="auto"/>
            <w:noWrap/>
            <w:vAlign w:val="center"/>
            <w:hideMark/>
          </w:tcPr>
          <w:p w14:paraId="6E046331"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single" w:sz="8" w:space="0" w:color="auto"/>
              <w:left w:val="single" w:sz="4" w:space="0" w:color="auto"/>
              <w:bottom w:val="nil"/>
              <w:right w:val="single" w:sz="4" w:space="0" w:color="auto"/>
            </w:tcBorders>
            <w:shd w:val="clear" w:color="auto" w:fill="auto"/>
            <w:noWrap/>
            <w:vAlign w:val="center"/>
            <w:hideMark/>
          </w:tcPr>
          <w:p w14:paraId="395E4989"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single" w:sz="8" w:space="0" w:color="auto"/>
              <w:left w:val="single" w:sz="4" w:space="0" w:color="auto"/>
              <w:bottom w:val="nil"/>
              <w:right w:val="single" w:sz="8" w:space="0" w:color="auto"/>
            </w:tcBorders>
            <w:shd w:val="clear" w:color="auto" w:fill="auto"/>
            <w:noWrap/>
            <w:vAlign w:val="center"/>
            <w:hideMark/>
          </w:tcPr>
          <w:p w14:paraId="7137D4A0"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636" w:type="dxa"/>
            <w:tcBorders>
              <w:top w:val="single" w:sz="8" w:space="0" w:color="auto"/>
              <w:left w:val="single" w:sz="8" w:space="0" w:color="auto"/>
              <w:bottom w:val="nil"/>
              <w:right w:val="nil"/>
            </w:tcBorders>
            <w:shd w:val="clear" w:color="auto" w:fill="auto"/>
            <w:noWrap/>
            <w:vAlign w:val="center"/>
            <w:hideMark/>
          </w:tcPr>
          <w:p w14:paraId="05E4DF63"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17</w:t>
            </w:r>
          </w:p>
        </w:tc>
        <w:tc>
          <w:tcPr>
            <w:tcW w:w="452" w:type="dxa"/>
            <w:tcBorders>
              <w:top w:val="nil"/>
              <w:left w:val="nil"/>
              <w:bottom w:val="nil"/>
              <w:right w:val="nil"/>
            </w:tcBorders>
            <w:shd w:val="clear" w:color="auto" w:fill="auto"/>
            <w:noWrap/>
            <w:vAlign w:val="bottom"/>
            <w:hideMark/>
          </w:tcPr>
          <w:p w14:paraId="385A83C0" w14:textId="77777777" w:rsidR="006B11D2" w:rsidRPr="00267667" w:rsidRDefault="006B11D2" w:rsidP="006B11D2">
            <w:pPr>
              <w:spacing w:before="0" w:line="240" w:lineRule="auto"/>
              <w:jc w:val="center"/>
              <w:rPr>
                <w:rFonts w:eastAsia="Times New Roman"/>
                <w:color w:val="000000"/>
                <w:sz w:val="22"/>
                <w:szCs w:val="22"/>
              </w:rPr>
            </w:pPr>
          </w:p>
        </w:tc>
        <w:tc>
          <w:tcPr>
            <w:tcW w:w="2126" w:type="dxa"/>
            <w:tcBorders>
              <w:top w:val="single" w:sz="8" w:space="0" w:color="auto"/>
              <w:left w:val="nil"/>
              <w:bottom w:val="nil"/>
              <w:right w:val="nil"/>
            </w:tcBorders>
            <w:shd w:val="clear" w:color="auto" w:fill="auto"/>
            <w:noWrap/>
            <w:vAlign w:val="center"/>
            <w:hideMark/>
          </w:tcPr>
          <w:p w14:paraId="037D2BBA" w14:textId="77777777" w:rsidR="006B11D2" w:rsidRPr="00267667" w:rsidRDefault="006B11D2" w:rsidP="006B11D2">
            <w:pPr>
              <w:spacing w:before="0"/>
              <w:jc w:val="center"/>
              <w:rPr>
                <w:color w:val="000000"/>
                <w:sz w:val="22"/>
                <w:szCs w:val="22"/>
              </w:rPr>
            </w:pPr>
            <w:r w:rsidRPr="00267667">
              <w:rPr>
                <w:color w:val="000000"/>
                <w:sz w:val="22"/>
                <w:szCs w:val="22"/>
              </w:rPr>
              <w:t>1.00</w:t>
            </w:r>
          </w:p>
        </w:tc>
      </w:tr>
      <w:tr w:rsidR="006B11D2" w:rsidRPr="00267667" w14:paraId="63C7C019" w14:textId="77777777" w:rsidTr="006B11D2">
        <w:trPr>
          <w:trHeight w:val="300"/>
        </w:trPr>
        <w:tc>
          <w:tcPr>
            <w:tcW w:w="1134" w:type="dxa"/>
            <w:tcBorders>
              <w:top w:val="nil"/>
              <w:left w:val="nil"/>
              <w:bottom w:val="nil"/>
              <w:right w:val="single" w:sz="8" w:space="0" w:color="auto"/>
            </w:tcBorders>
            <w:shd w:val="clear" w:color="auto" w:fill="auto"/>
            <w:noWrap/>
            <w:vAlign w:val="center"/>
            <w:hideMark/>
          </w:tcPr>
          <w:p w14:paraId="3C38EA49"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300mM</w:t>
            </w:r>
          </w:p>
        </w:tc>
        <w:tc>
          <w:tcPr>
            <w:tcW w:w="1181" w:type="dxa"/>
            <w:tcBorders>
              <w:top w:val="nil"/>
              <w:left w:val="single" w:sz="8" w:space="0" w:color="auto"/>
              <w:bottom w:val="nil"/>
              <w:right w:val="single" w:sz="4" w:space="0" w:color="auto"/>
            </w:tcBorders>
            <w:shd w:val="clear" w:color="auto" w:fill="auto"/>
            <w:noWrap/>
            <w:vAlign w:val="center"/>
            <w:hideMark/>
          </w:tcPr>
          <w:p w14:paraId="6E80D725"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7</w:t>
            </w:r>
          </w:p>
        </w:tc>
        <w:tc>
          <w:tcPr>
            <w:tcW w:w="1181" w:type="dxa"/>
            <w:tcBorders>
              <w:top w:val="nil"/>
              <w:left w:val="single" w:sz="4" w:space="0" w:color="auto"/>
              <w:bottom w:val="nil"/>
              <w:right w:val="single" w:sz="4" w:space="0" w:color="auto"/>
            </w:tcBorders>
            <w:shd w:val="clear" w:color="auto" w:fill="auto"/>
            <w:noWrap/>
            <w:vAlign w:val="center"/>
            <w:hideMark/>
          </w:tcPr>
          <w:p w14:paraId="5FCAA478"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nil"/>
              <w:right w:val="single" w:sz="4" w:space="0" w:color="auto"/>
            </w:tcBorders>
            <w:shd w:val="clear" w:color="auto" w:fill="auto"/>
            <w:noWrap/>
            <w:vAlign w:val="center"/>
            <w:hideMark/>
          </w:tcPr>
          <w:p w14:paraId="7C147D83"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2</w:t>
            </w:r>
          </w:p>
        </w:tc>
        <w:tc>
          <w:tcPr>
            <w:tcW w:w="1181" w:type="dxa"/>
            <w:tcBorders>
              <w:top w:val="nil"/>
              <w:left w:val="single" w:sz="4" w:space="0" w:color="auto"/>
              <w:bottom w:val="nil"/>
              <w:right w:val="single" w:sz="8" w:space="0" w:color="auto"/>
            </w:tcBorders>
            <w:shd w:val="clear" w:color="auto" w:fill="auto"/>
            <w:noWrap/>
            <w:vAlign w:val="center"/>
            <w:hideMark/>
          </w:tcPr>
          <w:p w14:paraId="391FF656"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3</w:t>
            </w:r>
          </w:p>
        </w:tc>
        <w:tc>
          <w:tcPr>
            <w:tcW w:w="636" w:type="dxa"/>
            <w:tcBorders>
              <w:top w:val="nil"/>
              <w:left w:val="single" w:sz="8" w:space="0" w:color="auto"/>
              <w:bottom w:val="nil"/>
              <w:right w:val="nil"/>
            </w:tcBorders>
            <w:shd w:val="clear" w:color="auto" w:fill="auto"/>
            <w:noWrap/>
            <w:vAlign w:val="center"/>
            <w:hideMark/>
          </w:tcPr>
          <w:p w14:paraId="1A3A22E0"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12</w:t>
            </w:r>
          </w:p>
        </w:tc>
        <w:tc>
          <w:tcPr>
            <w:tcW w:w="452" w:type="dxa"/>
            <w:tcBorders>
              <w:top w:val="nil"/>
              <w:left w:val="nil"/>
              <w:bottom w:val="nil"/>
              <w:right w:val="nil"/>
            </w:tcBorders>
            <w:shd w:val="clear" w:color="auto" w:fill="auto"/>
            <w:noWrap/>
            <w:vAlign w:val="bottom"/>
            <w:hideMark/>
          </w:tcPr>
          <w:p w14:paraId="4358B8DA" w14:textId="77777777" w:rsidR="006B11D2" w:rsidRPr="00267667" w:rsidRDefault="006B11D2" w:rsidP="006B11D2">
            <w:pPr>
              <w:spacing w:before="0" w:line="240" w:lineRule="auto"/>
              <w:jc w:val="center"/>
              <w:rPr>
                <w:color w:val="000000"/>
                <w:sz w:val="22"/>
                <w:szCs w:val="22"/>
              </w:rPr>
            </w:pPr>
            <w:r w:rsidRPr="00267667">
              <w:rPr>
                <w:rFonts w:eastAsia="Times New Roman"/>
                <w:color w:val="000000"/>
                <w:sz w:val="22"/>
                <w:szCs w:val="22"/>
              </w:rPr>
              <w:t>=&gt;</w:t>
            </w:r>
          </w:p>
        </w:tc>
        <w:tc>
          <w:tcPr>
            <w:tcW w:w="2126" w:type="dxa"/>
            <w:tcBorders>
              <w:top w:val="nil"/>
              <w:left w:val="nil"/>
              <w:bottom w:val="nil"/>
              <w:right w:val="nil"/>
            </w:tcBorders>
            <w:shd w:val="clear" w:color="auto" w:fill="auto"/>
            <w:noWrap/>
            <w:vAlign w:val="center"/>
            <w:hideMark/>
          </w:tcPr>
          <w:p w14:paraId="3DB855FE" w14:textId="77777777" w:rsidR="006B11D2" w:rsidRPr="00267667" w:rsidRDefault="006B11D2" w:rsidP="006B11D2">
            <w:pPr>
              <w:jc w:val="center"/>
              <w:rPr>
                <w:color w:val="000000"/>
                <w:sz w:val="22"/>
                <w:szCs w:val="22"/>
              </w:rPr>
            </w:pPr>
            <w:r w:rsidRPr="00267667">
              <w:rPr>
                <w:color w:val="000000"/>
                <w:sz w:val="22"/>
                <w:szCs w:val="22"/>
              </w:rPr>
              <w:t>0.83</w:t>
            </w:r>
          </w:p>
        </w:tc>
      </w:tr>
      <w:tr w:rsidR="006B11D2" w:rsidRPr="00267667" w14:paraId="4AF8D273" w14:textId="77777777" w:rsidTr="006B11D2">
        <w:trPr>
          <w:trHeight w:val="300"/>
        </w:trPr>
        <w:tc>
          <w:tcPr>
            <w:tcW w:w="1134" w:type="dxa"/>
            <w:tcBorders>
              <w:top w:val="nil"/>
              <w:left w:val="nil"/>
              <w:bottom w:val="nil"/>
              <w:right w:val="single" w:sz="8" w:space="0" w:color="auto"/>
            </w:tcBorders>
            <w:shd w:val="clear" w:color="auto" w:fill="auto"/>
            <w:noWrap/>
            <w:vAlign w:val="center"/>
            <w:hideMark/>
          </w:tcPr>
          <w:p w14:paraId="01215C39"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200mM</w:t>
            </w:r>
          </w:p>
        </w:tc>
        <w:tc>
          <w:tcPr>
            <w:tcW w:w="1181" w:type="dxa"/>
            <w:tcBorders>
              <w:top w:val="nil"/>
              <w:left w:val="single" w:sz="8" w:space="0" w:color="auto"/>
              <w:bottom w:val="nil"/>
              <w:right w:val="single" w:sz="4" w:space="0" w:color="auto"/>
            </w:tcBorders>
            <w:shd w:val="clear" w:color="auto" w:fill="auto"/>
            <w:noWrap/>
            <w:vAlign w:val="center"/>
            <w:hideMark/>
          </w:tcPr>
          <w:p w14:paraId="77DBA1B6"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6</w:t>
            </w:r>
          </w:p>
        </w:tc>
        <w:tc>
          <w:tcPr>
            <w:tcW w:w="1181" w:type="dxa"/>
            <w:tcBorders>
              <w:top w:val="nil"/>
              <w:left w:val="single" w:sz="4" w:space="0" w:color="auto"/>
              <w:bottom w:val="nil"/>
              <w:right w:val="single" w:sz="4" w:space="0" w:color="auto"/>
            </w:tcBorders>
            <w:shd w:val="clear" w:color="auto" w:fill="auto"/>
            <w:noWrap/>
            <w:vAlign w:val="center"/>
            <w:hideMark/>
          </w:tcPr>
          <w:p w14:paraId="3FD7CD5D"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2</w:t>
            </w:r>
          </w:p>
        </w:tc>
        <w:tc>
          <w:tcPr>
            <w:tcW w:w="1181" w:type="dxa"/>
            <w:tcBorders>
              <w:top w:val="nil"/>
              <w:left w:val="single" w:sz="4" w:space="0" w:color="auto"/>
              <w:bottom w:val="nil"/>
              <w:right w:val="single" w:sz="4" w:space="0" w:color="auto"/>
            </w:tcBorders>
            <w:shd w:val="clear" w:color="auto" w:fill="auto"/>
            <w:noWrap/>
            <w:vAlign w:val="center"/>
            <w:hideMark/>
          </w:tcPr>
          <w:p w14:paraId="54EE2CBF"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nil"/>
              <w:right w:val="single" w:sz="8" w:space="0" w:color="auto"/>
            </w:tcBorders>
            <w:shd w:val="clear" w:color="auto" w:fill="auto"/>
            <w:noWrap/>
            <w:vAlign w:val="center"/>
            <w:hideMark/>
          </w:tcPr>
          <w:p w14:paraId="50376B8F"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5</w:t>
            </w:r>
          </w:p>
        </w:tc>
        <w:tc>
          <w:tcPr>
            <w:tcW w:w="636" w:type="dxa"/>
            <w:tcBorders>
              <w:top w:val="nil"/>
              <w:left w:val="single" w:sz="8" w:space="0" w:color="auto"/>
              <w:bottom w:val="nil"/>
              <w:right w:val="nil"/>
            </w:tcBorders>
            <w:shd w:val="clear" w:color="auto" w:fill="auto"/>
            <w:noWrap/>
            <w:vAlign w:val="center"/>
            <w:hideMark/>
          </w:tcPr>
          <w:p w14:paraId="7926346C"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13</w:t>
            </w:r>
          </w:p>
        </w:tc>
        <w:tc>
          <w:tcPr>
            <w:tcW w:w="452" w:type="dxa"/>
            <w:tcBorders>
              <w:top w:val="nil"/>
              <w:left w:val="nil"/>
              <w:bottom w:val="nil"/>
              <w:right w:val="nil"/>
            </w:tcBorders>
            <w:shd w:val="clear" w:color="auto" w:fill="auto"/>
            <w:noWrap/>
            <w:vAlign w:val="bottom"/>
            <w:hideMark/>
          </w:tcPr>
          <w:p w14:paraId="49B60D84" w14:textId="77777777" w:rsidR="006B11D2" w:rsidRPr="00267667" w:rsidRDefault="006B11D2" w:rsidP="006B11D2">
            <w:pPr>
              <w:spacing w:before="0" w:line="240" w:lineRule="auto"/>
              <w:jc w:val="center"/>
              <w:rPr>
                <w:rFonts w:eastAsia="Times New Roman"/>
                <w:color w:val="000000"/>
                <w:sz w:val="22"/>
                <w:szCs w:val="22"/>
              </w:rPr>
            </w:pPr>
          </w:p>
        </w:tc>
        <w:tc>
          <w:tcPr>
            <w:tcW w:w="2126" w:type="dxa"/>
            <w:tcBorders>
              <w:top w:val="nil"/>
              <w:left w:val="nil"/>
              <w:bottom w:val="nil"/>
              <w:right w:val="nil"/>
            </w:tcBorders>
            <w:shd w:val="clear" w:color="auto" w:fill="auto"/>
            <w:noWrap/>
            <w:vAlign w:val="center"/>
            <w:hideMark/>
          </w:tcPr>
          <w:p w14:paraId="68316B93" w14:textId="77777777" w:rsidR="006B11D2" w:rsidRPr="00267667" w:rsidRDefault="006B11D2" w:rsidP="006B11D2">
            <w:pPr>
              <w:jc w:val="center"/>
              <w:rPr>
                <w:color w:val="000000"/>
                <w:sz w:val="22"/>
                <w:szCs w:val="22"/>
              </w:rPr>
            </w:pPr>
            <w:r w:rsidRPr="00267667">
              <w:rPr>
                <w:color w:val="000000"/>
                <w:sz w:val="22"/>
                <w:szCs w:val="22"/>
              </w:rPr>
              <w:t>0.85</w:t>
            </w:r>
          </w:p>
        </w:tc>
      </w:tr>
      <w:tr w:rsidR="006B11D2" w:rsidRPr="00267667" w14:paraId="44861A79" w14:textId="77777777" w:rsidTr="006B11D2">
        <w:trPr>
          <w:trHeight w:val="300"/>
        </w:trPr>
        <w:tc>
          <w:tcPr>
            <w:tcW w:w="1134" w:type="dxa"/>
            <w:tcBorders>
              <w:top w:val="nil"/>
              <w:left w:val="nil"/>
              <w:bottom w:val="nil"/>
              <w:right w:val="single" w:sz="8" w:space="0" w:color="auto"/>
            </w:tcBorders>
            <w:shd w:val="clear" w:color="auto" w:fill="auto"/>
            <w:noWrap/>
            <w:vAlign w:val="center"/>
            <w:hideMark/>
          </w:tcPr>
          <w:p w14:paraId="46AE5CC5"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100mM</w:t>
            </w:r>
          </w:p>
        </w:tc>
        <w:tc>
          <w:tcPr>
            <w:tcW w:w="1181" w:type="dxa"/>
            <w:tcBorders>
              <w:top w:val="nil"/>
              <w:left w:val="single" w:sz="8" w:space="0" w:color="auto"/>
              <w:bottom w:val="nil"/>
              <w:right w:val="single" w:sz="4" w:space="0" w:color="auto"/>
            </w:tcBorders>
            <w:shd w:val="clear" w:color="auto" w:fill="auto"/>
            <w:noWrap/>
            <w:vAlign w:val="center"/>
            <w:hideMark/>
          </w:tcPr>
          <w:p w14:paraId="2A29C6FC"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nil"/>
              <w:right w:val="single" w:sz="4" w:space="0" w:color="auto"/>
            </w:tcBorders>
            <w:shd w:val="clear" w:color="auto" w:fill="auto"/>
            <w:noWrap/>
            <w:vAlign w:val="center"/>
            <w:hideMark/>
          </w:tcPr>
          <w:p w14:paraId="1FC38E16"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nil"/>
              <w:right w:val="single" w:sz="4" w:space="0" w:color="auto"/>
            </w:tcBorders>
            <w:shd w:val="clear" w:color="auto" w:fill="auto"/>
            <w:noWrap/>
            <w:vAlign w:val="center"/>
            <w:hideMark/>
          </w:tcPr>
          <w:p w14:paraId="2C2EA1FC"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nil"/>
              <w:right w:val="single" w:sz="8" w:space="0" w:color="auto"/>
            </w:tcBorders>
            <w:shd w:val="clear" w:color="auto" w:fill="auto"/>
            <w:noWrap/>
            <w:vAlign w:val="center"/>
            <w:hideMark/>
          </w:tcPr>
          <w:p w14:paraId="1408F8AC"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8</w:t>
            </w:r>
          </w:p>
        </w:tc>
        <w:tc>
          <w:tcPr>
            <w:tcW w:w="636" w:type="dxa"/>
            <w:tcBorders>
              <w:top w:val="nil"/>
              <w:left w:val="single" w:sz="8" w:space="0" w:color="auto"/>
              <w:bottom w:val="nil"/>
              <w:right w:val="nil"/>
            </w:tcBorders>
            <w:shd w:val="clear" w:color="auto" w:fill="auto"/>
            <w:noWrap/>
            <w:vAlign w:val="center"/>
            <w:hideMark/>
          </w:tcPr>
          <w:p w14:paraId="373893D6"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8</w:t>
            </w:r>
          </w:p>
        </w:tc>
        <w:tc>
          <w:tcPr>
            <w:tcW w:w="452" w:type="dxa"/>
            <w:tcBorders>
              <w:top w:val="nil"/>
              <w:left w:val="nil"/>
              <w:bottom w:val="nil"/>
              <w:right w:val="nil"/>
            </w:tcBorders>
            <w:shd w:val="clear" w:color="auto" w:fill="auto"/>
            <w:noWrap/>
            <w:vAlign w:val="bottom"/>
            <w:hideMark/>
          </w:tcPr>
          <w:p w14:paraId="108C38CF" w14:textId="77777777" w:rsidR="006B11D2" w:rsidRPr="00267667" w:rsidRDefault="006B11D2" w:rsidP="006B11D2">
            <w:pPr>
              <w:spacing w:before="0" w:line="240" w:lineRule="auto"/>
              <w:jc w:val="center"/>
              <w:rPr>
                <w:rFonts w:eastAsia="Times New Roman"/>
                <w:color w:val="000000"/>
                <w:sz w:val="22"/>
                <w:szCs w:val="22"/>
              </w:rPr>
            </w:pPr>
          </w:p>
        </w:tc>
        <w:tc>
          <w:tcPr>
            <w:tcW w:w="2126" w:type="dxa"/>
            <w:tcBorders>
              <w:top w:val="nil"/>
              <w:left w:val="nil"/>
              <w:bottom w:val="nil"/>
              <w:right w:val="nil"/>
            </w:tcBorders>
            <w:shd w:val="clear" w:color="auto" w:fill="auto"/>
            <w:noWrap/>
            <w:vAlign w:val="center"/>
            <w:hideMark/>
          </w:tcPr>
          <w:p w14:paraId="6E6C1C49" w14:textId="77777777" w:rsidR="006B11D2" w:rsidRPr="00267667" w:rsidRDefault="006B11D2" w:rsidP="006B11D2">
            <w:pPr>
              <w:jc w:val="center"/>
              <w:rPr>
                <w:color w:val="000000"/>
                <w:sz w:val="22"/>
                <w:szCs w:val="22"/>
              </w:rPr>
            </w:pPr>
            <w:r w:rsidRPr="00267667">
              <w:rPr>
                <w:color w:val="000000"/>
                <w:sz w:val="22"/>
                <w:szCs w:val="22"/>
              </w:rPr>
              <w:t>1.00</w:t>
            </w:r>
          </w:p>
        </w:tc>
      </w:tr>
      <w:tr w:rsidR="006B11D2" w:rsidRPr="00267667" w14:paraId="20F6228C" w14:textId="77777777" w:rsidTr="006B11D2">
        <w:trPr>
          <w:trHeight w:val="315"/>
        </w:trPr>
        <w:tc>
          <w:tcPr>
            <w:tcW w:w="1134" w:type="dxa"/>
            <w:tcBorders>
              <w:top w:val="nil"/>
              <w:left w:val="nil"/>
              <w:bottom w:val="single" w:sz="8" w:space="0" w:color="auto"/>
              <w:right w:val="single" w:sz="8" w:space="0" w:color="auto"/>
            </w:tcBorders>
            <w:shd w:val="clear" w:color="auto" w:fill="auto"/>
            <w:noWrap/>
            <w:vAlign w:val="center"/>
            <w:hideMark/>
          </w:tcPr>
          <w:p w14:paraId="67B27AD5"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0mM</w:t>
            </w:r>
          </w:p>
        </w:tc>
        <w:tc>
          <w:tcPr>
            <w:tcW w:w="1181" w:type="dxa"/>
            <w:tcBorders>
              <w:top w:val="nil"/>
              <w:left w:val="single" w:sz="8" w:space="0" w:color="auto"/>
              <w:bottom w:val="single" w:sz="8" w:space="0" w:color="auto"/>
              <w:right w:val="single" w:sz="4" w:space="0" w:color="auto"/>
            </w:tcBorders>
            <w:shd w:val="clear" w:color="auto" w:fill="auto"/>
            <w:noWrap/>
            <w:vAlign w:val="center"/>
            <w:hideMark/>
          </w:tcPr>
          <w:p w14:paraId="451F2647"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single" w:sz="8" w:space="0" w:color="auto"/>
              <w:right w:val="single" w:sz="4" w:space="0" w:color="auto"/>
            </w:tcBorders>
            <w:shd w:val="clear" w:color="auto" w:fill="auto"/>
            <w:noWrap/>
            <w:vAlign w:val="center"/>
            <w:hideMark/>
          </w:tcPr>
          <w:p w14:paraId="570C5705"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single" w:sz="8" w:space="0" w:color="auto"/>
              <w:right w:val="single" w:sz="4" w:space="0" w:color="auto"/>
            </w:tcBorders>
            <w:shd w:val="clear" w:color="auto" w:fill="auto"/>
            <w:noWrap/>
            <w:vAlign w:val="center"/>
            <w:hideMark/>
          </w:tcPr>
          <w:p w14:paraId="0F7343DF"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w:t>
            </w:r>
          </w:p>
        </w:tc>
        <w:tc>
          <w:tcPr>
            <w:tcW w:w="1181" w:type="dxa"/>
            <w:tcBorders>
              <w:top w:val="nil"/>
              <w:left w:val="single" w:sz="4" w:space="0" w:color="auto"/>
              <w:bottom w:val="single" w:sz="8" w:space="0" w:color="auto"/>
              <w:right w:val="single" w:sz="8" w:space="0" w:color="auto"/>
            </w:tcBorders>
            <w:shd w:val="clear" w:color="auto" w:fill="auto"/>
            <w:noWrap/>
            <w:vAlign w:val="center"/>
            <w:hideMark/>
          </w:tcPr>
          <w:p w14:paraId="53FF6873"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7</w:t>
            </w:r>
          </w:p>
        </w:tc>
        <w:tc>
          <w:tcPr>
            <w:tcW w:w="636" w:type="dxa"/>
            <w:tcBorders>
              <w:top w:val="nil"/>
              <w:left w:val="single" w:sz="8" w:space="0" w:color="auto"/>
              <w:bottom w:val="single" w:sz="8" w:space="0" w:color="auto"/>
              <w:right w:val="nil"/>
            </w:tcBorders>
            <w:shd w:val="clear" w:color="auto" w:fill="auto"/>
            <w:noWrap/>
            <w:vAlign w:val="center"/>
            <w:hideMark/>
          </w:tcPr>
          <w:p w14:paraId="0856E497"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7</w:t>
            </w:r>
          </w:p>
        </w:tc>
        <w:tc>
          <w:tcPr>
            <w:tcW w:w="452" w:type="dxa"/>
            <w:tcBorders>
              <w:top w:val="nil"/>
              <w:left w:val="nil"/>
              <w:bottom w:val="nil"/>
              <w:right w:val="nil"/>
            </w:tcBorders>
            <w:shd w:val="clear" w:color="auto" w:fill="auto"/>
            <w:noWrap/>
            <w:vAlign w:val="bottom"/>
            <w:hideMark/>
          </w:tcPr>
          <w:p w14:paraId="088C1C0C" w14:textId="77777777" w:rsidR="006B11D2" w:rsidRPr="00267667" w:rsidRDefault="006B11D2" w:rsidP="006B11D2">
            <w:pPr>
              <w:spacing w:before="0" w:line="240" w:lineRule="auto"/>
              <w:jc w:val="center"/>
              <w:rPr>
                <w:rFonts w:eastAsia="Times New Roman"/>
                <w:color w:val="000000"/>
                <w:sz w:val="22"/>
                <w:szCs w:val="22"/>
              </w:rPr>
            </w:pPr>
          </w:p>
        </w:tc>
        <w:tc>
          <w:tcPr>
            <w:tcW w:w="2126" w:type="dxa"/>
            <w:tcBorders>
              <w:top w:val="nil"/>
              <w:left w:val="nil"/>
              <w:bottom w:val="single" w:sz="8" w:space="0" w:color="auto"/>
              <w:right w:val="nil"/>
            </w:tcBorders>
            <w:shd w:val="clear" w:color="auto" w:fill="auto"/>
            <w:noWrap/>
            <w:vAlign w:val="center"/>
            <w:hideMark/>
          </w:tcPr>
          <w:p w14:paraId="021CABC4" w14:textId="77777777" w:rsidR="006B11D2" w:rsidRPr="00267667" w:rsidRDefault="006B11D2" w:rsidP="006B11D2">
            <w:pPr>
              <w:jc w:val="center"/>
              <w:rPr>
                <w:color w:val="000000"/>
                <w:sz w:val="22"/>
                <w:szCs w:val="22"/>
              </w:rPr>
            </w:pPr>
            <w:r w:rsidRPr="00267667">
              <w:rPr>
                <w:color w:val="000000"/>
                <w:sz w:val="22"/>
                <w:szCs w:val="22"/>
              </w:rPr>
              <w:t>1.00</w:t>
            </w:r>
          </w:p>
        </w:tc>
      </w:tr>
    </w:tbl>
    <w:p w14:paraId="1D980C03" w14:textId="77777777" w:rsidR="006B11D2" w:rsidRPr="00267667" w:rsidRDefault="006B11D2" w:rsidP="006B11D2">
      <w:pPr>
        <w:jc w:val="both"/>
        <w:rPr>
          <w:sz w:val="22"/>
          <w:szCs w:val="22"/>
        </w:rPr>
      </w:pPr>
    </w:p>
    <w:p w14:paraId="6D118D94" w14:textId="77777777" w:rsidR="006B11D2" w:rsidRPr="00267667" w:rsidRDefault="006B11D2" w:rsidP="006B11D2">
      <w:pPr>
        <w:jc w:val="both"/>
        <w:rPr>
          <w:sz w:val="22"/>
          <w:szCs w:val="22"/>
        </w:rPr>
      </w:pPr>
      <w:r w:rsidRPr="00267667">
        <w:rPr>
          <w:sz w:val="22"/>
          <w:szCs w:val="22"/>
        </w:rPr>
        <w:t>Probability of synchrony</w:t>
      </w:r>
    </w:p>
    <w:tbl>
      <w:tblPr>
        <w:tblW w:w="7088" w:type="dxa"/>
        <w:tblLook w:val="04A0" w:firstRow="1" w:lastRow="0" w:firstColumn="1" w:lastColumn="0" w:noHBand="0" w:noVBand="1"/>
      </w:tblPr>
      <w:tblGrid>
        <w:gridCol w:w="1134"/>
        <w:gridCol w:w="1134"/>
        <w:gridCol w:w="1134"/>
        <w:gridCol w:w="567"/>
        <w:gridCol w:w="2127"/>
        <w:gridCol w:w="992"/>
      </w:tblGrid>
      <w:tr w:rsidR="006B11D2" w:rsidRPr="00267667" w14:paraId="05D79ACC" w14:textId="77777777" w:rsidTr="006B11D2">
        <w:trPr>
          <w:trHeight w:val="780"/>
        </w:trPr>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55715356"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Stimulus</w:t>
            </w:r>
          </w:p>
        </w:tc>
        <w:tc>
          <w:tcPr>
            <w:tcW w:w="1134" w:type="dxa"/>
            <w:tcBorders>
              <w:top w:val="single" w:sz="8" w:space="0" w:color="auto"/>
              <w:left w:val="single" w:sz="8" w:space="0" w:color="auto"/>
              <w:bottom w:val="single" w:sz="8" w:space="0" w:color="auto"/>
              <w:right w:val="nil"/>
            </w:tcBorders>
            <w:shd w:val="clear" w:color="auto" w:fill="auto"/>
            <w:noWrap/>
            <w:vAlign w:val="center"/>
            <w:hideMark/>
          </w:tcPr>
          <w:p w14:paraId="7796EBB9"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ASHL (p</w:t>
            </w:r>
            <w:r w:rsidRPr="00267667">
              <w:rPr>
                <w:rFonts w:eastAsia="Times New Roman"/>
                <w:color w:val="000000"/>
                <w:sz w:val="22"/>
                <w:szCs w:val="22"/>
                <w:vertAlign w:val="subscript"/>
              </w:rPr>
              <w:t>L</w:t>
            </w:r>
            <w:r w:rsidRPr="00267667">
              <w:rPr>
                <w:rFonts w:eastAsia="Times New Roman"/>
                <w:color w:val="000000"/>
                <w:sz w:val="22"/>
                <w:szCs w:val="22"/>
              </w:rPr>
              <w:t>)</w:t>
            </w:r>
          </w:p>
        </w:tc>
        <w:tc>
          <w:tcPr>
            <w:tcW w:w="1134" w:type="dxa"/>
            <w:tcBorders>
              <w:top w:val="single" w:sz="8" w:space="0" w:color="auto"/>
              <w:left w:val="single" w:sz="4" w:space="0" w:color="auto"/>
              <w:bottom w:val="single" w:sz="8" w:space="0" w:color="auto"/>
              <w:right w:val="nil"/>
            </w:tcBorders>
            <w:shd w:val="clear" w:color="auto" w:fill="auto"/>
            <w:noWrap/>
            <w:vAlign w:val="center"/>
            <w:hideMark/>
          </w:tcPr>
          <w:p w14:paraId="73DDFE1B"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ASHR (p</w:t>
            </w:r>
            <w:r w:rsidRPr="00267667">
              <w:rPr>
                <w:rFonts w:eastAsia="Times New Roman"/>
                <w:color w:val="000000"/>
                <w:sz w:val="22"/>
                <w:szCs w:val="22"/>
                <w:vertAlign w:val="subscript"/>
              </w:rPr>
              <w:t>R</w:t>
            </w:r>
            <w:r w:rsidRPr="00267667">
              <w:rPr>
                <w:rFonts w:eastAsia="Times New Roman"/>
                <w:color w:val="000000"/>
                <w:sz w:val="22"/>
                <w:szCs w:val="22"/>
              </w:rPr>
              <w:t>)</w:t>
            </w:r>
          </w:p>
        </w:tc>
        <w:tc>
          <w:tcPr>
            <w:tcW w:w="567" w:type="dxa"/>
            <w:tcBorders>
              <w:top w:val="nil"/>
              <w:left w:val="nil"/>
              <w:bottom w:val="nil"/>
              <w:right w:val="nil"/>
            </w:tcBorders>
            <w:shd w:val="clear" w:color="auto" w:fill="auto"/>
            <w:noWrap/>
            <w:vAlign w:val="bottom"/>
            <w:hideMark/>
          </w:tcPr>
          <w:p w14:paraId="266A5336" w14:textId="77777777" w:rsidR="006B11D2" w:rsidRPr="00267667" w:rsidRDefault="006B11D2" w:rsidP="006B11D2">
            <w:pPr>
              <w:spacing w:before="0" w:line="240" w:lineRule="auto"/>
              <w:jc w:val="center"/>
              <w:rPr>
                <w:rFonts w:eastAsia="Times New Roman"/>
                <w:color w:val="000000"/>
                <w:sz w:val="22"/>
                <w:szCs w:val="22"/>
              </w:rPr>
            </w:pPr>
          </w:p>
        </w:tc>
        <w:tc>
          <w:tcPr>
            <w:tcW w:w="2127" w:type="dxa"/>
            <w:tcBorders>
              <w:top w:val="single" w:sz="8" w:space="0" w:color="auto"/>
              <w:left w:val="nil"/>
              <w:bottom w:val="single" w:sz="8" w:space="0" w:color="auto"/>
              <w:right w:val="single" w:sz="4" w:space="0" w:color="auto"/>
            </w:tcBorders>
            <w:shd w:val="clear" w:color="auto" w:fill="auto"/>
            <w:vAlign w:val="center"/>
            <w:hideMark/>
          </w:tcPr>
          <w:p w14:paraId="58070CC4"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Probability of synchrony</w:t>
            </w:r>
            <w:r w:rsidRPr="00267667">
              <w:rPr>
                <w:rFonts w:eastAsia="Times New Roman"/>
                <w:color w:val="000000"/>
                <w:sz w:val="22"/>
                <w:szCs w:val="22"/>
              </w:rPr>
              <w:br/>
              <w:t>(P=p</w:t>
            </w:r>
            <w:r w:rsidRPr="00267667">
              <w:rPr>
                <w:rFonts w:eastAsia="Times New Roman"/>
                <w:color w:val="000000"/>
                <w:sz w:val="22"/>
                <w:szCs w:val="22"/>
                <w:vertAlign w:val="subscript"/>
              </w:rPr>
              <w:t>L</w:t>
            </w:r>
            <w:r w:rsidRPr="00267667">
              <w:rPr>
                <w:rFonts w:eastAsia="Times New Roman"/>
                <w:color w:val="000000"/>
                <w:sz w:val="22"/>
                <w:szCs w:val="22"/>
              </w:rPr>
              <w:t>p</w:t>
            </w:r>
            <w:r w:rsidRPr="00267667">
              <w:rPr>
                <w:rFonts w:eastAsia="Times New Roman"/>
                <w:color w:val="000000"/>
                <w:sz w:val="22"/>
                <w:szCs w:val="22"/>
                <w:vertAlign w:val="subscript"/>
              </w:rPr>
              <w:t>R</w:t>
            </w:r>
            <w:r w:rsidRPr="00267667">
              <w:rPr>
                <w:rFonts w:eastAsia="Times New Roman"/>
                <w:color w:val="000000"/>
                <w:sz w:val="22"/>
                <w:szCs w:val="22"/>
              </w:rPr>
              <w:t xml:space="preserve"> + (1-p</w:t>
            </w:r>
            <w:r w:rsidRPr="00267667">
              <w:rPr>
                <w:rFonts w:eastAsia="Times New Roman"/>
                <w:color w:val="000000"/>
                <w:sz w:val="22"/>
                <w:szCs w:val="22"/>
                <w:vertAlign w:val="subscript"/>
              </w:rPr>
              <w:t>L</w:t>
            </w:r>
            <w:r w:rsidRPr="00267667">
              <w:rPr>
                <w:rFonts w:eastAsia="Times New Roman"/>
                <w:color w:val="000000"/>
                <w:sz w:val="22"/>
                <w:szCs w:val="22"/>
              </w:rPr>
              <w:t>)(1-p</w:t>
            </w:r>
            <w:r w:rsidRPr="00267667">
              <w:rPr>
                <w:rFonts w:eastAsia="Times New Roman"/>
                <w:color w:val="000000"/>
                <w:sz w:val="22"/>
                <w:szCs w:val="22"/>
                <w:vertAlign w:val="subscript"/>
              </w:rPr>
              <w:t>R</w:t>
            </w:r>
            <w:r w:rsidRPr="00267667">
              <w:rPr>
                <w:rFonts w:eastAsia="Times New Roman"/>
                <w:color w:val="000000"/>
                <w:sz w:val="22"/>
                <w:szCs w:val="22"/>
              </w:rPr>
              <w:t>))</w:t>
            </w:r>
          </w:p>
        </w:tc>
        <w:tc>
          <w:tcPr>
            <w:tcW w:w="992" w:type="dxa"/>
            <w:tcBorders>
              <w:top w:val="single" w:sz="8" w:space="0" w:color="auto"/>
              <w:left w:val="single" w:sz="4" w:space="0" w:color="auto"/>
              <w:bottom w:val="single" w:sz="8" w:space="0" w:color="auto"/>
              <w:right w:val="nil"/>
            </w:tcBorders>
            <w:shd w:val="clear" w:color="auto" w:fill="auto"/>
            <w:vAlign w:val="center"/>
            <w:hideMark/>
          </w:tcPr>
          <w:p w14:paraId="2181A65A"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STD/n</w:t>
            </w:r>
          </w:p>
        </w:tc>
      </w:tr>
      <w:tr w:rsidR="006B11D2" w:rsidRPr="00267667" w14:paraId="77F123B6" w14:textId="77777777" w:rsidTr="006B11D2">
        <w:trPr>
          <w:trHeight w:val="556"/>
        </w:trPr>
        <w:tc>
          <w:tcPr>
            <w:tcW w:w="1134" w:type="dxa"/>
            <w:tcBorders>
              <w:top w:val="single" w:sz="8" w:space="0" w:color="auto"/>
              <w:left w:val="nil"/>
              <w:bottom w:val="nil"/>
              <w:right w:val="single" w:sz="8" w:space="0" w:color="auto"/>
            </w:tcBorders>
            <w:shd w:val="clear" w:color="auto" w:fill="auto"/>
            <w:vAlign w:val="center"/>
            <w:hideMark/>
          </w:tcPr>
          <w:p w14:paraId="3B5A3E41"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500mM</w:t>
            </w:r>
          </w:p>
        </w:tc>
        <w:tc>
          <w:tcPr>
            <w:tcW w:w="1134" w:type="dxa"/>
            <w:tcBorders>
              <w:top w:val="single" w:sz="8" w:space="0" w:color="auto"/>
              <w:left w:val="single" w:sz="8" w:space="0" w:color="auto"/>
              <w:bottom w:val="nil"/>
              <w:right w:val="nil"/>
            </w:tcBorders>
            <w:shd w:val="clear" w:color="auto" w:fill="auto"/>
            <w:vAlign w:val="center"/>
            <w:hideMark/>
          </w:tcPr>
          <w:p w14:paraId="10131BA8" w14:textId="77777777" w:rsidR="006B11D2" w:rsidRPr="00267667" w:rsidRDefault="006B11D2" w:rsidP="006B11D2">
            <w:pPr>
              <w:spacing w:before="0" w:line="240" w:lineRule="auto"/>
              <w:jc w:val="center"/>
              <w:rPr>
                <w:rFonts w:eastAsia="Times New Roman"/>
                <w:color w:val="000000"/>
                <w:sz w:val="22"/>
                <w:szCs w:val="22"/>
              </w:rPr>
            </w:pPr>
            <w:r w:rsidRPr="00267667">
              <w:rPr>
                <w:color w:val="000000"/>
                <w:sz w:val="22"/>
                <w:szCs w:val="22"/>
              </w:rPr>
              <w:t>1.00</w:t>
            </w:r>
          </w:p>
        </w:tc>
        <w:tc>
          <w:tcPr>
            <w:tcW w:w="1134" w:type="dxa"/>
            <w:tcBorders>
              <w:top w:val="single" w:sz="8" w:space="0" w:color="auto"/>
              <w:left w:val="single" w:sz="4" w:space="0" w:color="auto"/>
              <w:bottom w:val="nil"/>
              <w:right w:val="nil"/>
            </w:tcBorders>
            <w:shd w:val="clear" w:color="auto" w:fill="auto"/>
            <w:vAlign w:val="center"/>
            <w:hideMark/>
          </w:tcPr>
          <w:p w14:paraId="4818BFEB" w14:textId="77777777" w:rsidR="006B11D2" w:rsidRPr="00267667" w:rsidRDefault="006B11D2" w:rsidP="006B11D2">
            <w:pPr>
              <w:spacing w:before="0" w:line="240" w:lineRule="auto"/>
              <w:jc w:val="center"/>
              <w:rPr>
                <w:rFonts w:eastAsia="Times New Roman"/>
                <w:color w:val="000000"/>
                <w:sz w:val="22"/>
                <w:szCs w:val="22"/>
              </w:rPr>
            </w:pPr>
            <w:r w:rsidRPr="00267667">
              <w:rPr>
                <w:color w:val="000000"/>
                <w:sz w:val="22"/>
                <w:szCs w:val="22"/>
              </w:rPr>
              <w:t>1.00</w:t>
            </w:r>
          </w:p>
        </w:tc>
        <w:tc>
          <w:tcPr>
            <w:tcW w:w="567" w:type="dxa"/>
            <w:tcBorders>
              <w:top w:val="nil"/>
              <w:left w:val="nil"/>
              <w:bottom w:val="nil"/>
              <w:right w:val="nil"/>
            </w:tcBorders>
            <w:shd w:val="clear" w:color="auto" w:fill="auto"/>
            <w:noWrap/>
            <w:vAlign w:val="bottom"/>
            <w:hideMark/>
          </w:tcPr>
          <w:p w14:paraId="78876393" w14:textId="77777777" w:rsidR="006B11D2" w:rsidRPr="00267667" w:rsidRDefault="006B11D2" w:rsidP="006B11D2">
            <w:pPr>
              <w:spacing w:before="0" w:line="240" w:lineRule="auto"/>
              <w:jc w:val="center"/>
              <w:rPr>
                <w:rFonts w:eastAsia="Times New Roman"/>
                <w:color w:val="000000"/>
                <w:sz w:val="22"/>
                <w:szCs w:val="22"/>
              </w:rPr>
            </w:pPr>
          </w:p>
        </w:tc>
        <w:tc>
          <w:tcPr>
            <w:tcW w:w="2127" w:type="dxa"/>
            <w:tcBorders>
              <w:top w:val="single" w:sz="8" w:space="0" w:color="auto"/>
              <w:left w:val="nil"/>
              <w:bottom w:val="nil"/>
              <w:right w:val="single" w:sz="4" w:space="0" w:color="auto"/>
            </w:tcBorders>
            <w:shd w:val="clear" w:color="auto" w:fill="auto"/>
            <w:vAlign w:val="center"/>
            <w:hideMark/>
          </w:tcPr>
          <w:p w14:paraId="7D03E9FF" w14:textId="77777777" w:rsidR="006B11D2" w:rsidRPr="00267667" w:rsidRDefault="006B11D2" w:rsidP="006B11D2">
            <w:pPr>
              <w:spacing w:before="0" w:line="240" w:lineRule="auto"/>
              <w:jc w:val="center"/>
              <w:rPr>
                <w:rFonts w:eastAsia="Times New Roman"/>
                <w:color w:val="000000"/>
                <w:sz w:val="22"/>
                <w:szCs w:val="22"/>
              </w:rPr>
            </w:pPr>
            <w:r w:rsidRPr="00267667">
              <w:rPr>
                <w:color w:val="000000"/>
                <w:sz w:val="22"/>
                <w:szCs w:val="22"/>
              </w:rPr>
              <w:t>1.00</w:t>
            </w:r>
          </w:p>
        </w:tc>
        <w:tc>
          <w:tcPr>
            <w:tcW w:w="992" w:type="dxa"/>
            <w:tcBorders>
              <w:top w:val="single" w:sz="8" w:space="0" w:color="auto"/>
              <w:left w:val="single" w:sz="4" w:space="0" w:color="auto"/>
              <w:bottom w:val="nil"/>
              <w:right w:val="nil"/>
            </w:tcBorders>
            <w:shd w:val="clear" w:color="auto" w:fill="auto"/>
            <w:vAlign w:val="center"/>
            <w:hideMark/>
          </w:tcPr>
          <w:p w14:paraId="1A34D58C" w14:textId="77777777" w:rsidR="006B11D2" w:rsidRPr="00267667" w:rsidRDefault="006B11D2" w:rsidP="006B11D2">
            <w:pPr>
              <w:spacing w:before="0" w:line="240" w:lineRule="auto"/>
              <w:jc w:val="center"/>
              <w:rPr>
                <w:rFonts w:eastAsia="Times New Roman"/>
                <w:color w:val="000000"/>
                <w:sz w:val="22"/>
                <w:szCs w:val="22"/>
              </w:rPr>
            </w:pPr>
            <w:r w:rsidRPr="00267667">
              <w:rPr>
                <w:color w:val="000000"/>
                <w:sz w:val="22"/>
                <w:szCs w:val="22"/>
              </w:rPr>
              <w:t>0.00</w:t>
            </w:r>
          </w:p>
        </w:tc>
      </w:tr>
      <w:tr w:rsidR="006B11D2" w:rsidRPr="00267667" w14:paraId="5D8711BA" w14:textId="77777777" w:rsidTr="006B11D2">
        <w:trPr>
          <w:trHeight w:val="300"/>
        </w:trPr>
        <w:tc>
          <w:tcPr>
            <w:tcW w:w="1134" w:type="dxa"/>
            <w:tcBorders>
              <w:top w:val="nil"/>
              <w:left w:val="nil"/>
              <w:bottom w:val="nil"/>
              <w:right w:val="single" w:sz="8" w:space="0" w:color="auto"/>
            </w:tcBorders>
            <w:shd w:val="clear" w:color="auto" w:fill="auto"/>
            <w:noWrap/>
            <w:vAlign w:val="center"/>
            <w:hideMark/>
          </w:tcPr>
          <w:p w14:paraId="78F404BC"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300mM</w:t>
            </w:r>
          </w:p>
        </w:tc>
        <w:tc>
          <w:tcPr>
            <w:tcW w:w="1134" w:type="dxa"/>
            <w:tcBorders>
              <w:top w:val="nil"/>
              <w:left w:val="single" w:sz="8" w:space="0" w:color="auto"/>
              <w:bottom w:val="nil"/>
              <w:right w:val="nil"/>
            </w:tcBorders>
            <w:shd w:val="clear" w:color="auto" w:fill="auto"/>
            <w:noWrap/>
            <w:vAlign w:val="center"/>
            <w:hideMark/>
          </w:tcPr>
          <w:p w14:paraId="446697CF" w14:textId="77777777" w:rsidR="006B11D2" w:rsidRPr="00267667" w:rsidRDefault="006B11D2" w:rsidP="006B11D2">
            <w:pPr>
              <w:spacing w:before="0"/>
              <w:jc w:val="center"/>
              <w:rPr>
                <w:color w:val="000000"/>
                <w:sz w:val="22"/>
                <w:szCs w:val="22"/>
              </w:rPr>
            </w:pPr>
            <w:r w:rsidRPr="00267667">
              <w:rPr>
                <w:color w:val="000000"/>
                <w:sz w:val="22"/>
                <w:szCs w:val="22"/>
              </w:rPr>
              <w:t>0.58</w:t>
            </w:r>
          </w:p>
        </w:tc>
        <w:tc>
          <w:tcPr>
            <w:tcW w:w="1134" w:type="dxa"/>
            <w:tcBorders>
              <w:top w:val="nil"/>
              <w:left w:val="single" w:sz="4" w:space="0" w:color="auto"/>
              <w:bottom w:val="nil"/>
              <w:right w:val="nil"/>
            </w:tcBorders>
            <w:shd w:val="clear" w:color="auto" w:fill="auto"/>
            <w:noWrap/>
            <w:vAlign w:val="center"/>
            <w:hideMark/>
          </w:tcPr>
          <w:p w14:paraId="2EDAAF40" w14:textId="77777777" w:rsidR="006B11D2" w:rsidRPr="00267667" w:rsidRDefault="006B11D2" w:rsidP="006B11D2">
            <w:pPr>
              <w:jc w:val="center"/>
              <w:rPr>
                <w:color w:val="000000"/>
                <w:sz w:val="22"/>
                <w:szCs w:val="22"/>
              </w:rPr>
            </w:pPr>
            <w:r w:rsidRPr="00267667">
              <w:rPr>
                <w:color w:val="000000"/>
                <w:sz w:val="22"/>
                <w:szCs w:val="22"/>
              </w:rPr>
              <w:t>0.75</w:t>
            </w:r>
          </w:p>
        </w:tc>
        <w:tc>
          <w:tcPr>
            <w:tcW w:w="567" w:type="dxa"/>
            <w:tcBorders>
              <w:top w:val="nil"/>
              <w:left w:val="nil"/>
              <w:bottom w:val="nil"/>
              <w:right w:val="nil"/>
            </w:tcBorders>
            <w:shd w:val="clear" w:color="auto" w:fill="auto"/>
            <w:noWrap/>
            <w:vAlign w:val="bottom"/>
            <w:hideMark/>
          </w:tcPr>
          <w:p w14:paraId="1681F5EE"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=&gt;</w:t>
            </w:r>
          </w:p>
        </w:tc>
        <w:tc>
          <w:tcPr>
            <w:tcW w:w="2127" w:type="dxa"/>
            <w:tcBorders>
              <w:top w:val="nil"/>
              <w:left w:val="nil"/>
              <w:bottom w:val="nil"/>
              <w:right w:val="single" w:sz="4" w:space="0" w:color="auto"/>
            </w:tcBorders>
            <w:shd w:val="clear" w:color="auto" w:fill="auto"/>
            <w:noWrap/>
            <w:vAlign w:val="center"/>
            <w:hideMark/>
          </w:tcPr>
          <w:p w14:paraId="12C47079" w14:textId="77777777" w:rsidR="006B11D2" w:rsidRPr="00267667" w:rsidRDefault="006B11D2" w:rsidP="006B11D2">
            <w:pPr>
              <w:spacing w:before="0"/>
              <w:jc w:val="center"/>
              <w:rPr>
                <w:color w:val="000000"/>
                <w:sz w:val="22"/>
                <w:szCs w:val="22"/>
              </w:rPr>
            </w:pPr>
            <w:r w:rsidRPr="00267667">
              <w:rPr>
                <w:color w:val="000000"/>
                <w:sz w:val="22"/>
                <w:szCs w:val="22"/>
              </w:rPr>
              <w:t>0.54</w:t>
            </w:r>
          </w:p>
        </w:tc>
        <w:tc>
          <w:tcPr>
            <w:tcW w:w="992" w:type="dxa"/>
            <w:tcBorders>
              <w:top w:val="nil"/>
              <w:left w:val="single" w:sz="4" w:space="0" w:color="auto"/>
              <w:bottom w:val="nil"/>
              <w:right w:val="nil"/>
            </w:tcBorders>
            <w:shd w:val="clear" w:color="auto" w:fill="auto"/>
            <w:noWrap/>
            <w:vAlign w:val="center"/>
            <w:hideMark/>
          </w:tcPr>
          <w:p w14:paraId="151B909A" w14:textId="77777777" w:rsidR="006B11D2" w:rsidRPr="00267667" w:rsidRDefault="006B11D2" w:rsidP="006B11D2">
            <w:pPr>
              <w:jc w:val="center"/>
              <w:rPr>
                <w:color w:val="000000"/>
                <w:sz w:val="22"/>
                <w:szCs w:val="22"/>
              </w:rPr>
            </w:pPr>
            <w:r w:rsidRPr="00267667">
              <w:rPr>
                <w:color w:val="000000"/>
                <w:sz w:val="22"/>
                <w:szCs w:val="22"/>
              </w:rPr>
              <w:t>0.14</w:t>
            </w:r>
          </w:p>
        </w:tc>
      </w:tr>
      <w:tr w:rsidR="006B11D2" w:rsidRPr="00267667" w14:paraId="6F98171C" w14:textId="77777777" w:rsidTr="006B11D2">
        <w:trPr>
          <w:trHeight w:val="300"/>
        </w:trPr>
        <w:tc>
          <w:tcPr>
            <w:tcW w:w="1134" w:type="dxa"/>
            <w:tcBorders>
              <w:top w:val="nil"/>
              <w:left w:val="nil"/>
              <w:bottom w:val="nil"/>
              <w:right w:val="single" w:sz="8" w:space="0" w:color="auto"/>
            </w:tcBorders>
            <w:shd w:val="clear" w:color="auto" w:fill="auto"/>
            <w:noWrap/>
            <w:vAlign w:val="center"/>
            <w:hideMark/>
          </w:tcPr>
          <w:p w14:paraId="21BFE5BD"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200mM</w:t>
            </w:r>
          </w:p>
        </w:tc>
        <w:tc>
          <w:tcPr>
            <w:tcW w:w="1134" w:type="dxa"/>
            <w:tcBorders>
              <w:top w:val="nil"/>
              <w:left w:val="single" w:sz="8" w:space="0" w:color="auto"/>
              <w:bottom w:val="nil"/>
              <w:right w:val="nil"/>
            </w:tcBorders>
            <w:shd w:val="clear" w:color="auto" w:fill="auto"/>
            <w:noWrap/>
            <w:vAlign w:val="center"/>
            <w:hideMark/>
          </w:tcPr>
          <w:p w14:paraId="59DD3CFB" w14:textId="77777777" w:rsidR="006B11D2" w:rsidRPr="00267667" w:rsidRDefault="006B11D2" w:rsidP="006B11D2">
            <w:pPr>
              <w:jc w:val="center"/>
              <w:rPr>
                <w:color w:val="000000"/>
                <w:sz w:val="22"/>
                <w:szCs w:val="22"/>
              </w:rPr>
            </w:pPr>
            <w:r w:rsidRPr="00267667">
              <w:rPr>
                <w:color w:val="000000"/>
                <w:sz w:val="22"/>
                <w:szCs w:val="22"/>
              </w:rPr>
              <w:t>0.62</w:t>
            </w:r>
          </w:p>
        </w:tc>
        <w:tc>
          <w:tcPr>
            <w:tcW w:w="1134" w:type="dxa"/>
            <w:tcBorders>
              <w:top w:val="nil"/>
              <w:left w:val="single" w:sz="4" w:space="0" w:color="auto"/>
              <w:bottom w:val="nil"/>
              <w:right w:val="nil"/>
            </w:tcBorders>
            <w:shd w:val="clear" w:color="auto" w:fill="auto"/>
            <w:noWrap/>
            <w:vAlign w:val="center"/>
            <w:hideMark/>
          </w:tcPr>
          <w:p w14:paraId="1779414D" w14:textId="77777777" w:rsidR="006B11D2" w:rsidRPr="00267667" w:rsidRDefault="006B11D2" w:rsidP="006B11D2">
            <w:pPr>
              <w:jc w:val="center"/>
              <w:rPr>
                <w:color w:val="000000"/>
                <w:sz w:val="22"/>
                <w:szCs w:val="22"/>
              </w:rPr>
            </w:pPr>
            <w:r w:rsidRPr="00267667">
              <w:rPr>
                <w:color w:val="000000"/>
                <w:sz w:val="22"/>
                <w:szCs w:val="22"/>
              </w:rPr>
              <w:t>0.46</w:t>
            </w:r>
          </w:p>
        </w:tc>
        <w:tc>
          <w:tcPr>
            <w:tcW w:w="567" w:type="dxa"/>
            <w:tcBorders>
              <w:top w:val="nil"/>
              <w:left w:val="nil"/>
              <w:bottom w:val="nil"/>
              <w:right w:val="nil"/>
            </w:tcBorders>
            <w:shd w:val="clear" w:color="auto" w:fill="auto"/>
            <w:noWrap/>
            <w:vAlign w:val="bottom"/>
            <w:hideMark/>
          </w:tcPr>
          <w:p w14:paraId="21CAF1D4" w14:textId="77777777" w:rsidR="006B11D2" w:rsidRPr="00267667" w:rsidRDefault="006B11D2" w:rsidP="006B11D2">
            <w:pPr>
              <w:spacing w:before="0" w:line="240" w:lineRule="auto"/>
              <w:jc w:val="center"/>
              <w:rPr>
                <w:rFonts w:eastAsia="Times New Roman"/>
                <w:color w:val="000000"/>
                <w:sz w:val="22"/>
                <w:szCs w:val="22"/>
              </w:rPr>
            </w:pPr>
          </w:p>
        </w:tc>
        <w:tc>
          <w:tcPr>
            <w:tcW w:w="2127" w:type="dxa"/>
            <w:tcBorders>
              <w:top w:val="nil"/>
              <w:left w:val="nil"/>
              <w:bottom w:val="nil"/>
              <w:right w:val="single" w:sz="4" w:space="0" w:color="auto"/>
            </w:tcBorders>
            <w:shd w:val="clear" w:color="auto" w:fill="auto"/>
            <w:noWrap/>
            <w:vAlign w:val="center"/>
            <w:hideMark/>
          </w:tcPr>
          <w:p w14:paraId="01AC171B" w14:textId="77777777" w:rsidR="006B11D2" w:rsidRPr="00267667" w:rsidRDefault="006B11D2" w:rsidP="006B11D2">
            <w:pPr>
              <w:jc w:val="center"/>
              <w:rPr>
                <w:color w:val="000000"/>
                <w:sz w:val="22"/>
                <w:szCs w:val="22"/>
              </w:rPr>
            </w:pPr>
            <w:r w:rsidRPr="00267667">
              <w:rPr>
                <w:color w:val="000000"/>
                <w:sz w:val="22"/>
                <w:szCs w:val="22"/>
              </w:rPr>
              <w:t>0.49</w:t>
            </w:r>
          </w:p>
        </w:tc>
        <w:tc>
          <w:tcPr>
            <w:tcW w:w="992" w:type="dxa"/>
            <w:tcBorders>
              <w:top w:val="nil"/>
              <w:left w:val="single" w:sz="4" w:space="0" w:color="auto"/>
              <w:bottom w:val="nil"/>
              <w:right w:val="nil"/>
            </w:tcBorders>
            <w:shd w:val="clear" w:color="auto" w:fill="auto"/>
            <w:noWrap/>
            <w:vAlign w:val="center"/>
            <w:hideMark/>
          </w:tcPr>
          <w:p w14:paraId="41FF060E" w14:textId="77777777" w:rsidR="006B11D2" w:rsidRPr="00267667" w:rsidRDefault="006B11D2" w:rsidP="006B11D2">
            <w:pPr>
              <w:jc w:val="center"/>
              <w:rPr>
                <w:color w:val="000000"/>
                <w:sz w:val="22"/>
                <w:szCs w:val="22"/>
              </w:rPr>
            </w:pPr>
            <w:r w:rsidRPr="00267667">
              <w:rPr>
                <w:color w:val="000000"/>
                <w:sz w:val="22"/>
                <w:szCs w:val="22"/>
              </w:rPr>
              <w:t>0.14</w:t>
            </w:r>
          </w:p>
        </w:tc>
      </w:tr>
      <w:tr w:rsidR="006B11D2" w:rsidRPr="00267667" w14:paraId="20BD7C27" w14:textId="77777777" w:rsidTr="006B11D2">
        <w:trPr>
          <w:trHeight w:val="300"/>
        </w:trPr>
        <w:tc>
          <w:tcPr>
            <w:tcW w:w="1134" w:type="dxa"/>
            <w:tcBorders>
              <w:top w:val="nil"/>
              <w:left w:val="nil"/>
              <w:bottom w:val="nil"/>
              <w:right w:val="single" w:sz="8" w:space="0" w:color="auto"/>
            </w:tcBorders>
            <w:shd w:val="clear" w:color="auto" w:fill="auto"/>
            <w:noWrap/>
            <w:vAlign w:val="center"/>
            <w:hideMark/>
          </w:tcPr>
          <w:p w14:paraId="38BB7DB7"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100mM</w:t>
            </w:r>
          </w:p>
        </w:tc>
        <w:tc>
          <w:tcPr>
            <w:tcW w:w="1134" w:type="dxa"/>
            <w:tcBorders>
              <w:top w:val="nil"/>
              <w:left w:val="single" w:sz="8" w:space="0" w:color="auto"/>
              <w:bottom w:val="nil"/>
              <w:right w:val="nil"/>
            </w:tcBorders>
            <w:shd w:val="clear" w:color="auto" w:fill="auto"/>
            <w:noWrap/>
            <w:vAlign w:val="center"/>
            <w:hideMark/>
          </w:tcPr>
          <w:p w14:paraId="0BD2A8BB" w14:textId="77777777" w:rsidR="006B11D2" w:rsidRPr="00267667" w:rsidRDefault="006B11D2" w:rsidP="006B11D2">
            <w:pPr>
              <w:jc w:val="center"/>
              <w:rPr>
                <w:color w:val="000000"/>
                <w:sz w:val="22"/>
                <w:szCs w:val="22"/>
              </w:rPr>
            </w:pPr>
            <w:r w:rsidRPr="00267667">
              <w:rPr>
                <w:color w:val="000000"/>
                <w:sz w:val="22"/>
                <w:szCs w:val="22"/>
              </w:rPr>
              <w:t>0.00</w:t>
            </w:r>
          </w:p>
        </w:tc>
        <w:tc>
          <w:tcPr>
            <w:tcW w:w="1134" w:type="dxa"/>
            <w:tcBorders>
              <w:top w:val="nil"/>
              <w:left w:val="single" w:sz="4" w:space="0" w:color="auto"/>
              <w:bottom w:val="nil"/>
              <w:right w:val="nil"/>
            </w:tcBorders>
            <w:shd w:val="clear" w:color="auto" w:fill="auto"/>
            <w:noWrap/>
            <w:vAlign w:val="center"/>
            <w:hideMark/>
          </w:tcPr>
          <w:p w14:paraId="2B9FB9D8" w14:textId="77777777" w:rsidR="006B11D2" w:rsidRPr="00267667" w:rsidRDefault="006B11D2" w:rsidP="006B11D2">
            <w:pPr>
              <w:jc w:val="center"/>
              <w:rPr>
                <w:color w:val="000000"/>
                <w:sz w:val="22"/>
                <w:szCs w:val="22"/>
              </w:rPr>
            </w:pPr>
            <w:r w:rsidRPr="00267667">
              <w:rPr>
                <w:color w:val="000000"/>
                <w:sz w:val="22"/>
                <w:szCs w:val="22"/>
              </w:rPr>
              <w:t>0.00</w:t>
            </w:r>
          </w:p>
        </w:tc>
        <w:tc>
          <w:tcPr>
            <w:tcW w:w="567" w:type="dxa"/>
            <w:tcBorders>
              <w:top w:val="nil"/>
              <w:left w:val="nil"/>
              <w:bottom w:val="nil"/>
              <w:right w:val="nil"/>
            </w:tcBorders>
            <w:shd w:val="clear" w:color="auto" w:fill="auto"/>
            <w:noWrap/>
            <w:vAlign w:val="bottom"/>
            <w:hideMark/>
          </w:tcPr>
          <w:p w14:paraId="29A957E1" w14:textId="77777777" w:rsidR="006B11D2" w:rsidRPr="00267667" w:rsidRDefault="006B11D2" w:rsidP="006B11D2">
            <w:pPr>
              <w:spacing w:before="0" w:line="240" w:lineRule="auto"/>
              <w:jc w:val="center"/>
              <w:rPr>
                <w:rFonts w:eastAsia="Times New Roman"/>
                <w:color w:val="000000"/>
                <w:sz w:val="22"/>
                <w:szCs w:val="22"/>
              </w:rPr>
            </w:pPr>
          </w:p>
        </w:tc>
        <w:tc>
          <w:tcPr>
            <w:tcW w:w="2127" w:type="dxa"/>
            <w:tcBorders>
              <w:top w:val="nil"/>
              <w:left w:val="nil"/>
              <w:bottom w:val="nil"/>
              <w:right w:val="single" w:sz="4" w:space="0" w:color="auto"/>
            </w:tcBorders>
            <w:shd w:val="clear" w:color="auto" w:fill="auto"/>
            <w:noWrap/>
            <w:vAlign w:val="center"/>
            <w:hideMark/>
          </w:tcPr>
          <w:p w14:paraId="609D265B" w14:textId="77777777" w:rsidR="006B11D2" w:rsidRPr="00267667" w:rsidRDefault="006B11D2" w:rsidP="006B11D2">
            <w:pPr>
              <w:jc w:val="center"/>
              <w:rPr>
                <w:color w:val="000000"/>
                <w:sz w:val="22"/>
                <w:szCs w:val="22"/>
              </w:rPr>
            </w:pPr>
            <w:r w:rsidRPr="00267667">
              <w:rPr>
                <w:color w:val="000000"/>
                <w:sz w:val="22"/>
                <w:szCs w:val="22"/>
              </w:rPr>
              <w:t>1.00</w:t>
            </w:r>
          </w:p>
        </w:tc>
        <w:tc>
          <w:tcPr>
            <w:tcW w:w="992" w:type="dxa"/>
            <w:tcBorders>
              <w:top w:val="nil"/>
              <w:left w:val="single" w:sz="4" w:space="0" w:color="auto"/>
              <w:bottom w:val="nil"/>
              <w:right w:val="nil"/>
            </w:tcBorders>
            <w:shd w:val="clear" w:color="auto" w:fill="auto"/>
            <w:noWrap/>
            <w:vAlign w:val="center"/>
            <w:hideMark/>
          </w:tcPr>
          <w:p w14:paraId="07D5662D" w14:textId="77777777" w:rsidR="006B11D2" w:rsidRPr="00267667" w:rsidRDefault="006B11D2" w:rsidP="006B11D2">
            <w:pPr>
              <w:jc w:val="center"/>
              <w:rPr>
                <w:color w:val="000000"/>
                <w:sz w:val="22"/>
                <w:szCs w:val="22"/>
              </w:rPr>
            </w:pPr>
            <w:r w:rsidRPr="00267667">
              <w:rPr>
                <w:color w:val="000000"/>
                <w:sz w:val="22"/>
                <w:szCs w:val="22"/>
              </w:rPr>
              <w:t>0.00</w:t>
            </w:r>
          </w:p>
        </w:tc>
      </w:tr>
      <w:tr w:rsidR="006B11D2" w:rsidRPr="00267667" w14:paraId="5A6DB905" w14:textId="77777777" w:rsidTr="006B11D2">
        <w:trPr>
          <w:trHeight w:val="300"/>
        </w:trPr>
        <w:tc>
          <w:tcPr>
            <w:tcW w:w="1134" w:type="dxa"/>
            <w:tcBorders>
              <w:top w:val="nil"/>
              <w:left w:val="nil"/>
              <w:bottom w:val="single" w:sz="8" w:space="0" w:color="auto"/>
              <w:right w:val="single" w:sz="8" w:space="0" w:color="auto"/>
            </w:tcBorders>
            <w:shd w:val="clear" w:color="auto" w:fill="auto"/>
            <w:noWrap/>
            <w:vAlign w:val="center"/>
            <w:hideMark/>
          </w:tcPr>
          <w:p w14:paraId="2050B9AA" w14:textId="77777777" w:rsidR="006B11D2" w:rsidRPr="00267667" w:rsidRDefault="006B11D2" w:rsidP="006B11D2">
            <w:pPr>
              <w:spacing w:before="0" w:line="240" w:lineRule="auto"/>
              <w:jc w:val="center"/>
              <w:rPr>
                <w:rFonts w:eastAsia="Times New Roman"/>
                <w:color w:val="000000"/>
                <w:sz w:val="22"/>
                <w:szCs w:val="22"/>
              </w:rPr>
            </w:pPr>
            <w:r w:rsidRPr="00267667">
              <w:rPr>
                <w:rFonts w:eastAsia="Times New Roman"/>
                <w:color w:val="000000"/>
                <w:sz w:val="22"/>
                <w:szCs w:val="22"/>
              </w:rPr>
              <w:t>0mM</w:t>
            </w:r>
          </w:p>
        </w:tc>
        <w:tc>
          <w:tcPr>
            <w:tcW w:w="1134" w:type="dxa"/>
            <w:tcBorders>
              <w:top w:val="nil"/>
              <w:left w:val="single" w:sz="8" w:space="0" w:color="auto"/>
              <w:bottom w:val="single" w:sz="8" w:space="0" w:color="auto"/>
              <w:right w:val="nil"/>
            </w:tcBorders>
            <w:shd w:val="clear" w:color="auto" w:fill="auto"/>
            <w:noWrap/>
            <w:vAlign w:val="center"/>
            <w:hideMark/>
          </w:tcPr>
          <w:p w14:paraId="53EF6BE6" w14:textId="77777777" w:rsidR="006B11D2" w:rsidRPr="00267667" w:rsidRDefault="006B11D2" w:rsidP="006B11D2">
            <w:pPr>
              <w:jc w:val="center"/>
              <w:rPr>
                <w:color w:val="000000"/>
                <w:sz w:val="22"/>
                <w:szCs w:val="22"/>
              </w:rPr>
            </w:pPr>
            <w:r w:rsidRPr="00267667">
              <w:rPr>
                <w:color w:val="000000"/>
                <w:sz w:val="22"/>
                <w:szCs w:val="22"/>
              </w:rPr>
              <w:t>0.00</w:t>
            </w:r>
          </w:p>
        </w:tc>
        <w:tc>
          <w:tcPr>
            <w:tcW w:w="1134" w:type="dxa"/>
            <w:tcBorders>
              <w:top w:val="nil"/>
              <w:left w:val="single" w:sz="4" w:space="0" w:color="auto"/>
              <w:bottom w:val="single" w:sz="8" w:space="0" w:color="auto"/>
              <w:right w:val="nil"/>
            </w:tcBorders>
            <w:shd w:val="clear" w:color="auto" w:fill="auto"/>
            <w:noWrap/>
            <w:vAlign w:val="center"/>
            <w:hideMark/>
          </w:tcPr>
          <w:p w14:paraId="230B38CA" w14:textId="77777777" w:rsidR="006B11D2" w:rsidRPr="00267667" w:rsidRDefault="006B11D2" w:rsidP="006B11D2">
            <w:pPr>
              <w:jc w:val="center"/>
              <w:rPr>
                <w:color w:val="000000"/>
                <w:sz w:val="22"/>
                <w:szCs w:val="22"/>
              </w:rPr>
            </w:pPr>
            <w:r w:rsidRPr="00267667">
              <w:rPr>
                <w:color w:val="000000"/>
                <w:sz w:val="22"/>
                <w:szCs w:val="22"/>
              </w:rPr>
              <w:t>0.00</w:t>
            </w:r>
          </w:p>
        </w:tc>
        <w:tc>
          <w:tcPr>
            <w:tcW w:w="567" w:type="dxa"/>
            <w:tcBorders>
              <w:top w:val="nil"/>
              <w:left w:val="nil"/>
              <w:bottom w:val="nil"/>
              <w:right w:val="nil"/>
            </w:tcBorders>
            <w:shd w:val="clear" w:color="auto" w:fill="auto"/>
            <w:noWrap/>
            <w:vAlign w:val="bottom"/>
            <w:hideMark/>
          </w:tcPr>
          <w:p w14:paraId="008E55E2" w14:textId="77777777" w:rsidR="006B11D2" w:rsidRPr="00267667" w:rsidRDefault="006B11D2" w:rsidP="006B11D2">
            <w:pPr>
              <w:spacing w:before="0" w:line="240" w:lineRule="auto"/>
              <w:jc w:val="center"/>
              <w:rPr>
                <w:rFonts w:eastAsia="Times New Roman"/>
                <w:color w:val="000000"/>
                <w:sz w:val="22"/>
                <w:szCs w:val="22"/>
              </w:rPr>
            </w:pPr>
          </w:p>
        </w:tc>
        <w:tc>
          <w:tcPr>
            <w:tcW w:w="2127" w:type="dxa"/>
            <w:tcBorders>
              <w:top w:val="nil"/>
              <w:left w:val="nil"/>
              <w:bottom w:val="single" w:sz="8" w:space="0" w:color="auto"/>
              <w:right w:val="single" w:sz="4" w:space="0" w:color="auto"/>
            </w:tcBorders>
            <w:shd w:val="clear" w:color="auto" w:fill="auto"/>
            <w:noWrap/>
            <w:vAlign w:val="center"/>
            <w:hideMark/>
          </w:tcPr>
          <w:p w14:paraId="6F8170ED" w14:textId="77777777" w:rsidR="006B11D2" w:rsidRPr="00267667" w:rsidRDefault="006B11D2" w:rsidP="006B11D2">
            <w:pPr>
              <w:jc w:val="center"/>
              <w:rPr>
                <w:color w:val="000000"/>
                <w:sz w:val="22"/>
                <w:szCs w:val="22"/>
              </w:rPr>
            </w:pPr>
            <w:r w:rsidRPr="00267667">
              <w:rPr>
                <w:color w:val="000000"/>
                <w:sz w:val="22"/>
                <w:szCs w:val="22"/>
              </w:rPr>
              <w:t>1.00</w:t>
            </w:r>
          </w:p>
        </w:tc>
        <w:tc>
          <w:tcPr>
            <w:tcW w:w="992" w:type="dxa"/>
            <w:tcBorders>
              <w:top w:val="nil"/>
              <w:left w:val="single" w:sz="4" w:space="0" w:color="auto"/>
              <w:bottom w:val="single" w:sz="8" w:space="0" w:color="auto"/>
              <w:right w:val="nil"/>
            </w:tcBorders>
            <w:shd w:val="clear" w:color="auto" w:fill="auto"/>
            <w:noWrap/>
            <w:vAlign w:val="center"/>
            <w:hideMark/>
          </w:tcPr>
          <w:p w14:paraId="53D62C48" w14:textId="77777777" w:rsidR="006B11D2" w:rsidRPr="00267667" w:rsidRDefault="006B11D2" w:rsidP="006B11D2">
            <w:pPr>
              <w:jc w:val="center"/>
              <w:rPr>
                <w:color w:val="000000"/>
                <w:sz w:val="22"/>
                <w:szCs w:val="22"/>
              </w:rPr>
            </w:pPr>
            <w:r w:rsidRPr="00267667">
              <w:rPr>
                <w:color w:val="000000"/>
                <w:sz w:val="22"/>
                <w:szCs w:val="22"/>
              </w:rPr>
              <w:t>0.00</w:t>
            </w:r>
          </w:p>
        </w:tc>
      </w:tr>
      <w:tr w:rsidR="006B11D2" w:rsidRPr="00267667" w14:paraId="64DA3B0B" w14:textId="77777777" w:rsidTr="006B11D2">
        <w:trPr>
          <w:trHeight w:val="50"/>
        </w:trPr>
        <w:tc>
          <w:tcPr>
            <w:tcW w:w="1134" w:type="dxa"/>
            <w:tcBorders>
              <w:top w:val="nil"/>
              <w:left w:val="nil"/>
              <w:bottom w:val="single" w:sz="8" w:space="0" w:color="auto"/>
              <w:right w:val="single" w:sz="8" w:space="0" w:color="auto"/>
            </w:tcBorders>
            <w:shd w:val="clear" w:color="auto" w:fill="auto"/>
            <w:noWrap/>
            <w:vAlign w:val="center"/>
          </w:tcPr>
          <w:p w14:paraId="3E5FE01D" w14:textId="77777777" w:rsidR="006B11D2" w:rsidRPr="00267667" w:rsidRDefault="006B11D2" w:rsidP="006B11D2">
            <w:pPr>
              <w:spacing w:before="0" w:line="240" w:lineRule="auto"/>
              <w:jc w:val="center"/>
              <w:rPr>
                <w:rFonts w:eastAsia="Times New Roman"/>
                <w:color w:val="000000"/>
                <w:sz w:val="22"/>
                <w:szCs w:val="22"/>
              </w:rPr>
            </w:pPr>
          </w:p>
        </w:tc>
        <w:tc>
          <w:tcPr>
            <w:tcW w:w="1134" w:type="dxa"/>
            <w:tcBorders>
              <w:top w:val="nil"/>
              <w:left w:val="single" w:sz="8" w:space="0" w:color="auto"/>
              <w:bottom w:val="single" w:sz="8" w:space="0" w:color="auto"/>
              <w:right w:val="nil"/>
            </w:tcBorders>
            <w:shd w:val="clear" w:color="auto" w:fill="auto"/>
            <w:noWrap/>
            <w:vAlign w:val="center"/>
          </w:tcPr>
          <w:p w14:paraId="7F259691" w14:textId="77777777" w:rsidR="006B11D2" w:rsidRPr="00267667" w:rsidRDefault="006B11D2" w:rsidP="006B11D2">
            <w:pPr>
              <w:jc w:val="center"/>
              <w:rPr>
                <w:color w:val="000000"/>
                <w:sz w:val="22"/>
                <w:szCs w:val="22"/>
              </w:rPr>
            </w:pPr>
          </w:p>
        </w:tc>
        <w:tc>
          <w:tcPr>
            <w:tcW w:w="1134" w:type="dxa"/>
            <w:tcBorders>
              <w:top w:val="nil"/>
              <w:left w:val="single" w:sz="4" w:space="0" w:color="auto"/>
              <w:bottom w:val="single" w:sz="8" w:space="0" w:color="auto"/>
              <w:right w:val="nil"/>
            </w:tcBorders>
            <w:shd w:val="clear" w:color="auto" w:fill="auto"/>
            <w:noWrap/>
            <w:vAlign w:val="center"/>
          </w:tcPr>
          <w:p w14:paraId="600E374E" w14:textId="77777777" w:rsidR="006B11D2" w:rsidRPr="00267667" w:rsidRDefault="006B11D2" w:rsidP="006B11D2">
            <w:pPr>
              <w:jc w:val="center"/>
              <w:rPr>
                <w:color w:val="000000"/>
                <w:sz w:val="22"/>
                <w:szCs w:val="22"/>
              </w:rPr>
            </w:pPr>
          </w:p>
        </w:tc>
        <w:tc>
          <w:tcPr>
            <w:tcW w:w="567" w:type="dxa"/>
            <w:tcBorders>
              <w:top w:val="nil"/>
              <w:left w:val="nil"/>
              <w:bottom w:val="nil"/>
              <w:right w:val="nil"/>
            </w:tcBorders>
            <w:shd w:val="clear" w:color="auto" w:fill="auto"/>
            <w:noWrap/>
            <w:vAlign w:val="bottom"/>
          </w:tcPr>
          <w:p w14:paraId="1C6C8447" w14:textId="77777777" w:rsidR="006B11D2" w:rsidRPr="00267667" w:rsidRDefault="006B11D2" w:rsidP="006B11D2">
            <w:pPr>
              <w:spacing w:before="0" w:line="240" w:lineRule="auto"/>
              <w:jc w:val="center"/>
              <w:rPr>
                <w:rFonts w:eastAsia="Times New Roman"/>
                <w:color w:val="000000"/>
                <w:sz w:val="22"/>
                <w:szCs w:val="22"/>
              </w:rPr>
            </w:pPr>
          </w:p>
        </w:tc>
        <w:tc>
          <w:tcPr>
            <w:tcW w:w="2127" w:type="dxa"/>
            <w:tcBorders>
              <w:top w:val="nil"/>
              <w:left w:val="nil"/>
              <w:bottom w:val="single" w:sz="8" w:space="0" w:color="auto"/>
              <w:right w:val="single" w:sz="4" w:space="0" w:color="auto"/>
            </w:tcBorders>
            <w:shd w:val="clear" w:color="auto" w:fill="auto"/>
            <w:noWrap/>
            <w:vAlign w:val="center"/>
          </w:tcPr>
          <w:p w14:paraId="0A1B6293" w14:textId="77777777" w:rsidR="006B11D2" w:rsidRPr="00267667" w:rsidRDefault="006B11D2" w:rsidP="006B11D2">
            <w:pPr>
              <w:jc w:val="center"/>
              <w:rPr>
                <w:color w:val="000000"/>
                <w:sz w:val="22"/>
                <w:szCs w:val="22"/>
              </w:rPr>
            </w:pPr>
          </w:p>
        </w:tc>
        <w:tc>
          <w:tcPr>
            <w:tcW w:w="992" w:type="dxa"/>
            <w:tcBorders>
              <w:top w:val="nil"/>
              <w:left w:val="single" w:sz="4" w:space="0" w:color="auto"/>
              <w:bottom w:val="single" w:sz="8" w:space="0" w:color="auto"/>
              <w:right w:val="nil"/>
            </w:tcBorders>
            <w:shd w:val="clear" w:color="auto" w:fill="auto"/>
            <w:noWrap/>
            <w:vAlign w:val="center"/>
          </w:tcPr>
          <w:p w14:paraId="57A15F84" w14:textId="77777777" w:rsidR="006B11D2" w:rsidRPr="00267667" w:rsidRDefault="006B11D2" w:rsidP="006B11D2">
            <w:pPr>
              <w:jc w:val="center"/>
              <w:rPr>
                <w:color w:val="000000"/>
                <w:sz w:val="22"/>
                <w:szCs w:val="22"/>
              </w:rPr>
            </w:pPr>
          </w:p>
        </w:tc>
      </w:tr>
    </w:tbl>
    <w:p w14:paraId="23180B03" w14:textId="77777777" w:rsidR="006B11D2" w:rsidRPr="00267667" w:rsidRDefault="006B11D2" w:rsidP="006B11D2">
      <w:pPr>
        <w:jc w:val="both"/>
        <w:rPr>
          <w:sz w:val="22"/>
          <w:szCs w:val="22"/>
        </w:rPr>
      </w:pPr>
    </w:p>
    <w:p w14:paraId="6C6B28C9" w14:textId="77777777" w:rsidR="006B11D2" w:rsidRPr="00267667" w:rsidRDefault="006B11D2" w:rsidP="006B11D2">
      <w:pPr>
        <w:jc w:val="both"/>
        <w:rPr>
          <w:sz w:val="22"/>
          <w:szCs w:val="22"/>
        </w:rPr>
      </w:pPr>
      <w:r w:rsidRPr="00267667">
        <w:rPr>
          <w:sz w:val="22"/>
          <w:szCs w:val="22"/>
        </w:rPr>
        <w:t>Fraction of responsive neuron pair and probability of both neuron response</w:t>
      </w:r>
    </w:p>
    <w:tbl>
      <w:tblPr>
        <w:tblW w:w="9026" w:type="dxa"/>
        <w:tblLook w:val="04A0" w:firstRow="1" w:lastRow="0" w:firstColumn="1" w:lastColumn="0" w:noHBand="0" w:noVBand="1"/>
      </w:tblPr>
      <w:tblGrid>
        <w:gridCol w:w="1131"/>
        <w:gridCol w:w="2980"/>
        <w:gridCol w:w="2977"/>
        <w:gridCol w:w="1938"/>
      </w:tblGrid>
      <w:tr w:rsidR="006B11D2" w:rsidRPr="00267667" w14:paraId="722BC57F" w14:textId="77777777" w:rsidTr="006B11D2">
        <w:trPr>
          <w:trHeight w:val="293"/>
        </w:trPr>
        <w:tc>
          <w:tcPr>
            <w:tcW w:w="1131" w:type="dxa"/>
            <w:tcBorders>
              <w:top w:val="single" w:sz="8" w:space="0" w:color="auto"/>
              <w:left w:val="nil"/>
              <w:bottom w:val="single" w:sz="8" w:space="0" w:color="auto"/>
              <w:right w:val="single" w:sz="8" w:space="0" w:color="auto"/>
            </w:tcBorders>
            <w:shd w:val="clear" w:color="auto" w:fill="auto"/>
            <w:noWrap/>
            <w:vAlign w:val="center"/>
            <w:hideMark/>
          </w:tcPr>
          <w:p w14:paraId="660897C9"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Stimulus</w:t>
            </w:r>
          </w:p>
        </w:tc>
        <w:tc>
          <w:tcPr>
            <w:tcW w:w="29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2B3E218"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Fraction of responsive neuron pair</w:t>
            </w:r>
          </w:p>
        </w:tc>
        <w:tc>
          <w:tcPr>
            <w:tcW w:w="297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79F59805"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Probability of both neuron response (pLpR)</w:t>
            </w:r>
          </w:p>
        </w:tc>
        <w:tc>
          <w:tcPr>
            <w:tcW w:w="1938" w:type="dxa"/>
            <w:tcBorders>
              <w:top w:val="single" w:sz="8" w:space="0" w:color="auto"/>
              <w:left w:val="single" w:sz="4" w:space="0" w:color="auto"/>
              <w:bottom w:val="single" w:sz="8" w:space="0" w:color="auto"/>
              <w:right w:val="nil"/>
            </w:tcBorders>
            <w:shd w:val="clear" w:color="auto" w:fill="auto"/>
            <w:noWrap/>
            <w:vAlign w:val="center"/>
            <w:hideMark/>
          </w:tcPr>
          <w:p w14:paraId="5DD5E7D5"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STD/n</w:t>
            </w:r>
          </w:p>
        </w:tc>
      </w:tr>
      <w:tr w:rsidR="006B11D2" w:rsidRPr="00267667" w14:paraId="7B5212AE" w14:textId="77777777" w:rsidTr="006B11D2">
        <w:trPr>
          <w:trHeight w:val="285"/>
        </w:trPr>
        <w:tc>
          <w:tcPr>
            <w:tcW w:w="1131" w:type="dxa"/>
            <w:tcBorders>
              <w:top w:val="nil"/>
              <w:left w:val="nil"/>
              <w:bottom w:val="nil"/>
              <w:right w:val="single" w:sz="8" w:space="0" w:color="auto"/>
            </w:tcBorders>
            <w:shd w:val="clear" w:color="auto" w:fill="auto"/>
            <w:noWrap/>
            <w:vAlign w:val="center"/>
            <w:hideMark/>
          </w:tcPr>
          <w:p w14:paraId="1444814A"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500mM</w:t>
            </w:r>
          </w:p>
        </w:tc>
        <w:tc>
          <w:tcPr>
            <w:tcW w:w="2980" w:type="dxa"/>
            <w:tcBorders>
              <w:top w:val="nil"/>
              <w:left w:val="single" w:sz="8" w:space="0" w:color="auto"/>
              <w:bottom w:val="nil"/>
              <w:right w:val="single" w:sz="4" w:space="0" w:color="auto"/>
            </w:tcBorders>
            <w:shd w:val="clear" w:color="auto" w:fill="auto"/>
            <w:noWrap/>
            <w:vAlign w:val="center"/>
            <w:hideMark/>
          </w:tcPr>
          <w:p w14:paraId="2320B9F1"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1.00</w:t>
            </w:r>
          </w:p>
        </w:tc>
        <w:tc>
          <w:tcPr>
            <w:tcW w:w="2977" w:type="dxa"/>
            <w:tcBorders>
              <w:top w:val="nil"/>
              <w:left w:val="single" w:sz="4" w:space="0" w:color="auto"/>
              <w:bottom w:val="nil"/>
              <w:right w:val="single" w:sz="4" w:space="0" w:color="auto"/>
            </w:tcBorders>
            <w:shd w:val="clear" w:color="auto" w:fill="auto"/>
            <w:noWrap/>
            <w:vAlign w:val="center"/>
            <w:hideMark/>
          </w:tcPr>
          <w:p w14:paraId="398A2606"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1.00</w:t>
            </w:r>
          </w:p>
        </w:tc>
        <w:tc>
          <w:tcPr>
            <w:tcW w:w="1938" w:type="dxa"/>
            <w:tcBorders>
              <w:top w:val="nil"/>
              <w:left w:val="single" w:sz="4" w:space="0" w:color="auto"/>
              <w:bottom w:val="nil"/>
              <w:right w:val="nil"/>
            </w:tcBorders>
            <w:shd w:val="clear" w:color="auto" w:fill="auto"/>
            <w:noWrap/>
            <w:vAlign w:val="center"/>
            <w:hideMark/>
          </w:tcPr>
          <w:p w14:paraId="03E174FF"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r>
      <w:tr w:rsidR="006B11D2" w:rsidRPr="00267667" w14:paraId="0310935A" w14:textId="77777777" w:rsidTr="006B11D2">
        <w:trPr>
          <w:trHeight w:val="285"/>
        </w:trPr>
        <w:tc>
          <w:tcPr>
            <w:tcW w:w="1131" w:type="dxa"/>
            <w:tcBorders>
              <w:top w:val="nil"/>
              <w:left w:val="nil"/>
              <w:bottom w:val="nil"/>
              <w:right w:val="single" w:sz="8" w:space="0" w:color="auto"/>
            </w:tcBorders>
            <w:shd w:val="clear" w:color="auto" w:fill="auto"/>
            <w:noWrap/>
            <w:vAlign w:val="center"/>
            <w:hideMark/>
          </w:tcPr>
          <w:p w14:paraId="16A39852"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300mM</w:t>
            </w:r>
          </w:p>
        </w:tc>
        <w:tc>
          <w:tcPr>
            <w:tcW w:w="2980" w:type="dxa"/>
            <w:tcBorders>
              <w:top w:val="nil"/>
              <w:left w:val="single" w:sz="8" w:space="0" w:color="auto"/>
              <w:bottom w:val="nil"/>
              <w:right w:val="single" w:sz="4" w:space="0" w:color="auto"/>
            </w:tcBorders>
            <w:shd w:val="clear" w:color="auto" w:fill="auto"/>
            <w:noWrap/>
            <w:vAlign w:val="center"/>
            <w:hideMark/>
          </w:tcPr>
          <w:p w14:paraId="1D17460D"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0.58</w:t>
            </w:r>
          </w:p>
        </w:tc>
        <w:tc>
          <w:tcPr>
            <w:tcW w:w="2977" w:type="dxa"/>
            <w:tcBorders>
              <w:top w:val="nil"/>
              <w:left w:val="single" w:sz="4" w:space="0" w:color="auto"/>
              <w:bottom w:val="nil"/>
              <w:right w:val="single" w:sz="4" w:space="0" w:color="auto"/>
            </w:tcBorders>
            <w:shd w:val="clear" w:color="auto" w:fill="auto"/>
            <w:noWrap/>
            <w:vAlign w:val="center"/>
            <w:hideMark/>
          </w:tcPr>
          <w:p w14:paraId="20E72668"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0.44</w:t>
            </w:r>
          </w:p>
        </w:tc>
        <w:tc>
          <w:tcPr>
            <w:tcW w:w="1938" w:type="dxa"/>
            <w:tcBorders>
              <w:top w:val="nil"/>
              <w:left w:val="single" w:sz="4" w:space="0" w:color="auto"/>
              <w:bottom w:val="nil"/>
              <w:right w:val="nil"/>
            </w:tcBorders>
            <w:shd w:val="clear" w:color="auto" w:fill="auto"/>
            <w:noWrap/>
            <w:vAlign w:val="center"/>
            <w:hideMark/>
          </w:tcPr>
          <w:p w14:paraId="5EB93AC5"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0.14</w:t>
            </w:r>
          </w:p>
        </w:tc>
      </w:tr>
      <w:tr w:rsidR="006B11D2" w:rsidRPr="00267667" w14:paraId="1EF2B36A" w14:textId="77777777" w:rsidTr="006B11D2">
        <w:trPr>
          <w:trHeight w:val="285"/>
        </w:trPr>
        <w:tc>
          <w:tcPr>
            <w:tcW w:w="1131" w:type="dxa"/>
            <w:tcBorders>
              <w:top w:val="nil"/>
              <w:left w:val="nil"/>
              <w:bottom w:val="nil"/>
              <w:right w:val="single" w:sz="8" w:space="0" w:color="auto"/>
            </w:tcBorders>
            <w:shd w:val="clear" w:color="auto" w:fill="auto"/>
            <w:noWrap/>
            <w:vAlign w:val="center"/>
            <w:hideMark/>
          </w:tcPr>
          <w:p w14:paraId="2DF199DF"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200mM</w:t>
            </w:r>
          </w:p>
        </w:tc>
        <w:tc>
          <w:tcPr>
            <w:tcW w:w="2980" w:type="dxa"/>
            <w:tcBorders>
              <w:top w:val="nil"/>
              <w:left w:val="single" w:sz="8" w:space="0" w:color="auto"/>
              <w:bottom w:val="nil"/>
              <w:right w:val="single" w:sz="4" w:space="0" w:color="auto"/>
            </w:tcBorders>
            <w:shd w:val="clear" w:color="auto" w:fill="auto"/>
            <w:noWrap/>
            <w:vAlign w:val="center"/>
            <w:hideMark/>
          </w:tcPr>
          <w:p w14:paraId="28A8C001"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0.46</w:t>
            </w:r>
          </w:p>
        </w:tc>
        <w:tc>
          <w:tcPr>
            <w:tcW w:w="2977" w:type="dxa"/>
            <w:tcBorders>
              <w:top w:val="nil"/>
              <w:left w:val="single" w:sz="4" w:space="0" w:color="auto"/>
              <w:bottom w:val="nil"/>
              <w:right w:val="single" w:sz="4" w:space="0" w:color="auto"/>
            </w:tcBorders>
            <w:shd w:val="clear" w:color="auto" w:fill="auto"/>
            <w:noWrap/>
            <w:vAlign w:val="center"/>
            <w:hideMark/>
          </w:tcPr>
          <w:p w14:paraId="6CDAB57C"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0.29</w:t>
            </w:r>
          </w:p>
        </w:tc>
        <w:tc>
          <w:tcPr>
            <w:tcW w:w="1938" w:type="dxa"/>
            <w:tcBorders>
              <w:top w:val="nil"/>
              <w:left w:val="single" w:sz="4" w:space="0" w:color="auto"/>
              <w:bottom w:val="nil"/>
              <w:right w:val="nil"/>
            </w:tcBorders>
            <w:shd w:val="clear" w:color="auto" w:fill="auto"/>
            <w:noWrap/>
            <w:vAlign w:val="center"/>
            <w:hideMark/>
          </w:tcPr>
          <w:p w14:paraId="1D714F0F"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0.14</w:t>
            </w:r>
          </w:p>
        </w:tc>
      </w:tr>
      <w:tr w:rsidR="006B11D2" w:rsidRPr="00267667" w14:paraId="11D6A894" w14:textId="77777777" w:rsidTr="006B11D2">
        <w:trPr>
          <w:trHeight w:val="285"/>
        </w:trPr>
        <w:tc>
          <w:tcPr>
            <w:tcW w:w="1131" w:type="dxa"/>
            <w:tcBorders>
              <w:top w:val="nil"/>
              <w:left w:val="nil"/>
              <w:bottom w:val="nil"/>
              <w:right w:val="single" w:sz="8" w:space="0" w:color="auto"/>
            </w:tcBorders>
            <w:shd w:val="clear" w:color="auto" w:fill="auto"/>
            <w:noWrap/>
            <w:vAlign w:val="center"/>
            <w:hideMark/>
          </w:tcPr>
          <w:p w14:paraId="5FD9AF7D"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100mM</w:t>
            </w:r>
          </w:p>
        </w:tc>
        <w:tc>
          <w:tcPr>
            <w:tcW w:w="2980" w:type="dxa"/>
            <w:tcBorders>
              <w:top w:val="nil"/>
              <w:left w:val="single" w:sz="8" w:space="0" w:color="auto"/>
              <w:bottom w:val="nil"/>
              <w:right w:val="single" w:sz="4" w:space="0" w:color="auto"/>
            </w:tcBorders>
            <w:shd w:val="clear" w:color="auto" w:fill="auto"/>
            <w:noWrap/>
            <w:vAlign w:val="center"/>
            <w:hideMark/>
          </w:tcPr>
          <w:p w14:paraId="3D2E4147"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c>
          <w:tcPr>
            <w:tcW w:w="2977" w:type="dxa"/>
            <w:tcBorders>
              <w:top w:val="nil"/>
              <w:left w:val="single" w:sz="4" w:space="0" w:color="auto"/>
              <w:bottom w:val="nil"/>
              <w:right w:val="single" w:sz="4" w:space="0" w:color="auto"/>
            </w:tcBorders>
            <w:shd w:val="clear" w:color="auto" w:fill="auto"/>
            <w:noWrap/>
            <w:vAlign w:val="center"/>
            <w:hideMark/>
          </w:tcPr>
          <w:p w14:paraId="328B05BA"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c>
          <w:tcPr>
            <w:tcW w:w="1938" w:type="dxa"/>
            <w:tcBorders>
              <w:top w:val="nil"/>
              <w:left w:val="single" w:sz="4" w:space="0" w:color="auto"/>
              <w:bottom w:val="nil"/>
              <w:right w:val="nil"/>
            </w:tcBorders>
            <w:shd w:val="clear" w:color="auto" w:fill="auto"/>
            <w:noWrap/>
            <w:vAlign w:val="center"/>
            <w:hideMark/>
          </w:tcPr>
          <w:p w14:paraId="1A678E9C"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r>
      <w:tr w:rsidR="006B11D2" w:rsidRPr="00267667" w14:paraId="617EC505" w14:textId="77777777" w:rsidTr="006B11D2">
        <w:trPr>
          <w:trHeight w:val="293"/>
        </w:trPr>
        <w:tc>
          <w:tcPr>
            <w:tcW w:w="1131" w:type="dxa"/>
            <w:tcBorders>
              <w:top w:val="nil"/>
              <w:left w:val="nil"/>
              <w:bottom w:val="single" w:sz="8" w:space="0" w:color="auto"/>
              <w:right w:val="single" w:sz="8" w:space="0" w:color="auto"/>
            </w:tcBorders>
            <w:shd w:val="clear" w:color="auto" w:fill="auto"/>
            <w:noWrap/>
            <w:vAlign w:val="center"/>
            <w:hideMark/>
          </w:tcPr>
          <w:p w14:paraId="730DE831"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0mM</w:t>
            </w:r>
          </w:p>
        </w:tc>
        <w:tc>
          <w:tcPr>
            <w:tcW w:w="2980" w:type="dxa"/>
            <w:tcBorders>
              <w:top w:val="nil"/>
              <w:left w:val="single" w:sz="8" w:space="0" w:color="auto"/>
              <w:bottom w:val="single" w:sz="8" w:space="0" w:color="auto"/>
              <w:right w:val="single" w:sz="4" w:space="0" w:color="auto"/>
            </w:tcBorders>
            <w:shd w:val="clear" w:color="auto" w:fill="auto"/>
            <w:noWrap/>
            <w:vAlign w:val="center"/>
            <w:hideMark/>
          </w:tcPr>
          <w:p w14:paraId="77918301"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c>
          <w:tcPr>
            <w:tcW w:w="2977" w:type="dxa"/>
            <w:tcBorders>
              <w:top w:val="nil"/>
              <w:left w:val="single" w:sz="4" w:space="0" w:color="auto"/>
              <w:bottom w:val="single" w:sz="8" w:space="0" w:color="auto"/>
              <w:right w:val="single" w:sz="4" w:space="0" w:color="auto"/>
            </w:tcBorders>
            <w:shd w:val="clear" w:color="auto" w:fill="auto"/>
            <w:noWrap/>
            <w:vAlign w:val="center"/>
            <w:hideMark/>
          </w:tcPr>
          <w:p w14:paraId="245BAA16"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c>
          <w:tcPr>
            <w:tcW w:w="1938" w:type="dxa"/>
            <w:tcBorders>
              <w:top w:val="nil"/>
              <w:left w:val="single" w:sz="4" w:space="0" w:color="auto"/>
              <w:bottom w:val="single" w:sz="8" w:space="0" w:color="auto"/>
              <w:right w:val="nil"/>
            </w:tcBorders>
            <w:shd w:val="clear" w:color="auto" w:fill="auto"/>
            <w:noWrap/>
            <w:vAlign w:val="center"/>
            <w:hideMark/>
          </w:tcPr>
          <w:p w14:paraId="6B98D70C"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r>
    </w:tbl>
    <w:p w14:paraId="5EF96F8D" w14:textId="69E50912" w:rsidR="00197390" w:rsidRPr="00267667" w:rsidRDefault="00197390">
      <w:pPr>
        <w:spacing w:before="0" w:line="240" w:lineRule="auto"/>
        <w:rPr>
          <w:sz w:val="22"/>
          <w:szCs w:val="22"/>
        </w:rPr>
      </w:pPr>
    </w:p>
    <w:p w14:paraId="25BDB721" w14:textId="72B9DA52" w:rsidR="006B11D2" w:rsidRPr="00267667" w:rsidRDefault="006B11D2" w:rsidP="006B11D2">
      <w:pPr>
        <w:jc w:val="both"/>
        <w:rPr>
          <w:sz w:val="22"/>
          <w:szCs w:val="22"/>
        </w:rPr>
      </w:pPr>
      <w:r w:rsidRPr="00267667">
        <w:rPr>
          <w:sz w:val="22"/>
          <w:szCs w:val="22"/>
        </w:rPr>
        <w:t>Fraction of non-responsive neuron pair and probability of neither neuron response</w:t>
      </w:r>
    </w:p>
    <w:tbl>
      <w:tblPr>
        <w:tblW w:w="9026" w:type="dxa"/>
        <w:tblLook w:val="04A0" w:firstRow="1" w:lastRow="0" w:firstColumn="1" w:lastColumn="0" w:noHBand="0" w:noVBand="1"/>
      </w:tblPr>
      <w:tblGrid>
        <w:gridCol w:w="1131"/>
        <w:gridCol w:w="3405"/>
        <w:gridCol w:w="2977"/>
        <w:gridCol w:w="1513"/>
      </w:tblGrid>
      <w:tr w:rsidR="006B11D2" w:rsidRPr="00267667" w14:paraId="6AFCCA37" w14:textId="77777777" w:rsidTr="006B11D2">
        <w:trPr>
          <w:trHeight w:val="831"/>
        </w:trPr>
        <w:tc>
          <w:tcPr>
            <w:tcW w:w="1131" w:type="dxa"/>
            <w:tcBorders>
              <w:top w:val="single" w:sz="8" w:space="0" w:color="auto"/>
              <w:left w:val="nil"/>
              <w:bottom w:val="single" w:sz="8" w:space="0" w:color="auto"/>
              <w:right w:val="nil"/>
            </w:tcBorders>
            <w:shd w:val="clear" w:color="auto" w:fill="auto"/>
            <w:noWrap/>
            <w:vAlign w:val="center"/>
            <w:hideMark/>
          </w:tcPr>
          <w:p w14:paraId="7A272EC6"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Stimulus</w:t>
            </w:r>
          </w:p>
        </w:tc>
        <w:tc>
          <w:tcPr>
            <w:tcW w:w="3405"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C3A4E33"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Fraction of non-responsive neuron pair</w:t>
            </w:r>
          </w:p>
        </w:tc>
        <w:tc>
          <w:tcPr>
            <w:tcW w:w="297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73D6E67F"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Probability of neither neuron response (P=(1-p</w:t>
            </w:r>
            <w:r w:rsidRPr="00267667">
              <w:rPr>
                <w:rFonts w:eastAsia="Times New Roman"/>
                <w:color w:val="000000"/>
                <w:sz w:val="22"/>
                <w:szCs w:val="22"/>
                <w:vertAlign w:val="subscript"/>
              </w:rPr>
              <w:t>l</w:t>
            </w:r>
            <w:r w:rsidRPr="00267667">
              <w:rPr>
                <w:rFonts w:eastAsia="Times New Roman"/>
                <w:color w:val="000000"/>
                <w:sz w:val="22"/>
                <w:szCs w:val="22"/>
              </w:rPr>
              <w:t>)(1-p</w:t>
            </w:r>
            <w:r w:rsidRPr="00267667">
              <w:rPr>
                <w:rFonts w:eastAsia="Times New Roman"/>
                <w:color w:val="000000"/>
                <w:sz w:val="22"/>
                <w:szCs w:val="22"/>
                <w:vertAlign w:val="subscript"/>
              </w:rPr>
              <w:t>R</w:t>
            </w:r>
            <w:r w:rsidRPr="00267667">
              <w:rPr>
                <w:rFonts w:eastAsia="Times New Roman"/>
                <w:color w:val="000000"/>
                <w:sz w:val="22"/>
                <w:szCs w:val="22"/>
              </w:rPr>
              <w:t>))</w:t>
            </w:r>
          </w:p>
        </w:tc>
        <w:tc>
          <w:tcPr>
            <w:tcW w:w="1513" w:type="dxa"/>
            <w:tcBorders>
              <w:top w:val="single" w:sz="8" w:space="0" w:color="auto"/>
              <w:left w:val="single" w:sz="4" w:space="0" w:color="auto"/>
              <w:bottom w:val="single" w:sz="8" w:space="0" w:color="auto"/>
              <w:right w:val="nil"/>
            </w:tcBorders>
            <w:shd w:val="clear" w:color="auto" w:fill="auto"/>
            <w:noWrap/>
            <w:vAlign w:val="center"/>
            <w:hideMark/>
          </w:tcPr>
          <w:p w14:paraId="16558C87"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STD/n</w:t>
            </w:r>
          </w:p>
        </w:tc>
      </w:tr>
      <w:tr w:rsidR="006B11D2" w:rsidRPr="00267667" w14:paraId="4CCBFCAD" w14:textId="77777777" w:rsidTr="006B11D2">
        <w:trPr>
          <w:trHeight w:val="285"/>
        </w:trPr>
        <w:tc>
          <w:tcPr>
            <w:tcW w:w="1131" w:type="dxa"/>
            <w:tcBorders>
              <w:top w:val="nil"/>
              <w:left w:val="nil"/>
              <w:bottom w:val="nil"/>
              <w:right w:val="nil"/>
            </w:tcBorders>
            <w:shd w:val="clear" w:color="auto" w:fill="auto"/>
            <w:noWrap/>
            <w:vAlign w:val="center"/>
            <w:hideMark/>
          </w:tcPr>
          <w:p w14:paraId="7EE6A281"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500mM</w:t>
            </w:r>
          </w:p>
        </w:tc>
        <w:tc>
          <w:tcPr>
            <w:tcW w:w="3405" w:type="dxa"/>
            <w:tcBorders>
              <w:top w:val="nil"/>
              <w:left w:val="single" w:sz="8" w:space="0" w:color="auto"/>
              <w:bottom w:val="nil"/>
              <w:right w:val="single" w:sz="4" w:space="0" w:color="auto"/>
            </w:tcBorders>
            <w:shd w:val="clear" w:color="auto" w:fill="auto"/>
            <w:noWrap/>
            <w:vAlign w:val="bottom"/>
            <w:hideMark/>
          </w:tcPr>
          <w:p w14:paraId="70F518E2"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c>
          <w:tcPr>
            <w:tcW w:w="2977" w:type="dxa"/>
            <w:tcBorders>
              <w:top w:val="nil"/>
              <w:left w:val="single" w:sz="4" w:space="0" w:color="auto"/>
              <w:bottom w:val="nil"/>
              <w:right w:val="single" w:sz="4" w:space="0" w:color="auto"/>
            </w:tcBorders>
            <w:shd w:val="clear" w:color="auto" w:fill="auto"/>
            <w:noWrap/>
            <w:vAlign w:val="bottom"/>
            <w:hideMark/>
          </w:tcPr>
          <w:p w14:paraId="05C89735"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c>
          <w:tcPr>
            <w:tcW w:w="1513" w:type="dxa"/>
            <w:tcBorders>
              <w:top w:val="nil"/>
              <w:left w:val="single" w:sz="4" w:space="0" w:color="auto"/>
              <w:bottom w:val="nil"/>
              <w:right w:val="nil"/>
            </w:tcBorders>
            <w:shd w:val="clear" w:color="auto" w:fill="auto"/>
            <w:noWrap/>
            <w:vAlign w:val="bottom"/>
            <w:hideMark/>
          </w:tcPr>
          <w:p w14:paraId="7B5D7E87"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r>
      <w:tr w:rsidR="006B11D2" w:rsidRPr="00267667" w14:paraId="6BD91DC6" w14:textId="77777777" w:rsidTr="006B11D2">
        <w:trPr>
          <w:trHeight w:val="285"/>
        </w:trPr>
        <w:tc>
          <w:tcPr>
            <w:tcW w:w="1131" w:type="dxa"/>
            <w:tcBorders>
              <w:top w:val="nil"/>
              <w:left w:val="nil"/>
              <w:bottom w:val="nil"/>
              <w:right w:val="nil"/>
            </w:tcBorders>
            <w:shd w:val="clear" w:color="auto" w:fill="auto"/>
            <w:noWrap/>
            <w:vAlign w:val="center"/>
            <w:hideMark/>
          </w:tcPr>
          <w:p w14:paraId="48A94799"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300mM</w:t>
            </w:r>
          </w:p>
        </w:tc>
        <w:tc>
          <w:tcPr>
            <w:tcW w:w="3405" w:type="dxa"/>
            <w:tcBorders>
              <w:top w:val="nil"/>
              <w:left w:val="single" w:sz="8" w:space="0" w:color="auto"/>
              <w:bottom w:val="nil"/>
              <w:right w:val="single" w:sz="4" w:space="0" w:color="auto"/>
            </w:tcBorders>
            <w:shd w:val="clear" w:color="auto" w:fill="auto"/>
            <w:noWrap/>
            <w:vAlign w:val="bottom"/>
            <w:hideMark/>
          </w:tcPr>
          <w:p w14:paraId="212C8EC0"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0.25</w:t>
            </w:r>
          </w:p>
        </w:tc>
        <w:tc>
          <w:tcPr>
            <w:tcW w:w="2977" w:type="dxa"/>
            <w:tcBorders>
              <w:top w:val="nil"/>
              <w:left w:val="single" w:sz="4" w:space="0" w:color="auto"/>
              <w:bottom w:val="nil"/>
              <w:right w:val="single" w:sz="4" w:space="0" w:color="auto"/>
            </w:tcBorders>
            <w:shd w:val="clear" w:color="auto" w:fill="auto"/>
            <w:noWrap/>
            <w:vAlign w:val="bottom"/>
            <w:hideMark/>
          </w:tcPr>
          <w:p w14:paraId="456D313E"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0.11</w:t>
            </w:r>
          </w:p>
        </w:tc>
        <w:tc>
          <w:tcPr>
            <w:tcW w:w="1513" w:type="dxa"/>
            <w:tcBorders>
              <w:top w:val="nil"/>
              <w:left w:val="single" w:sz="4" w:space="0" w:color="auto"/>
              <w:bottom w:val="nil"/>
              <w:right w:val="nil"/>
            </w:tcBorders>
            <w:shd w:val="clear" w:color="auto" w:fill="auto"/>
            <w:noWrap/>
            <w:vAlign w:val="bottom"/>
            <w:hideMark/>
          </w:tcPr>
          <w:p w14:paraId="0906FB08"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0.13</w:t>
            </w:r>
          </w:p>
        </w:tc>
      </w:tr>
      <w:tr w:rsidR="006B11D2" w:rsidRPr="00267667" w14:paraId="3EFA9EA9" w14:textId="77777777" w:rsidTr="006B11D2">
        <w:trPr>
          <w:trHeight w:val="285"/>
        </w:trPr>
        <w:tc>
          <w:tcPr>
            <w:tcW w:w="1131" w:type="dxa"/>
            <w:tcBorders>
              <w:top w:val="nil"/>
              <w:left w:val="nil"/>
              <w:bottom w:val="nil"/>
              <w:right w:val="nil"/>
            </w:tcBorders>
            <w:shd w:val="clear" w:color="auto" w:fill="auto"/>
            <w:noWrap/>
            <w:vAlign w:val="center"/>
            <w:hideMark/>
          </w:tcPr>
          <w:p w14:paraId="035813CB"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200mM</w:t>
            </w:r>
          </w:p>
        </w:tc>
        <w:tc>
          <w:tcPr>
            <w:tcW w:w="3405" w:type="dxa"/>
            <w:tcBorders>
              <w:top w:val="nil"/>
              <w:left w:val="single" w:sz="8" w:space="0" w:color="auto"/>
              <w:bottom w:val="nil"/>
              <w:right w:val="single" w:sz="4" w:space="0" w:color="auto"/>
            </w:tcBorders>
            <w:shd w:val="clear" w:color="auto" w:fill="auto"/>
            <w:noWrap/>
            <w:vAlign w:val="bottom"/>
            <w:hideMark/>
          </w:tcPr>
          <w:p w14:paraId="64FC04B9"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0.38</w:t>
            </w:r>
          </w:p>
        </w:tc>
        <w:tc>
          <w:tcPr>
            <w:tcW w:w="2977" w:type="dxa"/>
            <w:tcBorders>
              <w:top w:val="nil"/>
              <w:left w:val="single" w:sz="4" w:space="0" w:color="auto"/>
              <w:bottom w:val="nil"/>
              <w:right w:val="single" w:sz="4" w:space="0" w:color="auto"/>
            </w:tcBorders>
            <w:shd w:val="clear" w:color="auto" w:fill="auto"/>
            <w:noWrap/>
            <w:vAlign w:val="bottom"/>
            <w:hideMark/>
          </w:tcPr>
          <w:p w14:paraId="334E0CF7"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0.21</w:t>
            </w:r>
          </w:p>
        </w:tc>
        <w:tc>
          <w:tcPr>
            <w:tcW w:w="1513" w:type="dxa"/>
            <w:tcBorders>
              <w:top w:val="nil"/>
              <w:left w:val="single" w:sz="4" w:space="0" w:color="auto"/>
              <w:bottom w:val="nil"/>
              <w:right w:val="nil"/>
            </w:tcBorders>
            <w:shd w:val="clear" w:color="auto" w:fill="auto"/>
            <w:noWrap/>
            <w:vAlign w:val="bottom"/>
            <w:hideMark/>
          </w:tcPr>
          <w:p w14:paraId="54543ED0"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0.13</w:t>
            </w:r>
          </w:p>
        </w:tc>
      </w:tr>
      <w:tr w:rsidR="006B11D2" w:rsidRPr="00267667" w14:paraId="3F5CB230" w14:textId="77777777" w:rsidTr="006B11D2">
        <w:trPr>
          <w:trHeight w:val="285"/>
        </w:trPr>
        <w:tc>
          <w:tcPr>
            <w:tcW w:w="1131" w:type="dxa"/>
            <w:tcBorders>
              <w:top w:val="nil"/>
              <w:left w:val="nil"/>
              <w:bottom w:val="nil"/>
              <w:right w:val="nil"/>
            </w:tcBorders>
            <w:shd w:val="clear" w:color="auto" w:fill="auto"/>
            <w:noWrap/>
            <w:vAlign w:val="center"/>
            <w:hideMark/>
          </w:tcPr>
          <w:p w14:paraId="2FA57EDB"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100mM</w:t>
            </w:r>
          </w:p>
        </w:tc>
        <w:tc>
          <w:tcPr>
            <w:tcW w:w="3405" w:type="dxa"/>
            <w:tcBorders>
              <w:top w:val="nil"/>
              <w:left w:val="single" w:sz="8" w:space="0" w:color="auto"/>
              <w:bottom w:val="nil"/>
              <w:right w:val="single" w:sz="4" w:space="0" w:color="auto"/>
            </w:tcBorders>
            <w:shd w:val="clear" w:color="auto" w:fill="auto"/>
            <w:noWrap/>
            <w:vAlign w:val="bottom"/>
            <w:hideMark/>
          </w:tcPr>
          <w:p w14:paraId="7B0059A4"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1.00</w:t>
            </w:r>
          </w:p>
        </w:tc>
        <w:tc>
          <w:tcPr>
            <w:tcW w:w="2977" w:type="dxa"/>
            <w:tcBorders>
              <w:top w:val="nil"/>
              <w:left w:val="single" w:sz="4" w:space="0" w:color="auto"/>
              <w:bottom w:val="nil"/>
              <w:right w:val="single" w:sz="4" w:space="0" w:color="auto"/>
            </w:tcBorders>
            <w:shd w:val="clear" w:color="auto" w:fill="auto"/>
            <w:noWrap/>
            <w:vAlign w:val="bottom"/>
            <w:hideMark/>
          </w:tcPr>
          <w:p w14:paraId="577BF0B9"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1.00</w:t>
            </w:r>
          </w:p>
        </w:tc>
        <w:tc>
          <w:tcPr>
            <w:tcW w:w="1513" w:type="dxa"/>
            <w:tcBorders>
              <w:top w:val="nil"/>
              <w:left w:val="single" w:sz="4" w:space="0" w:color="auto"/>
              <w:bottom w:val="nil"/>
              <w:right w:val="nil"/>
            </w:tcBorders>
            <w:shd w:val="clear" w:color="auto" w:fill="auto"/>
            <w:noWrap/>
            <w:vAlign w:val="bottom"/>
            <w:hideMark/>
          </w:tcPr>
          <w:p w14:paraId="48CEC4B2"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r>
      <w:tr w:rsidR="006B11D2" w:rsidRPr="00267667" w14:paraId="3F8257D1" w14:textId="77777777" w:rsidTr="006B11D2">
        <w:trPr>
          <w:trHeight w:val="293"/>
        </w:trPr>
        <w:tc>
          <w:tcPr>
            <w:tcW w:w="1131" w:type="dxa"/>
            <w:tcBorders>
              <w:top w:val="nil"/>
              <w:left w:val="nil"/>
              <w:bottom w:val="single" w:sz="8" w:space="0" w:color="auto"/>
              <w:right w:val="nil"/>
            </w:tcBorders>
            <w:shd w:val="clear" w:color="auto" w:fill="auto"/>
            <w:noWrap/>
            <w:vAlign w:val="center"/>
            <w:hideMark/>
          </w:tcPr>
          <w:p w14:paraId="622CA6E3" w14:textId="77777777" w:rsidR="006B11D2" w:rsidRPr="00267667" w:rsidRDefault="006B11D2" w:rsidP="006B11D2">
            <w:pPr>
              <w:spacing w:line="240" w:lineRule="auto"/>
              <w:jc w:val="center"/>
              <w:rPr>
                <w:rFonts w:eastAsia="Times New Roman"/>
                <w:color w:val="000000"/>
                <w:sz w:val="22"/>
                <w:szCs w:val="22"/>
              </w:rPr>
            </w:pPr>
            <w:r w:rsidRPr="00267667">
              <w:rPr>
                <w:rFonts w:eastAsia="Times New Roman"/>
                <w:color w:val="000000"/>
                <w:sz w:val="22"/>
                <w:szCs w:val="22"/>
              </w:rPr>
              <w:t>0mM</w:t>
            </w:r>
          </w:p>
        </w:tc>
        <w:tc>
          <w:tcPr>
            <w:tcW w:w="3405" w:type="dxa"/>
            <w:tcBorders>
              <w:top w:val="nil"/>
              <w:left w:val="single" w:sz="8" w:space="0" w:color="auto"/>
              <w:bottom w:val="single" w:sz="8" w:space="0" w:color="auto"/>
              <w:right w:val="single" w:sz="4" w:space="0" w:color="auto"/>
            </w:tcBorders>
            <w:shd w:val="clear" w:color="auto" w:fill="auto"/>
            <w:noWrap/>
            <w:vAlign w:val="bottom"/>
            <w:hideMark/>
          </w:tcPr>
          <w:p w14:paraId="660B4F4B"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1.00</w:t>
            </w:r>
          </w:p>
        </w:tc>
        <w:tc>
          <w:tcPr>
            <w:tcW w:w="2977" w:type="dxa"/>
            <w:tcBorders>
              <w:top w:val="nil"/>
              <w:left w:val="single" w:sz="4" w:space="0" w:color="auto"/>
              <w:bottom w:val="single" w:sz="8" w:space="0" w:color="auto"/>
              <w:right w:val="single" w:sz="4" w:space="0" w:color="auto"/>
            </w:tcBorders>
            <w:shd w:val="clear" w:color="auto" w:fill="auto"/>
            <w:noWrap/>
            <w:vAlign w:val="bottom"/>
            <w:hideMark/>
          </w:tcPr>
          <w:p w14:paraId="5AEDE19C"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1.00</w:t>
            </w:r>
          </w:p>
        </w:tc>
        <w:tc>
          <w:tcPr>
            <w:tcW w:w="1513" w:type="dxa"/>
            <w:tcBorders>
              <w:top w:val="nil"/>
              <w:left w:val="single" w:sz="4" w:space="0" w:color="auto"/>
              <w:bottom w:val="single" w:sz="8" w:space="0" w:color="auto"/>
              <w:right w:val="nil"/>
            </w:tcBorders>
            <w:shd w:val="clear" w:color="auto" w:fill="auto"/>
            <w:noWrap/>
            <w:vAlign w:val="bottom"/>
            <w:hideMark/>
          </w:tcPr>
          <w:p w14:paraId="72F5170E" w14:textId="77777777" w:rsidR="006B11D2" w:rsidRPr="00267667" w:rsidRDefault="006B11D2" w:rsidP="006B11D2">
            <w:pPr>
              <w:spacing w:line="240" w:lineRule="auto"/>
              <w:jc w:val="center"/>
              <w:rPr>
                <w:rFonts w:eastAsia="Times New Roman"/>
                <w:color w:val="000000"/>
                <w:sz w:val="22"/>
                <w:szCs w:val="22"/>
              </w:rPr>
            </w:pPr>
            <w:r w:rsidRPr="00267667">
              <w:rPr>
                <w:color w:val="000000"/>
                <w:sz w:val="22"/>
                <w:szCs w:val="22"/>
              </w:rPr>
              <w:t>0.00</w:t>
            </w:r>
          </w:p>
        </w:tc>
      </w:tr>
    </w:tbl>
    <w:p w14:paraId="066FBDC7" w14:textId="77777777" w:rsidR="006B11D2" w:rsidRPr="00267667" w:rsidRDefault="006B11D2" w:rsidP="006B11D2">
      <w:pPr>
        <w:spacing w:before="0" w:after="200"/>
        <w:jc w:val="both"/>
        <w:rPr>
          <w:sz w:val="22"/>
          <w:szCs w:val="22"/>
        </w:rPr>
      </w:pPr>
    </w:p>
    <w:p w14:paraId="2C655D7B" w14:textId="77777777" w:rsidR="00540B2C" w:rsidRPr="00267667" w:rsidRDefault="00540B2C" w:rsidP="00540B2C">
      <w:pPr>
        <w:spacing w:before="0" w:after="200"/>
        <w:rPr>
          <w:sz w:val="22"/>
          <w:szCs w:val="22"/>
        </w:rPr>
      </w:pPr>
    </w:p>
    <w:p w14:paraId="51FFE803" w14:textId="77777777" w:rsidR="00540B2C" w:rsidRPr="00267667" w:rsidRDefault="00540B2C" w:rsidP="00540B2C">
      <w:pPr>
        <w:spacing w:before="0" w:after="200"/>
        <w:rPr>
          <w:sz w:val="22"/>
          <w:szCs w:val="22"/>
        </w:rPr>
      </w:pPr>
    </w:p>
    <w:p w14:paraId="542E35D8" w14:textId="77777777" w:rsidR="00540B2C" w:rsidRPr="00267667" w:rsidRDefault="00540B2C" w:rsidP="00540B2C">
      <w:pPr>
        <w:spacing w:before="0" w:after="200"/>
        <w:rPr>
          <w:sz w:val="22"/>
          <w:szCs w:val="22"/>
        </w:rPr>
      </w:pPr>
    </w:p>
    <w:p w14:paraId="5890ADE2" w14:textId="6174AD6E" w:rsidR="006B11D2" w:rsidRPr="00267667" w:rsidRDefault="006B11D2" w:rsidP="00AB6B55">
      <w:pPr>
        <w:spacing w:before="0" w:after="200"/>
        <w:rPr>
          <w:sz w:val="22"/>
          <w:szCs w:val="22"/>
        </w:rPr>
      </w:pPr>
      <w:r w:rsidRPr="00267667">
        <w:rPr>
          <w:sz w:val="22"/>
          <w:szCs w:val="22"/>
        </w:rPr>
        <w:t>Video S1 (VideoS1_Flowredirection.avi). The redirection of the stimulus flow. Buffer containing fluorescein is used to indicate the stimulus flow. The direction of the flow is repeatedly switched with the interval of 1 second. The fluorescein solution flows toward or against the amphid of the immobilised worm.</w:t>
      </w:r>
    </w:p>
    <w:p w14:paraId="416BA519" w14:textId="77777777" w:rsidR="006B11D2" w:rsidRPr="00267667" w:rsidRDefault="006B11D2" w:rsidP="006B11D2">
      <w:pPr>
        <w:spacing w:before="0" w:after="200"/>
        <w:jc w:val="both"/>
        <w:rPr>
          <w:sz w:val="22"/>
          <w:szCs w:val="22"/>
        </w:rPr>
      </w:pPr>
    </w:p>
    <w:p w14:paraId="59A97C6F" w14:textId="04AEAD07" w:rsidR="006B11D2" w:rsidRPr="00267667" w:rsidRDefault="006B11D2" w:rsidP="006B11D2">
      <w:pPr>
        <w:spacing w:before="0" w:after="200"/>
        <w:jc w:val="both"/>
        <w:rPr>
          <w:sz w:val="22"/>
          <w:szCs w:val="22"/>
        </w:rPr>
      </w:pPr>
      <w:r w:rsidRPr="00267667">
        <w:rPr>
          <w:sz w:val="22"/>
          <w:szCs w:val="22"/>
        </w:rPr>
        <w:t xml:space="preserve">Video S2 (VideoS2_ASE.avi). The response of ASE left and right. The worm is in chemotaxis buffer containing 50 mM NaCl. After the immobilisation and incubation for 5 minutes, the amphid of the worm is exposed to the higher concentration of NaCl (100 mM) for 60 seconds and is followed by the base concentration for another 60 seconds. The ASEL responds to the increased concentration and ASER to the decreased concentration. The movie </w:t>
      </w:r>
      <w:r w:rsidR="009F58B1" w:rsidRPr="00267667">
        <w:rPr>
          <w:sz w:val="22"/>
          <w:szCs w:val="22"/>
        </w:rPr>
        <w:t>is</w:t>
      </w:r>
      <w:r w:rsidRPr="00267667">
        <w:rPr>
          <w:sz w:val="22"/>
          <w:szCs w:val="22"/>
        </w:rPr>
        <w:t xml:space="preserve"> recorded with the speed of 6X. </w:t>
      </w:r>
    </w:p>
    <w:p w14:paraId="56178BAF" w14:textId="77777777" w:rsidR="006B11D2" w:rsidRPr="00267667" w:rsidRDefault="006B11D2" w:rsidP="006B11D2">
      <w:pPr>
        <w:spacing w:before="0" w:after="200"/>
        <w:jc w:val="both"/>
        <w:rPr>
          <w:sz w:val="22"/>
          <w:szCs w:val="22"/>
        </w:rPr>
      </w:pPr>
    </w:p>
    <w:p w14:paraId="60569EDA" w14:textId="77777777" w:rsidR="006B11D2" w:rsidRPr="00267667" w:rsidRDefault="006B11D2" w:rsidP="006B11D2">
      <w:pPr>
        <w:spacing w:before="0" w:after="200"/>
        <w:jc w:val="both"/>
        <w:rPr>
          <w:sz w:val="22"/>
          <w:szCs w:val="22"/>
        </w:rPr>
      </w:pPr>
      <w:r w:rsidRPr="00267667">
        <w:rPr>
          <w:sz w:val="22"/>
          <w:szCs w:val="22"/>
        </w:rPr>
        <w:t xml:space="preserve">Video S3 (VideoS3_ASH.avi). The response of ASH left and right. The stimulus (500 mM NaCl) is treated to the amphid of the </w:t>
      </w:r>
      <w:r w:rsidRPr="00267667">
        <w:rPr>
          <w:i/>
          <w:sz w:val="22"/>
          <w:szCs w:val="22"/>
        </w:rPr>
        <w:t>C. elegans</w:t>
      </w:r>
      <w:r w:rsidRPr="00267667">
        <w:rPr>
          <w:sz w:val="22"/>
          <w:szCs w:val="22"/>
        </w:rPr>
        <w:t xml:space="preserve"> for 3 seconds after the immobilisation and incubation for 5 minutes. Both ASHL and ASHR responses to the stimulus and the repolarisation started as soon as the stimulus is eliminated.</w:t>
      </w:r>
    </w:p>
    <w:p w14:paraId="589F049C" w14:textId="77777777" w:rsidR="00F523ED" w:rsidRPr="00267667" w:rsidRDefault="00F523ED">
      <w:pPr>
        <w:rPr>
          <w:sz w:val="22"/>
          <w:szCs w:val="22"/>
        </w:rPr>
      </w:pPr>
    </w:p>
    <w:p w14:paraId="4F5D41A1" w14:textId="77777777" w:rsidR="00F523ED" w:rsidRPr="00267667" w:rsidRDefault="00F523ED">
      <w:pPr>
        <w:rPr>
          <w:sz w:val="22"/>
          <w:szCs w:val="22"/>
        </w:rPr>
      </w:pPr>
    </w:p>
    <w:p w14:paraId="13D6EA81" w14:textId="25095557" w:rsidR="00920413" w:rsidRPr="00267667" w:rsidRDefault="00F523ED">
      <w:pPr>
        <w:rPr>
          <w:sz w:val="22"/>
          <w:szCs w:val="22"/>
        </w:rPr>
      </w:pPr>
      <w:r w:rsidRPr="00267667">
        <w:rPr>
          <w:rFonts w:eastAsia="Batang"/>
          <w:sz w:val="22"/>
          <w:szCs w:val="22"/>
          <w:lang w:val="en-US" w:eastAsia="en-US"/>
        </w:rPr>
        <w:fldChar w:fldCharType="begin"/>
      </w:r>
      <w:r w:rsidRPr="00267667">
        <w:rPr>
          <w:sz w:val="22"/>
          <w:szCs w:val="22"/>
        </w:rPr>
        <w:instrText xml:space="preserve"> ADDIN EN.REFLIST </w:instrText>
      </w:r>
      <w:r w:rsidRPr="00267667">
        <w:rPr>
          <w:rFonts w:eastAsia="Batang"/>
          <w:sz w:val="22"/>
          <w:szCs w:val="22"/>
          <w:lang w:val="en-US" w:eastAsia="en-US"/>
        </w:rPr>
        <w:fldChar w:fldCharType="end"/>
      </w:r>
      <w:bookmarkEnd w:id="1"/>
    </w:p>
    <w:sectPr w:rsidR="00920413" w:rsidRPr="00267667" w:rsidSect="00070195">
      <w:pgSz w:w="11906" w:h="16838"/>
      <w:pgMar w:top="1440" w:right="1440" w:bottom="1440" w:left="144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 w:name="Lohit Devanagari">
    <w:altName w:val="Times New Roman"/>
    <w:panose1 w:val="00000000000000000000"/>
    <w:charset w:val="00"/>
    <w:family w:val="roman"/>
    <w:notTrueType/>
    <w:pitch w:val="default"/>
  </w:font>
  <w:font w:name="Gulim">
    <w:altName w:val="Arial Unicode MS"/>
    <w:panose1 w:val="020B0600000101010101"/>
    <w:charset w:val="81"/>
    <w:family w:val="roman"/>
    <w:notTrueType/>
    <w:pitch w:val="fixed"/>
    <w:sig w:usb0="00000000"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Y2NDQwNDGzsDQwNzBS0lEKTi0uzszPAykwNK8FAAwdd6otAAAA"/>
    <w:docVar w:name="EN.InstantFormat" w:val="&lt;ENInstantFormat&gt;&lt;Enabled&gt;1&lt;/Enabled&gt;&lt;ScanUnformatted&gt;1&lt;/ScanUnformatted&gt;&lt;ScanChanges&gt;1&lt;/ScanChanges&gt;&lt;Suspended&gt;0&lt;/Suspended&gt;&lt;/ENInstantFormat&gt;"/>
    <w:docVar w:name="EN.Layout" w:val="&lt;ENLayout&gt;&lt;Style&gt;Lab on a Chip&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e0pwd2dwttdled5v9xv2zet9pe5fs9rtwa&quot;&gt;My EndNote Library_2016&lt;record-ids&gt;&lt;item&gt;555&lt;/item&gt;&lt;item&gt;584&lt;/item&gt;&lt;/record-ids&gt;&lt;/item&gt;&lt;/Libraries&gt;"/>
  </w:docVars>
  <w:rsids>
    <w:rsidRoot w:val="00920413"/>
    <w:rsid w:val="000107F9"/>
    <w:rsid w:val="00013ABD"/>
    <w:rsid w:val="00015AB9"/>
    <w:rsid w:val="00016C95"/>
    <w:rsid w:val="00025A1D"/>
    <w:rsid w:val="00037C6A"/>
    <w:rsid w:val="000570F5"/>
    <w:rsid w:val="000572DC"/>
    <w:rsid w:val="00061522"/>
    <w:rsid w:val="00070195"/>
    <w:rsid w:val="00080211"/>
    <w:rsid w:val="000B00D6"/>
    <w:rsid w:val="000C10B1"/>
    <w:rsid w:val="000C3C92"/>
    <w:rsid w:val="0011536A"/>
    <w:rsid w:val="00117156"/>
    <w:rsid w:val="001421AE"/>
    <w:rsid w:val="001560F1"/>
    <w:rsid w:val="00180869"/>
    <w:rsid w:val="00197390"/>
    <w:rsid w:val="001B5FD0"/>
    <w:rsid w:val="001E5F00"/>
    <w:rsid w:val="001F1F15"/>
    <w:rsid w:val="002100B3"/>
    <w:rsid w:val="00252113"/>
    <w:rsid w:val="00267667"/>
    <w:rsid w:val="0027466F"/>
    <w:rsid w:val="00277E97"/>
    <w:rsid w:val="00284144"/>
    <w:rsid w:val="002A1155"/>
    <w:rsid w:val="002B5DBE"/>
    <w:rsid w:val="002F4A49"/>
    <w:rsid w:val="00300503"/>
    <w:rsid w:val="00350F33"/>
    <w:rsid w:val="00370A91"/>
    <w:rsid w:val="00383A51"/>
    <w:rsid w:val="00392F08"/>
    <w:rsid w:val="003A1372"/>
    <w:rsid w:val="003C49BE"/>
    <w:rsid w:val="00417732"/>
    <w:rsid w:val="00426DDA"/>
    <w:rsid w:val="00437C27"/>
    <w:rsid w:val="00481A63"/>
    <w:rsid w:val="004954B5"/>
    <w:rsid w:val="00497420"/>
    <w:rsid w:val="004A49F2"/>
    <w:rsid w:val="004C090D"/>
    <w:rsid w:val="004F5521"/>
    <w:rsid w:val="004F64D8"/>
    <w:rsid w:val="00500720"/>
    <w:rsid w:val="00500D0D"/>
    <w:rsid w:val="00540B2C"/>
    <w:rsid w:val="00550598"/>
    <w:rsid w:val="00596467"/>
    <w:rsid w:val="005B0379"/>
    <w:rsid w:val="005F7EA7"/>
    <w:rsid w:val="00607327"/>
    <w:rsid w:val="0062594D"/>
    <w:rsid w:val="00634539"/>
    <w:rsid w:val="00642200"/>
    <w:rsid w:val="00642B2A"/>
    <w:rsid w:val="0064390C"/>
    <w:rsid w:val="00644311"/>
    <w:rsid w:val="006521D9"/>
    <w:rsid w:val="0067142E"/>
    <w:rsid w:val="0069335A"/>
    <w:rsid w:val="006A1C66"/>
    <w:rsid w:val="006A2829"/>
    <w:rsid w:val="006B11D2"/>
    <w:rsid w:val="006B2559"/>
    <w:rsid w:val="006F03B6"/>
    <w:rsid w:val="00705341"/>
    <w:rsid w:val="00710E7F"/>
    <w:rsid w:val="007278D6"/>
    <w:rsid w:val="00773B13"/>
    <w:rsid w:val="0078111F"/>
    <w:rsid w:val="00787544"/>
    <w:rsid w:val="007A0162"/>
    <w:rsid w:val="007A1318"/>
    <w:rsid w:val="007C7054"/>
    <w:rsid w:val="007D2365"/>
    <w:rsid w:val="007D2B03"/>
    <w:rsid w:val="007E75DA"/>
    <w:rsid w:val="007F7A93"/>
    <w:rsid w:val="00805375"/>
    <w:rsid w:val="008279B8"/>
    <w:rsid w:val="0084679A"/>
    <w:rsid w:val="008761C3"/>
    <w:rsid w:val="008E76B1"/>
    <w:rsid w:val="008F6590"/>
    <w:rsid w:val="00920413"/>
    <w:rsid w:val="009210F5"/>
    <w:rsid w:val="00923A1D"/>
    <w:rsid w:val="009A77C0"/>
    <w:rsid w:val="009B1D32"/>
    <w:rsid w:val="009F58B1"/>
    <w:rsid w:val="00A4233A"/>
    <w:rsid w:val="00A777A8"/>
    <w:rsid w:val="00A8082C"/>
    <w:rsid w:val="00AB6B55"/>
    <w:rsid w:val="00AB7CD8"/>
    <w:rsid w:val="00AE041A"/>
    <w:rsid w:val="00AE1288"/>
    <w:rsid w:val="00AE7E9A"/>
    <w:rsid w:val="00AF47DB"/>
    <w:rsid w:val="00AF4CF8"/>
    <w:rsid w:val="00B01C19"/>
    <w:rsid w:val="00B12E72"/>
    <w:rsid w:val="00B16438"/>
    <w:rsid w:val="00B342AD"/>
    <w:rsid w:val="00B60F27"/>
    <w:rsid w:val="00B74DF2"/>
    <w:rsid w:val="00B87621"/>
    <w:rsid w:val="00B92362"/>
    <w:rsid w:val="00BB4816"/>
    <w:rsid w:val="00BD45CF"/>
    <w:rsid w:val="00BD67DD"/>
    <w:rsid w:val="00BE3E76"/>
    <w:rsid w:val="00BF5C76"/>
    <w:rsid w:val="00C00D4F"/>
    <w:rsid w:val="00C10216"/>
    <w:rsid w:val="00C3256E"/>
    <w:rsid w:val="00C62E84"/>
    <w:rsid w:val="00C662F2"/>
    <w:rsid w:val="00C7699B"/>
    <w:rsid w:val="00CB393A"/>
    <w:rsid w:val="00CB4B39"/>
    <w:rsid w:val="00CB75EF"/>
    <w:rsid w:val="00CF2732"/>
    <w:rsid w:val="00D10139"/>
    <w:rsid w:val="00D15B21"/>
    <w:rsid w:val="00D4710B"/>
    <w:rsid w:val="00D50C62"/>
    <w:rsid w:val="00DF3817"/>
    <w:rsid w:val="00E01ABD"/>
    <w:rsid w:val="00E073F1"/>
    <w:rsid w:val="00E31E72"/>
    <w:rsid w:val="00E36A7A"/>
    <w:rsid w:val="00E55225"/>
    <w:rsid w:val="00EA7D05"/>
    <w:rsid w:val="00EB4BDD"/>
    <w:rsid w:val="00EB4C36"/>
    <w:rsid w:val="00EB5FA1"/>
    <w:rsid w:val="00ED0EBD"/>
    <w:rsid w:val="00EF33A0"/>
    <w:rsid w:val="00EF44C3"/>
    <w:rsid w:val="00F00A83"/>
    <w:rsid w:val="00F035DB"/>
    <w:rsid w:val="00F26D71"/>
    <w:rsid w:val="00F35932"/>
    <w:rsid w:val="00F510C5"/>
    <w:rsid w:val="00F523ED"/>
    <w:rsid w:val="00F81D03"/>
    <w:rsid w:val="00FB7F05"/>
    <w:rsid w:val="00FD1BE3"/>
    <w:rsid w:val="00FF0A79"/>
  </w:rsids>
  <m:mathPr>
    <m:mathFont m:val="Cambria Math"/>
    <m:brkBin m:val="before"/>
    <m:brkBinSub m:val="--"/>
    <m:smallFrac m:val="0"/>
    <m:dispDef/>
    <m:lMargin m:val="0"/>
    <m:rMargin m:val="0"/>
    <m:defJc m:val="centerGroup"/>
    <m:wrapIndent m:val="1440"/>
    <m:intLim m:val="subSup"/>
    <m:naryLim m:val="undOvr"/>
  </m:mathPr>
  <w:themeFontLang w:val="en-GB"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1F6B9"/>
  <w15:docId w15:val="{8425C90F-C0DC-466E-9469-C58935C98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szCs w:val="24"/>
        <w:lang w:val="en-GB"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4E"/>
    <w:pPr>
      <w:spacing w:before="120" w:line="276" w:lineRule="auto"/>
    </w:pPr>
    <w:rPr>
      <w:color w:val="00000A"/>
      <w:sz w:val="24"/>
    </w:rPr>
  </w:style>
  <w:style w:type="paragraph" w:styleId="Heading1">
    <w:name w:val="heading 1"/>
    <w:basedOn w:val="Normal"/>
    <w:next w:val="Normal"/>
    <w:link w:val="Heading1Char"/>
    <w:autoRedefine/>
    <w:uiPriority w:val="9"/>
    <w:qFormat/>
    <w:rsid w:val="00EB66B1"/>
    <w:pPr>
      <w:keepNext/>
      <w:keepLines/>
      <w:outlineLvl w:val="0"/>
    </w:pPr>
    <w:rPr>
      <w:rFonts w:eastAsiaTheme="majorEastAsia"/>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eastAsiaTheme="majorEastAsia"/>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eastAsiaTheme="majorEastAsia"/>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heme="majorEastAsia"/>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heme="majorEastAsia"/>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heme="majorEastAsia"/>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heme="majorEastAsia" w:cstheme="majorBidi"/>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headingChar">
    <w:name w:val="Subheading Char"/>
    <w:basedOn w:val="DefaultParagraphFont"/>
    <w:link w:val="Subheading"/>
    <w:qFormat/>
    <w:rsid w:val="00E209F2"/>
    <w:rPr>
      <w:rFonts w:ascii="Arial" w:hAnsi="Arial" w:cs="Arial"/>
      <w:b/>
      <w:sz w:val="28"/>
    </w:rPr>
  </w:style>
  <w:style w:type="character" w:customStyle="1" w:styleId="TitleChar">
    <w:name w:val="Title Char"/>
    <w:basedOn w:val="DefaultParagraphFont"/>
    <w:link w:val="Title"/>
    <w:uiPriority w:val="10"/>
    <w:qFormat/>
    <w:rsid w:val="005B0D14"/>
    <w:rPr>
      <w:rFonts w:eastAsiaTheme="majorEastAsia"/>
      <w:b/>
      <w:spacing w:val="5"/>
      <w:sz w:val="36"/>
      <w:szCs w:val="52"/>
    </w:rPr>
  </w:style>
  <w:style w:type="character" w:customStyle="1" w:styleId="SubtitleChar">
    <w:name w:val="Subtitle Char"/>
    <w:basedOn w:val="DefaultParagraphFont"/>
    <w:link w:val="Subtitle"/>
    <w:uiPriority w:val="11"/>
    <w:qFormat/>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qFormat/>
    <w:rsid w:val="00EB66B1"/>
    <w:rPr>
      <w:rFonts w:ascii="Arial" w:eastAsiaTheme="majorEastAsia" w:hAnsi="Arial" w:cs="Arial"/>
      <w:b/>
      <w:bCs/>
      <w:sz w:val="36"/>
      <w:szCs w:val="28"/>
    </w:rPr>
  </w:style>
  <w:style w:type="character" w:customStyle="1" w:styleId="Heading2Char">
    <w:name w:val="Heading 2 Char"/>
    <w:basedOn w:val="DefaultParagraphFont"/>
    <w:link w:val="Heading2"/>
    <w:uiPriority w:val="9"/>
    <w:qFormat/>
    <w:rsid w:val="00EB66B1"/>
    <w:rPr>
      <w:rFonts w:ascii="Arial" w:eastAsiaTheme="majorEastAsia" w:hAnsi="Arial" w:cs="Arial"/>
      <w:b/>
      <w:bCs/>
      <w:sz w:val="28"/>
      <w:szCs w:val="26"/>
    </w:rPr>
  </w:style>
  <w:style w:type="character" w:customStyle="1" w:styleId="Heading3Char">
    <w:name w:val="Heading 3 Char"/>
    <w:basedOn w:val="DefaultParagraphFont"/>
    <w:link w:val="Heading3"/>
    <w:uiPriority w:val="9"/>
    <w:qFormat/>
    <w:rsid w:val="00EB66B1"/>
    <w:rPr>
      <w:rFonts w:ascii="Arial" w:eastAsiaTheme="majorEastAsia" w:hAnsi="Arial" w:cs="Arial"/>
      <w:b/>
      <w:bCs/>
      <w:sz w:val="24"/>
    </w:rPr>
  </w:style>
  <w:style w:type="character" w:customStyle="1" w:styleId="Heading4Char">
    <w:name w:val="Heading 4 Char"/>
    <w:basedOn w:val="DefaultParagraphFont"/>
    <w:link w:val="Heading4"/>
    <w:uiPriority w:val="9"/>
    <w:qFormat/>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qFormat/>
    <w:rsid w:val="00273123"/>
    <w:rPr>
      <w:rFonts w:ascii="Arial" w:eastAsiaTheme="majorEastAsia" w:hAnsi="Arial" w:cs="Arial"/>
      <w:b/>
      <w:sz w:val="24"/>
    </w:rPr>
  </w:style>
  <w:style w:type="character" w:customStyle="1" w:styleId="Heading6Char">
    <w:name w:val="Heading 6 Char"/>
    <w:basedOn w:val="DefaultParagraphFont"/>
    <w:link w:val="Heading6"/>
    <w:uiPriority w:val="9"/>
    <w:qFormat/>
    <w:rsid w:val="006F163E"/>
    <w:rPr>
      <w:rFonts w:ascii="Arial" w:eastAsiaTheme="majorEastAsia" w:hAnsi="Arial" w:cs="Arial"/>
      <w:b/>
      <w:iCs/>
      <w:sz w:val="24"/>
    </w:rPr>
  </w:style>
  <w:style w:type="character" w:customStyle="1" w:styleId="QuoteChar">
    <w:name w:val="Quote Char"/>
    <w:basedOn w:val="DefaultParagraphFont"/>
    <w:uiPriority w:val="29"/>
    <w:qFormat/>
    <w:rsid w:val="00E209F2"/>
    <w:rPr>
      <w:rFonts w:ascii="Arial" w:hAnsi="Arial" w:cs="Arial"/>
      <w:i/>
      <w:iCs/>
      <w:color w:val="000000" w:themeColor="text1"/>
      <w:sz w:val="28"/>
    </w:rPr>
  </w:style>
  <w:style w:type="character" w:customStyle="1" w:styleId="QuoteChar1">
    <w:name w:val="Quote Char1"/>
    <w:basedOn w:val="DefaultParagraphFont"/>
    <w:link w:val="Quote"/>
    <w:uiPriority w:val="29"/>
    <w:qFormat/>
    <w:rsid w:val="00AD1B4C"/>
    <w:rPr>
      <w:i/>
      <w:iCs/>
    </w:rPr>
  </w:style>
  <w:style w:type="character" w:styleId="IntenseEmphasis">
    <w:name w:val="Intense Emphasis"/>
    <w:basedOn w:val="DefaultParagraphFont"/>
    <w:uiPriority w:val="21"/>
    <w:qFormat/>
    <w:rsid w:val="00416AA0"/>
    <w:rPr>
      <w:b/>
      <w:bCs/>
      <w:i/>
      <w:iCs/>
      <w:color w:val="00000A"/>
    </w:rPr>
  </w:style>
  <w:style w:type="character" w:customStyle="1" w:styleId="IntenseQuoteChar">
    <w:name w:val="Intense Quote Char"/>
    <w:basedOn w:val="DefaultParagraphFont"/>
    <w:link w:val="IntenseQuote"/>
    <w:uiPriority w:val="30"/>
    <w:qFormat/>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00000A"/>
      <w:u w:val="single"/>
    </w:rPr>
  </w:style>
  <w:style w:type="character" w:customStyle="1" w:styleId="Heading7Char">
    <w:name w:val="Heading 7 Char"/>
    <w:basedOn w:val="DefaultParagraphFont"/>
    <w:link w:val="Heading7"/>
    <w:uiPriority w:val="9"/>
    <w:qFormat/>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qFormat/>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qFormat/>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00000A"/>
      <w:spacing w:val="5"/>
      <w:u w:val="single"/>
    </w:rPr>
  </w:style>
  <w:style w:type="character" w:styleId="PlaceholderText">
    <w:name w:val="Placeholder Text"/>
    <w:basedOn w:val="DefaultParagraphFont"/>
    <w:uiPriority w:val="99"/>
    <w:semiHidden/>
    <w:qFormat/>
    <w:rsid w:val="00AD3173"/>
    <w:rPr>
      <w:color w:val="00000A"/>
    </w:rPr>
  </w:style>
  <w:style w:type="character" w:customStyle="1" w:styleId="PlainTextChar">
    <w:name w:val="Plain Text Char"/>
    <w:basedOn w:val="DefaultParagraphFont"/>
    <w:link w:val="PlainText"/>
    <w:uiPriority w:val="99"/>
    <w:semiHidden/>
    <w:qFormat/>
    <w:rsid w:val="00330467"/>
    <w:rPr>
      <w:rFonts w:ascii="Consolas" w:hAnsi="Consolas"/>
      <w:szCs w:val="21"/>
    </w:rPr>
  </w:style>
  <w:style w:type="character" w:customStyle="1" w:styleId="BodyText3Char">
    <w:name w:val="Body Text 3 Char"/>
    <w:basedOn w:val="DefaultParagraphFont"/>
    <w:link w:val="BodyText3"/>
    <w:uiPriority w:val="99"/>
    <w:semiHidden/>
    <w:qFormat/>
    <w:rsid w:val="00890E90"/>
    <w:rPr>
      <w:sz w:val="20"/>
      <w:szCs w:val="16"/>
    </w:rPr>
  </w:style>
  <w:style w:type="character" w:customStyle="1" w:styleId="BodyTextChar">
    <w:name w:val="Body Text Char"/>
    <w:basedOn w:val="DefaultParagraphFont"/>
    <w:link w:val="BodyText"/>
    <w:uiPriority w:val="99"/>
    <w:semiHidden/>
    <w:qFormat/>
    <w:rsid w:val="0003438C"/>
    <w:rPr>
      <w:sz w:val="18"/>
    </w:rPr>
  </w:style>
  <w:style w:type="character" w:customStyle="1" w:styleId="BodyTextIndentChar">
    <w:name w:val="Body Text Indent Char"/>
    <w:basedOn w:val="BodyTextChar"/>
    <w:link w:val="BodyTextIndent"/>
    <w:uiPriority w:val="99"/>
    <w:qFormat/>
    <w:rsid w:val="00890E90"/>
    <w:rPr>
      <w:sz w:val="18"/>
    </w:rPr>
  </w:style>
  <w:style w:type="character" w:customStyle="1" w:styleId="BodyTextIndent3Char">
    <w:name w:val="Body Text Indent 3 Char"/>
    <w:basedOn w:val="DefaultParagraphFont"/>
    <w:link w:val="BodyTextIndent3"/>
    <w:uiPriority w:val="99"/>
    <w:qFormat/>
    <w:rsid w:val="00D00D33"/>
    <w:rPr>
      <w:sz w:val="20"/>
      <w:szCs w:val="16"/>
    </w:rPr>
  </w:style>
  <w:style w:type="character" w:customStyle="1" w:styleId="DocumentMapChar">
    <w:name w:val="Document Map Char"/>
    <w:basedOn w:val="DefaultParagraphFont"/>
    <w:link w:val="DocumentMap"/>
    <w:uiPriority w:val="99"/>
    <w:semiHidden/>
    <w:qFormat/>
    <w:rsid w:val="00B3772F"/>
    <w:rPr>
      <w:rFonts w:cs="Tahoma"/>
      <w:szCs w:val="16"/>
    </w:rPr>
  </w:style>
  <w:style w:type="character" w:customStyle="1" w:styleId="EndnoteTextChar">
    <w:name w:val="Endnote Text Char"/>
    <w:basedOn w:val="DefaultParagraphFont"/>
    <w:link w:val="EndnoteText"/>
    <w:uiPriority w:val="99"/>
    <w:qFormat/>
    <w:rsid w:val="00B3772F"/>
    <w:rPr>
      <w:szCs w:val="20"/>
    </w:rPr>
  </w:style>
  <w:style w:type="character" w:styleId="Emphasis">
    <w:name w:val="Emphasis"/>
    <w:basedOn w:val="DefaultParagraphFont"/>
    <w:uiPriority w:val="20"/>
    <w:qFormat/>
    <w:rsid w:val="00B3772F"/>
    <w:rPr>
      <w:i/>
      <w:iCs/>
    </w:rPr>
  </w:style>
  <w:style w:type="character" w:customStyle="1" w:styleId="MessageHeaderChar">
    <w:name w:val="Message Header Char"/>
    <w:basedOn w:val="DefaultParagraphFont"/>
    <w:link w:val="MessageHeader"/>
    <w:uiPriority w:val="99"/>
    <w:semiHidden/>
    <w:qFormat/>
    <w:rsid w:val="003400F1"/>
    <w:rPr>
      <w:rFonts w:eastAsiaTheme="majorEastAsia" w:cstheme="majorBidi"/>
      <w:shd w:val="clear" w:color="auto" w:fill="CCCCCC"/>
    </w:rPr>
  </w:style>
  <w:style w:type="character" w:customStyle="1" w:styleId="RSCH01PaperTitleChar">
    <w:name w:val="RSC H01 Paper Title Char"/>
    <w:basedOn w:val="DefaultParagraphFont"/>
    <w:link w:val="RSCH01PaperTitle"/>
    <w:qFormat/>
    <w:rsid w:val="0003438C"/>
    <w:rPr>
      <w:rFonts w:asciiTheme="minorHAnsi" w:eastAsia="Batang" w:hAnsiTheme="minorHAnsi" w:cs="Times New Roman"/>
      <w:b/>
      <w:sz w:val="29"/>
      <w:szCs w:val="32"/>
      <w:lang w:eastAsia="en-US"/>
    </w:rPr>
  </w:style>
  <w:style w:type="character" w:customStyle="1" w:styleId="RSCH02PaperAuthorsandBylineChar">
    <w:name w:val="RSC H02 Paper Authors and Byline Char"/>
    <w:basedOn w:val="DefaultParagraphFont"/>
    <w:link w:val="RSCH02PaperAuthorsandByline"/>
    <w:qFormat/>
    <w:rsid w:val="0003438C"/>
    <w:rPr>
      <w:rFonts w:asciiTheme="minorHAnsi" w:eastAsia="Batang" w:hAnsiTheme="minorHAnsi" w:cs="Times New Roman"/>
      <w:sz w:val="20"/>
      <w:szCs w:val="22"/>
      <w:lang w:eastAsia="en-US"/>
    </w:rPr>
  </w:style>
  <w:style w:type="character" w:customStyle="1" w:styleId="06CHeading">
    <w:name w:val="06 C Heading"/>
    <w:basedOn w:val="RSCB02ArticleTextChar"/>
    <w:qFormat/>
    <w:rsid w:val="0003438C"/>
    <w:rPr>
      <w:rFonts w:ascii="Times New Roman" w:eastAsia="Batang" w:hAnsi="Times New Roman" w:cs="Times New Roman"/>
      <w:b/>
      <w:smallCaps/>
      <w:w w:val="108"/>
      <w:sz w:val="18"/>
      <w:szCs w:val="18"/>
      <w:lang w:eastAsia="en-US"/>
    </w:rPr>
  </w:style>
  <w:style w:type="character" w:customStyle="1" w:styleId="RSCB02ArticleTextChar">
    <w:name w:val="RSC B02 Article Text Char"/>
    <w:basedOn w:val="DefaultParagraphFont"/>
    <w:link w:val="RSCB02ArticleText"/>
    <w:qFormat/>
    <w:rsid w:val="0003438C"/>
    <w:rPr>
      <w:rFonts w:asciiTheme="minorHAnsi" w:eastAsia="Batang" w:hAnsiTheme="minorHAnsi" w:cs="Times New Roman"/>
      <w:w w:val="108"/>
      <w:sz w:val="18"/>
      <w:szCs w:val="18"/>
      <w:lang w:eastAsia="en-US"/>
    </w:rPr>
  </w:style>
  <w:style w:type="character" w:customStyle="1" w:styleId="RSCB04AHeadingSectionChar">
    <w:name w:val="RSC B04 A Heading (Section) Char"/>
    <w:basedOn w:val="DefaultParagraphFont"/>
    <w:link w:val="RSCB04AHeadingSection"/>
    <w:qFormat/>
    <w:rsid w:val="0003438C"/>
    <w:rPr>
      <w:rFonts w:asciiTheme="minorHAnsi" w:eastAsia="Batang" w:hAnsiTheme="minorHAnsi" w:cstheme="minorBidi"/>
      <w:b/>
      <w:szCs w:val="22"/>
      <w:lang w:eastAsia="en-US"/>
    </w:rPr>
  </w:style>
  <w:style w:type="character" w:styleId="CommentReference">
    <w:name w:val="annotation reference"/>
    <w:basedOn w:val="DefaultParagraphFont"/>
    <w:uiPriority w:val="99"/>
    <w:semiHidden/>
    <w:unhideWhenUsed/>
    <w:qFormat/>
    <w:rsid w:val="0003438C"/>
    <w:rPr>
      <w:sz w:val="16"/>
      <w:szCs w:val="16"/>
    </w:rPr>
  </w:style>
  <w:style w:type="character" w:customStyle="1" w:styleId="FooterChar">
    <w:name w:val="Footer Char"/>
    <w:basedOn w:val="DefaultParagraphFont"/>
    <w:link w:val="Footer"/>
    <w:uiPriority w:val="99"/>
    <w:qFormat/>
    <w:rsid w:val="0003438C"/>
    <w:rPr>
      <w:rFonts w:asciiTheme="minorHAnsi" w:eastAsia="Batang" w:hAnsiTheme="minorHAnsi" w:cstheme="minorBidi"/>
      <w:sz w:val="22"/>
      <w:szCs w:val="22"/>
      <w:lang w:eastAsia="en-US"/>
    </w:rPr>
  </w:style>
  <w:style w:type="character" w:customStyle="1" w:styleId="RSCB06BHeadingSub-SectionChar">
    <w:name w:val="RSC B06 B Heading (Sub-Section) Char"/>
    <w:basedOn w:val="DefaultParagraphFont"/>
    <w:qFormat/>
    <w:rsid w:val="0003438C"/>
    <w:rPr>
      <w:rFonts w:asciiTheme="minorHAnsi" w:eastAsia="Batang" w:hAnsiTheme="minorHAnsi" w:cstheme="minorBidi"/>
      <w:b/>
      <w:sz w:val="18"/>
      <w:szCs w:val="22"/>
      <w:lang w:eastAsia="en-US"/>
    </w:rPr>
  </w:style>
  <w:style w:type="character" w:customStyle="1" w:styleId="EndNoteBibliographyChar">
    <w:name w:val="EndNote Bibliography Char"/>
    <w:basedOn w:val="DefaultParagraphFont"/>
    <w:link w:val="EndNoteBibliography"/>
    <w:qFormat/>
    <w:rsid w:val="004E4AE8"/>
    <w:rPr>
      <w:rFonts w:eastAsia="Batang"/>
      <w:color w:val="00000A"/>
      <w:sz w:val="24"/>
      <w:szCs w:val="22"/>
      <w:lang w:val="en-US" w:eastAsia="en-US"/>
    </w:rPr>
  </w:style>
  <w:style w:type="character" w:customStyle="1" w:styleId="RSCF01FootnoteAuthorAddressChar">
    <w:name w:val="RSC F01 Footnote Author Address Char"/>
    <w:basedOn w:val="DefaultParagraphFont"/>
    <w:link w:val="RSCF01FootnoteAuthorAddress"/>
    <w:qFormat/>
    <w:rsid w:val="0003438C"/>
    <w:rPr>
      <w:rFonts w:asciiTheme="minorHAnsi" w:eastAsia="Batang" w:hAnsiTheme="minorHAnsi" w:cs="Times New Roman"/>
      <w:i/>
      <w:w w:val="105"/>
      <w:sz w:val="14"/>
      <w:szCs w:val="14"/>
      <w:lang w:eastAsia="en-US"/>
    </w:rPr>
  </w:style>
  <w:style w:type="character" w:customStyle="1" w:styleId="RSCF02FootnotestoTitleAuthorsChar">
    <w:name w:val="RSC F02 Footnotes to Title/Authors Char"/>
    <w:basedOn w:val="DefaultParagraphFont"/>
    <w:link w:val="RSCF02FootnotestoTitleAuthors"/>
    <w:qFormat/>
    <w:rsid w:val="0003438C"/>
    <w:rPr>
      <w:rFonts w:asciiTheme="minorHAnsi" w:eastAsia="Batang" w:hAnsiTheme="minorHAnsi" w:cs="Times New Roman"/>
      <w:w w:val="105"/>
      <w:sz w:val="14"/>
      <w:szCs w:val="14"/>
      <w:lang w:eastAsia="en-US"/>
    </w:rPr>
  </w:style>
  <w:style w:type="character" w:customStyle="1" w:styleId="ListLabel1">
    <w:name w:val="ListLabel 1"/>
    <w:qFormat/>
    <w:rPr>
      <w:b w:val="0"/>
      <w:i/>
      <w:vertAlign w:val="superscript"/>
    </w:rPr>
  </w:style>
  <w:style w:type="character" w:customStyle="1" w:styleId="InternetLink">
    <w:name w:val="Internet Link"/>
    <w:rPr>
      <w:color w:val="000080"/>
      <w:u w:val="single"/>
    </w:rPr>
  </w:style>
  <w:style w:type="character" w:customStyle="1" w:styleId="BalloonTextChar">
    <w:name w:val="Balloon Text Char"/>
    <w:basedOn w:val="DefaultParagraphFont"/>
    <w:link w:val="BalloonText"/>
    <w:uiPriority w:val="99"/>
    <w:semiHidden/>
    <w:qFormat/>
    <w:rsid w:val="002E111C"/>
    <w:rPr>
      <w:rFonts w:ascii="Segoe UI" w:hAnsi="Segoe UI" w:cs="Segoe UI"/>
      <w:sz w:val="18"/>
      <w:szCs w:val="18"/>
    </w:rPr>
  </w:style>
  <w:style w:type="character" w:customStyle="1" w:styleId="HeaderChar">
    <w:name w:val="Header Char"/>
    <w:basedOn w:val="DefaultParagraphFont"/>
    <w:link w:val="Header"/>
    <w:uiPriority w:val="99"/>
    <w:qFormat/>
    <w:rsid w:val="00E53B6D"/>
  </w:style>
  <w:style w:type="character" w:customStyle="1" w:styleId="EndNoteBibliographyTitleChar">
    <w:name w:val="EndNote Bibliography Title Char"/>
    <w:basedOn w:val="RSCB02ArticleTextChar"/>
    <w:link w:val="EndNoteBibliographyTitle"/>
    <w:qFormat/>
    <w:rsid w:val="00A03C78"/>
    <w:rPr>
      <w:rFonts w:asciiTheme="minorHAnsi" w:eastAsia="Batang" w:hAnsiTheme="minorHAnsi" w:cs="Times New Roman"/>
      <w:color w:val="00000A"/>
      <w:w w:val="108"/>
      <w:sz w:val="24"/>
      <w:szCs w:val="18"/>
      <w:lang w:eastAsia="en-US"/>
    </w:rPr>
  </w:style>
  <w:style w:type="paragraph" w:customStyle="1" w:styleId="Heading">
    <w:name w:val="Heading"/>
    <w:basedOn w:val="Normal"/>
    <w:next w:val="BodyText"/>
    <w:qFormat/>
    <w:pPr>
      <w:keepNext/>
      <w:spacing w:before="240" w:after="120"/>
    </w:pPr>
    <w:rPr>
      <w:rFonts w:ascii="Liberation Sans" w:eastAsia="Lucida Sans Unicode" w:hAnsi="Liberation Sans" w:cs="Lohit Devanagari"/>
      <w:sz w:val="28"/>
      <w:szCs w:val="28"/>
    </w:rPr>
  </w:style>
  <w:style w:type="paragraph" w:styleId="BodyText">
    <w:name w:val="Body Text"/>
    <w:basedOn w:val="Normal"/>
    <w:link w:val="BodyTextChar"/>
    <w:uiPriority w:val="99"/>
    <w:semiHidden/>
    <w:unhideWhenUsed/>
    <w:rsid w:val="0003438C"/>
    <w:pPr>
      <w:spacing w:after="120"/>
      <w:jc w:val="both"/>
    </w:pPr>
    <w:rPr>
      <w:sz w:val="18"/>
    </w:rPr>
  </w:style>
  <w:style w:type="paragraph" w:styleId="List">
    <w:name w:val="List"/>
    <w:basedOn w:val="BodyText"/>
    <w:rPr>
      <w:rFonts w:cs="Lohit Devanagari"/>
    </w:rPr>
  </w:style>
  <w:style w:type="paragraph" w:styleId="Caption">
    <w:name w:val="caption"/>
    <w:basedOn w:val="Normal"/>
    <w:next w:val="Normal"/>
    <w:uiPriority w:val="35"/>
    <w:unhideWhenUsed/>
    <w:qFormat/>
    <w:rsid w:val="000A395C"/>
    <w:pPr>
      <w:spacing w:line="240" w:lineRule="auto"/>
    </w:pPr>
    <w:rPr>
      <w:b/>
      <w:bCs/>
      <w:szCs w:val="18"/>
    </w:rPr>
  </w:style>
  <w:style w:type="paragraph" w:customStyle="1" w:styleId="Index">
    <w:name w:val="Index"/>
    <w:basedOn w:val="Normal"/>
    <w:qFormat/>
    <w:pPr>
      <w:suppressLineNumbers/>
    </w:pPr>
    <w:rPr>
      <w:rFonts w:cs="Lohit Devanagari"/>
    </w:rPr>
  </w:style>
  <w:style w:type="paragraph" w:customStyle="1" w:styleId="Subheading">
    <w:name w:val="Subheading"/>
    <w:basedOn w:val="Normal"/>
    <w:next w:val="Normal"/>
    <w:link w:val="SubheadingChar"/>
    <w:qFormat/>
    <w:rsid w:val="00E209F2"/>
    <w:pPr>
      <w:keepNext/>
    </w:pPr>
    <w:rPr>
      <w:b/>
    </w:rPr>
  </w:style>
  <w:style w:type="paragraph" w:styleId="Title">
    <w:name w:val="Title"/>
    <w:basedOn w:val="Normal"/>
    <w:next w:val="Normal"/>
    <w:link w:val="TitleChar"/>
    <w:autoRedefine/>
    <w:uiPriority w:val="10"/>
    <w:qFormat/>
    <w:rsid w:val="005B0D14"/>
    <w:pPr>
      <w:keepNext/>
      <w:pBdr>
        <w:bottom w:val="single" w:sz="8" w:space="4" w:color="00000A"/>
      </w:pBdr>
      <w:spacing w:before="240" w:after="120" w:line="240" w:lineRule="auto"/>
      <w:contextualSpacing/>
      <w:outlineLvl w:val="0"/>
    </w:pPr>
    <w:rPr>
      <w:rFonts w:eastAsiaTheme="majorEastAsia"/>
      <w:b/>
      <w:spacing w:val="5"/>
      <w:sz w:val="36"/>
      <w:szCs w:val="52"/>
    </w:rPr>
  </w:style>
  <w:style w:type="paragraph" w:styleId="Subtitle">
    <w:name w:val="Subtitle"/>
    <w:basedOn w:val="Normal"/>
    <w:next w:val="Normal"/>
    <w:link w:val="SubtitleChar"/>
    <w:autoRedefine/>
    <w:uiPriority w:val="11"/>
    <w:qFormat/>
    <w:rsid w:val="00EB66B1"/>
    <w:pPr>
      <w:keepNext/>
    </w:pPr>
    <w:rPr>
      <w:rFonts w:eastAsiaTheme="majorEastAsia"/>
      <w:iCs/>
      <w:spacing w:val="15"/>
      <w:sz w:val="28"/>
    </w:rPr>
  </w:style>
  <w:style w:type="paragraph" w:styleId="Quote">
    <w:name w:val="Quote"/>
    <w:basedOn w:val="Normal"/>
    <w:next w:val="Normal"/>
    <w:link w:val="QuoteChar1"/>
    <w:uiPriority w:val="29"/>
    <w:qFormat/>
    <w:rsid w:val="00AD1B4C"/>
    <w:pPr>
      <w:ind w:left="794" w:right="794"/>
    </w:pPr>
    <w:rPr>
      <w:i/>
      <w:iCs/>
    </w:rPr>
  </w:style>
  <w:style w:type="paragraph" w:styleId="ListBullet">
    <w:name w:val="List Bullet"/>
    <w:basedOn w:val="Normal"/>
    <w:uiPriority w:val="99"/>
    <w:semiHidden/>
    <w:unhideWhenUsed/>
    <w:qFormat/>
    <w:rsid w:val="00E209F2"/>
    <w:pPr>
      <w:contextualSpacing/>
    </w:pPr>
  </w:style>
  <w:style w:type="paragraph" w:styleId="ListNumber">
    <w:name w:val="List Number"/>
    <w:basedOn w:val="Normal"/>
    <w:uiPriority w:val="99"/>
    <w:semiHidden/>
    <w:unhideWhenUsed/>
    <w:qFormat/>
    <w:rsid w:val="00E209F2"/>
    <w:pPr>
      <w:contextualSpacing/>
    </w:pPr>
  </w:style>
  <w:style w:type="paragraph" w:styleId="TableofFigures">
    <w:name w:val="table of figures"/>
    <w:basedOn w:val="Normal"/>
    <w:next w:val="Normal"/>
    <w:uiPriority w:val="99"/>
    <w:semiHidden/>
    <w:unhideWhenUsed/>
    <w:qFormat/>
    <w:rsid w:val="00E209F2"/>
  </w:style>
  <w:style w:type="paragraph" w:styleId="IntenseQuote">
    <w:name w:val="Intense Quote"/>
    <w:basedOn w:val="Normal"/>
    <w:next w:val="Normal"/>
    <w:link w:val="IntenseQuoteChar"/>
    <w:uiPriority w:val="30"/>
    <w:qFormat/>
    <w:rsid w:val="001C2F45"/>
    <w:pPr>
      <w:pBdr>
        <w:bottom w:val="single" w:sz="4" w:space="4" w:color="4F81BD"/>
      </w:pBdr>
      <w:spacing w:before="200" w:after="280"/>
      <w:ind w:left="936" w:right="936"/>
    </w:pPr>
    <w:rPr>
      <w:b/>
      <w:bCs/>
      <w:i/>
      <w:iCs/>
    </w:rPr>
  </w:style>
  <w:style w:type="paragraph" w:styleId="TOCHeading">
    <w:name w:val="TOC Heading"/>
    <w:basedOn w:val="Heading1"/>
    <w:next w:val="Normal"/>
    <w:uiPriority w:val="39"/>
    <w:semiHidden/>
    <w:unhideWhenUsed/>
    <w:qFormat/>
    <w:rsid w:val="002A237B"/>
    <w:pPr>
      <w:spacing w:before="480"/>
    </w:pPr>
    <w:rPr>
      <w:rFonts w:cstheme="majorBidi"/>
      <w:sz w:val="28"/>
    </w:rPr>
  </w:style>
  <w:style w:type="paragraph" w:styleId="BlockText">
    <w:name w:val="Block Text"/>
    <w:basedOn w:val="Normal"/>
    <w:uiPriority w:val="99"/>
    <w:semiHidden/>
    <w:unhideWhenUsed/>
    <w:qFormat/>
    <w:rsid w:val="00B23E4E"/>
    <w:pPr>
      <w:pBdr>
        <w:top w:val="single" w:sz="2" w:space="10" w:color="00000A" w:shadow="1"/>
        <w:left w:val="single" w:sz="2" w:space="10" w:color="00000A" w:shadow="1"/>
        <w:bottom w:val="single" w:sz="2" w:space="10" w:color="00000A" w:shadow="1"/>
        <w:right w:val="single" w:sz="2" w:space="10" w:color="00000A" w:shadow="1"/>
      </w:pBdr>
      <w:ind w:left="1152" w:right="1152"/>
    </w:pPr>
    <w:rPr>
      <w:rFonts w:cstheme="minorBidi"/>
      <w:i/>
      <w:iCs/>
    </w:rPr>
  </w:style>
  <w:style w:type="paragraph" w:styleId="TOAHeading">
    <w:name w:val="toa heading"/>
    <w:basedOn w:val="Normal"/>
    <w:next w:val="Normal"/>
    <w:uiPriority w:val="99"/>
    <w:semiHidden/>
    <w:unhideWhenUsed/>
    <w:qFormat/>
    <w:rsid w:val="00BF7C01"/>
    <w:rPr>
      <w:rFonts w:eastAsiaTheme="majorEastAsia" w:cstheme="majorBidi"/>
      <w:b/>
      <w:bCs/>
      <w:sz w:val="28"/>
    </w:rPr>
  </w:style>
  <w:style w:type="paragraph" w:styleId="PlainText">
    <w:name w:val="Plain Text"/>
    <w:basedOn w:val="Normal"/>
    <w:link w:val="PlainTextChar"/>
    <w:uiPriority w:val="99"/>
    <w:semiHidden/>
    <w:unhideWhenUsed/>
    <w:qFormat/>
    <w:rsid w:val="00330467"/>
    <w:pPr>
      <w:spacing w:before="0" w:line="240" w:lineRule="auto"/>
    </w:pPr>
    <w:rPr>
      <w:rFonts w:ascii="Consolas" w:hAnsi="Consolas"/>
      <w:szCs w:val="21"/>
    </w:rPr>
  </w:style>
  <w:style w:type="paragraph" w:styleId="BodyText3">
    <w:name w:val="Body Text 3"/>
    <w:basedOn w:val="Normal"/>
    <w:link w:val="BodyText3Char"/>
    <w:uiPriority w:val="99"/>
    <w:semiHidden/>
    <w:unhideWhenUsed/>
    <w:qFormat/>
    <w:rsid w:val="00890E90"/>
    <w:pPr>
      <w:spacing w:after="120"/>
    </w:pPr>
    <w:rPr>
      <w:sz w:val="20"/>
      <w:szCs w:val="16"/>
    </w:rPr>
  </w:style>
  <w:style w:type="paragraph" w:styleId="BodyTextIndent">
    <w:name w:val="Body Text Indent"/>
    <w:basedOn w:val="BodyText"/>
    <w:link w:val="BodyTextIndentChar"/>
    <w:uiPriority w:val="99"/>
    <w:unhideWhenUsed/>
    <w:qFormat/>
    <w:rsid w:val="00890E90"/>
    <w:pPr>
      <w:spacing w:after="320"/>
      <w:ind w:firstLine="360"/>
    </w:pPr>
  </w:style>
  <w:style w:type="paragraph" w:styleId="BodyTextIndent3">
    <w:name w:val="Body Text Indent 3"/>
    <w:basedOn w:val="Normal"/>
    <w:link w:val="BodyTextIndent3Char"/>
    <w:uiPriority w:val="99"/>
    <w:unhideWhenUsed/>
    <w:qFormat/>
    <w:rsid w:val="00D00D33"/>
    <w:pPr>
      <w:spacing w:after="120"/>
      <w:ind w:left="283"/>
    </w:pPr>
    <w:rPr>
      <w:sz w:val="20"/>
      <w:szCs w:val="16"/>
    </w:rPr>
  </w:style>
  <w:style w:type="paragraph" w:styleId="DocumentMap">
    <w:name w:val="Document Map"/>
    <w:basedOn w:val="Normal"/>
    <w:link w:val="DocumentMapChar"/>
    <w:uiPriority w:val="99"/>
    <w:semiHidden/>
    <w:unhideWhenUsed/>
    <w:qFormat/>
    <w:rsid w:val="00B3772F"/>
    <w:pPr>
      <w:spacing w:before="0" w:line="240" w:lineRule="auto"/>
    </w:pPr>
    <w:rPr>
      <w:rFonts w:cs="Tahoma"/>
      <w:szCs w:val="16"/>
    </w:rPr>
  </w:style>
  <w:style w:type="paragraph" w:styleId="EndnoteText">
    <w:name w:val="endnote text"/>
    <w:basedOn w:val="Normal"/>
    <w:link w:val="EndnoteTextChar"/>
    <w:uiPriority w:val="99"/>
    <w:unhideWhenUsed/>
    <w:qFormat/>
    <w:rsid w:val="00B3772F"/>
    <w:pPr>
      <w:spacing w:before="0" w:line="240" w:lineRule="auto"/>
    </w:pPr>
    <w:rPr>
      <w:szCs w:val="20"/>
    </w:rPr>
  </w:style>
  <w:style w:type="paragraph" w:styleId="EnvelopeReturn">
    <w:name w:val="envelope return"/>
    <w:basedOn w:val="Normal"/>
    <w:uiPriority w:val="99"/>
    <w:semiHidden/>
    <w:unhideWhenUsed/>
    <w:qFormat/>
    <w:rsid w:val="00B3772F"/>
    <w:pPr>
      <w:spacing w:before="0" w:line="240" w:lineRule="auto"/>
    </w:pPr>
    <w:rPr>
      <w:rFonts w:eastAsiaTheme="majorEastAsia" w:cstheme="majorBidi"/>
      <w:szCs w:val="20"/>
    </w:rPr>
  </w:style>
  <w:style w:type="paragraph" w:styleId="MessageHeader">
    <w:name w:val="Message Header"/>
    <w:basedOn w:val="Normal"/>
    <w:link w:val="MessageHeaderChar"/>
    <w:uiPriority w:val="99"/>
    <w:semiHidden/>
    <w:unhideWhenUsed/>
    <w:qFormat/>
    <w:rsid w:val="003400F1"/>
    <w:pPr>
      <w:pBdr>
        <w:top w:val="single" w:sz="6" w:space="1" w:color="00000A"/>
        <w:left w:val="single" w:sz="6" w:space="1" w:color="00000A"/>
        <w:bottom w:val="single" w:sz="6" w:space="1" w:color="00000A"/>
        <w:right w:val="single" w:sz="6" w:space="1" w:color="00000A"/>
      </w:pBdr>
      <w:shd w:val="pct20" w:color="auto" w:fill="auto"/>
      <w:spacing w:before="0" w:line="240" w:lineRule="auto"/>
      <w:ind w:left="1134" w:hanging="1134"/>
    </w:pPr>
    <w:rPr>
      <w:rFonts w:eastAsiaTheme="majorEastAsia" w:cstheme="majorBidi"/>
    </w:rPr>
  </w:style>
  <w:style w:type="paragraph" w:styleId="NoSpacing">
    <w:name w:val="No Spacing"/>
    <w:uiPriority w:val="1"/>
    <w:qFormat/>
    <w:rsid w:val="003400F1"/>
    <w:rPr>
      <w:color w:val="00000A"/>
      <w:sz w:val="24"/>
    </w:rPr>
  </w:style>
  <w:style w:type="paragraph" w:styleId="NormalWeb">
    <w:name w:val="Normal (Web)"/>
    <w:basedOn w:val="Normal"/>
    <w:uiPriority w:val="99"/>
    <w:semiHidden/>
    <w:unhideWhenUsed/>
    <w:qFormat/>
    <w:rsid w:val="00930117"/>
    <w:rPr>
      <w:rFonts w:cs="Times New Roman"/>
    </w:rPr>
  </w:style>
  <w:style w:type="paragraph" w:styleId="Index1">
    <w:name w:val="index 1"/>
    <w:basedOn w:val="Normal"/>
    <w:next w:val="Normal"/>
    <w:autoRedefine/>
    <w:uiPriority w:val="99"/>
    <w:semiHidden/>
    <w:unhideWhenUsed/>
    <w:qFormat/>
    <w:rsid w:val="00873D7B"/>
    <w:pPr>
      <w:spacing w:before="0" w:line="240" w:lineRule="auto"/>
      <w:ind w:left="240" w:hanging="240"/>
    </w:pPr>
  </w:style>
  <w:style w:type="paragraph" w:styleId="IndexHeading">
    <w:name w:val="index heading"/>
    <w:basedOn w:val="Normal"/>
    <w:uiPriority w:val="99"/>
    <w:semiHidden/>
    <w:unhideWhenUsed/>
    <w:qFormat/>
    <w:rsid w:val="00873D7B"/>
    <w:rPr>
      <w:rFonts w:eastAsiaTheme="majorEastAsia" w:cstheme="majorBidi"/>
      <w:b/>
      <w:bCs/>
    </w:rPr>
  </w:style>
  <w:style w:type="paragraph" w:customStyle="1" w:styleId="RSCH01PaperTitle">
    <w:name w:val="RSC H01 Paper Title"/>
    <w:basedOn w:val="Normal"/>
    <w:next w:val="Normal"/>
    <w:link w:val="RSCH01PaperTitleChar"/>
    <w:qFormat/>
    <w:rsid w:val="0003438C"/>
    <w:pPr>
      <w:tabs>
        <w:tab w:val="left" w:pos="284"/>
      </w:tabs>
      <w:spacing w:before="400" w:after="160" w:line="240" w:lineRule="auto"/>
    </w:pPr>
    <w:rPr>
      <w:rFonts w:asciiTheme="minorHAnsi" w:eastAsia="Batang" w:hAnsiTheme="minorHAnsi" w:cs="Times New Roman"/>
      <w:b/>
      <w:sz w:val="29"/>
      <w:szCs w:val="32"/>
      <w:lang w:eastAsia="en-US"/>
    </w:rPr>
  </w:style>
  <w:style w:type="paragraph" w:customStyle="1" w:styleId="RSCH02PaperAuthorsandByline">
    <w:name w:val="RSC H02 Paper Authors and Byline"/>
    <w:basedOn w:val="Normal"/>
    <w:link w:val="RSCH02PaperAuthorsandBylineChar"/>
    <w:qFormat/>
    <w:rsid w:val="0003438C"/>
    <w:pPr>
      <w:spacing w:before="0" w:after="120" w:line="240" w:lineRule="exact"/>
    </w:pPr>
    <w:rPr>
      <w:rFonts w:asciiTheme="minorHAnsi" w:eastAsia="Batang" w:hAnsiTheme="minorHAnsi" w:cs="Times New Roman"/>
      <w:sz w:val="20"/>
      <w:szCs w:val="22"/>
      <w:lang w:eastAsia="en-US"/>
    </w:rPr>
  </w:style>
  <w:style w:type="paragraph" w:customStyle="1" w:styleId="RSCB02ArticleText">
    <w:name w:val="RSC B02 Article Text"/>
    <w:basedOn w:val="Normal"/>
    <w:link w:val="RSCB02ArticleTextChar"/>
    <w:qFormat/>
    <w:rsid w:val="0003438C"/>
    <w:pPr>
      <w:spacing w:before="0" w:line="240" w:lineRule="exact"/>
      <w:jc w:val="both"/>
    </w:pPr>
    <w:rPr>
      <w:rFonts w:asciiTheme="minorHAnsi" w:eastAsia="Batang" w:hAnsiTheme="minorHAnsi" w:cs="Times New Roman"/>
      <w:w w:val="108"/>
      <w:sz w:val="18"/>
      <w:szCs w:val="18"/>
      <w:lang w:eastAsia="en-US"/>
    </w:rPr>
  </w:style>
  <w:style w:type="paragraph" w:customStyle="1" w:styleId="RSCB04AHeadingSection">
    <w:name w:val="RSC B04 A Heading (Section)"/>
    <w:basedOn w:val="Normal"/>
    <w:link w:val="RSCB04AHeadingSectionChar"/>
    <w:qFormat/>
    <w:rsid w:val="0003438C"/>
    <w:pPr>
      <w:spacing w:before="400" w:after="80" w:line="240" w:lineRule="auto"/>
    </w:pPr>
    <w:rPr>
      <w:rFonts w:asciiTheme="minorHAnsi" w:eastAsia="Batang" w:hAnsiTheme="minorHAnsi" w:cstheme="minorBidi"/>
      <w:b/>
      <w:szCs w:val="22"/>
      <w:lang w:eastAsia="en-US"/>
    </w:rPr>
  </w:style>
  <w:style w:type="paragraph" w:styleId="Footer">
    <w:name w:val="footer"/>
    <w:basedOn w:val="Normal"/>
    <w:link w:val="FooterChar"/>
    <w:uiPriority w:val="99"/>
    <w:unhideWhenUsed/>
    <w:rsid w:val="0003438C"/>
    <w:pPr>
      <w:tabs>
        <w:tab w:val="center" w:pos="4513"/>
        <w:tab w:val="right" w:pos="9026"/>
      </w:tabs>
      <w:spacing w:before="0" w:line="240" w:lineRule="auto"/>
    </w:pPr>
    <w:rPr>
      <w:rFonts w:asciiTheme="minorHAnsi" w:eastAsia="Batang" w:hAnsiTheme="minorHAnsi" w:cstheme="minorBidi"/>
      <w:sz w:val="22"/>
      <w:szCs w:val="22"/>
      <w:lang w:eastAsia="en-US"/>
    </w:rPr>
  </w:style>
  <w:style w:type="paragraph" w:customStyle="1" w:styleId="RSCB06BHeadingSub-Section">
    <w:name w:val="RSC B06 B Heading (Sub-Section)"/>
    <w:qFormat/>
    <w:rsid w:val="0003438C"/>
    <w:pPr>
      <w:spacing w:after="80" w:line="240" w:lineRule="exact"/>
    </w:pPr>
    <w:rPr>
      <w:rFonts w:asciiTheme="minorHAnsi" w:eastAsia="Batang" w:hAnsiTheme="minorHAnsi" w:cstheme="minorBidi"/>
      <w:b/>
      <w:color w:val="00000A"/>
      <w:sz w:val="18"/>
      <w:szCs w:val="22"/>
      <w:lang w:eastAsia="en-US"/>
    </w:rPr>
  </w:style>
  <w:style w:type="paragraph" w:customStyle="1" w:styleId="EndNoteBibliography">
    <w:name w:val="EndNote Bibliography"/>
    <w:basedOn w:val="Normal"/>
    <w:link w:val="EndNoteBibliographyChar"/>
    <w:autoRedefine/>
    <w:qFormat/>
    <w:rsid w:val="004E4AE8"/>
    <w:pPr>
      <w:spacing w:before="0" w:after="200" w:line="240" w:lineRule="auto"/>
      <w:jc w:val="both"/>
    </w:pPr>
    <w:rPr>
      <w:rFonts w:eastAsia="Batang"/>
      <w:szCs w:val="22"/>
      <w:lang w:val="en-US" w:eastAsia="en-US"/>
    </w:rPr>
  </w:style>
  <w:style w:type="paragraph" w:customStyle="1" w:styleId="RSCF01FootnoteAuthorAddress">
    <w:name w:val="RSC F01 Footnote Author Address"/>
    <w:link w:val="RSCF01FootnoteAuthorAddressChar"/>
    <w:qFormat/>
    <w:rsid w:val="0003438C"/>
    <w:pPr>
      <w:pBdr>
        <w:top w:val="single" w:sz="12" w:space="1" w:color="A6A6A6"/>
      </w:pBdr>
      <w:ind w:left="85" w:hanging="85"/>
    </w:pPr>
    <w:rPr>
      <w:rFonts w:asciiTheme="minorHAnsi" w:eastAsia="Batang" w:hAnsiTheme="minorHAnsi" w:cs="Times New Roman"/>
      <w:i/>
      <w:color w:val="00000A"/>
      <w:w w:val="105"/>
      <w:sz w:val="14"/>
      <w:szCs w:val="14"/>
      <w:lang w:eastAsia="en-US"/>
    </w:rPr>
  </w:style>
  <w:style w:type="paragraph" w:customStyle="1" w:styleId="RSCF02FootnotestoTitleAuthors">
    <w:name w:val="RSC F02 Footnotes to Title/Authors"/>
    <w:basedOn w:val="Normal"/>
    <w:link w:val="RSCF02FootnotestoTitleAuthorsChar"/>
    <w:qFormat/>
    <w:rsid w:val="0003438C"/>
    <w:pPr>
      <w:tabs>
        <w:tab w:val="left" w:pos="284"/>
      </w:tabs>
      <w:spacing w:before="0" w:line="240" w:lineRule="auto"/>
      <w:jc w:val="both"/>
    </w:pPr>
    <w:rPr>
      <w:rFonts w:asciiTheme="minorHAnsi" w:eastAsia="Batang" w:hAnsiTheme="minorHAnsi" w:cs="Times New Roman"/>
      <w:w w:val="105"/>
      <w:sz w:val="14"/>
      <w:szCs w:val="14"/>
      <w:lang w:eastAsia="en-US"/>
    </w:rPr>
  </w:style>
  <w:style w:type="paragraph" w:styleId="BalloonText">
    <w:name w:val="Balloon Text"/>
    <w:basedOn w:val="Normal"/>
    <w:link w:val="BalloonTextChar"/>
    <w:uiPriority w:val="99"/>
    <w:semiHidden/>
    <w:unhideWhenUsed/>
    <w:qFormat/>
    <w:rsid w:val="002E111C"/>
    <w:pPr>
      <w:spacing w:before="0" w:line="240" w:lineRule="auto"/>
    </w:pPr>
    <w:rPr>
      <w:rFonts w:ascii="Segoe UI" w:hAnsi="Segoe UI" w:cs="Segoe UI"/>
      <w:sz w:val="18"/>
      <w:szCs w:val="18"/>
    </w:rPr>
  </w:style>
  <w:style w:type="paragraph" w:styleId="Header">
    <w:name w:val="header"/>
    <w:basedOn w:val="Normal"/>
    <w:link w:val="HeaderChar"/>
    <w:uiPriority w:val="99"/>
    <w:unhideWhenUsed/>
    <w:rsid w:val="00E53B6D"/>
    <w:pPr>
      <w:tabs>
        <w:tab w:val="center" w:pos="4513"/>
        <w:tab w:val="right" w:pos="9026"/>
      </w:tabs>
      <w:spacing w:before="0" w:line="240" w:lineRule="auto"/>
    </w:pPr>
  </w:style>
  <w:style w:type="paragraph" w:customStyle="1" w:styleId="EndNoteBibliographyTitle">
    <w:name w:val="EndNote Bibliography Title"/>
    <w:basedOn w:val="Normal"/>
    <w:link w:val="EndNoteBibliographyTitleChar"/>
    <w:qFormat/>
    <w:rsid w:val="00A03C78"/>
    <w:pPr>
      <w:jc w:val="center"/>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A"/>
      <w:szCs w:val="20"/>
    </w:rPr>
  </w:style>
  <w:style w:type="character" w:styleId="Hyperlink">
    <w:name w:val="Hyperlink"/>
    <w:basedOn w:val="DefaultParagraphFont"/>
    <w:uiPriority w:val="99"/>
    <w:unhideWhenUsed/>
    <w:rsid w:val="002100B3"/>
    <w:rPr>
      <w:color w:val="0000FF" w:themeColor="hyperlink"/>
      <w:u w:val="single"/>
    </w:rPr>
  </w:style>
  <w:style w:type="character" w:customStyle="1" w:styleId="UnresolvedMention1">
    <w:name w:val="Unresolved Mention1"/>
    <w:basedOn w:val="DefaultParagraphFont"/>
    <w:uiPriority w:val="99"/>
    <w:semiHidden/>
    <w:unhideWhenUsed/>
    <w:rsid w:val="002100B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B4BDD"/>
    <w:rPr>
      <w:b/>
      <w:bCs/>
    </w:rPr>
  </w:style>
  <w:style w:type="character" w:customStyle="1" w:styleId="CommentSubjectChar">
    <w:name w:val="Comment Subject Char"/>
    <w:basedOn w:val="CommentTextChar"/>
    <w:link w:val="CommentSubject"/>
    <w:uiPriority w:val="99"/>
    <w:semiHidden/>
    <w:rsid w:val="00EB4BDD"/>
    <w:rPr>
      <w:b/>
      <w:bCs/>
      <w:color w:val="00000A"/>
      <w:szCs w:val="20"/>
    </w:rPr>
  </w:style>
  <w:style w:type="character" w:styleId="LineNumber">
    <w:name w:val="line number"/>
    <w:basedOn w:val="DefaultParagraphFont"/>
    <w:uiPriority w:val="99"/>
    <w:semiHidden/>
    <w:unhideWhenUsed/>
    <w:rsid w:val="00057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01F7C-5FE6-4EC6-B555-99ECE7D42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6954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Jinyang Chung</dc:creator>
  <cp:keywords/>
  <dc:description/>
  <cp:lastModifiedBy>Amala Gracy M.</cp:lastModifiedBy>
  <cp:revision>9</cp:revision>
  <cp:lastPrinted>2020-06-03T03:51:00Z</cp:lastPrinted>
  <dcterms:created xsi:type="dcterms:W3CDTF">2020-06-04T09:04:00Z</dcterms:created>
  <dcterms:modified xsi:type="dcterms:W3CDTF">2020-06-17T19:18:00Z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University of Leeds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