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8FF525" w14:textId="77777777" w:rsidR="00653FFE" w:rsidRPr="0097693F" w:rsidRDefault="00653FFE" w:rsidP="00653FFE">
      <w:pPr>
        <w:suppressAutoHyphens w:val="0"/>
        <w:spacing w:line="480" w:lineRule="auto"/>
        <w:rPr>
          <w:b/>
          <w:lang w:val="en-GB"/>
        </w:rPr>
      </w:pPr>
      <w:r w:rsidRPr="0097693F">
        <w:rPr>
          <w:b/>
          <w:lang w:val="en-GB"/>
        </w:rPr>
        <w:t>SUPPLEMENTARY MATERIAL</w:t>
      </w:r>
    </w:p>
    <w:p w14:paraId="4EBC5AAA" w14:textId="77777777" w:rsidR="00653FFE" w:rsidRPr="0097693F" w:rsidRDefault="00653FFE" w:rsidP="00653FFE">
      <w:pPr>
        <w:suppressAutoHyphens w:val="0"/>
        <w:spacing w:line="480" w:lineRule="auto"/>
        <w:rPr>
          <w:lang w:val="en-GB"/>
        </w:rPr>
      </w:pPr>
      <w:r w:rsidRPr="0097693F">
        <w:rPr>
          <w:b/>
          <w:lang w:val="en-GB"/>
        </w:rPr>
        <w:t>Appendix 1. Comparison of baseline characteristics between participants included and excluded from the study</w:t>
      </w:r>
    </w:p>
    <w:p w14:paraId="2AEF1DE0" w14:textId="77777777" w:rsidR="00653FFE" w:rsidRPr="00E676D5" w:rsidRDefault="00653FFE" w:rsidP="00653FFE">
      <w:pPr>
        <w:suppressAutoHyphens w:val="0"/>
        <w:spacing w:line="480" w:lineRule="auto"/>
        <w:rPr>
          <w:sz w:val="20"/>
          <w:szCs w:val="20"/>
          <w:lang w:val="en-GB"/>
        </w:rPr>
      </w:pPr>
      <w:r w:rsidRPr="00E676D5">
        <w:rPr>
          <w:sz w:val="20"/>
          <w:szCs w:val="20"/>
          <w:lang w:val="en-GB"/>
        </w:rPr>
        <w:t>Compared with participants included in the main analytical sample (n=2895), the 204 excluded individuals were significantly older (84.6±7.4 vs 75.8±7.5 years, p&lt;0.001) and more likely to be women (72.1% vs 59%, p&lt;0.001), and reported a higher prevalence of diabetes (24% vs 16.1%, p=0.003) and cardiovascular diseases (47.5% vs 22.1%, p&lt;0.001). They reported also lesser health risk behaviors (never smokers: 79.4% vs 60.1%, p&lt;0.001; abstemious: 89.2% vs 69.5%, p&lt;0.001), but were more likely to have cognitive impairment (83.8% vs 40.1% had a Mini-Mental State Examination [MMSE] &lt;24, p&lt;0.001). No significant differences were observed in body mass index (BMI), chronic obstructive pulmonary disease diagnosis (COPD) or cancer.</w:t>
      </w:r>
    </w:p>
    <w:p w14:paraId="3259E65A" w14:textId="77777777" w:rsidR="000743D3" w:rsidRDefault="000743D3" w:rsidP="00653FFE">
      <w:pPr>
        <w:suppressAutoHyphens w:val="0"/>
        <w:spacing w:line="480" w:lineRule="auto"/>
        <w:rPr>
          <w:lang w:val="en-GB"/>
        </w:rPr>
      </w:pPr>
    </w:p>
    <w:p w14:paraId="3DE6EB94" w14:textId="77777777" w:rsidR="000743D3" w:rsidRPr="000743D3" w:rsidRDefault="000743D3" w:rsidP="00653FFE">
      <w:pPr>
        <w:suppressAutoHyphens w:val="0"/>
        <w:spacing w:line="480" w:lineRule="auto"/>
        <w:rPr>
          <w:b/>
          <w:lang w:val="en-GB"/>
        </w:rPr>
      </w:pPr>
      <w:r w:rsidRPr="000743D3">
        <w:rPr>
          <w:b/>
          <w:lang w:val="en-GB"/>
        </w:rPr>
        <w:t>Appendix 2. Assessments of sociodemographic, clinical and biochemical data</w:t>
      </w:r>
    </w:p>
    <w:p w14:paraId="5EE86148" w14:textId="77777777" w:rsidR="000743D3" w:rsidRPr="00E676D5" w:rsidRDefault="000743D3" w:rsidP="000743D3">
      <w:pPr>
        <w:spacing w:line="480" w:lineRule="auto"/>
        <w:jc w:val="both"/>
        <w:rPr>
          <w:color w:val="FF0000"/>
          <w:sz w:val="20"/>
          <w:szCs w:val="20"/>
          <w:lang w:val="en-GB"/>
        </w:rPr>
      </w:pPr>
      <w:r w:rsidRPr="00E676D5">
        <w:rPr>
          <w:b/>
          <w:i/>
          <w:sz w:val="20"/>
          <w:szCs w:val="20"/>
          <w:lang w:val="en-GB"/>
        </w:rPr>
        <w:t xml:space="preserve">Sociodemographic and clinical data. </w:t>
      </w:r>
      <w:r w:rsidRPr="00E676D5">
        <w:rPr>
          <w:sz w:val="20"/>
          <w:szCs w:val="20"/>
          <w:lang w:val="en-GB"/>
        </w:rPr>
        <w:t xml:space="preserve">In addition to basic sociodemographic information (age, sex and living arrangements), we collected data on each participant’s educational level (categorised as ≤5 or &gt;5 years, 5 years being the duration of primary schooling in Italy) and monthly income (≤ </w:t>
      </w:r>
      <w:r w:rsidRPr="00E676D5">
        <w:rPr>
          <w:i/>
          <w:sz w:val="20"/>
          <w:szCs w:val="20"/>
          <w:lang w:val="en-GB"/>
        </w:rPr>
        <w:t>vs</w:t>
      </w:r>
      <w:r w:rsidRPr="00E676D5">
        <w:rPr>
          <w:sz w:val="20"/>
          <w:szCs w:val="20"/>
          <w:lang w:val="en-GB"/>
        </w:rPr>
        <w:t xml:space="preserve"> &gt;€500). Clinical status was assessed from standardised questionnaires, self-reported symptoms, medical and hospital records, blood tests, physical examination and medication being taken.  At baseline, we recorded the presence of: hypertension, diagnosed according to validated guidelines for the adult population</w:t>
      </w:r>
      <w:r w:rsidRPr="00E676D5">
        <w:rPr>
          <w:sz w:val="20"/>
          <w:szCs w:val="20"/>
          <w:lang w:val="en-GB"/>
        </w:rPr>
        <w:fldChar w:fldCharType="begin" w:fldLock="1"/>
      </w:r>
      <w:r w:rsidR="00E676D5">
        <w:rPr>
          <w:sz w:val="20"/>
          <w:szCs w:val="20"/>
          <w:lang w:val="en-GB"/>
        </w:rPr>
        <w:instrText>ADDIN CSL_CITATION {"citationItems":[{"id":"ITEM-1","itemData":{"DOI":"10.1161/01.CIR.0000154900.76284.F6","ISSN":"1524-4539","PMID":"15699287","abstract":"Accurate measurement of blood pressure is essential to classify individuals, to ascertain blood pressure-related risk, and to guide management. The auscultatory technique with a trained observer and mercury sphygmomanometer continues to be the method of choice for measurement in the office, using the first and fifth phases of the Korotkoff sounds, including in pregnant women. The use of mercury is declining, and alternatives are needed. Aneroid devices are suitable, but they require frequent calibration. Hybrid devices that use electronic transducers instead of mercury have promise. The oscillometric method can be used for office measurement, but only devices independently validated according to standard protocols should be used, and individual calibration is recommended. They have the advantage of being able to take multiple measurements. Proper training of observers, positioning of the patient, and selection of cuff size are all essential. It is increasingly recognized that office measurements correlate poorly with blood pressure measured in other settings, and that they can be supplemented by self-measured readings taken with validated devices at home. There is increasing evidence that home readings predict cardiovascular events and are particularly useful for monitoring the effects of treatment. Twenty-four-hour ambulatory monitoring gives a better prediction of risk than office measurements and is useful for diagnosing white-coat hypertension. There is increasing evidence that a failure of blood pressure to fall during the night may be associated with increased risk. In obese patients and children, the use of an appropriate cuff size is of paramount importance.","author":[{"dropping-particle":"","family":"Pickering","given":"Thomas G","non-dropping-particle":"","parse-names":false,"suffix":""},{"dropping-particle":"","family":"Hall","given":"John E","non-dropping-particle":"","parse-names":false,"suffix":""},{"dropping-particle":"","family":"Appel","given":"Lawrence J","non-dropping-particle":"","parse-names":false,"suffix":""},{"dropping-particle":"","family":"Falkner","given":"Bonita E","non-dropping-particle":"","parse-names":false,"suffix":""},{"dropping-particle":"","family":"Graves","given":"John","non-dropping-particle":"","parse-names":false,"suffix":""},{"dropping-particle":"","family":"Hill","given":"Martha N","non-dropping-particle":"","parse-names":false,"suffix":""},{"dropping-particle":"","family":"Jones","given":"Daniel W","non-dropping-particle":"","parse-names":false,"suffix":""},{"dropping-particle":"","family":"Kurtz","given":"Theodore","non-dropping-particle":"","parse-names":false,"suffix":""},{"dropping-particle":"","family":"Sheps","given":"Sheldon G","non-dropping-particle":"","parse-names":false,"suffix":""},{"dropping-particle":"","family":"Roccella","given":"Edward J","non-dropping-particle":"","parse-names":false,"suffix":""}],"container-title":"Circulation","id":"ITEM-1","issue":"5","issued":{"date-parts":[["2005","2","8"]]},"page":"697-716","title":"Recommendations for blood pressure measurement in humans and experimental animals: part 1: blood pressure measurement in humans: a statement for professionals from the Subcommittee of Professional and Public Education of the American Heart Association Cou","type":"article-journal","volume":"111"},"uris":["http://www.mendeley.com/documents/?uuid=11002e51-ff11-4933-83ed-949b68a44aad"]}],"mendeley":{"formattedCitation":"&lt;sup&gt;1&lt;/sup&gt;","plainTextFormattedCitation":"1","previouslyFormattedCitation":"&lt;sup&gt;1&lt;/sup&gt;"},"properties":{"noteIndex":0},"schema":"https://github.com/citation-style-language/schema/raw/master/csl-citation.json"}</w:instrText>
      </w:r>
      <w:r w:rsidRPr="00E676D5">
        <w:rPr>
          <w:sz w:val="20"/>
          <w:szCs w:val="20"/>
          <w:lang w:val="en-GB"/>
        </w:rPr>
        <w:fldChar w:fldCharType="separate"/>
      </w:r>
      <w:r w:rsidR="00C532A5" w:rsidRPr="00E676D5">
        <w:rPr>
          <w:noProof/>
          <w:sz w:val="20"/>
          <w:szCs w:val="20"/>
          <w:vertAlign w:val="superscript"/>
          <w:lang w:val="en-GB"/>
        </w:rPr>
        <w:t>1</w:t>
      </w:r>
      <w:r w:rsidRPr="00E676D5">
        <w:rPr>
          <w:sz w:val="20"/>
          <w:szCs w:val="20"/>
          <w:lang w:val="en-GB"/>
        </w:rPr>
        <w:fldChar w:fldCharType="end"/>
      </w:r>
      <w:r w:rsidRPr="00E676D5">
        <w:rPr>
          <w:sz w:val="20"/>
          <w:szCs w:val="20"/>
          <w:lang w:val="en-GB"/>
        </w:rPr>
        <w:t>; chronic obstructive pulmonary disease (COPD); cancer; osteoarticular diseases, defined as the presence of osteoporosis, or a history of hip fracture or osteoarthritis in the hand, knee or hip; and cardiovascular diseases (CVD), defined as the presence of at least one of the following: congestive heart failure, angina requiring a stent, angioplasty or hospitalisation, myocardial infarction and stroke. We also recorded the use of lipid lowering drugs (LLD). Finally, we tested cognitive performance with the Mini-Mental State Examination (MMSE; cognitive impairment was</w:t>
      </w:r>
      <w:r w:rsidRPr="00E676D5">
        <w:rPr>
          <w:i/>
          <w:sz w:val="20"/>
          <w:szCs w:val="20"/>
          <w:lang w:val="en-GB"/>
        </w:rPr>
        <w:t xml:space="preserve"> </w:t>
      </w:r>
      <w:r w:rsidRPr="00E676D5">
        <w:rPr>
          <w:sz w:val="20"/>
          <w:szCs w:val="20"/>
          <w:lang w:val="en-GB"/>
        </w:rPr>
        <w:t>defined as a score &lt;24)</w:t>
      </w:r>
      <w:r w:rsidRPr="00E676D5">
        <w:rPr>
          <w:sz w:val="20"/>
          <w:szCs w:val="20"/>
          <w:lang w:val="en-GB"/>
        </w:rPr>
        <w:fldChar w:fldCharType="begin" w:fldLock="1"/>
      </w:r>
      <w:r w:rsidR="00E676D5">
        <w:rPr>
          <w:sz w:val="20"/>
          <w:szCs w:val="20"/>
          <w:lang w:val="en-GB"/>
        </w:rPr>
        <w:instrText>ADDIN CSL_CITATION {"citationItems":[{"id":"ITEM-1","itemData":{"ISSN":"0002-8614","PMID":"1512391","abstract":"OBJECTIVE: The purpose of this paper is to provide a comprehensive review of information accumulated over the past 26 years regarding the psychometric properties and utility of the Mini-Mental State Examination (MMSE).\n\nPARTICIPANTS: The reviewed studies assessed a wide variety of subjects, ranging from cognitively intact community residents to those with severe cognitive impairment associated with various types of dementing illnesses.\n\nMAIN OUTCOME MEASURES: The validity of the MMSE was compared against a variety of gold standards, including DSM-III-R and NINCDS-ADRDA criteria, clinical diagnoses, Activities of Daily Living measures, and other tests that putatively identify and measure cognitive impairment.\n\nRESULTS: Reliability and construct validity were judged to be satisfactory. Measures of criterion validity showed high levels of sensitivity for moderate-to-severe cognitive impairment and lower levels for mild degrees of impairment. Content analyses revealed the MMSE was highly verbal, and not all items were equally sensitive to cognitive impairment. Items measuring language were judged to be relatively easy and lacked utility for identifying mild language deficits. Overall, MMSE scores were affected by age, education, and cultural background, but not gender.\n\nCONCLUSIONS: In general, the MMSE fulfilled its original goal of providing a brief screening test that quantitatively assesses the severity of cognitive impairment and documents cognitive changes occurring over time. The MMSE should not, by itself, be used as a diagnostic tool to identify dementia. Suggestions for the clinical use of the MMSE are made.","author":[{"dropping-particle":"","family":"Tombaugh","given":"T N","non-dropping-particle":"","parse-names":false,"suffix":""},{"dropping-particle":"","family":"McIntyre","given":"N J","non-dropping-particle":"","parse-names":false,"suffix":""}],"container-title":"Journal of the American Geriatrics Society","id":"ITEM-1","issue":"9","issued":{"date-parts":[["1992","9"]]},"page":"922-35","title":"The mini-mental state examination: a comprehensive review.","type":"article-journal","volume":"40"},"uris":["http://www.mendeley.com/documents/?uuid=3257a01f-fd29-43b9-85fc-f7a46dbda4af"]}],"mendeley":{"formattedCitation":"&lt;sup&gt;2&lt;/sup&gt;","plainTextFormattedCitation":"2","previouslyFormattedCitation":"&lt;sup&gt;2&lt;/sup&gt;"},"properties":{"noteIndex":0},"schema":"https://github.com/citation-style-language/schema/raw/master/csl-citation.json"}</w:instrText>
      </w:r>
      <w:r w:rsidRPr="00E676D5">
        <w:rPr>
          <w:sz w:val="20"/>
          <w:szCs w:val="20"/>
          <w:lang w:val="en-GB"/>
        </w:rPr>
        <w:fldChar w:fldCharType="separate"/>
      </w:r>
      <w:r w:rsidR="00C532A5" w:rsidRPr="00E676D5">
        <w:rPr>
          <w:noProof/>
          <w:sz w:val="20"/>
          <w:szCs w:val="20"/>
          <w:vertAlign w:val="superscript"/>
          <w:lang w:val="en-GB"/>
        </w:rPr>
        <w:t>2</w:t>
      </w:r>
      <w:r w:rsidRPr="00E676D5">
        <w:rPr>
          <w:sz w:val="20"/>
          <w:szCs w:val="20"/>
          <w:lang w:val="en-GB"/>
        </w:rPr>
        <w:fldChar w:fldCharType="end"/>
      </w:r>
      <w:r w:rsidRPr="00E676D5">
        <w:rPr>
          <w:sz w:val="20"/>
          <w:szCs w:val="20"/>
          <w:lang w:val="en-GB"/>
        </w:rPr>
        <w:t>, and the presence of depressive symptoms with the 30-item Geriatric Depression Scale (GDS; a score &gt;10 indicating probable depression)</w:t>
      </w:r>
      <w:r w:rsidRPr="00E676D5">
        <w:rPr>
          <w:sz w:val="20"/>
          <w:szCs w:val="20"/>
          <w:lang w:val="en-GB"/>
        </w:rPr>
        <w:fldChar w:fldCharType="begin" w:fldLock="1"/>
      </w:r>
      <w:r w:rsidR="00E676D5">
        <w:rPr>
          <w:sz w:val="20"/>
          <w:szCs w:val="20"/>
          <w:lang w:val="en-GB"/>
        </w:rPr>
        <w:instrText>ADDIN CSL_CITATION {"citationItems":[{"id":"ITEM-1","itemData":{"ISSN":"0022-3956","PMID":"7183759","abstract":"A new Geriatric Depression Scale (GDS) designed specifically for rating depression in the elderly was tested for reliability and validity and compared with the Hamilton Rating Scale for Depression (HRS-D) and the Zung Self-Rating Depression Scale (SDS). In constructing the GDS a 100-item questionnaire was administered to normal and severely depressed subjects. The 30 questions most highly correlated with the total scores were then selected and readministered to new groups of elderly subjects. These subjects were classified as normal, mildly depressed or severely depressed on the basis of Research Diagnostic Criteria (RDC) for depression. The GDS, HRS-D and SDS were all found to be internally consistent measures, and each of the scales was correlated with the subject's number of RDC symptoms. However, the GDS and the HRS-D were significantly better correlated with RDC symptoms than was the SDS. The authors suggest that the GDS represents a reliable and valid self-rating depression screening scale for elderly populations.","author":[{"dropping-particle":"","family":"Yesavage","given":"J A","non-dropping-particle":"","parse-names":false,"suffix":""},{"dropping-particle":"","family":"Brink","given":"T L","non-dropping-particle":"","parse-names":false,"suffix":""},{"dropping-particle":"","family":"Rose","given":"T L","non-dropping-particle":"","parse-names":false,"suffix":""},{"dropping-particle":"","family":"Lum","given":"O","non-dropping-particle":"","parse-names":false,"suffix":""},{"dropping-particle":"","family":"Huang","given":"V","non-dropping-particle":"","parse-names":false,"suffix":""},{"dropping-particle":"","family":"Adey","given":"M","non-dropping-particle":"","parse-names":false,"suffix":""},{"dropping-particle":"","family":"Leirer","given":"V O","non-dropping-particle":"","parse-names":false,"suffix":""}],"container-title":"Journal of psychiatric research","id":"ITEM-1","issue":"1","issued":{"date-parts":[["1982","1"]]},"page":"37-49","title":"Development and validation of a geriatric depression screening scale: a preliminary report.","type":"article-journal","volume":"17"},"uris":["http://www.mendeley.com/documents/?uuid=5e69e8cd-d889-44e0-9ca2-9e97d2d61e15"]}],"mendeley":{"formattedCitation":"&lt;sup&gt;3&lt;/sup&gt;","plainTextFormattedCitation":"3","previouslyFormattedCitation":"&lt;sup&gt;3&lt;/sup&gt;"},"properties":{"noteIndex":0},"schema":"https://github.com/citation-style-language/schema/raw/master/csl-citation.json"}</w:instrText>
      </w:r>
      <w:r w:rsidRPr="00E676D5">
        <w:rPr>
          <w:sz w:val="20"/>
          <w:szCs w:val="20"/>
          <w:lang w:val="en-GB"/>
        </w:rPr>
        <w:fldChar w:fldCharType="separate"/>
      </w:r>
      <w:r w:rsidR="00C532A5" w:rsidRPr="00E676D5">
        <w:rPr>
          <w:noProof/>
          <w:sz w:val="20"/>
          <w:szCs w:val="20"/>
          <w:vertAlign w:val="superscript"/>
          <w:lang w:val="en-GB"/>
        </w:rPr>
        <w:t>3</w:t>
      </w:r>
      <w:r w:rsidRPr="00E676D5">
        <w:rPr>
          <w:sz w:val="20"/>
          <w:szCs w:val="20"/>
          <w:lang w:val="en-GB"/>
        </w:rPr>
        <w:fldChar w:fldCharType="end"/>
      </w:r>
      <w:r w:rsidRPr="00E676D5">
        <w:rPr>
          <w:sz w:val="20"/>
          <w:szCs w:val="20"/>
          <w:lang w:val="en-GB"/>
        </w:rPr>
        <w:t>.</w:t>
      </w:r>
    </w:p>
    <w:p w14:paraId="13E9032A" w14:textId="77777777" w:rsidR="000743D3" w:rsidRPr="00E676D5" w:rsidRDefault="000743D3" w:rsidP="000743D3">
      <w:pPr>
        <w:spacing w:line="480" w:lineRule="auto"/>
        <w:jc w:val="both"/>
        <w:rPr>
          <w:sz w:val="20"/>
          <w:szCs w:val="20"/>
          <w:lang w:val="en-GB"/>
        </w:rPr>
      </w:pPr>
      <w:r w:rsidRPr="00E676D5">
        <w:rPr>
          <w:b/>
          <w:i/>
          <w:sz w:val="20"/>
          <w:szCs w:val="20"/>
          <w:lang w:val="en-GB"/>
        </w:rPr>
        <w:t xml:space="preserve">Biochemical data. </w:t>
      </w:r>
      <w:r w:rsidRPr="00E676D5">
        <w:rPr>
          <w:sz w:val="20"/>
          <w:szCs w:val="20"/>
          <w:lang w:val="en-GB"/>
        </w:rPr>
        <w:t xml:space="preserve">Venous blood samples were collected from participants at baseline after an overnight fast, then centrifuged and stored at −80 °C. For the purposes of our study, in addition to assess LDL-cholesterol, HbA1c and fasting glycaemia, we examined serum creatinine, fibrinogen levels and the erythrocyte sedimentation rate (ESR). Routine biochemical analyses were performed at the local hospital following standard quality-control procedures. Serum creatinine was measured by the standard creatinine Jaffe method (Roche Diagnostics, Germany) and used to compute the </w:t>
      </w:r>
      <w:r w:rsidRPr="00E676D5">
        <w:rPr>
          <w:sz w:val="20"/>
          <w:szCs w:val="20"/>
          <w:lang w:val="en-GB"/>
        </w:rPr>
        <w:lastRenderedPageBreak/>
        <w:t>glomerular filtration rate (GFR, ml/min) using the Modification of Diet in Renal Disease Study formula. ESR was measured in sodium citrate–anticoagulated blood samples by the Westergren method.</w:t>
      </w:r>
    </w:p>
    <w:p w14:paraId="6D2B2D55" w14:textId="77777777" w:rsidR="000743D3" w:rsidRDefault="000743D3" w:rsidP="00653FFE">
      <w:pPr>
        <w:suppressAutoHyphens w:val="0"/>
        <w:spacing w:line="480" w:lineRule="auto"/>
        <w:rPr>
          <w:lang w:val="en-GB"/>
        </w:rPr>
      </w:pPr>
    </w:p>
    <w:p w14:paraId="2C77163C" w14:textId="77777777" w:rsidR="00E676D5" w:rsidRDefault="00E676D5" w:rsidP="00653FFE">
      <w:pPr>
        <w:suppressAutoHyphens w:val="0"/>
        <w:spacing w:line="480" w:lineRule="auto"/>
        <w:rPr>
          <w:lang w:val="en-GB"/>
        </w:rPr>
      </w:pPr>
    </w:p>
    <w:p w14:paraId="6F9CB51D" w14:textId="77777777" w:rsidR="00E676D5" w:rsidRDefault="00E676D5" w:rsidP="00653FFE">
      <w:pPr>
        <w:suppressAutoHyphens w:val="0"/>
        <w:spacing w:line="480" w:lineRule="auto"/>
        <w:rPr>
          <w:lang w:val="en-GB"/>
        </w:rPr>
      </w:pPr>
    </w:p>
    <w:p w14:paraId="69DD1803" w14:textId="77777777" w:rsidR="007A77AA" w:rsidRPr="007A77AA" w:rsidRDefault="007A77AA" w:rsidP="00653FFE">
      <w:pPr>
        <w:suppressAutoHyphens w:val="0"/>
        <w:spacing w:line="480" w:lineRule="auto"/>
        <w:rPr>
          <w:b/>
          <w:lang w:val="en-GB"/>
        </w:rPr>
      </w:pPr>
      <w:r w:rsidRPr="007A77AA">
        <w:rPr>
          <w:b/>
          <w:lang w:val="en-GB"/>
        </w:rPr>
        <w:t>REFERENCES</w:t>
      </w:r>
    </w:p>
    <w:p w14:paraId="61EF1C4E" w14:textId="77777777" w:rsidR="00E676D5" w:rsidRPr="000A3B58" w:rsidRDefault="007A77AA" w:rsidP="00E676D5">
      <w:pPr>
        <w:widowControl w:val="0"/>
        <w:autoSpaceDE w:val="0"/>
        <w:autoSpaceDN w:val="0"/>
        <w:adjustRightInd w:val="0"/>
        <w:spacing w:line="480" w:lineRule="auto"/>
        <w:ind w:left="640" w:hanging="640"/>
        <w:rPr>
          <w:noProof/>
          <w:sz w:val="20"/>
          <w:lang w:val="en-US"/>
        </w:rPr>
      </w:pPr>
      <w:r w:rsidRPr="00E676D5">
        <w:rPr>
          <w:sz w:val="20"/>
          <w:szCs w:val="20"/>
          <w:lang w:val="en-GB"/>
        </w:rPr>
        <w:fldChar w:fldCharType="begin" w:fldLock="1"/>
      </w:r>
      <w:r w:rsidRPr="00E676D5">
        <w:rPr>
          <w:sz w:val="20"/>
          <w:szCs w:val="20"/>
          <w:lang w:val="en-GB"/>
        </w:rPr>
        <w:instrText xml:space="preserve">ADDIN Mendeley Bibliography CSL_BIBLIOGRAPHY </w:instrText>
      </w:r>
      <w:r w:rsidRPr="00E676D5">
        <w:rPr>
          <w:sz w:val="20"/>
          <w:szCs w:val="20"/>
          <w:lang w:val="en-GB"/>
        </w:rPr>
        <w:fldChar w:fldCharType="separate"/>
      </w:r>
      <w:r w:rsidR="00E676D5" w:rsidRPr="000A3B58">
        <w:rPr>
          <w:noProof/>
          <w:sz w:val="20"/>
          <w:lang w:val="en-US"/>
        </w:rPr>
        <w:t xml:space="preserve">1. </w:t>
      </w:r>
      <w:r w:rsidR="00E676D5" w:rsidRPr="000A3B58">
        <w:rPr>
          <w:noProof/>
          <w:sz w:val="20"/>
          <w:lang w:val="en-US"/>
        </w:rPr>
        <w:tab/>
        <w:t xml:space="preserve">Pickering TG, Hall JE, Appel LJ, et al. Recommendations for blood pressure measurement in humans and experimental animals: part 1: blood pressure measurement in humans: a statement for professionals from the Subcommittee of Professional and Public Education of the American Heart Association Cou. </w:t>
      </w:r>
      <w:r w:rsidR="00E676D5" w:rsidRPr="000A3B58">
        <w:rPr>
          <w:i/>
          <w:iCs/>
          <w:noProof/>
          <w:sz w:val="20"/>
          <w:lang w:val="en-US"/>
        </w:rPr>
        <w:t>Circulation</w:t>
      </w:r>
      <w:r w:rsidR="00E676D5" w:rsidRPr="000A3B58">
        <w:rPr>
          <w:noProof/>
          <w:sz w:val="20"/>
          <w:lang w:val="en-US"/>
        </w:rPr>
        <w:t>. 2005;111(5):697-716. doi:10.1161/01.CIR.0000154900.76284.F6</w:t>
      </w:r>
    </w:p>
    <w:p w14:paraId="2D1DC7C9" w14:textId="77777777" w:rsidR="00E676D5" w:rsidRPr="000A3B58" w:rsidRDefault="00E676D5" w:rsidP="00E676D5">
      <w:pPr>
        <w:widowControl w:val="0"/>
        <w:autoSpaceDE w:val="0"/>
        <w:autoSpaceDN w:val="0"/>
        <w:adjustRightInd w:val="0"/>
        <w:spacing w:line="480" w:lineRule="auto"/>
        <w:ind w:left="640" w:hanging="640"/>
        <w:rPr>
          <w:noProof/>
          <w:sz w:val="20"/>
          <w:lang w:val="en-US"/>
        </w:rPr>
      </w:pPr>
      <w:r w:rsidRPr="000A3B58">
        <w:rPr>
          <w:noProof/>
          <w:sz w:val="20"/>
          <w:lang w:val="en-US"/>
        </w:rPr>
        <w:t xml:space="preserve">2. </w:t>
      </w:r>
      <w:r w:rsidRPr="000A3B58">
        <w:rPr>
          <w:noProof/>
          <w:sz w:val="20"/>
          <w:lang w:val="en-US"/>
        </w:rPr>
        <w:tab/>
        <w:t xml:space="preserve">Tombaugh TN, McIntyre NJ. The mini-mental state examination: a comprehensive review. </w:t>
      </w:r>
      <w:r w:rsidRPr="000A3B58">
        <w:rPr>
          <w:i/>
          <w:iCs/>
          <w:noProof/>
          <w:sz w:val="20"/>
          <w:lang w:val="en-US"/>
        </w:rPr>
        <w:t>J Am Geriatr Soc</w:t>
      </w:r>
      <w:r w:rsidRPr="000A3B58">
        <w:rPr>
          <w:noProof/>
          <w:sz w:val="20"/>
          <w:lang w:val="en-US"/>
        </w:rPr>
        <w:t>. 1992;40(9):922-935. http://www.ncbi.nlm.nih.gov/pubmed/1512391. Accessed December 8, 2015.</w:t>
      </w:r>
    </w:p>
    <w:p w14:paraId="6A862FA0" w14:textId="77777777" w:rsidR="00E676D5" w:rsidRPr="000A3B58" w:rsidRDefault="00E676D5" w:rsidP="00E676D5">
      <w:pPr>
        <w:widowControl w:val="0"/>
        <w:autoSpaceDE w:val="0"/>
        <w:autoSpaceDN w:val="0"/>
        <w:adjustRightInd w:val="0"/>
        <w:spacing w:line="480" w:lineRule="auto"/>
        <w:ind w:left="640" w:hanging="640"/>
        <w:rPr>
          <w:noProof/>
          <w:sz w:val="20"/>
          <w:lang w:val="en-US"/>
        </w:rPr>
      </w:pPr>
      <w:r w:rsidRPr="000A3B58">
        <w:rPr>
          <w:noProof/>
          <w:sz w:val="20"/>
          <w:lang w:val="en-US"/>
        </w:rPr>
        <w:t xml:space="preserve">3. </w:t>
      </w:r>
      <w:r w:rsidRPr="000A3B58">
        <w:rPr>
          <w:noProof/>
          <w:sz w:val="20"/>
          <w:lang w:val="en-US"/>
        </w:rPr>
        <w:tab/>
        <w:t xml:space="preserve">Yesavage JA, Brink TL, Rose TL, et al. Development and validation of a geriatric depression screening scale: a preliminary report. </w:t>
      </w:r>
      <w:r w:rsidRPr="000A3B58">
        <w:rPr>
          <w:i/>
          <w:iCs/>
          <w:noProof/>
          <w:sz w:val="20"/>
          <w:lang w:val="en-US"/>
        </w:rPr>
        <w:t>J Psychiatr Res</w:t>
      </w:r>
      <w:r w:rsidRPr="000A3B58">
        <w:rPr>
          <w:noProof/>
          <w:sz w:val="20"/>
          <w:lang w:val="en-US"/>
        </w:rPr>
        <w:t>. 1982;17(1):37-49. http://www.ncbi.nlm.nih.gov/pubmed/7183759. Accessed August 25, 2014.</w:t>
      </w:r>
    </w:p>
    <w:p w14:paraId="38DE0383" w14:textId="77777777" w:rsidR="00653FFE" w:rsidRPr="0097693F" w:rsidRDefault="007A77AA" w:rsidP="00653FFE">
      <w:pPr>
        <w:suppressAutoHyphens w:val="0"/>
        <w:spacing w:line="480" w:lineRule="auto"/>
        <w:rPr>
          <w:lang w:val="en-GB"/>
        </w:rPr>
      </w:pPr>
      <w:r w:rsidRPr="00E676D5">
        <w:rPr>
          <w:sz w:val="20"/>
          <w:szCs w:val="20"/>
          <w:lang w:val="en-GB"/>
        </w:rPr>
        <w:fldChar w:fldCharType="end"/>
      </w:r>
    </w:p>
    <w:p w14:paraId="38399221" w14:textId="77777777" w:rsidR="00653FFE" w:rsidRPr="0097693F" w:rsidRDefault="00653FFE" w:rsidP="00653FFE">
      <w:pPr>
        <w:suppressAutoHyphens w:val="0"/>
        <w:spacing w:line="480" w:lineRule="auto"/>
        <w:rPr>
          <w:lang w:val="en-GB"/>
        </w:rPr>
      </w:pPr>
    </w:p>
    <w:p w14:paraId="13A7D827" w14:textId="77777777" w:rsidR="00653FFE" w:rsidRDefault="00653FFE" w:rsidP="00653FFE">
      <w:pPr>
        <w:suppressAutoHyphens w:val="0"/>
        <w:spacing w:line="480" w:lineRule="auto"/>
        <w:rPr>
          <w:lang w:val="en-GB"/>
        </w:rPr>
      </w:pPr>
    </w:p>
    <w:p w14:paraId="291C13AE" w14:textId="77777777" w:rsidR="00E676D5" w:rsidRDefault="00E676D5" w:rsidP="00653FFE">
      <w:pPr>
        <w:suppressAutoHyphens w:val="0"/>
        <w:spacing w:line="480" w:lineRule="auto"/>
        <w:rPr>
          <w:lang w:val="en-GB"/>
        </w:rPr>
      </w:pPr>
    </w:p>
    <w:p w14:paraId="352BC6F0" w14:textId="77777777" w:rsidR="00E676D5" w:rsidRDefault="00E676D5" w:rsidP="00653FFE">
      <w:pPr>
        <w:suppressAutoHyphens w:val="0"/>
        <w:spacing w:line="480" w:lineRule="auto"/>
        <w:rPr>
          <w:lang w:val="en-GB"/>
        </w:rPr>
      </w:pPr>
    </w:p>
    <w:p w14:paraId="6B7BBF06" w14:textId="77777777" w:rsidR="00E676D5" w:rsidRDefault="00E676D5" w:rsidP="00653FFE">
      <w:pPr>
        <w:suppressAutoHyphens w:val="0"/>
        <w:spacing w:line="480" w:lineRule="auto"/>
        <w:rPr>
          <w:lang w:val="en-GB"/>
        </w:rPr>
      </w:pPr>
    </w:p>
    <w:p w14:paraId="055C4138" w14:textId="77777777" w:rsidR="00E676D5" w:rsidRDefault="00E676D5" w:rsidP="00653FFE">
      <w:pPr>
        <w:suppressAutoHyphens w:val="0"/>
        <w:spacing w:line="480" w:lineRule="auto"/>
        <w:rPr>
          <w:lang w:val="en-GB"/>
        </w:rPr>
      </w:pPr>
    </w:p>
    <w:p w14:paraId="3F3EB485" w14:textId="77777777" w:rsidR="00E676D5" w:rsidRDefault="00E676D5" w:rsidP="00653FFE">
      <w:pPr>
        <w:suppressAutoHyphens w:val="0"/>
        <w:spacing w:line="480" w:lineRule="auto"/>
        <w:rPr>
          <w:lang w:val="en-GB"/>
        </w:rPr>
      </w:pPr>
    </w:p>
    <w:p w14:paraId="63A02E7A" w14:textId="77777777" w:rsidR="00E676D5" w:rsidRDefault="00E676D5" w:rsidP="00653FFE">
      <w:pPr>
        <w:suppressAutoHyphens w:val="0"/>
        <w:spacing w:line="480" w:lineRule="auto"/>
        <w:rPr>
          <w:lang w:val="en-GB"/>
        </w:rPr>
      </w:pPr>
    </w:p>
    <w:p w14:paraId="1323E832" w14:textId="77777777" w:rsidR="00E676D5" w:rsidRDefault="00E676D5" w:rsidP="00653FFE">
      <w:pPr>
        <w:suppressAutoHyphens w:val="0"/>
        <w:spacing w:line="480" w:lineRule="auto"/>
        <w:rPr>
          <w:lang w:val="en-GB"/>
        </w:rPr>
      </w:pPr>
    </w:p>
    <w:p w14:paraId="638F92E4" w14:textId="77777777" w:rsidR="00E676D5" w:rsidRDefault="00E676D5" w:rsidP="00653FFE">
      <w:pPr>
        <w:suppressAutoHyphens w:val="0"/>
        <w:spacing w:line="480" w:lineRule="auto"/>
        <w:rPr>
          <w:lang w:val="en-GB"/>
        </w:rPr>
      </w:pPr>
    </w:p>
    <w:p w14:paraId="16030EAC" w14:textId="77777777" w:rsidR="00E676D5" w:rsidRDefault="00E676D5" w:rsidP="00653FFE">
      <w:pPr>
        <w:suppressAutoHyphens w:val="0"/>
        <w:spacing w:line="480" w:lineRule="auto"/>
        <w:rPr>
          <w:lang w:val="en-GB"/>
        </w:rPr>
      </w:pPr>
    </w:p>
    <w:p w14:paraId="0E5687CC" w14:textId="1DDBFFC2" w:rsidR="007F3AEA" w:rsidRDefault="00E676D5" w:rsidP="00653FFE">
      <w:pPr>
        <w:suppressAutoHyphens w:val="0"/>
        <w:spacing w:line="480" w:lineRule="auto"/>
        <w:rPr>
          <w:b/>
          <w:lang w:val="en-GB"/>
        </w:rPr>
      </w:pPr>
      <w:r>
        <w:rPr>
          <w:b/>
          <w:lang w:val="en-GB"/>
        </w:rPr>
        <w:lastRenderedPageBreak/>
        <w:t xml:space="preserve">Figure </w:t>
      </w:r>
      <w:r w:rsidR="000A3B58">
        <w:rPr>
          <w:b/>
          <w:lang w:val="en-GB"/>
        </w:rPr>
        <w:t>A</w:t>
      </w:r>
      <w:r w:rsidR="007F3AEA">
        <w:rPr>
          <w:b/>
          <w:lang w:val="en-GB"/>
        </w:rPr>
        <w:t>1. Frequency of healthy cardiovascular factors in the men (n=1187) and women (n=1708) included in our sample</w:t>
      </w:r>
    </w:p>
    <w:p w14:paraId="28A45023" w14:textId="77777777" w:rsidR="007F3AEA" w:rsidRDefault="007F3AEA" w:rsidP="00653FFE">
      <w:pPr>
        <w:suppressAutoHyphens w:val="0"/>
        <w:spacing w:line="480" w:lineRule="auto"/>
        <w:rPr>
          <w:b/>
          <w:lang w:val="en-GB"/>
        </w:rPr>
      </w:pPr>
      <w:r>
        <w:rPr>
          <w:b/>
          <w:noProof/>
          <w:lang w:eastAsia="it-IT"/>
        </w:rPr>
        <w:drawing>
          <wp:inline distT="0" distB="0" distL="0" distR="0" wp14:anchorId="35A628CA" wp14:editId="4277A101">
            <wp:extent cx="6115685" cy="35115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685" cy="3511550"/>
                    </a:xfrm>
                    <a:prstGeom prst="rect">
                      <a:avLst/>
                    </a:prstGeom>
                    <a:noFill/>
                    <a:ln>
                      <a:noFill/>
                    </a:ln>
                  </pic:spPr>
                </pic:pic>
              </a:graphicData>
            </a:graphic>
          </wp:inline>
        </w:drawing>
      </w:r>
    </w:p>
    <w:p w14:paraId="42A31CF1" w14:textId="77777777" w:rsidR="007F3AEA" w:rsidRDefault="007F3AEA" w:rsidP="00653FFE">
      <w:pPr>
        <w:suppressAutoHyphens w:val="0"/>
        <w:spacing w:line="480" w:lineRule="auto"/>
        <w:rPr>
          <w:b/>
          <w:lang w:val="en-GB"/>
        </w:rPr>
      </w:pPr>
    </w:p>
    <w:p w14:paraId="069A154F" w14:textId="77777777" w:rsidR="007F3AEA" w:rsidRDefault="007F3AEA" w:rsidP="00653FFE">
      <w:pPr>
        <w:suppressAutoHyphens w:val="0"/>
        <w:spacing w:line="480" w:lineRule="auto"/>
        <w:rPr>
          <w:b/>
          <w:lang w:val="en-GB"/>
        </w:rPr>
      </w:pPr>
    </w:p>
    <w:p w14:paraId="60301D50" w14:textId="77777777" w:rsidR="007F3AEA" w:rsidRDefault="007F3AEA" w:rsidP="00653FFE">
      <w:pPr>
        <w:suppressAutoHyphens w:val="0"/>
        <w:spacing w:line="480" w:lineRule="auto"/>
        <w:rPr>
          <w:b/>
          <w:lang w:val="en-GB"/>
        </w:rPr>
      </w:pPr>
    </w:p>
    <w:p w14:paraId="30E166F2" w14:textId="77777777" w:rsidR="007F3AEA" w:rsidRDefault="007F3AEA" w:rsidP="00653FFE">
      <w:pPr>
        <w:suppressAutoHyphens w:val="0"/>
        <w:spacing w:line="480" w:lineRule="auto"/>
        <w:rPr>
          <w:b/>
          <w:lang w:val="en-GB"/>
        </w:rPr>
      </w:pPr>
    </w:p>
    <w:p w14:paraId="5237266F" w14:textId="77777777" w:rsidR="007F3AEA" w:rsidRDefault="007F3AEA" w:rsidP="00653FFE">
      <w:pPr>
        <w:suppressAutoHyphens w:val="0"/>
        <w:spacing w:line="480" w:lineRule="auto"/>
        <w:rPr>
          <w:b/>
          <w:lang w:val="en-GB"/>
        </w:rPr>
      </w:pPr>
    </w:p>
    <w:p w14:paraId="28CA45F8" w14:textId="77777777" w:rsidR="007F3AEA" w:rsidRDefault="007F3AEA" w:rsidP="00653FFE">
      <w:pPr>
        <w:suppressAutoHyphens w:val="0"/>
        <w:spacing w:line="480" w:lineRule="auto"/>
        <w:rPr>
          <w:b/>
          <w:lang w:val="en-GB"/>
        </w:rPr>
      </w:pPr>
    </w:p>
    <w:p w14:paraId="72EB062B" w14:textId="77777777" w:rsidR="007F3AEA" w:rsidRDefault="007F3AEA" w:rsidP="00653FFE">
      <w:pPr>
        <w:suppressAutoHyphens w:val="0"/>
        <w:spacing w:line="480" w:lineRule="auto"/>
        <w:rPr>
          <w:b/>
          <w:lang w:val="en-GB"/>
        </w:rPr>
      </w:pPr>
    </w:p>
    <w:p w14:paraId="3D589FF9" w14:textId="77777777" w:rsidR="007F3AEA" w:rsidRDefault="007F3AEA" w:rsidP="00653FFE">
      <w:pPr>
        <w:suppressAutoHyphens w:val="0"/>
        <w:spacing w:line="480" w:lineRule="auto"/>
        <w:rPr>
          <w:b/>
          <w:lang w:val="en-GB"/>
        </w:rPr>
      </w:pPr>
    </w:p>
    <w:p w14:paraId="0BFDF325" w14:textId="77777777" w:rsidR="007F3AEA" w:rsidRDefault="007F3AEA" w:rsidP="00653FFE">
      <w:pPr>
        <w:suppressAutoHyphens w:val="0"/>
        <w:spacing w:line="480" w:lineRule="auto"/>
        <w:rPr>
          <w:b/>
          <w:lang w:val="en-GB"/>
        </w:rPr>
      </w:pPr>
    </w:p>
    <w:p w14:paraId="28658432" w14:textId="56F94727" w:rsidR="007F3AEA" w:rsidRDefault="007F3AEA" w:rsidP="00653FFE">
      <w:pPr>
        <w:suppressAutoHyphens w:val="0"/>
        <w:spacing w:line="480" w:lineRule="auto"/>
        <w:rPr>
          <w:b/>
          <w:lang w:val="en-GB"/>
        </w:rPr>
      </w:pPr>
    </w:p>
    <w:p w14:paraId="4C533E4E" w14:textId="310F5C0B" w:rsidR="00653FFE" w:rsidRPr="0097693F" w:rsidRDefault="00653FFE" w:rsidP="001B2E7C">
      <w:pPr>
        <w:suppressAutoHyphens w:val="0"/>
        <w:spacing w:before="100" w:beforeAutospacing="1" w:after="100" w:afterAutospacing="1" w:line="480" w:lineRule="auto"/>
        <w:rPr>
          <w:b/>
          <w:lang w:val="en-GB"/>
        </w:rPr>
        <w:sectPr w:rsidR="00653FFE" w:rsidRPr="0097693F" w:rsidSect="001B2E7C">
          <w:footerReference w:type="default" r:id="rId8"/>
          <w:pgSz w:w="11906" w:h="16838"/>
          <w:pgMar w:top="1417" w:right="1134" w:bottom="1134" w:left="1134" w:header="709" w:footer="709" w:gutter="0"/>
          <w:cols w:space="708"/>
          <w:docGrid w:linePitch="360"/>
        </w:sectPr>
      </w:pPr>
    </w:p>
    <w:p w14:paraId="59970DD5" w14:textId="70C336B5" w:rsidR="00C87670" w:rsidRDefault="001B2E7C" w:rsidP="00653FFE">
      <w:pPr>
        <w:suppressAutoHyphens w:val="0"/>
        <w:rPr>
          <w:rFonts w:eastAsia="Calibri"/>
          <w:sz w:val="18"/>
          <w:szCs w:val="18"/>
          <w:lang w:val="en-GB" w:eastAsia="en-US"/>
        </w:rPr>
      </w:pPr>
      <w:r>
        <w:rPr>
          <w:b/>
          <w:lang w:val="en-GB" w:eastAsia="sv-SE"/>
        </w:rPr>
        <w:lastRenderedPageBreak/>
        <w:t>Table A1</w:t>
      </w:r>
      <w:r w:rsidRPr="0097693F">
        <w:rPr>
          <w:b/>
          <w:lang w:val="en-GB" w:eastAsia="sv-SE"/>
        </w:rPr>
        <w:t>. Cox regression on the associations between cardiovascular risk profile with 20-year all-cause and cardiovascular mortality in older men and women, stratified by age</w:t>
      </w:r>
      <w:r>
        <w:rPr>
          <w:b/>
          <w:lang w:val="en-GB" w:eastAsia="sv-SE"/>
        </w:rPr>
        <w:t xml:space="preserve"> class</w:t>
      </w:r>
    </w:p>
    <w:tbl>
      <w:tblPr>
        <w:tblpPr w:leftFromText="187" w:rightFromText="187" w:vertAnchor="text" w:horzAnchor="margin" w:tblpY="156"/>
        <w:tblW w:w="1404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610"/>
        <w:gridCol w:w="1890"/>
        <w:gridCol w:w="2070"/>
        <w:gridCol w:w="1800"/>
        <w:gridCol w:w="1890"/>
        <w:gridCol w:w="1620"/>
        <w:gridCol w:w="2160"/>
      </w:tblGrid>
      <w:tr w:rsidR="001B2E7C" w:rsidRPr="00D616FD" w14:paraId="419EE42A" w14:textId="77777777" w:rsidTr="001B2E7C">
        <w:trPr>
          <w:trHeight w:val="50"/>
        </w:trPr>
        <w:tc>
          <w:tcPr>
            <w:tcW w:w="2610" w:type="dxa"/>
            <w:tcBorders>
              <w:bottom w:val="nil"/>
            </w:tcBorders>
          </w:tcPr>
          <w:p w14:paraId="4102B552" w14:textId="77777777" w:rsidR="001B2E7C" w:rsidRPr="001B2E7C" w:rsidRDefault="001B2E7C" w:rsidP="001B2E7C">
            <w:pPr>
              <w:spacing w:line="360" w:lineRule="auto"/>
              <w:ind w:left="-65" w:right="-108"/>
              <w:jc w:val="center"/>
              <w:rPr>
                <w:rFonts w:eastAsia="Calibri"/>
                <w:b/>
                <w:sz w:val="22"/>
                <w:szCs w:val="22"/>
                <w:lang w:val="en-GB"/>
              </w:rPr>
            </w:pPr>
          </w:p>
        </w:tc>
        <w:tc>
          <w:tcPr>
            <w:tcW w:w="11430" w:type="dxa"/>
            <w:gridSpan w:val="6"/>
            <w:tcBorders>
              <w:bottom w:val="nil"/>
            </w:tcBorders>
            <w:vAlign w:val="center"/>
          </w:tcPr>
          <w:p w14:paraId="1FF2D33F" w14:textId="77777777" w:rsidR="001B2E7C" w:rsidRPr="001B2E7C" w:rsidRDefault="001B2E7C" w:rsidP="001B2E7C">
            <w:pPr>
              <w:spacing w:line="360" w:lineRule="auto"/>
              <w:ind w:left="-65" w:right="-108"/>
              <w:jc w:val="center"/>
              <w:rPr>
                <w:rFonts w:eastAsia="Calibri"/>
                <w:b/>
                <w:sz w:val="22"/>
                <w:szCs w:val="22"/>
                <w:lang w:val="en-GB"/>
              </w:rPr>
            </w:pPr>
            <w:r w:rsidRPr="001B2E7C">
              <w:rPr>
                <w:rFonts w:eastAsia="Calibri"/>
                <w:b/>
                <w:sz w:val="22"/>
                <w:szCs w:val="22"/>
                <w:lang w:val="en-GB"/>
              </w:rPr>
              <w:t>Hazard ratios and 95% Confidence Intervals for mortality</w:t>
            </w:r>
          </w:p>
        </w:tc>
      </w:tr>
      <w:tr w:rsidR="001B2E7C" w:rsidRPr="001B2E7C" w14:paraId="2D250823" w14:textId="77777777" w:rsidTr="001B2E7C">
        <w:trPr>
          <w:trHeight w:val="39"/>
        </w:trPr>
        <w:tc>
          <w:tcPr>
            <w:tcW w:w="2610" w:type="dxa"/>
            <w:tcBorders>
              <w:top w:val="nil"/>
              <w:bottom w:val="nil"/>
            </w:tcBorders>
            <w:vAlign w:val="center"/>
          </w:tcPr>
          <w:p w14:paraId="07A3F5A7" w14:textId="77777777" w:rsidR="001B2E7C" w:rsidRPr="001B2E7C" w:rsidRDefault="001B2E7C" w:rsidP="001B2E7C">
            <w:pPr>
              <w:spacing w:line="360" w:lineRule="auto"/>
              <w:rPr>
                <w:rFonts w:eastAsia="Calibri"/>
                <w:b/>
                <w:sz w:val="22"/>
                <w:szCs w:val="22"/>
                <w:lang w:val="en-GB"/>
              </w:rPr>
            </w:pPr>
          </w:p>
        </w:tc>
        <w:tc>
          <w:tcPr>
            <w:tcW w:w="3960" w:type="dxa"/>
            <w:gridSpan w:val="2"/>
            <w:tcBorders>
              <w:bottom w:val="nil"/>
            </w:tcBorders>
            <w:vAlign w:val="center"/>
          </w:tcPr>
          <w:p w14:paraId="3813CBB4" w14:textId="77777777" w:rsidR="001B2E7C" w:rsidRPr="001B2E7C" w:rsidRDefault="001B2E7C" w:rsidP="001B2E7C">
            <w:pPr>
              <w:spacing w:line="360" w:lineRule="auto"/>
              <w:jc w:val="center"/>
              <w:rPr>
                <w:b/>
                <w:sz w:val="22"/>
                <w:szCs w:val="22"/>
                <w:lang w:val="en-GB"/>
              </w:rPr>
            </w:pPr>
            <w:r w:rsidRPr="001B2E7C">
              <w:rPr>
                <w:rFonts w:eastAsia="Calibri"/>
                <w:b/>
                <w:sz w:val="22"/>
                <w:szCs w:val="22"/>
                <w:lang w:val="en-GB"/>
              </w:rPr>
              <w:t xml:space="preserve">65-74 years </w:t>
            </w:r>
          </w:p>
        </w:tc>
        <w:tc>
          <w:tcPr>
            <w:tcW w:w="3690" w:type="dxa"/>
            <w:gridSpan w:val="2"/>
            <w:tcBorders>
              <w:bottom w:val="nil"/>
            </w:tcBorders>
            <w:vAlign w:val="center"/>
          </w:tcPr>
          <w:p w14:paraId="6A7A8F88" w14:textId="77777777" w:rsidR="001B2E7C" w:rsidRPr="001B2E7C" w:rsidRDefault="001B2E7C" w:rsidP="001B2E7C">
            <w:pPr>
              <w:spacing w:line="360" w:lineRule="auto"/>
              <w:jc w:val="center"/>
              <w:rPr>
                <w:b/>
                <w:sz w:val="22"/>
                <w:szCs w:val="22"/>
                <w:lang w:val="en-GB"/>
              </w:rPr>
            </w:pPr>
            <w:r w:rsidRPr="001B2E7C">
              <w:rPr>
                <w:rFonts w:eastAsia="Calibri"/>
                <w:b/>
                <w:sz w:val="22"/>
                <w:szCs w:val="22"/>
                <w:lang w:val="en-GB"/>
              </w:rPr>
              <w:t>75-84 years</w:t>
            </w:r>
          </w:p>
        </w:tc>
        <w:tc>
          <w:tcPr>
            <w:tcW w:w="3780" w:type="dxa"/>
            <w:gridSpan w:val="2"/>
            <w:tcBorders>
              <w:bottom w:val="nil"/>
              <w:right w:val="nil"/>
            </w:tcBorders>
            <w:vAlign w:val="center"/>
          </w:tcPr>
          <w:p w14:paraId="7AE137C2" w14:textId="77777777" w:rsidR="001B2E7C" w:rsidRPr="001B2E7C" w:rsidRDefault="001B2E7C" w:rsidP="001B2E7C">
            <w:pPr>
              <w:spacing w:line="360" w:lineRule="auto"/>
              <w:jc w:val="center"/>
              <w:rPr>
                <w:b/>
                <w:sz w:val="22"/>
                <w:szCs w:val="22"/>
                <w:lang w:val="en-GB"/>
              </w:rPr>
            </w:pPr>
            <w:r w:rsidRPr="001B2E7C">
              <w:rPr>
                <w:rFonts w:eastAsia="Calibri"/>
                <w:b/>
                <w:sz w:val="22"/>
                <w:szCs w:val="22"/>
                <w:lang w:val="en-GB"/>
              </w:rPr>
              <w:t>≥85</w:t>
            </w:r>
          </w:p>
        </w:tc>
      </w:tr>
      <w:tr w:rsidR="001B2E7C" w:rsidRPr="001B2E7C" w14:paraId="1FBA0611" w14:textId="77777777" w:rsidTr="001B2E7C">
        <w:trPr>
          <w:trHeight w:val="48"/>
        </w:trPr>
        <w:tc>
          <w:tcPr>
            <w:tcW w:w="2610" w:type="dxa"/>
            <w:tcBorders>
              <w:top w:val="nil"/>
              <w:bottom w:val="single" w:sz="4" w:space="0" w:color="auto"/>
            </w:tcBorders>
            <w:vAlign w:val="center"/>
          </w:tcPr>
          <w:p w14:paraId="00B5E788" w14:textId="77777777" w:rsidR="001B2E7C" w:rsidRPr="001B2E7C" w:rsidRDefault="001B2E7C" w:rsidP="001B2E7C">
            <w:pPr>
              <w:spacing w:line="360" w:lineRule="auto"/>
              <w:rPr>
                <w:rFonts w:eastAsia="Calibri"/>
                <w:b/>
                <w:sz w:val="22"/>
                <w:szCs w:val="22"/>
                <w:lang w:val="en-GB"/>
              </w:rPr>
            </w:pPr>
          </w:p>
        </w:tc>
        <w:tc>
          <w:tcPr>
            <w:tcW w:w="1890" w:type="dxa"/>
            <w:tcBorders>
              <w:top w:val="nil"/>
              <w:bottom w:val="single" w:sz="4" w:space="0" w:color="auto"/>
            </w:tcBorders>
            <w:vAlign w:val="center"/>
          </w:tcPr>
          <w:p w14:paraId="5D800473" w14:textId="77777777" w:rsidR="001B2E7C" w:rsidRPr="001B2E7C" w:rsidRDefault="001B2E7C" w:rsidP="001B2E7C">
            <w:pPr>
              <w:spacing w:line="360" w:lineRule="auto"/>
              <w:ind w:left="-65" w:right="-108"/>
              <w:jc w:val="center"/>
              <w:rPr>
                <w:rFonts w:eastAsia="Calibri"/>
                <w:b/>
                <w:sz w:val="22"/>
                <w:szCs w:val="22"/>
                <w:lang w:val="en-GB"/>
              </w:rPr>
            </w:pPr>
            <w:r w:rsidRPr="001B2E7C">
              <w:rPr>
                <w:rFonts w:eastAsia="Calibri"/>
                <w:b/>
                <w:sz w:val="22"/>
                <w:szCs w:val="22"/>
                <w:lang w:val="en-GB"/>
              </w:rPr>
              <w:t>Men</w:t>
            </w:r>
          </w:p>
        </w:tc>
        <w:tc>
          <w:tcPr>
            <w:tcW w:w="2070" w:type="dxa"/>
            <w:tcBorders>
              <w:top w:val="nil"/>
              <w:bottom w:val="single" w:sz="4" w:space="0" w:color="auto"/>
            </w:tcBorders>
            <w:vAlign w:val="center"/>
          </w:tcPr>
          <w:p w14:paraId="1337AAE4" w14:textId="77777777" w:rsidR="001B2E7C" w:rsidRPr="001B2E7C" w:rsidRDefault="001B2E7C" w:rsidP="001B2E7C">
            <w:pPr>
              <w:spacing w:line="360" w:lineRule="auto"/>
              <w:jc w:val="center"/>
              <w:rPr>
                <w:b/>
                <w:sz w:val="22"/>
                <w:szCs w:val="22"/>
                <w:lang w:val="en-GB"/>
              </w:rPr>
            </w:pPr>
            <w:r w:rsidRPr="001B2E7C">
              <w:rPr>
                <w:rFonts w:eastAsia="Calibri"/>
                <w:b/>
                <w:sz w:val="22"/>
                <w:szCs w:val="22"/>
                <w:lang w:val="en-GB"/>
              </w:rPr>
              <w:t>Women</w:t>
            </w:r>
          </w:p>
        </w:tc>
        <w:tc>
          <w:tcPr>
            <w:tcW w:w="1800" w:type="dxa"/>
            <w:tcBorders>
              <w:top w:val="nil"/>
              <w:bottom w:val="single" w:sz="4" w:space="0" w:color="auto"/>
            </w:tcBorders>
            <w:vAlign w:val="center"/>
          </w:tcPr>
          <w:p w14:paraId="59A3961D" w14:textId="77777777" w:rsidR="001B2E7C" w:rsidRPr="001B2E7C" w:rsidRDefault="001B2E7C" w:rsidP="001B2E7C">
            <w:pPr>
              <w:spacing w:line="360" w:lineRule="auto"/>
              <w:ind w:left="-65" w:right="-108"/>
              <w:jc w:val="center"/>
              <w:rPr>
                <w:rFonts w:eastAsia="Calibri"/>
                <w:b/>
                <w:sz w:val="22"/>
                <w:szCs w:val="22"/>
                <w:lang w:val="en-GB"/>
              </w:rPr>
            </w:pPr>
            <w:r w:rsidRPr="001B2E7C">
              <w:rPr>
                <w:rFonts w:eastAsia="Calibri"/>
                <w:b/>
                <w:sz w:val="22"/>
                <w:szCs w:val="22"/>
                <w:lang w:val="en-GB"/>
              </w:rPr>
              <w:t>Men</w:t>
            </w:r>
          </w:p>
        </w:tc>
        <w:tc>
          <w:tcPr>
            <w:tcW w:w="1890" w:type="dxa"/>
            <w:tcBorders>
              <w:top w:val="nil"/>
              <w:bottom w:val="single" w:sz="4" w:space="0" w:color="auto"/>
            </w:tcBorders>
            <w:vAlign w:val="center"/>
          </w:tcPr>
          <w:p w14:paraId="73C2B398" w14:textId="77777777" w:rsidR="001B2E7C" w:rsidRPr="001B2E7C" w:rsidRDefault="001B2E7C" w:rsidP="001B2E7C">
            <w:pPr>
              <w:spacing w:line="360" w:lineRule="auto"/>
              <w:jc w:val="center"/>
              <w:rPr>
                <w:b/>
                <w:sz w:val="22"/>
                <w:szCs w:val="22"/>
                <w:lang w:val="en-GB"/>
              </w:rPr>
            </w:pPr>
            <w:r w:rsidRPr="001B2E7C">
              <w:rPr>
                <w:rFonts w:eastAsia="Calibri"/>
                <w:b/>
                <w:sz w:val="22"/>
                <w:szCs w:val="22"/>
                <w:lang w:val="en-GB"/>
              </w:rPr>
              <w:t>Women</w:t>
            </w:r>
          </w:p>
        </w:tc>
        <w:tc>
          <w:tcPr>
            <w:tcW w:w="1620" w:type="dxa"/>
            <w:tcBorders>
              <w:top w:val="nil"/>
              <w:bottom w:val="single" w:sz="4" w:space="0" w:color="auto"/>
              <w:right w:val="nil"/>
            </w:tcBorders>
            <w:vAlign w:val="center"/>
          </w:tcPr>
          <w:p w14:paraId="0F70BEFD" w14:textId="77777777" w:rsidR="001B2E7C" w:rsidRPr="001B2E7C" w:rsidRDefault="001B2E7C" w:rsidP="001B2E7C">
            <w:pPr>
              <w:spacing w:line="360" w:lineRule="auto"/>
              <w:ind w:left="-65" w:right="-108"/>
              <w:jc w:val="center"/>
              <w:rPr>
                <w:rFonts w:eastAsia="Calibri"/>
                <w:b/>
                <w:sz w:val="22"/>
                <w:szCs w:val="22"/>
                <w:lang w:val="en-GB"/>
              </w:rPr>
            </w:pPr>
            <w:r w:rsidRPr="001B2E7C">
              <w:rPr>
                <w:rFonts w:eastAsia="Calibri"/>
                <w:b/>
                <w:sz w:val="22"/>
                <w:szCs w:val="22"/>
                <w:lang w:val="en-GB"/>
              </w:rPr>
              <w:t>Men</w:t>
            </w:r>
          </w:p>
        </w:tc>
        <w:tc>
          <w:tcPr>
            <w:tcW w:w="2160" w:type="dxa"/>
            <w:tcBorders>
              <w:top w:val="nil"/>
              <w:left w:val="nil"/>
              <w:bottom w:val="single" w:sz="4" w:space="0" w:color="auto"/>
              <w:right w:val="nil"/>
            </w:tcBorders>
            <w:vAlign w:val="center"/>
          </w:tcPr>
          <w:p w14:paraId="735BB19F" w14:textId="77777777" w:rsidR="001B2E7C" w:rsidRPr="001B2E7C" w:rsidRDefault="001B2E7C" w:rsidP="001B2E7C">
            <w:pPr>
              <w:spacing w:line="360" w:lineRule="auto"/>
              <w:jc w:val="center"/>
              <w:rPr>
                <w:b/>
                <w:sz w:val="22"/>
                <w:szCs w:val="22"/>
                <w:lang w:val="en-GB"/>
              </w:rPr>
            </w:pPr>
            <w:r w:rsidRPr="001B2E7C">
              <w:rPr>
                <w:rFonts w:eastAsia="Calibri"/>
                <w:b/>
                <w:sz w:val="22"/>
                <w:szCs w:val="22"/>
                <w:lang w:val="en-GB"/>
              </w:rPr>
              <w:t>Women</w:t>
            </w:r>
          </w:p>
        </w:tc>
      </w:tr>
      <w:tr w:rsidR="001B2E7C" w:rsidRPr="001B2E7C" w14:paraId="7E215FA1" w14:textId="77777777" w:rsidTr="001B2E7C">
        <w:trPr>
          <w:trHeight w:val="39"/>
        </w:trPr>
        <w:tc>
          <w:tcPr>
            <w:tcW w:w="2610" w:type="dxa"/>
            <w:tcBorders>
              <w:bottom w:val="nil"/>
            </w:tcBorders>
            <w:vAlign w:val="center"/>
          </w:tcPr>
          <w:p w14:paraId="3E8783D5" w14:textId="77777777" w:rsidR="001B2E7C" w:rsidRPr="001B2E7C" w:rsidRDefault="001B2E7C" w:rsidP="001B2E7C">
            <w:pPr>
              <w:spacing w:line="360" w:lineRule="auto"/>
              <w:ind w:right="-108"/>
              <w:rPr>
                <w:rFonts w:eastAsia="Calibri"/>
                <w:b/>
                <w:sz w:val="22"/>
                <w:szCs w:val="22"/>
                <w:lang w:val="en-GB"/>
              </w:rPr>
            </w:pPr>
          </w:p>
        </w:tc>
        <w:tc>
          <w:tcPr>
            <w:tcW w:w="11430" w:type="dxa"/>
            <w:gridSpan w:val="6"/>
            <w:tcBorders>
              <w:bottom w:val="nil"/>
            </w:tcBorders>
            <w:vAlign w:val="center"/>
          </w:tcPr>
          <w:p w14:paraId="6FD94B0F" w14:textId="77777777" w:rsidR="001B2E7C" w:rsidRPr="001B2E7C" w:rsidRDefault="001B2E7C" w:rsidP="001B2E7C">
            <w:pPr>
              <w:spacing w:line="360" w:lineRule="auto"/>
              <w:ind w:right="-108"/>
              <w:jc w:val="center"/>
              <w:rPr>
                <w:sz w:val="22"/>
                <w:szCs w:val="22"/>
                <w:lang w:val="en-GB" w:eastAsia="it-IT"/>
              </w:rPr>
            </w:pPr>
            <w:r w:rsidRPr="001B2E7C">
              <w:rPr>
                <w:rFonts w:eastAsia="Calibri"/>
                <w:b/>
                <w:sz w:val="22"/>
                <w:szCs w:val="22"/>
                <w:lang w:val="en-GB"/>
              </w:rPr>
              <w:t>All-cause mortality</w:t>
            </w:r>
          </w:p>
        </w:tc>
      </w:tr>
      <w:tr w:rsidR="001B2E7C" w:rsidRPr="001B2E7C" w14:paraId="7B6676FF" w14:textId="77777777" w:rsidTr="001B2E7C">
        <w:trPr>
          <w:trHeight w:val="395"/>
        </w:trPr>
        <w:tc>
          <w:tcPr>
            <w:tcW w:w="4500" w:type="dxa"/>
            <w:gridSpan w:val="2"/>
            <w:tcBorders>
              <w:bottom w:val="nil"/>
            </w:tcBorders>
            <w:vAlign w:val="center"/>
          </w:tcPr>
          <w:p w14:paraId="615E93F4" w14:textId="77777777" w:rsidR="001B2E7C" w:rsidRPr="001B2E7C" w:rsidRDefault="001B2E7C" w:rsidP="001B2E7C">
            <w:pPr>
              <w:ind w:right="-108"/>
              <w:rPr>
                <w:sz w:val="22"/>
                <w:szCs w:val="22"/>
                <w:lang w:val="en-GB" w:eastAsia="it-IT"/>
              </w:rPr>
            </w:pPr>
            <w:r w:rsidRPr="001B2E7C">
              <w:rPr>
                <w:rFonts w:eastAsia="Calibri"/>
                <w:b/>
                <w:sz w:val="22"/>
                <w:szCs w:val="22"/>
                <w:lang w:val="en-GB"/>
              </w:rPr>
              <w:t>Cardiovascular risk profile</w:t>
            </w:r>
          </w:p>
        </w:tc>
        <w:tc>
          <w:tcPr>
            <w:tcW w:w="2070" w:type="dxa"/>
            <w:tcBorders>
              <w:bottom w:val="nil"/>
            </w:tcBorders>
            <w:shd w:val="clear" w:color="auto" w:fill="auto"/>
            <w:vAlign w:val="center"/>
          </w:tcPr>
          <w:p w14:paraId="045EEA36" w14:textId="77777777" w:rsidR="001B2E7C" w:rsidRPr="001B2E7C" w:rsidRDefault="001B2E7C" w:rsidP="001B2E7C">
            <w:pPr>
              <w:ind w:right="-108"/>
              <w:jc w:val="center"/>
              <w:rPr>
                <w:sz w:val="22"/>
                <w:szCs w:val="22"/>
                <w:lang w:val="en-GB" w:eastAsia="it-IT"/>
              </w:rPr>
            </w:pPr>
          </w:p>
        </w:tc>
        <w:tc>
          <w:tcPr>
            <w:tcW w:w="1800" w:type="dxa"/>
            <w:tcBorders>
              <w:bottom w:val="nil"/>
            </w:tcBorders>
            <w:shd w:val="clear" w:color="auto" w:fill="auto"/>
            <w:vAlign w:val="center"/>
          </w:tcPr>
          <w:p w14:paraId="484BC2AD" w14:textId="77777777" w:rsidR="001B2E7C" w:rsidRPr="001B2E7C" w:rsidRDefault="001B2E7C" w:rsidP="001B2E7C">
            <w:pPr>
              <w:ind w:right="-108"/>
              <w:jc w:val="center"/>
              <w:rPr>
                <w:sz w:val="22"/>
                <w:szCs w:val="22"/>
                <w:lang w:val="en-GB" w:eastAsia="it-IT"/>
              </w:rPr>
            </w:pPr>
          </w:p>
        </w:tc>
        <w:tc>
          <w:tcPr>
            <w:tcW w:w="1890" w:type="dxa"/>
            <w:tcBorders>
              <w:bottom w:val="nil"/>
            </w:tcBorders>
            <w:shd w:val="clear" w:color="auto" w:fill="auto"/>
            <w:vAlign w:val="center"/>
          </w:tcPr>
          <w:p w14:paraId="1D78555F" w14:textId="77777777" w:rsidR="001B2E7C" w:rsidRPr="001B2E7C" w:rsidRDefault="001B2E7C" w:rsidP="001B2E7C">
            <w:pPr>
              <w:ind w:left="-65" w:right="-108"/>
              <w:jc w:val="center"/>
              <w:rPr>
                <w:sz w:val="22"/>
                <w:szCs w:val="22"/>
                <w:lang w:val="en-GB" w:eastAsia="it-IT"/>
              </w:rPr>
            </w:pPr>
          </w:p>
        </w:tc>
        <w:tc>
          <w:tcPr>
            <w:tcW w:w="1620" w:type="dxa"/>
            <w:tcBorders>
              <w:bottom w:val="nil"/>
            </w:tcBorders>
            <w:shd w:val="clear" w:color="auto" w:fill="auto"/>
            <w:vAlign w:val="center"/>
          </w:tcPr>
          <w:p w14:paraId="2C6FCDEB" w14:textId="77777777" w:rsidR="001B2E7C" w:rsidRPr="001B2E7C" w:rsidRDefault="001B2E7C" w:rsidP="001B2E7C">
            <w:pPr>
              <w:ind w:left="-65" w:right="-108"/>
              <w:jc w:val="center"/>
              <w:rPr>
                <w:sz w:val="22"/>
                <w:szCs w:val="22"/>
                <w:lang w:val="en-GB" w:eastAsia="it-IT"/>
              </w:rPr>
            </w:pPr>
          </w:p>
        </w:tc>
        <w:tc>
          <w:tcPr>
            <w:tcW w:w="2160" w:type="dxa"/>
            <w:tcBorders>
              <w:bottom w:val="nil"/>
            </w:tcBorders>
            <w:shd w:val="clear" w:color="auto" w:fill="auto"/>
            <w:vAlign w:val="center"/>
          </w:tcPr>
          <w:p w14:paraId="583B70E2" w14:textId="77777777" w:rsidR="001B2E7C" w:rsidRPr="001B2E7C" w:rsidRDefault="001B2E7C" w:rsidP="001B2E7C">
            <w:pPr>
              <w:ind w:right="-108"/>
              <w:jc w:val="center"/>
              <w:rPr>
                <w:sz w:val="22"/>
                <w:szCs w:val="22"/>
                <w:lang w:val="en-GB" w:eastAsia="it-IT"/>
              </w:rPr>
            </w:pPr>
          </w:p>
        </w:tc>
      </w:tr>
      <w:tr w:rsidR="001B2E7C" w:rsidRPr="001B2E7C" w14:paraId="5EF3BF83" w14:textId="77777777" w:rsidTr="001B2E7C">
        <w:trPr>
          <w:trHeight w:val="395"/>
        </w:trPr>
        <w:tc>
          <w:tcPr>
            <w:tcW w:w="2610" w:type="dxa"/>
            <w:tcBorders>
              <w:top w:val="nil"/>
              <w:bottom w:val="nil"/>
            </w:tcBorders>
            <w:vAlign w:val="center"/>
          </w:tcPr>
          <w:p w14:paraId="24F0203B" w14:textId="77777777" w:rsidR="001B2E7C" w:rsidRPr="001B2E7C" w:rsidRDefault="001B2E7C" w:rsidP="001B2E7C">
            <w:pPr>
              <w:tabs>
                <w:tab w:val="left" w:pos="142"/>
              </w:tabs>
              <w:rPr>
                <w:rFonts w:eastAsia="Calibri"/>
                <w:b/>
                <w:sz w:val="22"/>
                <w:szCs w:val="22"/>
                <w:lang w:val="en-GB"/>
              </w:rPr>
            </w:pPr>
            <w:r w:rsidRPr="001B2E7C">
              <w:rPr>
                <w:rFonts w:eastAsia="Calibri"/>
                <w:b/>
                <w:sz w:val="22"/>
                <w:szCs w:val="22"/>
                <w:lang w:val="en-GB"/>
              </w:rPr>
              <w:t>Very high</w:t>
            </w:r>
          </w:p>
        </w:tc>
        <w:tc>
          <w:tcPr>
            <w:tcW w:w="1890" w:type="dxa"/>
            <w:tcBorders>
              <w:top w:val="nil"/>
              <w:bottom w:val="nil"/>
            </w:tcBorders>
            <w:shd w:val="clear" w:color="auto" w:fill="auto"/>
            <w:vAlign w:val="center"/>
          </w:tcPr>
          <w:p w14:paraId="2B113A32" w14:textId="77777777" w:rsidR="001B2E7C" w:rsidRPr="001B2E7C" w:rsidRDefault="001B2E7C" w:rsidP="001B2E7C">
            <w:pPr>
              <w:ind w:right="-108"/>
              <w:jc w:val="center"/>
              <w:rPr>
                <w:sz w:val="22"/>
                <w:szCs w:val="22"/>
                <w:lang w:val="en-GB" w:eastAsia="it-IT"/>
              </w:rPr>
            </w:pPr>
            <w:r w:rsidRPr="001B2E7C">
              <w:rPr>
                <w:sz w:val="22"/>
                <w:szCs w:val="22"/>
                <w:lang w:val="en-GB" w:eastAsia="it-IT"/>
              </w:rPr>
              <w:t>1.00</w:t>
            </w:r>
          </w:p>
        </w:tc>
        <w:tc>
          <w:tcPr>
            <w:tcW w:w="2070" w:type="dxa"/>
            <w:tcBorders>
              <w:top w:val="nil"/>
              <w:bottom w:val="nil"/>
            </w:tcBorders>
            <w:shd w:val="clear" w:color="auto" w:fill="auto"/>
            <w:vAlign w:val="center"/>
          </w:tcPr>
          <w:p w14:paraId="4EF263EF" w14:textId="77777777" w:rsidR="001B2E7C" w:rsidRPr="001B2E7C" w:rsidRDefault="001B2E7C" w:rsidP="001B2E7C">
            <w:pPr>
              <w:ind w:right="-108"/>
              <w:jc w:val="center"/>
              <w:rPr>
                <w:sz w:val="22"/>
                <w:szCs w:val="22"/>
                <w:lang w:val="en-GB" w:eastAsia="it-IT"/>
              </w:rPr>
            </w:pPr>
            <w:r w:rsidRPr="001B2E7C">
              <w:rPr>
                <w:sz w:val="22"/>
                <w:szCs w:val="22"/>
                <w:lang w:val="en-GB" w:eastAsia="it-IT"/>
              </w:rPr>
              <w:t>1.00</w:t>
            </w:r>
          </w:p>
        </w:tc>
        <w:tc>
          <w:tcPr>
            <w:tcW w:w="1800" w:type="dxa"/>
            <w:tcBorders>
              <w:top w:val="nil"/>
              <w:bottom w:val="nil"/>
            </w:tcBorders>
            <w:shd w:val="clear" w:color="auto" w:fill="auto"/>
            <w:vAlign w:val="center"/>
          </w:tcPr>
          <w:p w14:paraId="43F0A483" w14:textId="77777777" w:rsidR="001B2E7C" w:rsidRPr="001B2E7C" w:rsidRDefault="001B2E7C" w:rsidP="001B2E7C">
            <w:pPr>
              <w:ind w:right="-108"/>
              <w:jc w:val="center"/>
              <w:rPr>
                <w:sz w:val="22"/>
                <w:szCs w:val="22"/>
                <w:lang w:val="en-GB" w:eastAsia="it-IT"/>
              </w:rPr>
            </w:pPr>
            <w:r w:rsidRPr="001B2E7C">
              <w:rPr>
                <w:sz w:val="22"/>
                <w:szCs w:val="22"/>
                <w:lang w:val="en-GB" w:eastAsia="it-IT"/>
              </w:rPr>
              <w:t>1.00</w:t>
            </w:r>
          </w:p>
        </w:tc>
        <w:tc>
          <w:tcPr>
            <w:tcW w:w="1890" w:type="dxa"/>
            <w:tcBorders>
              <w:top w:val="nil"/>
              <w:bottom w:val="nil"/>
            </w:tcBorders>
            <w:shd w:val="clear" w:color="auto" w:fill="auto"/>
            <w:vAlign w:val="center"/>
          </w:tcPr>
          <w:p w14:paraId="01E40385" w14:textId="77777777" w:rsidR="001B2E7C" w:rsidRPr="001B2E7C" w:rsidRDefault="001B2E7C" w:rsidP="001B2E7C">
            <w:pPr>
              <w:ind w:left="-65" w:right="-108"/>
              <w:jc w:val="center"/>
              <w:rPr>
                <w:sz w:val="22"/>
                <w:szCs w:val="22"/>
                <w:lang w:val="en-GB" w:eastAsia="it-IT"/>
              </w:rPr>
            </w:pPr>
            <w:r w:rsidRPr="001B2E7C">
              <w:rPr>
                <w:sz w:val="22"/>
                <w:szCs w:val="22"/>
                <w:lang w:val="en-GB" w:eastAsia="it-IT"/>
              </w:rPr>
              <w:t>1.00</w:t>
            </w:r>
          </w:p>
        </w:tc>
        <w:tc>
          <w:tcPr>
            <w:tcW w:w="1620" w:type="dxa"/>
            <w:tcBorders>
              <w:top w:val="nil"/>
              <w:bottom w:val="nil"/>
            </w:tcBorders>
            <w:shd w:val="clear" w:color="auto" w:fill="auto"/>
            <w:vAlign w:val="center"/>
          </w:tcPr>
          <w:p w14:paraId="2367B533" w14:textId="77777777" w:rsidR="001B2E7C" w:rsidRPr="001B2E7C" w:rsidRDefault="001B2E7C" w:rsidP="001B2E7C">
            <w:pPr>
              <w:ind w:right="-108"/>
              <w:jc w:val="center"/>
              <w:rPr>
                <w:sz w:val="22"/>
                <w:szCs w:val="22"/>
                <w:lang w:val="en-GB" w:eastAsia="it-IT"/>
              </w:rPr>
            </w:pPr>
            <w:r w:rsidRPr="001B2E7C">
              <w:rPr>
                <w:sz w:val="22"/>
                <w:szCs w:val="22"/>
                <w:lang w:val="en-GB" w:eastAsia="it-IT"/>
              </w:rPr>
              <w:t>1.00</w:t>
            </w:r>
          </w:p>
        </w:tc>
        <w:tc>
          <w:tcPr>
            <w:tcW w:w="2160" w:type="dxa"/>
            <w:tcBorders>
              <w:top w:val="nil"/>
              <w:bottom w:val="nil"/>
            </w:tcBorders>
            <w:shd w:val="clear" w:color="auto" w:fill="auto"/>
            <w:vAlign w:val="center"/>
          </w:tcPr>
          <w:p w14:paraId="5C9F1BA0" w14:textId="77777777" w:rsidR="001B2E7C" w:rsidRPr="001B2E7C" w:rsidRDefault="001B2E7C" w:rsidP="001B2E7C">
            <w:pPr>
              <w:ind w:left="-65" w:right="-108"/>
              <w:jc w:val="center"/>
              <w:rPr>
                <w:sz w:val="22"/>
                <w:szCs w:val="22"/>
                <w:lang w:val="en-GB" w:eastAsia="it-IT"/>
              </w:rPr>
            </w:pPr>
            <w:r w:rsidRPr="001B2E7C">
              <w:rPr>
                <w:sz w:val="22"/>
                <w:szCs w:val="22"/>
                <w:lang w:val="en-GB" w:eastAsia="it-IT"/>
              </w:rPr>
              <w:t>1.00</w:t>
            </w:r>
          </w:p>
        </w:tc>
      </w:tr>
      <w:tr w:rsidR="001B2E7C" w:rsidRPr="001B2E7C" w14:paraId="09EB6A7B" w14:textId="77777777" w:rsidTr="001B2E7C">
        <w:trPr>
          <w:trHeight w:val="395"/>
        </w:trPr>
        <w:tc>
          <w:tcPr>
            <w:tcW w:w="2610" w:type="dxa"/>
            <w:tcBorders>
              <w:top w:val="nil"/>
              <w:bottom w:val="nil"/>
            </w:tcBorders>
            <w:vAlign w:val="center"/>
          </w:tcPr>
          <w:p w14:paraId="4806DE21" w14:textId="77777777" w:rsidR="001B2E7C" w:rsidRPr="001B2E7C" w:rsidRDefault="001B2E7C" w:rsidP="001B2E7C">
            <w:pPr>
              <w:tabs>
                <w:tab w:val="left" w:pos="142"/>
              </w:tabs>
              <w:spacing w:line="480" w:lineRule="auto"/>
              <w:rPr>
                <w:rFonts w:eastAsia="Calibri"/>
                <w:b/>
                <w:sz w:val="22"/>
                <w:szCs w:val="22"/>
                <w:lang w:val="en-GB"/>
              </w:rPr>
            </w:pPr>
            <w:r w:rsidRPr="001B2E7C">
              <w:rPr>
                <w:rFonts w:eastAsia="Calibri"/>
                <w:b/>
                <w:sz w:val="22"/>
                <w:szCs w:val="22"/>
                <w:lang w:val="en-GB"/>
              </w:rPr>
              <w:t>High</w:t>
            </w:r>
          </w:p>
        </w:tc>
        <w:tc>
          <w:tcPr>
            <w:tcW w:w="1890" w:type="dxa"/>
            <w:tcBorders>
              <w:top w:val="nil"/>
              <w:bottom w:val="nil"/>
            </w:tcBorders>
            <w:shd w:val="clear" w:color="auto" w:fill="auto"/>
            <w:vAlign w:val="center"/>
          </w:tcPr>
          <w:p w14:paraId="4A847426"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0.82 (0.61-1.12)</w:t>
            </w:r>
          </w:p>
        </w:tc>
        <w:tc>
          <w:tcPr>
            <w:tcW w:w="2070" w:type="dxa"/>
            <w:tcBorders>
              <w:top w:val="nil"/>
              <w:bottom w:val="nil"/>
            </w:tcBorders>
            <w:shd w:val="clear" w:color="auto" w:fill="auto"/>
            <w:vAlign w:val="center"/>
          </w:tcPr>
          <w:p w14:paraId="5668BFAD"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0.61 (0.44-0.84)**</w:t>
            </w:r>
          </w:p>
        </w:tc>
        <w:tc>
          <w:tcPr>
            <w:tcW w:w="1800" w:type="dxa"/>
            <w:tcBorders>
              <w:top w:val="nil"/>
              <w:bottom w:val="nil"/>
            </w:tcBorders>
            <w:shd w:val="clear" w:color="auto" w:fill="auto"/>
            <w:vAlign w:val="center"/>
          </w:tcPr>
          <w:p w14:paraId="0B8E42F1"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0.76 (0.49-1.18)</w:t>
            </w:r>
          </w:p>
        </w:tc>
        <w:tc>
          <w:tcPr>
            <w:tcW w:w="1890" w:type="dxa"/>
            <w:tcBorders>
              <w:top w:val="nil"/>
              <w:bottom w:val="nil"/>
            </w:tcBorders>
            <w:shd w:val="clear" w:color="auto" w:fill="auto"/>
            <w:vAlign w:val="center"/>
          </w:tcPr>
          <w:p w14:paraId="6BAACB06"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0.72 (0.56-0.93)*</w:t>
            </w:r>
          </w:p>
        </w:tc>
        <w:tc>
          <w:tcPr>
            <w:tcW w:w="1620" w:type="dxa"/>
            <w:tcBorders>
              <w:top w:val="nil"/>
              <w:bottom w:val="nil"/>
            </w:tcBorders>
            <w:shd w:val="clear" w:color="auto" w:fill="auto"/>
            <w:vAlign w:val="center"/>
          </w:tcPr>
          <w:p w14:paraId="123B9D38"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0.92 (0.53-1.60)</w:t>
            </w:r>
          </w:p>
        </w:tc>
        <w:tc>
          <w:tcPr>
            <w:tcW w:w="2160" w:type="dxa"/>
            <w:tcBorders>
              <w:top w:val="nil"/>
              <w:bottom w:val="nil"/>
            </w:tcBorders>
            <w:shd w:val="clear" w:color="auto" w:fill="auto"/>
            <w:vAlign w:val="center"/>
          </w:tcPr>
          <w:p w14:paraId="140B2086"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0.92 (0.65-1.32)</w:t>
            </w:r>
          </w:p>
        </w:tc>
      </w:tr>
      <w:tr w:rsidR="001B2E7C" w:rsidRPr="001B2E7C" w14:paraId="4C20D950" w14:textId="77777777" w:rsidTr="001B2E7C">
        <w:trPr>
          <w:trHeight w:val="395"/>
        </w:trPr>
        <w:tc>
          <w:tcPr>
            <w:tcW w:w="2610" w:type="dxa"/>
            <w:tcBorders>
              <w:top w:val="nil"/>
              <w:bottom w:val="nil"/>
            </w:tcBorders>
            <w:vAlign w:val="center"/>
          </w:tcPr>
          <w:p w14:paraId="2760B432" w14:textId="77777777" w:rsidR="001B2E7C" w:rsidRPr="001B2E7C" w:rsidRDefault="001B2E7C" w:rsidP="001B2E7C">
            <w:pPr>
              <w:tabs>
                <w:tab w:val="left" w:pos="142"/>
              </w:tabs>
              <w:spacing w:line="480" w:lineRule="auto"/>
              <w:rPr>
                <w:rFonts w:eastAsia="Calibri"/>
                <w:b/>
                <w:sz w:val="22"/>
                <w:szCs w:val="22"/>
                <w:lang w:val="en-GB"/>
              </w:rPr>
            </w:pPr>
            <w:r w:rsidRPr="001B2E7C">
              <w:rPr>
                <w:rFonts w:eastAsia="Calibri"/>
                <w:b/>
                <w:sz w:val="22"/>
                <w:szCs w:val="22"/>
                <w:lang w:val="en-GB"/>
              </w:rPr>
              <w:t>Medium</w:t>
            </w:r>
          </w:p>
        </w:tc>
        <w:tc>
          <w:tcPr>
            <w:tcW w:w="1890" w:type="dxa"/>
            <w:tcBorders>
              <w:top w:val="nil"/>
              <w:bottom w:val="nil"/>
            </w:tcBorders>
            <w:shd w:val="clear" w:color="auto" w:fill="auto"/>
            <w:vAlign w:val="center"/>
          </w:tcPr>
          <w:p w14:paraId="43EDAEE4"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0.61 (0.45-0.83)**</w:t>
            </w:r>
          </w:p>
        </w:tc>
        <w:tc>
          <w:tcPr>
            <w:tcW w:w="2070" w:type="dxa"/>
            <w:tcBorders>
              <w:top w:val="nil"/>
              <w:bottom w:val="nil"/>
            </w:tcBorders>
            <w:shd w:val="clear" w:color="auto" w:fill="auto"/>
            <w:vAlign w:val="center"/>
          </w:tcPr>
          <w:p w14:paraId="105B3AAC"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0.54 (0.40-0.74)***</w:t>
            </w:r>
          </w:p>
        </w:tc>
        <w:tc>
          <w:tcPr>
            <w:tcW w:w="1800" w:type="dxa"/>
            <w:tcBorders>
              <w:top w:val="nil"/>
              <w:bottom w:val="nil"/>
            </w:tcBorders>
            <w:shd w:val="clear" w:color="auto" w:fill="auto"/>
            <w:vAlign w:val="center"/>
          </w:tcPr>
          <w:p w14:paraId="16E683CC"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0.76 (0.50-1.15)</w:t>
            </w:r>
          </w:p>
        </w:tc>
        <w:tc>
          <w:tcPr>
            <w:tcW w:w="1890" w:type="dxa"/>
            <w:tcBorders>
              <w:top w:val="nil"/>
              <w:bottom w:val="nil"/>
            </w:tcBorders>
            <w:shd w:val="clear" w:color="auto" w:fill="auto"/>
            <w:vAlign w:val="center"/>
          </w:tcPr>
          <w:p w14:paraId="245ADC23"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0.64 (0.50-0.82)***</w:t>
            </w:r>
          </w:p>
        </w:tc>
        <w:tc>
          <w:tcPr>
            <w:tcW w:w="1620" w:type="dxa"/>
            <w:tcBorders>
              <w:top w:val="nil"/>
              <w:bottom w:val="nil"/>
            </w:tcBorders>
            <w:shd w:val="clear" w:color="auto" w:fill="auto"/>
            <w:vAlign w:val="center"/>
          </w:tcPr>
          <w:p w14:paraId="4CBBF8F1"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0.70 (0.42-1.18)</w:t>
            </w:r>
          </w:p>
        </w:tc>
        <w:tc>
          <w:tcPr>
            <w:tcW w:w="2160" w:type="dxa"/>
            <w:tcBorders>
              <w:top w:val="nil"/>
              <w:bottom w:val="nil"/>
            </w:tcBorders>
            <w:shd w:val="clear" w:color="auto" w:fill="auto"/>
            <w:vAlign w:val="center"/>
          </w:tcPr>
          <w:p w14:paraId="624A014D"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 xml:space="preserve"> 0.92 (0.62-1.34)</w:t>
            </w:r>
          </w:p>
        </w:tc>
      </w:tr>
      <w:tr w:rsidR="001B2E7C" w:rsidRPr="001B2E7C" w14:paraId="36937905" w14:textId="77777777" w:rsidTr="001B2E7C">
        <w:trPr>
          <w:trHeight w:val="395"/>
        </w:trPr>
        <w:tc>
          <w:tcPr>
            <w:tcW w:w="2610" w:type="dxa"/>
            <w:tcBorders>
              <w:top w:val="nil"/>
              <w:bottom w:val="nil"/>
            </w:tcBorders>
            <w:vAlign w:val="center"/>
          </w:tcPr>
          <w:p w14:paraId="233DB2F2" w14:textId="77777777" w:rsidR="001B2E7C" w:rsidRPr="001B2E7C" w:rsidRDefault="001B2E7C" w:rsidP="001B2E7C">
            <w:pPr>
              <w:tabs>
                <w:tab w:val="left" w:pos="142"/>
              </w:tabs>
              <w:spacing w:line="480" w:lineRule="auto"/>
              <w:rPr>
                <w:rFonts w:eastAsia="Calibri"/>
                <w:b/>
                <w:sz w:val="22"/>
                <w:szCs w:val="22"/>
                <w:lang w:val="en-GB"/>
              </w:rPr>
            </w:pPr>
            <w:r w:rsidRPr="001B2E7C">
              <w:rPr>
                <w:rFonts w:eastAsia="Calibri"/>
                <w:b/>
                <w:sz w:val="22"/>
                <w:szCs w:val="22"/>
                <w:lang w:val="en-GB"/>
              </w:rPr>
              <w:t>Low</w:t>
            </w:r>
          </w:p>
        </w:tc>
        <w:tc>
          <w:tcPr>
            <w:tcW w:w="1890" w:type="dxa"/>
            <w:tcBorders>
              <w:top w:val="nil"/>
              <w:bottom w:val="nil"/>
            </w:tcBorders>
            <w:shd w:val="clear" w:color="auto" w:fill="auto"/>
            <w:vAlign w:val="center"/>
          </w:tcPr>
          <w:p w14:paraId="1106C270"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0.52 (0.36-0.74)***</w:t>
            </w:r>
          </w:p>
        </w:tc>
        <w:tc>
          <w:tcPr>
            <w:tcW w:w="2070" w:type="dxa"/>
            <w:tcBorders>
              <w:top w:val="nil"/>
              <w:bottom w:val="nil"/>
            </w:tcBorders>
            <w:shd w:val="clear" w:color="auto" w:fill="auto"/>
            <w:vAlign w:val="center"/>
          </w:tcPr>
          <w:p w14:paraId="4B5DF1F8"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0.51 (0.36-0.73)***</w:t>
            </w:r>
          </w:p>
        </w:tc>
        <w:tc>
          <w:tcPr>
            <w:tcW w:w="1800" w:type="dxa"/>
            <w:tcBorders>
              <w:top w:val="nil"/>
              <w:bottom w:val="nil"/>
            </w:tcBorders>
            <w:shd w:val="clear" w:color="auto" w:fill="auto"/>
            <w:vAlign w:val="center"/>
          </w:tcPr>
          <w:p w14:paraId="6E18822B"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0.77 (0.48-1.23)</w:t>
            </w:r>
          </w:p>
        </w:tc>
        <w:tc>
          <w:tcPr>
            <w:tcW w:w="1890" w:type="dxa"/>
            <w:tcBorders>
              <w:top w:val="nil"/>
              <w:bottom w:val="nil"/>
            </w:tcBorders>
            <w:shd w:val="clear" w:color="auto" w:fill="auto"/>
            <w:vAlign w:val="center"/>
          </w:tcPr>
          <w:p w14:paraId="3D46ABF9"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0.58 (0.43-0.80)***</w:t>
            </w:r>
          </w:p>
        </w:tc>
        <w:tc>
          <w:tcPr>
            <w:tcW w:w="1620" w:type="dxa"/>
            <w:tcBorders>
              <w:top w:val="nil"/>
              <w:bottom w:val="nil"/>
            </w:tcBorders>
            <w:shd w:val="clear" w:color="auto" w:fill="auto"/>
            <w:vAlign w:val="center"/>
          </w:tcPr>
          <w:p w14:paraId="5B404F24"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0.77 (0.44-1.32)</w:t>
            </w:r>
          </w:p>
        </w:tc>
        <w:tc>
          <w:tcPr>
            <w:tcW w:w="2160" w:type="dxa"/>
            <w:tcBorders>
              <w:top w:val="nil"/>
              <w:bottom w:val="nil"/>
            </w:tcBorders>
            <w:shd w:val="clear" w:color="auto" w:fill="auto"/>
            <w:vAlign w:val="center"/>
          </w:tcPr>
          <w:p w14:paraId="4D28F031"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0.93 (0.55-1.57)</w:t>
            </w:r>
          </w:p>
        </w:tc>
      </w:tr>
      <w:tr w:rsidR="001B2E7C" w:rsidRPr="001B2E7C" w14:paraId="76E67144" w14:textId="77777777" w:rsidTr="001B2E7C">
        <w:trPr>
          <w:trHeight w:val="395"/>
        </w:trPr>
        <w:tc>
          <w:tcPr>
            <w:tcW w:w="2610" w:type="dxa"/>
            <w:tcBorders>
              <w:top w:val="nil"/>
              <w:bottom w:val="nil"/>
            </w:tcBorders>
            <w:vAlign w:val="center"/>
          </w:tcPr>
          <w:p w14:paraId="529679E6" w14:textId="77777777" w:rsidR="001B2E7C" w:rsidRPr="001B2E7C" w:rsidRDefault="001B2E7C" w:rsidP="001B2E7C">
            <w:pPr>
              <w:tabs>
                <w:tab w:val="left" w:pos="142"/>
              </w:tabs>
              <w:spacing w:line="480" w:lineRule="auto"/>
              <w:rPr>
                <w:rFonts w:eastAsia="Calibri"/>
                <w:b/>
                <w:sz w:val="22"/>
                <w:szCs w:val="22"/>
                <w:lang w:val="en-GB"/>
              </w:rPr>
            </w:pPr>
            <w:r w:rsidRPr="001B2E7C">
              <w:rPr>
                <w:rFonts w:eastAsia="Calibri"/>
                <w:b/>
                <w:sz w:val="22"/>
                <w:szCs w:val="22"/>
                <w:lang w:val="en-GB"/>
              </w:rPr>
              <w:t>Very low</w:t>
            </w:r>
          </w:p>
        </w:tc>
        <w:tc>
          <w:tcPr>
            <w:tcW w:w="1890" w:type="dxa"/>
            <w:tcBorders>
              <w:top w:val="nil"/>
              <w:bottom w:val="nil"/>
            </w:tcBorders>
            <w:shd w:val="clear" w:color="auto" w:fill="auto"/>
            <w:vAlign w:val="center"/>
          </w:tcPr>
          <w:p w14:paraId="71CF5886"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0.35 (0.18-0.69)***</w:t>
            </w:r>
          </w:p>
        </w:tc>
        <w:tc>
          <w:tcPr>
            <w:tcW w:w="2070" w:type="dxa"/>
            <w:tcBorders>
              <w:top w:val="nil"/>
              <w:bottom w:val="nil"/>
            </w:tcBorders>
            <w:shd w:val="clear" w:color="auto" w:fill="auto"/>
            <w:vAlign w:val="center"/>
          </w:tcPr>
          <w:p w14:paraId="3A840311"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0.36 (0.18-0.74)***</w:t>
            </w:r>
          </w:p>
        </w:tc>
        <w:tc>
          <w:tcPr>
            <w:tcW w:w="1800" w:type="dxa"/>
            <w:tcBorders>
              <w:top w:val="nil"/>
              <w:bottom w:val="nil"/>
            </w:tcBorders>
            <w:shd w:val="clear" w:color="auto" w:fill="auto"/>
            <w:vAlign w:val="center"/>
          </w:tcPr>
          <w:p w14:paraId="75767CB6"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0.98 (0.52-1.84)</w:t>
            </w:r>
          </w:p>
        </w:tc>
        <w:tc>
          <w:tcPr>
            <w:tcW w:w="1890" w:type="dxa"/>
            <w:tcBorders>
              <w:top w:val="nil"/>
              <w:bottom w:val="nil"/>
            </w:tcBorders>
            <w:shd w:val="clear" w:color="auto" w:fill="auto"/>
            <w:vAlign w:val="center"/>
          </w:tcPr>
          <w:p w14:paraId="5D9B54A4"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0.41 (0.18-0.94)*</w:t>
            </w:r>
          </w:p>
        </w:tc>
        <w:tc>
          <w:tcPr>
            <w:tcW w:w="1620" w:type="dxa"/>
            <w:tcBorders>
              <w:top w:val="nil"/>
              <w:bottom w:val="nil"/>
            </w:tcBorders>
            <w:shd w:val="clear" w:color="auto" w:fill="auto"/>
            <w:vAlign w:val="center"/>
          </w:tcPr>
          <w:p w14:paraId="2B0B019A"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0.67 (0.31-1.48)</w:t>
            </w:r>
          </w:p>
        </w:tc>
        <w:tc>
          <w:tcPr>
            <w:tcW w:w="2160" w:type="dxa"/>
            <w:tcBorders>
              <w:top w:val="nil"/>
              <w:bottom w:val="nil"/>
            </w:tcBorders>
            <w:shd w:val="clear" w:color="auto" w:fill="auto"/>
            <w:vAlign w:val="center"/>
          </w:tcPr>
          <w:p w14:paraId="60494B9B"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0.22 (0.05-0.96)*</w:t>
            </w:r>
          </w:p>
        </w:tc>
      </w:tr>
      <w:tr w:rsidR="001B2E7C" w:rsidRPr="001B2E7C" w14:paraId="1171E840" w14:textId="77777777" w:rsidTr="001B2E7C">
        <w:trPr>
          <w:trHeight w:val="395"/>
        </w:trPr>
        <w:tc>
          <w:tcPr>
            <w:tcW w:w="2610" w:type="dxa"/>
            <w:tcBorders>
              <w:top w:val="nil"/>
              <w:bottom w:val="single" w:sz="4" w:space="0" w:color="auto"/>
            </w:tcBorders>
            <w:vAlign w:val="center"/>
          </w:tcPr>
          <w:p w14:paraId="0194367E" w14:textId="77777777" w:rsidR="001B2E7C" w:rsidRPr="001B2E7C" w:rsidRDefault="001B2E7C" w:rsidP="001B2E7C">
            <w:pPr>
              <w:tabs>
                <w:tab w:val="left" w:pos="142"/>
              </w:tabs>
              <w:spacing w:line="480" w:lineRule="auto"/>
              <w:rPr>
                <w:rFonts w:eastAsia="Calibri"/>
                <w:b/>
                <w:i/>
                <w:sz w:val="22"/>
                <w:szCs w:val="22"/>
                <w:highlight w:val="red"/>
                <w:lang w:val="en-GB"/>
              </w:rPr>
            </w:pPr>
            <w:r w:rsidRPr="001B2E7C">
              <w:rPr>
                <w:rFonts w:eastAsia="Calibri"/>
                <w:b/>
                <w:i/>
                <w:sz w:val="22"/>
                <w:szCs w:val="22"/>
                <w:lang w:val="en-GB"/>
              </w:rPr>
              <w:t>p per trend</w:t>
            </w:r>
          </w:p>
        </w:tc>
        <w:tc>
          <w:tcPr>
            <w:tcW w:w="1890" w:type="dxa"/>
            <w:tcBorders>
              <w:top w:val="nil"/>
              <w:bottom w:val="single" w:sz="4" w:space="0" w:color="auto"/>
            </w:tcBorders>
            <w:shd w:val="clear" w:color="auto" w:fill="auto"/>
            <w:vAlign w:val="center"/>
          </w:tcPr>
          <w:p w14:paraId="2DFB2BC2"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&lt;0.001</w:t>
            </w:r>
          </w:p>
        </w:tc>
        <w:tc>
          <w:tcPr>
            <w:tcW w:w="2070" w:type="dxa"/>
            <w:tcBorders>
              <w:top w:val="nil"/>
              <w:bottom w:val="single" w:sz="4" w:space="0" w:color="auto"/>
            </w:tcBorders>
            <w:shd w:val="clear" w:color="auto" w:fill="auto"/>
            <w:vAlign w:val="center"/>
          </w:tcPr>
          <w:p w14:paraId="17CA7CDC"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&lt;0.001</w:t>
            </w:r>
          </w:p>
        </w:tc>
        <w:tc>
          <w:tcPr>
            <w:tcW w:w="1800" w:type="dxa"/>
            <w:tcBorders>
              <w:top w:val="nil"/>
              <w:bottom w:val="single" w:sz="4" w:space="0" w:color="auto"/>
            </w:tcBorders>
            <w:shd w:val="clear" w:color="auto" w:fill="auto"/>
            <w:vAlign w:val="center"/>
          </w:tcPr>
          <w:p w14:paraId="4E24B88F"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0.88</w:t>
            </w:r>
          </w:p>
        </w:tc>
        <w:tc>
          <w:tcPr>
            <w:tcW w:w="1890" w:type="dxa"/>
            <w:tcBorders>
              <w:top w:val="nil"/>
              <w:bottom w:val="single" w:sz="4" w:space="0" w:color="auto"/>
            </w:tcBorders>
            <w:shd w:val="clear" w:color="auto" w:fill="auto"/>
            <w:vAlign w:val="center"/>
          </w:tcPr>
          <w:p w14:paraId="71C923B8"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&lt;0.001</w:t>
            </w:r>
          </w:p>
        </w:tc>
        <w:tc>
          <w:tcPr>
            <w:tcW w:w="1620" w:type="dxa"/>
            <w:tcBorders>
              <w:top w:val="nil"/>
              <w:bottom w:val="single" w:sz="4" w:space="0" w:color="auto"/>
            </w:tcBorders>
            <w:shd w:val="clear" w:color="auto" w:fill="auto"/>
            <w:vAlign w:val="center"/>
          </w:tcPr>
          <w:p w14:paraId="4C6C433A"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0.1713</w:t>
            </w:r>
          </w:p>
        </w:tc>
        <w:tc>
          <w:tcPr>
            <w:tcW w:w="2160" w:type="dxa"/>
            <w:tcBorders>
              <w:top w:val="nil"/>
              <w:bottom w:val="single" w:sz="4" w:space="0" w:color="auto"/>
            </w:tcBorders>
            <w:shd w:val="clear" w:color="auto" w:fill="auto"/>
            <w:vAlign w:val="center"/>
          </w:tcPr>
          <w:p w14:paraId="705BEBCC"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0.2304</w:t>
            </w:r>
          </w:p>
        </w:tc>
      </w:tr>
      <w:tr w:rsidR="001B2E7C" w:rsidRPr="001B2E7C" w14:paraId="24585D69" w14:textId="77777777" w:rsidTr="001B2E7C">
        <w:trPr>
          <w:trHeight w:val="39"/>
        </w:trPr>
        <w:tc>
          <w:tcPr>
            <w:tcW w:w="2610" w:type="dxa"/>
            <w:tcBorders>
              <w:top w:val="single" w:sz="4" w:space="0" w:color="auto"/>
              <w:bottom w:val="nil"/>
            </w:tcBorders>
            <w:vAlign w:val="center"/>
          </w:tcPr>
          <w:p w14:paraId="59E78B88" w14:textId="77777777" w:rsidR="001B2E7C" w:rsidRPr="001B2E7C" w:rsidRDefault="001B2E7C" w:rsidP="001B2E7C">
            <w:pPr>
              <w:tabs>
                <w:tab w:val="left" w:pos="142"/>
              </w:tabs>
              <w:spacing w:line="360" w:lineRule="auto"/>
              <w:rPr>
                <w:rFonts w:eastAsia="Calibri"/>
                <w:b/>
                <w:sz w:val="22"/>
                <w:szCs w:val="22"/>
                <w:lang w:val="en-GB"/>
              </w:rPr>
            </w:pPr>
          </w:p>
        </w:tc>
        <w:tc>
          <w:tcPr>
            <w:tcW w:w="11430" w:type="dxa"/>
            <w:gridSpan w:val="6"/>
            <w:tcBorders>
              <w:top w:val="single" w:sz="4" w:space="0" w:color="auto"/>
              <w:bottom w:val="nil"/>
            </w:tcBorders>
            <w:shd w:val="clear" w:color="auto" w:fill="auto"/>
            <w:vAlign w:val="bottom"/>
          </w:tcPr>
          <w:p w14:paraId="22E0C7A9" w14:textId="77777777" w:rsidR="001B2E7C" w:rsidRPr="001B2E7C" w:rsidRDefault="001B2E7C" w:rsidP="001B2E7C">
            <w:pPr>
              <w:spacing w:line="360" w:lineRule="auto"/>
              <w:ind w:left="-65" w:right="-108"/>
              <w:jc w:val="center"/>
              <w:rPr>
                <w:sz w:val="22"/>
                <w:szCs w:val="22"/>
                <w:lang w:val="en-GB" w:eastAsia="it-IT"/>
              </w:rPr>
            </w:pPr>
            <w:r w:rsidRPr="001B2E7C">
              <w:rPr>
                <w:rFonts w:eastAsia="Calibri"/>
                <w:b/>
                <w:sz w:val="22"/>
                <w:szCs w:val="22"/>
                <w:lang w:val="en-GB"/>
              </w:rPr>
              <w:t>Cardiovascular mortality</w:t>
            </w:r>
          </w:p>
        </w:tc>
      </w:tr>
      <w:tr w:rsidR="001B2E7C" w:rsidRPr="001B2E7C" w14:paraId="3D1289D9" w14:textId="77777777" w:rsidTr="001B2E7C">
        <w:trPr>
          <w:trHeight w:val="48"/>
        </w:trPr>
        <w:tc>
          <w:tcPr>
            <w:tcW w:w="2610" w:type="dxa"/>
            <w:tcBorders>
              <w:top w:val="nil"/>
              <w:bottom w:val="nil"/>
            </w:tcBorders>
            <w:vAlign w:val="center"/>
          </w:tcPr>
          <w:p w14:paraId="6D0455C4" w14:textId="77777777" w:rsidR="001B2E7C" w:rsidRPr="001B2E7C" w:rsidRDefault="001B2E7C" w:rsidP="001B2E7C">
            <w:pPr>
              <w:spacing w:line="360" w:lineRule="auto"/>
              <w:ind w:right="-108"/>
              <w:rPr>
                <w:sz w:val="22"/>
                <w:szCs w:val="22"/>
                <w:lang w:val="en-GB" w:eastAsia="it-IT"/>
              </w:rPr>
            </w:pPr>
            <w:r w:rsidRPr="001B2E7C">
              <w:rPr>
                <w:rFonts w:eastAsia="Calibri"/>
                <w:b/>
                <w:sz w:val="22"/>
                <w:szCs w:val="22"/>
                <w:lang w:val="en-GB"/>
              </w:rPr>
              <w:t>Cardiovascular risk profile</w:t>
            </w:r>
          </w:p>
        </w:tc>
        <w:tc>
          <w:tcPr>
            <w:tcW w:w="1890" w:type="dxa"/>
            <w:tcBorders>
              <w:top w:val="nil"/>
              <w:bottom w:val="nil"/>
            </w:tcBorders>
            <w:shd w:val="clear" w:color="auto" w:fill="auto"/>
            <w:vAlign w:val="center"/>
          </w:tcPr>
          <w:p w14:paraId="5A5B2B20" w14:textId="77777777" w:rsidR="001B2E7C" w:rsidRPr="001B2E7C" w:rsidRDefault="001B2E7C" w:rsidP="001B2E7C">
            <w:pPr>
              <w:spacing w:line="360" w:lineRule="auto"/>
              <w:ind w:right="-108"/>
              <w:jc w:val="center"/>
              <w:rPr>
                <w:sz w:val="22"/>
                <w:szCs w:val="22"/>
                <w:lang w:val="en-GB" w:eastAsia="it-IT"/>
              </w:rPr>
            </w:pPr>
          </w:p>
        </w:tc>
        <w:tc>
          <w:tcPr>
            <w:tcW w:w="2070" w:type="dxa"/>
            <w:tcBorders>
              <w:top w:val="nil"/>
              <w:bottom w:val="nil"/>
            </w:tcBorders>
            <w:shd w:val="clear" w:color="auto" w:fill="auto"/>
            <w:vAlign w:val="center"/>
          </w:tcPr>
          <w:p w14:paraId="76924C41" w14:textId="77777777" w:rsidR="001B2E7C" w:rsidRPr="001B2E7C" w:rsidRDefault="001B2E7C" w:rsidP="001B2E7C">
            <w:pPr>
              <w:spacing w:line="360" w:lineRule="auto"/>
              <w:ind w:left="-65" w:right="-108"/>
              <w:jc w:val="center"/>
              <w:rPr>
                <w:sz w:val="22"/>
                <w:szCs w:val="22"/>
                <w:lang w:val="en-GB" w:eastAsia="it-IT"/>
              </w:rPr>
            </w:pPr>
          </w:p>
        </w:tc>
        <w:tc>
          <w:tcPr>
            <w:tcW w:w="1800" w:type="dxa"/>
            <w:tcBorders>
              <w:top w:val="nil"/>
              <w:bottom w:val="nil"/>
            </w:tcBorders>
            <w:shd w:val="clear" w:color="auto" w:fill="auto"/>
            <w:vAlign w:val="center"/>
          </w:tcPr>
          <w:p w14:paraId="65844D73" w14:textId="77777777" w:rsidR="001B2E7C" w:rsidRPr="001B2E7C" w:rsidRDefault="001B2E7C" w:rsidP="001B2E7C">
            <w:pPr>
              <w:spacing w:line="360" w:lineRule="auto"/>
              <w:ind w:right="-108"/>
              <w:jc w:val="center"/>
              <w:rPr>
                <w:sz w:val="22"/>
                <w:szCs w:val="22"/>
                <w:lang w:val="en-GB" w:eastAsia="it-IT"/>
              </w:rPr>
            </w:pPr>
          </w:p>
        </w:tc>
        <w:tc>
          <w:tcPr>
            <w:tcW w:w="1890" w:type="dxa"/>
            <w:tcBorders>
              <w:top w:val="nil"/>
              <w:bottom w:val="nil"/>
            </w:tcBorders>
            <w:shd w:val="clear" w:color="auto" w:fill="auto"/>
            <w:vAlign w:val="center"/>
          </w:tcPr>
          <w:p w14:paraId="1F9C2E17" w14:textId="77777777" w:rsidR="001B2E7C" w:rsidRPr="001B2E7C" w:rsidRDefault="001B2E7C" w:rsidP="001B2E7C">
            <w:pPr>
              <w:spacing w:line="360" w:lineRule="auto"/>
              <w:ind w:left="-65" w:right="-108"/>
              <w:jc w:val="center"/>
              <w:rPr>
                <w:sz w:val="22"/>
                <w:szCs w:val="22"/>
                <w:lang w:val="en-GB" w:eastAsia="it-IT"/>
              </w:rPr>
            </w:pPr>
          </w:p>
        </w:tc>
        <w:tc>
          <w:tcPr>
            <w:tcW w:w="1620" w:type="dxa"/>
            <w:tcBorders>
              <w:top w:val="nil"/>
              <w:bottom w:val="nil"/>
            </w:tcBorders>
            <w:shd w:val="clear" w:color="auto" w:fill="auto"/>
            <w:vAlign w:val="center"/>
          </w:tcPr>
          <w:p w14:paraId="45A0DEC1" w14:textId="77777777" w:rsidR="001B2E7C" w:rsidRPr="001B2E7C" w:rsidRDefault="001B2E7C" w:rsidP="001B2E7C">
            <w:pPr>
              <w:spacing w:line="360" w:lineRule="auto"/>
              <w:ind w:left="-65" w:right="-108"/>
              <w:jc w:val="center"/>
              <w:rPr>
                <w:sz w:val="22"/>
                <w:szCs w:val="22"/>
                <w:lang w:val="en-GB" w:eastAsia="it-IT"/>
              </w:rPr>
            </w:pPr>
          </w:p>
        </w:tc>
        <w:tc>
          <w:tcPr>
            <w:tcW w:w="2160" w:type="dxa"/>
            <w:tcBorders>
              <w:top w:val="nil"/>
              <w:bottom w:val="nil"/>
            </w:tcBorders>
            <w:shd w:val="clear" w:color="auto" w:fill="auto"/>
            <w:vAlign w:val="center"/>
          </w:tcPr>
          <w:p w14:paraId="478E6702" w14:textId="77777777" w:rsidR="001B2E7C" w:rsidRPr="001B2E7C" w:rsidRDefault="001B2E7C" w:rsidP="001B2E7C">
            <w:pPr>
              <w:spacing w:line="360" w:lineRule="auto"/>
              <w:ind w:left="-65" w:right="-108"/>
              <w:jc w:val="center"/>
              <w:rPr>
                <w:sz w:val="22"/>
                <w:szCs w:val="22"/>
                <w:lang w:val="en-GB" w:eastAsia="it-IT"/>
              </w:rPr>
            </w:pPr>
          </w:p>
        </w:tc>
      </w:tr>
      <w:tr w:rsidR="001B2E7C" w:rsidRPr="001B2E7C" w14:paraId="5E933370" w14:textId="77777777" w:rsidTr="001B2E7C">
        <w:trPr>
          <w:trHeight w:val="436"/>
        </w:trPr>
        <w:tc>
          <w:tcPr>
            <w:tcW w:w="2610" w:type="dxa"/>
            <w:tcBorders>
              <w:top w:val="nil"/>
              <w:bottom w:val="nil"/>
            </w:tcBorders>
            <w:vAlign w:val="center"/>
          </w:tcPr>
          <w:p w14:paraId="0B3F26AC" w14:textId="77777777" w:rsidR="001B2E7C" w:rsidRPr="001B2E7C" w:rsidRDefault="001B2E7C" w:rsidP="001B2E7C">
            <w:pPr>
              <w:tabs>
                <w:tab w:val="left" w:pos="142"/>
              </w:tabs>
              <w:rPr>
                <w:rFonts w:eastAsia="Calibri"/>
                <w:b/>
                <w:sz w:val="22"/>
                <w:szCs w:val="22"/>
                <w:lang w:val="en-GB"/>
              </w:rPr>
            </w:pPr>
            <w:r w:rsidRPr="001B2E7C">
              <w:rPr>
                <w:rFonts w:eastAsia="Calibri"/>
                <w:b/>
                <w:sz w:val="22"/>
                <w:szCs w:val="22"/>
                <w:lang w:val="en-GB"/>
              </w:rPr>
              <w:t>Very high</w:t>
            </w:r>
          </w:p>
        </w:tc>
        <w:tc>
          <w:tcPr>
            <w:tcW w:w="1890" w:type="dxa"/>
            <w:tcBorders>
              <w:top w:val="nil"/>
              <w:bottom w:val="nil"/>
            </w:tcBorders>
            <w:shd w:val="clear" w:color="auto" w:fill="auto"/>
            <w:vAlign w:val="center"/>
          </w:tcPr>
          <w:p w14:paraId="10BB49FD" w14:textId="77777777" w:rsidR="001B2E7C" w:rsidRPr="001B2E7C" w:rsidRDefault="001B2E7C" w:rsidP="001B2E7C">
            <w:pPr>
              <w:ind w:right="-108"/>
              <w:jc w:val="center"/>
              <w:rPr>
                <w:sz w:val="22"/>
                <w:szCs w:val="22"/>
                <w:lang w:val="en-GB" w:eastAsia="it-IT"/>
              </w:rPr>
            </w:pPr>
            <w:r w:rsidRPr="001B2E7C">
              <w:rPr>
                <w:sz w:val="22"/>
                <w:szCs w:val="22"/>
                <w:lang w:val="en-GB" w:eastAsia="it-IT"/>
              </w:rPr>
              <w:t>1.00</w:t>
            </w:r>
          </w:p>
        </w:tc>
        <w:tc>
          <w:tcPr>
            <w:tcW w:w="2070" w:type="dxa"/>
            <w:tcBorders>
              <w:top w:val="nil"/>
              <w:bottom w:val="nil"/>
            </w:tcBorders>
            <w:shd w:val="clear" w:color="auto" w:fill="auto"/>
            <w:vAlign w:val="center"/>
          </w:tcPr>
          <w:p w14:paraId="7C12168B" w14:textId="77777777" w:rsidR="001B2E7C" w:rsidRPr="001B2E7C" w:rsidRDefault="001B2E7C" w:rsidP="001B2E7C">
            <w:pPr>
              <w:ind w:right="-108"/>
              <w:jc w:val="center"/>
              <w:rPr>
                <w:sz w:val="22"/>
                <w:szCs w:val="22"/>
                <w:lang w:val="en-GB" w:eastAsia="it-IT"/>
              </w:rPr>
            </w:pPr>
            <w:r w:rsidRPr="001B2E7C">
              <w:rPr>
                <w:sz w:val="22"/>
                <w:szCs w:val="22"/>
                <w:lang w:val="en-GB" w:eastAsia="it-IT"/>
              </w:rPr>
              <w:t>1.00</w:t>
            </w:r>
          </w:p>
        </w:tc>
        <w:tc>
          <w:tcPr>
            <w:tcW w:w="1800" w:type="dxa"/>
            <w:tcBorders>
              <w:top w:val="nil"/>
              <w:bottom w:val="nil"/>
            </w:tcBorders>
            <w:shd w:val="clear" w:color="auto" w:fill="auto"/>
            <w:vAlign w:val="center"/>
          </w:tcPr>
          <w:p w14:paraId="5CF7D612" w14:textId="77777777" w:rsidR="001B2E7C" w:rsidRPr="001B2E7C" w:rsidRDefault="001B2E7C" w:rsidP="001B2E7C">
            <w:pPr>
              <w:ind w:right="-108"/>
              <w:jc w:val="center"/>
              <w:rPr>
                <w:sz w:val="22"/>
                <w:szCs w:val="22"/>
                <w:lang w:val="en-GB" w:eastAsia="it-IT"/>
              </w:rPr>
            </w:pPr>
            <w:r w:rsidRPr="001B2E7C">
              <w:rPr>
                <w:sz w:val="22"/>
                <w:szCs w:val="22"/>
                <w:lang w:val="en-GB" w:eastAsia="it-IT"/>
              </w:rPr>
              <w:t>1.00</w:t>
            </w:r>
          </w:p>
        </w:tc>
        <w:tc>
          <w:tcPr>
            <w:tcW w:w="1890" w:type="dxa"/>
            <w:tcBorders>
              <w:top w:val="nil"/>
              <w:bottom w:val="nil"/>
            </w:tcBorders>
            <w:shd w:val="clear" w:color="auto" w:fill="auto"/>
            <w:vAlign w:val="center"/>
          </w:tcPr>
          <w:p w14:paraId="2ADC48E2" w14:textId="77777777" w:rsidR="001B2E7C" w:rsidRPr="001B2E7C" w:rsidRDefault="001B2E7C" w:rsidP="001B2E7C">
            <w:pPr>
              <w:ind w:left="-65" w:right="-108"/>
              <w:jc w:val="center"/>
              <w:rPr>
                <w:sz w:val="22"/>
                <w:szCs w:val="22"/>
                <w:lang w:val="en-GB" w:eastAsia="it-IT"/>
              </w:rPr>
            </w:pPr>
            <w:r w:rsidRPr="001B2E7C">
              <w:rPr>
                <w:sz w:val="22"/>
                <w:szCs w:val="22"/>
                <w:lang w:val="en-GB" w:eastAsia="it-IT"/>
              </w:rPr>
              <w:t>1.00</w:t>
            </w:r>
          </w:p>
        </w:tc>
        <w:tc>
          <w:tcPr>
            <w:tcW w:w="1620" w:type="dxa"/>
            <w:tcBorders>
              <w:top w:val="nil"/>
              <w:bottom w:val="nil"/>
            </w:tcBorders>
            <w:shd w:val="clear" w:color="auto" w:fill="auto"/>
            <w:vAlign w:val="center"/>
          </w:tcPr>
          <w:p w14:paraId="5FE4BF7F" w14:textId="77777777" w:rsidR="001B2E7C" w:rsidRPr="001B2E7C" w:rsidRDefault="001B2E7C" w:rsidP="001B2E7C">
            <w:pPr>
              <w:ind w:right="-108"/>
              <w:jc w:val="center"/>
              <w:rPr>
                <w:sz w:val="22"/>
                <w:szCs w:val="22"/>
                <w:lang w:val="en-GB" w:eastAsia="it-IT"/>
              </w:rPr>
            </w:pPr>
            <w:r w:rsidRPr="001B2E7C">
              <w:rPr>
                <w:sz w:val="22"/>
                <w:szCs w:val="22"/>
                <w:lang w:val="en-GB" w:eastAsia="it-IT"/>
              </w:rPr>
              <w:t>1.00</w:t>
            </w:r>
          </w:p>
        </w:tc>
        <w:tc>
          <w:tcPr>
            <w:tcW w:w="2160" w:type="dxa"/>
            <w:tcBorders>
              <w:top w:val="nil"/>
              <w:bottom w:val="nil"/>
            </w:tcBorders>
            <w:shd w:val="clear" w:color="auto" w:fill="auto"/>
            <w:vAlign w:val="center"/>
          </w:tcPr>
          <w:p w14:paraId="65934A38" w14:textId="77777777" w:rsidR="001B2E7C" w:rsidRPr="001B2E7C" w:rsidRDefault="001B2E7C" w:rsidP="001B2E7C">
            <w:pPr>
              <w:ind w:left="-65" w:right="-108"/>
              <w:jc w:val="center"/>
              <w:rPr>
                <w:sz w:val="22"/>
                <w:szCs w:val="22"/>
                <w:lang w:val="en-GB" w:eastAsia="it-IT"/>
              </w:rPr>
            </w:pPr>
            <w:r w:rsidRPr="001B2E7C">
              <w:rPr>
                <w:sz w:val="22"/>
                <w:szCs w:val="22"/>
                <w:lang w:val="en-GB" w:eastAsia="it-IT"/>
              </w:rPr>
              <w:t>1.00</w:t>
            </w:r>
          </w:p>
        </w:tc>
      </w:tr>
      <w:tr w:rsidR="001B2E7C" w:rsidRPr="001B2E7C" w14:paraId="62591BC4" w14:textId="77777777" w:rsidTr="001B2E7C">
        <w:trPr>
          <w:trHeight w:val="436"/>
        </w:trPr>
        <w:tc>
          <w:tcPr>
            <w:tcW w:w="2610" w:type="dxa"/>
            <w:tcBorders>
              <w:top w:val="nil"/>
              <w:bottom w:val="nil"/>
            </w:tcBorders>
            <w:vAlign w:val="center"/>
          </w:tcPr>
          <w:p w14:paraId="50293B82" w14:textId="77777777" w:rsidR="001B2E7C" w:rsidRPr="001B2E7C" w:rsidRDefault="001B2E7C" w:rsidP="001B2E7C">
            <w:pPr>
              <w:tabs>
                <w:tab w:val="left" w:pos="142"/>
              </w:tabs>
              <w:spacing w:line="480" w:lineRule="auto"/>
              <w:rPr>
                <w:rFonts w:eastAsia="Calibri"/>
                <w:b/>
                <w:sz w:val="22"/>
                <w:szCs w:val="22"/>
                <w:lang w:val="en-GB"/>
              </w:rPr>
            </w:pPr>
            <w:r w:rsidRPr="001B2E7C">
              <w:rPr>
                <w:rFonts w:eastAsia="Calibri"/>
                <w:b/>
                <w:sz w:val="22"/>
                <w:szCs w:val="22"/>
                <w:lang w:val="en-GB"/>
              </w:rPr>
              <w:t>High</w:t>
            </w:r>
          </w:p>
        </w:tc>
        <w:tc>
          <w:tcPr>
            <w:tcW w:w="1890" w:type="dxa"/>
            <w:tcBorders>
              <w:top w:val="nil"/>
              <w:bottom w:val="nil"/>
            </w:tcBorders>
            <w:shd w:val="clear" w:color="auto" w:fill="auto"/>
            <w:vAlign w:val="center"/>
          </w:tcPr>
          <w:p w14:paraId="58DCD2AD"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0.63 (0.38-1.06)</w:t>
            </w:r>
          </w:p>
        </w:tc>
        <w:tc>
          <w:tcPr>
            <w:tcW w:w="2070" w:type="dxa"/>
            <w:tcBorders>
              <w:top w:val="nil"/>
              <w:bottom w:val="nil"/>
            </w:tcBorders>
            <w:shd w:val="clear" w:color="auto" w:fill="auto"/>
            <w:vAlign w:val="center"/>
          </w:tcPr>
          <w:p w14:paraId="2A8B18A1"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0.61 (0.38-1.00)*</w:t>
            </w:r>
          </w:p>
        </w:tc>
        <w:tc>
          <w:tcPr>
            <w:tcW w:w="1800" w:type="dxa"/>
            <w:tcBorders>
              <w:top w:val="nil"/>
              <w:bottom w:val="nil"/>
            </w:tcBorders>
            <w:shd w:val="clear" w:color="auto" w:fill="auto"/>
            <w:vAlign w:val="center"/>
          </w:tcPr>
          <w:p w14:paraId="353CB3E7"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1.03 (0.50-2.15)</w:t>
            </w:r>
          </w:p>
        </w:tc>
        <w:tc>
          <w:tcPr>
            <w:tcW w:w="1890" w:type="dxa"/>
            <w:tcBorders>
              <w:top w:val="nil"/>
              <w:bottom w:val="nil"/>
            </w:tcBorders>
            <w:shd w:val="clear" w:color="auto" w:fill="auto"/>
            <w:vAlign w:val="center"/>
          </w:tcPr>
          <w:p w14:paraId="74CE6F78"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0.67 (0.48-0.93)*</w:t>
            </w:r>
          </w:p>
        </w:tc>
        <w:tc>
          <w:tcPr>
            <w:tcW w:w="1620" w:type="dxa"/>
            <w:tcBorders>
              <w:top w:val="nil"/>
              <w:bottom w:val="nil"/>
            </w:tcBorders>
            <w:shd w:val="clear" w:color="auto" w:fill="auto"/>
            <w:vAlign w:val="center"/>
          </w:tcPr>
          <w:p w14:paraId="2E974488"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1.09 (0.52-2.27)</w:t>
            </w:r>
          </w:p>
        </w:tc>
        <w:tc>
          <w:tcPr>
            <w:tcW w:w="2160" w:type="dxa"/>
            <w:tcBorders>
              <w:top w:val="nil"/>
              <w:bottom w:val="nil"/>
            </w:tcBorders>
            <w:shd w:val="clear" w:color="auto" w:fill="auto"/>
            <w:vAlign w:val="center"/>
          </w:tcPr>
          <w:p w14:paraId="7C2CEBA5"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0.90 (0.57-1.41)</w:t>
            </w:r>
          </w:p>
        </w:tc>
      </w:tr>
      <w:tr w:rsidR="001B2E7C" w:rsidRPr="001B2E7C" w14:paraId="18FA9177" w14:textId="77777777" w:rsidTr="001B2E7C">
        <w:trPr>
          <w:trHeight w:val="436"/>
        </w:trPr>
        <w:tc>
          <w:tcPr>
            <w:tcW w:w="2610" w:type="dxa"/>
            <w:tcBorders>
              <w:top w:val="nil"/>
              <w:bottom w:val="nil"/>
            </w:tcBorders>
            <w:vAlign w:val="center"/>
          </w:tcPr>
          <w:p w14:paraId="0F8B0DBD" w14:textId="77777777" w:rsidR="001B2E7C" w:rsidRPr="001B2E7C" w:rsidRDefault="001B2E7C" w:rsidP="001B2E7C">
            <w:pPr>
              <w:tabs>
                <w:tab w:val="left" w:pos="142"/>
              </w:tabs>
              <w:spacing w:line="480" w:lineRule="auto"/>
              <w:rPr>
                <w:rFonts w:eastAsia="Calibri"/>
                <w:b/>
                <w:sz w:val="22"/>
                <w:szCs w:val="22"/>
                <w:lang w:val="en-GB"/>
              </w:rPr>
            </w:pPr>
            <w:r w:rsidRPr="001B2E7C">
              <w:rPr>
                <w:rFonts w:eastAsia="Calibri"/>
                <w:b/>
                <w:sz w:val="22"/>
                <w:szCs w:val="22"/>
                <w:lang w:val="en-GB"/>
              </w:rPr>
              <w:t>Medium</w:t>
            </w:r>
          </w:p>
        </w:tc>
        <w:tc>
          <w:tcPr>
            <w:tcW w:w="1890" w:type="dxa"/>
            <w:tcBorders>
              <w:top w:val="nil"/>
              <w:bottom w:val="nil"/>
            </w:tcBorders>
            <w:shd w:val="clear" w:color="auto" w:fill="auto"/>
            <w:vAlign w:val="center"/>
          </w:tcPr>
          <w:p w14:paraId="649AD5D6"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0.66 (0.40-1.08)</w:t>
            </w:r>
          </w:p>
        </w:tc>
        <w:tc>
          <w:tcPr>
            <w:tcW w:w="2070" w:type="dxa"/>
            <w:tcBorders>
              <w:top w:val="nil"/>
              <w:bottom w:val="nil"/>
            </w:tcBorders>
            <w:shd w:val="clear" w:color="auto" w:fill="auto"/>
            <w:vAlign w:val="center"/>
          </w:tcPr>
          <w:p w14:paraId="230A6C34"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0.56 (0.35-0.90)*</w:t>
            </w:r>
          </w:p>
        </w:tc>
        <w:tc>
          <w:tcPr>
            <w:tcW w:w="1800" w:type="dxa"/>
            <w:tcBorders>
              <w:top w:val="nil"/>
              <w:bottom w:val="nil"/>
            </w:tcBorders>
            <w:shd w:val="clear" w:color="auto" w:fill="auto"/>
            <w:vAlign w:val="center"/>
          </w:tcPr>
          <w:p w14:paraId="61E5CB39"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1.11 (0.55-2.24)</w:t>
            </w:r>
          </w:p>
        </w:tc>
        <w:tc>
          <w:tcPr>
            <w:tcW w:w="1890" w:type="dxa"/>
            <w:tcBorders>
              <w:top w:val="nil"/>
              <w:bottom w:val="nil"/>
            </w:tcBorders>
            <w:shd w:val="clear" w:color="auto" w:fill="auto"/>
            <w:vAlign w:val="center"/>
          </w:tcPr>
          <w:p w14:paraId="47B23CB9"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0.53 (0.38-0.75)***</w:t>
            </w:r>
          </w:p>
        </w:tc>
        <w:tc>
          <w:tcPr>
            <w:tcW w:w="1620" w:type="dxa"/>
            <w:tcBorders>
              <w:top w:val="nil"/>
              <w:bottom w:val="nil"/>
            </w:tcBorders>
            <w:shd w:val="clear" w:color="auto" w:fill="auto"/>
            <w:vAlign w:val="center"/>
          </w:tcPr>
          <w:p w14:paraId="1BD05815"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0.86 (0.43-1.72)</w:t>
            </w:r>
          </w:p>
        </w:tc>
        <w:tc>
          <w:tcPr>
            <w:tcW w:w="2160" w:type="dxa"/>
            <w:tcBorders>
              <w:top w:val="nil"/>
              <w:bottom w:val="nil"/>
            </w:tcBorders>
            <w:shd w:val="clear" w:color="auto" w:fill="auto"/>
            <w:vAlign w:val="center"/>
          </w:tcPr>
          <w:p w14:paraId="22CFCD10"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0.83 (0.50-1.37)</w:t>
            </w:r>
          </w:p>
        </w:tc>
      </w:tr>
      <w:tr w:rsidR="001B2E7C" w:rsidRPr="001B2E7C" w14:paraId="4311BF14" w14:textId="77777777" w:rsidTr="001B2E7C">
        <w:trPr>
          <w:trHeight w:val="436"/>
        </w:trPr>
        <w:tc>
          <w:tcPr>
            <w:tcW w:w="2610" w:type="dxa"/>
            <w:tcBorders>
              <w:top w:val="nil"/>
              <w:bottom w:val="nil"/>
            </w:tcBorders>
            <w:vAlign w:val="center"/>
          </w:tcPr>
          <w:p w14:paraId="5FAB53FA" w14:textId="77777777" w:rsidR="001B2E7C" w:rsidRPr="001B2E7C" w:rsidRDefault="001B2E7C" w:rsidP="001B2E7C">
            <w:pPr>
              <w:tabs>
                <w:tab w:val="left" w:pos="142"/>
              </w:tabs>
              <w:spacing w:line="480" w:lineRule="auto"/>
              <w:rPr>
                <w:rFonts w:eastAsia="Calibri"/>
                <w:b/>
                <w:sz w:val="22"/>
                <w:szCs w:val="22"/>
                <w:lang w:val="en-GB"/>
              </w:rPr>
            </w:pPr>
            <w:r w:rsidRPr="001B2E7C">
              <w:rPr>
                <w:rFonts w:eastAsia="Calibri"/>
                <w:b/>
                <w:sz w:val="22"/>
                <w:szCs w:val="22"/>
                <w:lang w:val="en-GB"/>
              </w:rPr>
              <w:t>Low</w:t>
            </w:r>
          </w:p>
        </w:tc>
        <w:tc>
          <w:tcPr>
            <w:tcW w:w="1890" w:type="dxa"/>
            <w:tcBorders>
              <w:top w:val="nil"/>
              <w:bottom w:val="nil"/>
            </w:tcBorders>
            <w:shd w:val="clear" w:color="auto" w:fill="auto"/>
            <w:vAlign w:val="center"/>
          </w:tcPr>
          <w:p w14:paraId="4AC17E2E"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0.36 (0.19-0.68)**</w:t>
            </w:r>
          </w:p>
        </w:tc>
        <w:tc>
          <w:tcPr>
            <w:tcW w:w="2070" w:type="dxa"/>
            <w:tcBorders>
              <w:top w:val="nil"/>
              <w:bottom w:val="nil"/>
            </w:tcBorders>
            <w:shd w:val="clear" w:color="auto" w:fill="auto"/>
            <w:vAlign w:val="center"/>
          </w:tcPr>
          <w:p w14:paraId="7C1274D0"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0.49 (0.28-0.86)*</w:t>
            </w:r>
          </w:p>
        </w:tc>
        <w:tc>
          <w:tcPr>
            <w:tcW w:w="1800" w:type="dxa"/>
            <w:tcBorders>
              <w:top w:val="nil"/>
              <w:bottom w:val="nil"/>
            </w:tcBorders>
            <w:shd w:val="clear" w:color="auto" w:fill="auto"/>
            <w:vAlign w:val="center"/>
          </w:tcPr>
          <w:p w14:paraId="6B18420D"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1.16 (0.54-2.51)</w:t>
            </w:r>
          </w:p>
        </w:tc>
        <w:tc>
          <w:tcPr>
            <w:tcW w:w="1890" w:type="dxa"/>
            <w:tcBorders>
              <w:top w:val="nil"/>
              <w:bottom w:val="nil"/>
            </w:tcBorders>
            <w:shd w:val="clear" w:color="auto" w:fill="auto"/>
            <w:vAlign w:val="center"/>
          </w:tcPr>
          <w:p w14:paraId="1CAADB8B"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0.52 (0.35-0.80)**</w:t>
            </w:r>
          </w:p>
        </w:tc>
        <w:tc>
          <w:tcPr>
            <w:tcW w:w="1620" w:type="dxa"/>
            <w:tcBorders>
              <w:top w:val="nil"/>
              <w:bottom w:val="nil"/>
            </w:tcBorders>
            <w:shd w:val="clear" w:color="auto" w:fill="auto"/>
            <w:vAlign w:val="center"/>
          </w:tcPr>
          <w:p w14:paraId="61B52FD9"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0.87 (0.42-1.80)</w:t>
            </w:r>
          </w:p>
        </w:tc>
        <w:tc>
          <w:tcPr>
            <w:tcW w:w="2160" w:type="dxa"/>
            <w:tcBorders>
              <w:top w:val="nil"/>
              <w:bottom w:val="nil"/>
            </w:tcBorders>
            <w:shd w:val="clear" w:color="auto" w:fill="auto"/>
            <w:vAlign w:val="center"/>
          </w:tcPr>
          <w:p w14:paraId="7EF97530"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0.78 (0.38-1.55)</w:t>
            </w:r>
          </w:p>
        </w:tc>
      </w:tr>
      <w:tr w:rsidR="001B2E7C" w:rsidRPr="001B2E7C" w14:paraId="1FD58D14" w14:textId="77777777" w:rsidTr="001B2E7C">
        <w:trPr>
          <w:trHeight w:val="436"/>
        </w:trPr>
        <w:tc>
          <w:tcPr>
            <w:tcW w:w="2610" w:type="dxa"/>
            <w:tcBorders>
              <w:top w:val="nil"/>
              <w:bottom w:val="nil"/>
            </w:tcBorders>
            <w:vAlign w:val="center"/>
          </w:tcPr>
          <w:p w14:paraId="1ADC39DC" w14:textId="77777777" w:rsidR="001B2E7C" w:rsidRPr="001B2E7C" w:rsidRDefault="001B2E7C" w:rsidP="001B2E7C">
            <w:pPr>
              <w:tabs>
                <w:tab w:val="left" w:pos="142"/>
              </w:tabs>
              <w:spacing w:line="480" w:lineRule="auto"/>
              <w:rPr>
                <w:rFonts w:eastAsia="Calibri"/>
                <w:b/>
                <w:sz w:val="22"/>
                <w:szCs w:val="22"/>
                <w:lang w:val="en-GB"/>
              </w:rPr>
            </w:pPr>
            <w:r w:rsidRPr="001B2E7C">
              <w:rPr>
                <w:rFonts w:eastAsia="Calibri"/>
                <w:b/>
                <w:sz w:val="22"/>
                <w:szCs w:val="22"/>
                <w:lang w:val="en-GB"/>
              </w:rPr>
              <w:t>Very low</w:t>
            </w:r>
          </w:p>
        </w:tc>
        <w:tc>
          <w:tcPr>
            <w:tcW w:w="1890" w:type="dxa"/>
            <w:tcBorders>
              <w:top w:val="nil"/>
              <w:bottom w:val="nil"/>
            </w:tcBorders>
            <w:shd w:val="clear" w:color="auto" w:fill="auto"/>
            <w:vAlign w:val="center"/>
          </w:tcPr>
          <w:p w14:paraId="0DA46D5D"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0.19 (0.04-0.80)*</w:t>
            </w:r>
          </w:p>
        </w:tc>
        <w:tc>
          <w:tcPr>
            <w:tcW w:w="2070" w:type="dxa"/>
            <w:tcBorders>
              <w:top w:val="nil"/>
              <w:bottom w:val="nil"/>
            </w:tcBorders>
            <w:shd w:val="clear" w:color="auto" w:fill="auto"/>
            <w:vAlign w:val="center"/>
          </w:tcPr>
          <w:p w14:paraId="7804445A"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0.20 (0.05-0.87)*</w:t>
            </w:r>
          </w:p>
        </w:tc>
        <w:tc>
          <w:tcPr>
            <w:tcW w:w="1800" w:type="dxa"/>
            <w:tcBorders>
              <w:top w:val="nil"/>
              <w:bottom w:val="nil"/>
            </w:tcBorders>
            <w:shd w:val="clear" w:color="auto" w:fill="auto"/>
            <w:vAlign w:val="center"/>
          </w:tcPr>
          <w:p w14:paraId="56BF1A0B"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1.48 (0.56-3.91)</w:t>
            </w:r>
          </w:p>
        </w:tc>
        <w:tc>
          <w:tcPr>
            <w:tcW w:w="1890" w:type="dxa"/>
            <w:tcBorders>
              <w:top w:val="nil"/>
              <w:bottom w:val="nil"/>
            </w:tcBorders>
            <w:shd w:val="clear" w:color="auto" w:fill="auto"/>
            <w:vAlign w:val="center"/>
          </w:tcPr>
          <w:p w14:paraId="7C5700D1"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0.12 (0.02-0.87)*</w:t>
            </w:r>
          </w:p>
        </w:tc>
        <w:tc>
          <w:tcPr>
            <w:tcW w:w="1620" w:type="dxa"/>
            <w:tcBorders>
              <w:top w:val="nil"/>
              <w:bottom w:val="nil"/>
            </w:tcBorders>
            <w:shd w:val="clear" w:color="auto" w:fill="auto"/>
            <w:vAlign w:val="center"/>
          </w:tcPr>
          <w:p w14:paraId="30C7568D"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0.30 (0.08-1.16)</w:t>
            </w:r>
          </w:p>
        </w:tc>
        <w:tc>
          <w:tcPr>
            <w:tcW w:w="2160" w:type="dxa"/>
            <w:tcBorders>
              <w:top w:val="nil"/>
              <w:bottom w:val="nil"/>
            </w:tcBorders>
            <w:shd w:val="clear" w:color="auto" w:fill="auto"/>
            <w:vAlign w:val="center"/>
          </w:tcPr>
          <w:p w14:paraId="6A50262D"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0.19 (0.02-1.51)</w:t>
            </w:r>
          </w:p>
        </w:tc>
      </w:tr>
      <w:tr w:rsidR="001B2E7C" w:rsidRPr="001B2E7C" w14:paraId="3C7E69AF" w14:textId="77777777" w:rsidTr="001B2E7C">
        <w:trPr>
          <w:trHeight w:val="436"/>
        </w:trPr>
        <w:tc>
          <w:tcPr>
            <w:tcW w:w="2610" w:type="dxa"/>
            <w:tcBorders>
              <w:top w:val="nil"/>
              <w:bottom w:val="single" w:sz="4" w:space="0" w:color="auto"/>
            </w:tcBorders>
            <w:vAlign w:val="center"/>
          </w:tcPr>
          <w:p w14:paraId="5E91EDFD" w14:textId="77777777" w:rsidR="001B2E7C" w:rsidRPr="001B2E7C" w:rsidRDefault="001B2E7C" w:rsidP="001B2E7C">
            <w:pPr>
              <w:tabs>
                <w:tab w:val="left" w:pos="142"/>
              </w:tabs>
              <w:spacing w:line="480" w:lineRule="auto"/>
              <w:rPr>
                <w:rFonts w:eastAsia="Calibri"/>
                <w:b/>
                <w:sz w:val="22"/>
                <w:szCs w:val="22"/>
                <w:lang w:val="en-GB"/>
              </w:rPr>
            </w:pPr>
            <w:r w:rsidRPr="001B2E7C">
              <w:rPr>
                <w:rFonts w:eastAsia="Calibri"/>
                <w:b/>
                <w:i/>
                <w:sz w:val="22"/>
                <w:szCs w:val="22"/>
                <w:lang w:val="en-GB"/>
              </w:rPr>
              <w:lastRenderedPageBreak/>
              <w:t>p per trend</w:t>
            </w:r>
          </w:p>
        </w:tc>
        <w:tc>
          <w:tcPr>
            <w:tcW w:w="1890" w:type="dxa"/>
            <w:tcBorders>
              <w:top w:val="nil"/>
              <w:bottom w:val="single" w:sz="4" w:space="0" w:color="auto"/>
            </w:tcBorders>
            <w:shd w:val="clear" w:color="auto" w:fill="auto"/>
            <w:vAlign w:val="center"/>
          </w:tcPr>
          <w:p w14:paraId="1F63E5D1"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0.001</w:t>
            </w:r>
          </w:p>
        </w:tc>
        <w:tc>
          <w:tcPr>
            <w:tcW w:w="2070" w:type="dxa"/>
            <w:tcBorders>
              <w:top w:val="nil"/>
              <w:bottom w:val="single" w:sz="4" w:space="0" w:color="auto"/>
            </w:tcBorders>
            <w:shd w:val="clear" w:color="auto" w:fill="auto"/>
            <w:vAlign w:val="center"/>
          </w:tcPr>
          <w:p w14:paraId="567453C6"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0.008</w:t>
            </w:r>
          </w:p>
        </w:tc>
        <w:tc>
          <w:tcPr>
            <w:tcW w:w="1800" w:type="dxa"/>
            <w:tcBorders>
              <w:top w:val="nil"/>
              <w:bottom w:val="single" w:sz="4" w:space="0" w:color="auto"/>
            </w:tcBorders>
            <w:shd w:val="clear" w:color="auto" w:fill="auto"/>
            <w:vAlign w:val="center"/>
          </w:tcPr>
          <w:p w14:paraId="47BEAC65" w14:textId="77777777" w:rsidR="001B2E7C" w:rsidRPr="001B2E7C" w:rsidRDefault="001B2E7C" w:rsidP="001B2E7C">
            <w:pPr>
              <w:spacing w:line="480" w:lineRule="auto"/>
              <w:ind w:right="-108"/>
              <w:jc w:val="center"/>
              <w:rPr>
                <w:sz w:val="22"/>
                <w:szCs w:val="22"/>
                <w:lang w:val="en-GB" w:eastAsia="it-IT"/>
              </w:rPr>
            </w:pPr>
            <w:r w:rsidRPr="001B2E7C">
              <w:rPr>
                <w:sz w:val="22"/>
                <w:szCs w:val="22"/>
                <w:lang w:val="en-GB" w:eastAsia="it-IT"/>
              </w:rPr>
              <w:t>0.3825</w:t>
            </w:r>
          </w:p>
        </w:tc>
        <w:tc>
          <w:tcPr>
            <w:tcW w:w="1890" w:type="dxa"/>
            <w:tcBorders>
              <w:top w:val="nil"/>
              <w:bottom w:val="single" w:sz="4" w:space="0" w:color="auto"/>
            </w:tcBorders>
            <w:shd w:val="clear" w:color="auto" w:fill="auto"/>
            <w:vAlign w:val="center"/>
          </w:tcPr>
          <w:p w14:paraId="78E873E2"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&lt;0.001</w:t>
            </w:r>
          </w:p>
        </w:tc>
        <w:tc>
          <w:tcPr>
            <w:tcW w:w="1620" w:type="dxa"/>
            <w:tcBorders>
              <w:top w:val="nil"/>
              <w:bottom w:val="single" w:sz="4" w:space="0" w:color="auto"/>
            </w:tcBorders>
            <w:shd w:val="clear" w:color="auto" w:fill="auto"/>
            <w:vAlign w:val="center"/>
          </w:tcPr>
          <w:p w14:paraId="08B2931A"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0.1171</w:t>
            </w:r>
          </w:p>
        </w:tc>
        <w:tc>
          <w:tcPr>
            <w:tcW w:w="2160" w:type="dxa"/>
            <w:tcBorders>
              <w:top w:val="nil"/>
              <w:bottom w:val="single" w:sz="4" w:space="0" w:color="auto"/>
            </w:tcBorders>
            <w:shd w:val="clear" w:color="auto" w:fill="auto"/>
            <w:vAlign w:val="center"/>
          </w:tcPr>
          <w:p w14:paraId="45C1F26F" w14:textId="77777777" w:rsidR="001B2E7C" w:rsidRPr="001B2E7C" w:rsidRDefault="001B2E7C" w:rsidP="001B2E7C">
            <w:pPr>
              <w:spacing w:line="480" w:lineRule="auto"/>
              <w:ind w:left="-65" w:right="-108"/>
              <w:jc w:val="center"/>
              <w:rPr>
                <w:sz w:val="22"/>
                <w:szCs w:val="22"/>
                <w:lang w:val="en-GB" w:eastAsia="it-IT"/>
              </w:rPr>
            </w:pPr>
            <w:r w:rsidRPr="001B2E7C">
              <w:rPr>
                <w:sz w:val="22"/>
                <w:szCs w:val="22"/>
                <w:lang w:val="en-GB" w:eastAsia="it-IT"/>
              </w:rPr>
              <w:t>0.1558</w:t>
            </w:r>
          </w:p>
        </w:tc>
      </w:tr>
    </w:tbl>
    <w:p w14:paraId="19465F6E" w14:textId="5A3360CA" w:rsidR="001B2E7C" w:rsidRPr="001B2E7C" w:rsidRDefault="001B2E7C" w:rsidP="001B2E7C">
      <w:pPr>
        <w:suppressAutoHyphens w:val="0"/>
        <w:rPr>
          <w:b/>
          <w:sz w:val="28"/>
          <w:szCs w:val="32"/>
          <w:lang w:val="en-GB"/>
        </w:rPr>
      </w:pPr>
      <w:r w:rsidRPr="001B2E7C">
        <w:rPr>
          <w:rFonts w:eastAsia="Calibri"/>
          <w:sz w:val="22"/>
          <w:szCs w:val="22"/>
          <w:lang w:val="en-GB" w:eastAsia="en-US"/>
        </w:rPr>
        <w:t>Model adjusted for educational level (≥5 vs &lt;5 years), monthly income (&lt; vs ≥500</w:t>
      </w:r>
      <w:r w:rsidRPr="001B2E7C">
        <w:rPr>
          <w:sz w:val="22"/>
          <w:szCs w:val="22"/>
          <w:lang w:val="en-GB"/>
        </w:rPr>
        <w:t>€), living arrangements (living with somebody vs living alone), chronic obstructive pulmonary disease, osteoarticular diseases, cancer, cognitive impairment,</w:t>
      </w:r>
      <w:r w:rsidRPr="001B2E7C">
        <w:rPr>
          <w:rFonts w:eastAsia="Calibri"/>
          <w:sz w:val="22"/>
          <w:szCs w:val="22"/>
          <w:lang w:val="en-GB" w:eastAsia="en-US"/>
        </w:rPr>
        <w:t xml:space="preserve"> cardiovascular diseases. </w:t>
      </w:r>
      <w:r w:rsidRPr="001B2E7C">
        <w:rPr>
          <w:sz w:val="22"/>
          <w:szCs w:val="22"/>
          <w:lang w:val="en-GB"/>
        </w:rPr>
        <w:t>*p&lt;0.05; **p&lt;0.01; ***p&lt;0.001</w:t>
      </w:r>
    </w:p>
    <w:p w14:paraId="156B58FA" w14:textId="77777777" w:rsidR="00C87670" w:rsidRDefault="00C87670" w:rsidP="00653FFE">
      <w:pPr>
        <w:suppressAutoHyphens w:val="0"/>
        <w:rPr>
          <w:rFonts w:eastAsia="Calibri"/>
          <w:sz w:val="18"/>
          <w:szCs w:val="18"/>
          <w:lang w:val="en-GB" w:eastAsia="en-US"/>
        </w:rPr>
      </w:pPr>
    </w:p>
    <w:p w14:paraId="298B1B3D" w14:textId="77777777" w:rsidR="00C87670" w:rsidRDefault="00C87670" w:rsidP="00653FFE">
      <w:pPr>
        <w:suppressAutoHyphens w:val="0"/>
        <w:rPr>
          <w:rFonts w:eastAsia="Calibri"/>
          <w:sz w:val="18"/>
          <w:szCs w:val="18"/>
          <w:lang w:val="en-GB" w:eastAsia="en-US"/>
        </w:rPr>
      </w:pPr>
    </w:p>
    <w:p w14:paraId="2816D684" w14:textId="77777777" w:rsidR="00C87670" w:rsidRDefault="00C87670" w:rsidP="00653FFE">
      <w:pPr>
        <w:suppressAutoHyphens w:val="0"/>
        <w:rPr>
          <w:rFonts w:eastAsia="Calibri"/>
          <w:sz w:val="18"/>
          <w:szCs w:val="18"/>
          <w:lang w:val="en-GB" w:eastAsia="en-US"/>
        </w:rPr>
      </w:pPr>
    </w:p>
    <w:p w14:paraId="4A6B07DD" w14:textId="77777777" w:rsidR="00C87670" w:rsidRDefault="00C87670" w:rsidP="00653FFE">
      <w:pPr>
        <w:suppressAutoHyphens w:val="0"/>
        <w:rPr>
          <w:rFonts w:eastAsia="Calibri"/>
          <w:sz w:val="18"/>
          <w:szCs w:val="18"/>
          <w:lang w:val="en-GB" w:eastAsia="en-US"/>
        </w:rPr>
      </w:pPr>
    </w:p>
    <w:p w14:paraId="775B24B8" w14:textId="77777777" w:rsidR="00C87670" w:rsidRDefault="00C87670" w:rsidP="00653FFE">
      <w:pPr>
        <w:suppressAutoHyphens w:val="0"/>
        <w:rPr>
          <w:rFonts w:eastAsia="Calibri"/>
          <w:sz w:val="18"/>
          <w:szCs w:val="18"/>
          <w:lang w:val="en-GB" w:eastAsia="en-US"/>
        </w:rPr>
      </w:pPr>
    </w:p>
    <w:p w14:paraId="58A2019F" w14:textId="77777777" w:rsidR="00C87670" w:rsidRDefault="00C87670" w:rsidP="00653FFE">
      <w:pPr>
        <w:suppressAutoHyphens w:val="0"/>
        <w:rPr>
          <w:rFonts w:eastAsia="Calibri"/>
          <w:sz w:val="18"/>
          <w:szCs w:val="18"/>
          <w:lang w:val="en-GB" w:eastAsia="en-US"/>
        </w:rPr>
      </w:pPr>
    </w:p>
    <w:p w14:paraId="5DDA5C2A" w14:textId="77777777" w:rsidR="00C87670" w:rsidRDefault="00C87670" w:rsidP="00653FFE">
      <w:pPr>
        <w:suppressAutoHyphens w:val="0"/>
        <w:rPr>
          <w:rFonts w:eastAsia="Calibri"/>
          <w:sz w:val="18"/>
          <w:szCs w:val="18"/>
          <w:lang w:val="en-GB" w:eastAsia="en-US"/>
        </w:rPr>
      </w:pPr>
    </w:p>
    <w:p w14:paraId="524604BD" w14:textId="77777777" w:rsidR="00C87670" w:rsidRDefault="00C87670" w:rsidP="00653FFE">
      <w:pPr>
        <w:suppressAutoHyphens w:val="0"/>
        <w:rPr>
          <w:rFonts w:eastAsia="Calibri"/>
          <w:sz w:val="18"/>
          <w:szCs w:val="18"/>
          <w:lang w:val="en-GB" w:eastAsia="en-US"/>
        </w:rPr>
      </w:pPr>
    </w:p>
    <w:p w14:paraId="41A62AD1" w14:textId="77777777" w:rsidR="001B2E7C" w:rsidRDefault="001B2E7C" w:rsidP="00653FFE">
      <w:pPr>
        <w:suppressAutoHyphens w:val="0"/>
        <w:rPr>
          <w:rFonts w:eastAsia="Calibri"/>
          <w:sz w:val="18"/>
          <w:szCs w:val="18"/>
          <w:lang w:val="en-GB" w:eastAsia="en-US"/>
        </w:rPr>
        <w:sectPr w:rsidR="001B2E7C" w:rsidSect="001B2E7C">
          <w:pgSz w:w="16838" w:h="11906" w:orient="landscape"/>
          <w:pgMar w:top="1134" w:right="1417" w:bottom="1134" w:left="1134" w:header="709" w:footer="709" w:gutter="0"/>
          <w:cols w:space="708"/>
          <w:docGrid w:linePitch="360"/>
        </w:sectPr>
      </w:pPr>
    </w:p>
    <w:p w14:paraId="2BCF42D4" w14:textId="60682767" w:rsidR="00653FFE" w:rsidRPr="0097693F" w:rsidRDefault="00E676D5" w:rsidP="00653FFE">
      <w:pPr>
        <w:suppressAutoHyphens w:val="0"/>
        <w:spacing w:line="480" w:lineRule="auto"/>
        <w:rPr>
          <w:b/>
          <w:lang w:val="en-GB"/>
        </w:rPr>
      </w:pPr>
      <w:r>
        <w:rPr>
          <w:b/>
          <w:lang w:val="en-GB"/>
        </w:rPr>
        <w:lastRenderedPageBreak/>
        <w:t xml:space="preserve">Table </w:t>
      </w:r>
      <w:r w:rsidR="000A3B58">
        <w:rPr>
          <w:b/>
          <w:lang w:val="en-GB"/>
        </w:rPr>
        <w:t>A</w:t>
      </w:r>
      <w:r w:rsidR="001B2E7C">
        <w:rPr>
          <w:b/>
          <w:lang w:val="en-GB"/>
        </w:rPr>
        <w:t>2</w:t>
      </w:r>
      <w:r w:rsidR="00653FFE" w:rsidRPr="0097693F">
        <w:rPr>
          <w:b/>
          <w:lang w:val="en-GB"/>
        </w:rPr>
        <w:t>. Association between cardiovascular risk factors with 10- and 20-year all-cause and cardiovascular mortality</w:t>
      </w:r>
    </w:p>
    <w:tbl>
      <w:tblPr>
        <w:tblW w:w="13915" w:type="dxa"/>
        <w:tblBorders>
          <w:top w:val="single" w:sz="4" w:space="0" w:color="auto"/>
          <w:bottom w:val="single" w:sz="4" w:space="0" w:color="auto"/>
          <w:insideH w:val="single" w:sz="4" w:space="0" w:color="auto"/>
        </w:tblBorders>
        <w:tblLook w:val="04A0" w:firstRow="1" w:lastRow="0" w:firstColumn="1" w:lastColumn="0" w:noHBand="0" w:noVBand="1"/>
      </w:tblPr>
      <w:tblGrid>
        <w:gridCol w:w="3960"/>
        <w:gridCol w:w="2509"/>
        <w:gridCol w:w="2509"/>
        <w:gridCol w:w="2370"/>
        <w:gridCol w:w="2567"/>
      </w:tblGrid>
      <w:tr w:rsidR="00653FFE" w:rsidRPr="00D616FD" w14:paraId="4192539E" w14:textId="77777777" w:rsidTr="001B2E7C">
        <w:trPr>
          <w:trHeight w:val="447"/>
        </w:trPr>
        <w:tc>
          <w:tcPr>
            <w:tcW w:w="0" w:type="auto"/>
            <w:tcBorders>
              <w:bottom w:val="nil"/>
            </w:tcBorders>
          </w:tcPr>
          <w:p w14:paraId="494394E2" w14:textId="77777777" w:rsidR="00653FFE" w:rsidRPr="001B2E7C" w:rsidRDefault="00653FFE" w:rsidP="00095A92">
            <w:pPr>
              <w:spacing w:line="276" w:lineRule="auto"/>
              <w:ind w:left="-65" w:right="-108"/>
              <w:jc w:val="center"/>
              <w:rPr>
                <w:rFonts w:eastAsia="Calibri"/>
                <w:b/>
                <w:sz w:val="22"/>
                <w:szCs w:val="22"/>
                <w:lang w:val="en-GB"/>
              </w:rPr>
            </w:pPr>
          </w:p>
        </w:tc>
        <w:tc>
          <w:tcPr>
            <w:tcW w:w="9455" w:type="dxa"/>
            <w:gridSpan w:val="4"/>
            <w:tcBorders>
              <w:bottom w:val="nil"/>
            </w:tcBorders>
            <w:vAlign w:val="center"/>
          </w:tcPr>
          <w:p w14:paraId="40B38216" w14:textId="77777777" w:rsidR="00653FFE" w:rsidRPr="001B2E7C" w:rsidRDefault="00653FFE" w:rsidP="00095A92">
            <w:pPr>
              <w:spacing w:line="276" w:lineRule="auto"/>
              <w:ind w:left="-65" w:right="-108"/>
              <w:jc w:val="center"/>
              <w:rPr>
                <w:rFonts w:eastAsia="Calibri"/>
                <w:b/>
                <w:sz w:val="22"/>
                <w:szCs w:val="22"/>
                <w:lang w:val="en-GB"/>
              </w:rPr>
            </w:pPr>
            <w:r w:rsidRPr="001B2E7C">
              <w:rPr>
                <w:rFonts w:eastAsia="Calibri"/>
                <w:b/>
                <w:sz w:val="22"/>
                <w:szCs w:val="22"/>
                <w:lang w:val="en-GB"/>
              </w:rPr>
              <w:t>Hazard ratios and 95% Confidence Intervals for mortality</w:t>
            </w:r>
          </w:p>
        </w:tc>
      </w:tr>
      <w:tr w:rsidR="00653FFE" w:rsidRPr="001B2E7C" w14:paraId="321A1D72" w14:textId="77777777" w:rsidTr="001B2E7C">
        <w:trPr>
          <w:trHeight w:val="406"/>
        </w:trPr>
        <w:tc>
          <w:tcPr>
            <w:tcW w:w="0" w:type="auto"/>
            <w:tcBorders>
              <w:bottom w:val="nil"/>
            </w:tcBorders>
            <w:vAlign w:val="center"/>
          </w:tcPr>
          <w:p w14:paraId="259EB522" w14:textId="77777777" w:rsidR="00653FFE" w:rsidRPr="001B2E7C" w:rsidRDefault="00653FFE" w:rsidP="00095A92">
            <w:pPr>
              <w:spacing w:line="276" w:lineRule="auto"/>
              <w:rPr>
                <w:rFonts w:eastAsia="Calibri"/>
                <w:b/>
                <w:sz w:val="22"/>
                <w:szCs w:val="22"/>
                <w:lang w:val="en-GB"/>
              </w:rPr>
            </w:pPr>
          </w:p>
        </w:tc>
        <w:tc>
          <w:tcPr>
            <w:tcW w:w="0" w:type="auto"/>
            <w:gridSpan w:val="2"/>
            <w:tcBorders>
              <w:bottom w:val="nil"/>
            </w:tcBorders>
            <w:vAlign w:val="center"/>
          </w:tcPr>
          <w:p w14:paraId="54979FEF" w14:textId="77777777" w:rsidR="00653FFE" w:rsidRPr="001B2E7C" w:rsidRDefault="00653FFE" w:rsidP="00095A92">
            <w:pPr>
              <w:jc w:val="center"/>
              <w:rPr>
                <w:b/>
                <w:sz w:val="22"/>
                <w:szCs w:val="22"/>
                <w:lang w:val="en-GB"/>
              </w:rPr>
            </w:pPr>
            <w:r w:rsidRPr="001B2E7C">
              <w:rPr>
                <w:rFonts w:eastAsia="Calibri"/>
                <w:b/>
                <w:sz w:val="22"/>
                <w:szCs w:val="22"/>
                <w:lang w:val="en-GB"/>
              </w:rPr>
              <w:t xml:space="preserve">All-cause </w:t>
            </w:r>
          </w:p>
        </w:tc>
        <w:tc>
          <w:tcPr>
            <w:tcW w:w="0" w:type="auto"/>
            <w:gridSpan w:val="2"/>
            <w:tcBorders>
              <w:bottom w:val="nil"/>
            </w:tcBorders>
            <w:vAlign w:val="center"/>
          </w:tcPr>
          <w:p w14:paraId="57DF71B5" w14:textId="77777777" w:rsidR="00653FFE" w:rsidRPr="001B2E7C" w:rsidRDefault="00653FFE" w:rsidP="00095A92">
            <w:pPr>
              <w:jc w:val="center"/>
              <w:rPr>
                <w:b/>
                <w:sz w:val="22"/>
                <w:szCs w:val="22"/>
                <w:lang w:val="en-GB"/>
              </w:rPr>
            </w:pPr>
            <w:r w:rsidRPr="001B2E7C">
              <w:rPr>
                <w:b/>
                <w:sz w:val="22"/>
                <w:szCs w:val="22"/>
                <w:lang w:val="en-GB"/>
              </w:rPr>
              <w:t>Cardiovascular</w:t>
            </w:r>
          </w:p>
        </w:tc>
      </w:tr>
      <w:tr w:rsidR="00653FFE" w:rsidRPr="001B2E7C" w14:paraId="666A1C32" w14:textId="77777777" w:rsidTr="001B2E7C">
        <w:trPr>
          <w:trHeight w:val="388"/>
        </w:trPr>
        <w:tc>
          <w:tcPr>
            <w:tcW w:w="0" w:type="auto"/>
            <w:tcBorders>
              <w:top w:val="nil"/>
              <w:bottom w:val="single" w:sz="4" w:space="0" w:color="auto"/>
            </w:tcBorders>
            <w:vAlign w:val="center"/>
          </w:tcPr>
          <w:p w14:paraId="2EE87F73" w14:textId="77777777" w:rsidR="00653FFE" w:rsidRPr="001B2E7C" w:rsidRDefault="00653FFE" w:rsidP="00095A92">
            <w:pPr>
              <w:spacing w:line="276" w:lineRule="auto"/>
              <w:rPr>
                <w:rFonts w:eastAsia="Calibri"/>
                <w:b/>
                <w:sz w:val="22"/>
                <w:szCs w:val="22"/>
                <w:lang w:val="en-GB"/>
              </w:rPr>
            </w:pPr>
          </w:p>
        </w:tc>
        <w:tc>
          <w:tcPr>
            <w:tcW w:w="0" w:type="auto"/>
            <w:tcBorders>
              <w:top w:val="nil"/>
              <w:bottom w:val="single" w:sz="4" w:space="0" w:color="auto"/>
            </w:tcBorders>
            <w:vAlign w:val="center"/>
          </w:tcPr>
          <w:p w14:paraId="286E1ADF" w14:textId="77777777" w:rsidR="00653FFE" w:rsidRPr="001B2E7C" w:rsidRDefault="00653FFE" w:rsidP="00095A92">
            <w:pPr>
              <w:spacing w:line="276" w:lineRule="auto"/>
              <w:ind w:left="-65" w:right="-108"/>
              <w:jc w:val="center"/>
              <w:rPr>
                <w:rFonts w:eastAsia="Calibri"/>
                <w:b/>
                <w:sz w:val="22"/>
                <w:szCs w:val="22"/>
                <w:lang w:val="en-GB"/>
              </w:rPr>
            </w:pPr>
            <w:r w:rsidRPr="001B2E7C">
              <w:rPr>
                <w:rFonts w:eastAsia="Calibri"/>
                <w:b/>
                <w:sz w:val="22"/>
                <w:szCs w:val="22"/>
                <w:lang w:val="en-GB"/>
              </w:rPr>
              <w:t>Men</w:t>
            </w:r>
          </w:p>
        </w:tc>
        <w:tc>
          <w:tcPr>
            <w:tcW w:w="0" w:type="auto"/>
            <w:tcBorders>
              <w:top w:val="nil"/>
              <w:bottom w:val="single" w:sz="4" w:space="0" w:color="auto"/>
            </w:tcBorders>
            <w:vAlign w:val="center"/>
          </w:tcPr>
          <w:p w14:paraId="2309AA6A" w14:textId="77777777" w:rsidR="00653FFE" w:rsidRPr="001B2E7C" w:rsidRDefault="00653FFE" w:rsidP="00095A92">
            <w:pPr>
              <w:jc w:val="center"/>
              <w:rPr>
                <w:b/>
                <w:sz w:val="22"/>
                <w:szCs w:val="22"/>
                <w:lang w:val="en-GB"/>
              </w:rPr>
            </w:pPr>
            <w:r w:rsidRPr="001B2E7C">
              <w:rPr>
                <w:rFonts w:eastAsia="Calibri"/>
                <w:b/>
                <w:sz w:val="22"/>
                <w:szCs w:val="22"/>
                <w:lang w:val="en-GB"/>
              </w:rPr>
              <w:t>Women</w:t>
            </w:r>
          </w:p>
        </w:tc>
        <w:tc>
          <w:tcPr>
            <w:tcW w:w="0" w:type="auto"/>
            <w:tcBorders>
              <w:top w:val="nil"/>
              <w:bottom w:val="single" w:sz="4" w:space="0" w:color="auto"/>
            </w:tcBorders>
            <w:vAlign w:val="center"/>
          </w:tcPr>
          <w:p w14:paraId="44DB7056" w14:textId="77777777" w:rsidR="00653FFE" w:rsidRPr="001B2E7C" w:rsidRDefault="00653FFE" w:rsidP="00095A92">
            <w:pPr>
              <w:spacing w:line="276" w:lineRule="auto"/>
              <w:ind w:left="-65" w:right="-108"/>
              <w:jc w:val="center"/>
              <w:rPr>
                <w:rFonts w:eastAsia="Calibri"/>
                <w:b/>
                <w:sz w:val="22"/>
                <w:szCs w:val="22"/>
                <w:lang w:val="en-GB"/>
              </w:rPr>
            </w:pPr>
            <w:r w:rsidRPr="001B2E7C">
              <w:rPr>
                <w:rFonts w:eastAsia="Calibri"/>
                <w:b/>
                <w:sz w:val="22"/>
                <w:szCs w:val="22"/>
                <w:lang w:val="en-GB"/>
              </w:rPr>
              <w:t>Men</w:t>
            </w:r>
          </w:p>
        </w:tc>
        <w:tc>
          <w:tcPr>
            <w:tcW w:w="0" w:type="auto"/>
            <w:tcBorders>
              <w:top w:val="nil"/>
              <w:bottom w:val="single" w:sz="4" w:space="0" w:color="auto"/>
            </w:tcBorders>
            <w:vAlign w:val="center"/>
          </w:tcPr>
          <w:p w14:paraId="31716630" w14:textId="77777777" w:rsidR="00653FFE" w:rsidRPr="001B2E7C" w:rsidRDefault="00653FFE" w:rsidP="00095A92">
            <w:pPr>
              <w:jc w:val="center"/>
              <w:rPr>
                <w:b/>
                <w:sz w:val="22"/>
                <w:szCs w:val="22"/>
                <w:lang w:val="en-GB"/>
              </w:rPr>
            </w:pPr>
            <w:r w:rsidRPr="001B2E7C">
              <w:rPr>
                <w:rFonts w:eastAsia="Calibri"/>
                <w:b/>
                <w:sz w:val="22"/>
                <w:szCs w:val="22"/>
                <w:lang w:val="en-GB"/>
              </w:rPr>
              <w:t>Women</w:t>
            </w:r>
          </w:p>
        </w:tc>
      </w:tr>
      <w:tr w:rsidR="00653FFE" w:rsidRPr="001B2E7C" w14:paraId="642469E5" w14:textId="77777777" w:rsidTr="001B2E7C">
        <w:trPr>
          <w:trHeight w:val="388"/>
        </w:trPr>
        <w:tc>
          <w:tcPr>
            <w:tcW w:w="0" w:type="auto"/>
            <w:tcBorders>
              <w:top w:val="nil"/>
              <w:bottom w:val="single" w:sz="4" w:space="0" w:color="auto"/>
            </w:tcBorders>
            <w:vAlign w:val="center"/>
          </w:tcPr>
          <w:p w14:paraId="0FC8A56D" w14:textId="77777777" w:rsidR="00653FFE" w:rsidRPr="001B2E7C" w:rsidRDefault="00653FFE" w:rsidP="00095A92">
            <w:pPr>
              <w:spacing w:line="276" w:lineRule="auto"/>
              <w:rPr>
                <w:rFonts w:eastAsia="Calibri"/>
                <w:b/>
                <w:sz w:val="22"/>
                <w:szCs w:val="22"/>
                <w:lang w:val="en-GB"/>
              </w:rPr>
            </w:pPr>
            <w:r w:rsidRPr="001B2E7C">
              <w:rPr>
                <w:rFonts w:eastAsia="Calibri"/>
                <w:b/>
                <w:sz w:val="22"/>
                <w:szCs w:val="22"/>
                <w:lang w:val="en-GB"/>
              </w:rPr>
              <w:t>Cardiovascular risk profile</w:t>
            </w:r>
          </w:p>
        </w:tc>
        <w:tc>
          <w:tcPr>
            <w:tcW w:w="9455" w:type="dxa"/>
            <w:gridSpan w:val="4"/>
            <w:tcBorders>
              <w:top w:val="nil"/>
              <w:bottom w:val="single" w:sz="4" w:space="0" w:color="auto"/>
              <w:right w:val="nil"/>
            </w:tcBorders>
            <w:vAlign w:val="center"/>
          </w:tcPr>
          <w:p w14:paraId="1F7EF25C" w14:textId="77777777" w:rsidR="00653FFE" w:rsidRPr="001B2E7C" w:rsidRDefault="00653FFE" w:rsidP="00095A92">
            <w:pPr>
              <w:jc w:val="center"/>
              <w:rPr>
                <w:rFonts w:eastAsia="Calibri"/>
                <w:b/>
                <w:sz w:val="22"/>
                <w:szCs w:val="22"/>
                <w:lang w:val="en-GB"/>
              </w:rPr>
            </w:pPr>
            <w:r w:rsidRPr="001B2E7C">
              <w:rPr>
                <w:b/>
                <w:sz w:val="22"/>
                <w:szCs w:val="22"/>
                <w:lang w:val="en-GB"/>
              </w:rPr>
              <w:t>10-year follow-up</w:t>
            </w:r>
          </w:p>
        </w:tc>
      </w:tr>
      <w:tr w:rsidR="00653FFE" w:rsidRPr="001B2E7C" w14:paraId="7FB7FB08" w14:textId="77777777" w:rsidTr="001B2E7C">
        <w:trPr>
          <w:trHeight w:val="535"/>
        </w:trPr>
        <w:tc>
          <w:tcPr>
            <w:tcW w:w="0" w:type="auto"/>
            <w:tcBorders>
              <w:top w:val="nil"/>
              <w:bottom w:val="nil"/>
            </w:tcBorders>
            <w:vAlign w:val="center"/>
          </w:tcPr>
          <w:p w14:paraId="63FF520D" w14:textId="77777777" w:rsidR="00653FFE" w:rsidRPr="001B2E7C" w:rsidRDefault="00653FFE" w:rsidP="00095A92">
            <w:pPr>
              <w:tabs>
                <w:tab w:val="left" w:pos="142"/>
              </w:tabs>
              <w:rPr>
                <w:rFonts w:eastAsia="Calibri"/>
                <w:b/>
                <w:sz w:val="22"/>
                <w:szCs w:val="22"/>
                <w:lang w:val="en-GB"/>
              </w:rPr>
            </w:pPr>
            <w:r w:rsidRPr="001B2E7C">
              <w:rPr>
                <w:rFonts w:eastAsia="Calibri"/>
                <w:b/>
                <w:sz w:val="22"/>
                <w:szCs w:val="22"/>
                <w:lang w:val="en-GB"/>
              </w:rPr>
              <w:t>Healthy glucose control (yes vs no)</w:t>
            </w:r>
          </w:p>
        </w:tc>
        <w:tc>
          <w:tcPr>
            <w:tcW w:w="0" w:type="auto"/>
            <w:tcBorders>
              <w:top w:val="nil"/>
              <w:bottom w:val="nil"/>
            </w:tcBorders>
            <w:shd w:val="clear" w:color="auto" w:fill="auto"/>
            <w:vAlign w:val="center"/>
          </w:tcPr>
          <w:p w14:paraId="54FBB116" w14:textId="77777777" w:rsidR="00653FFE" w:rsidRPr="001B2E7C" w:rsidRDefault="00653FFE" w:rsidP="00095A92">
            <w:pPr>
              <w:ind w:right="-108"/>
              <w:jc w:val="center"/>
              <w:rPr>
                <w:sz w:val="22"/>
                <w:szCs w:val="22"/>
                <w:lang w:val="en-GB" w:eastAsia="it-IT"/>
              </w:rPr>
            </w:pPr>
            <w:r w:rsidRPr="001B2E7C">
              <w:rPr>
                <w:sz w:val="22"/>
                <w:szCs w:val="22"/>
                <w:lang w:val="en-GB" w:eastAsia="it-IT"/>
              </w:rPr>
              <w:t>0.79 (0.59-1.06)</w:t>
            </w:r>
          </w:p>
        </w:tc>
        <w:tc>
          <w:tcPr>
            <w:tcW w:w="0" w:type="auto"/>
            <w:tcBorders>
              <w:top w:val="nil"/>
              <w:bottom w:val="nil"/>
            </w:tcBorders>
            <w:shd w:val="clear" w:color="auto" w:fill="auto"/>
            <w:vAlign w:val="center"/>
          </w:tcPr>
          <w:p w14:paraId="56C57634" w14:textId="77777777" w:rsidR="00653FFE" w:rsidRPr="001B2E7C" w:rsidRDefault="00653FFE" w:rsidP="00095A92">
            <w:pPr>
              <w:ind w:right="-108"/>
              <w:jc w:val="center"/>
              <w:rPr>
                <w:sz w:val="22"/>
                <w:szCs w:val="22"/>
                <w:lang w:val="en-GB" w:eastAsia="it-IT"/>
              </w:rPr>
            </w:pPr>
            <w:r w:rsidRPr="001B2E7C">
              <w:rPr>
                <w:sz w:val="22"/>
                <w:szCs w:val="22"/>
                <w:lang w:val="en-GB" w:eastAsia="it-IT"/>
              </w:rPr>
              <w:t>0.60 (0.48-0.75)***</w:t>
            </w:r>
          </w:p>
        </w:tc>
        <w:tc>
          <w:tcPr>
            <w:tcW w:w="0" w:type="auto"/>
            <w:tcBorders>
              <w:top w:val="nil"/>
              <w:bottom w:val="nil"/>
            </w:tcBorders>
            <w:shd w:val="clear" w:color="auto" w:fill="auto"/>
            <w:vAlign w:val="center"/>
          </w:tcPr>
          <w:p w14:paraId="7054813A" w14:textId="77777777" w:rsidR="00653FFE" w:rsidRPr="001B2E7C" w:rsidRDefault="00653FFE" w:rsidP="00095A92">
            <w:pPr>
              <w:ind w:right="-108"/>
              <w:jc w:val="center"/>
              <w:rPr>
                <w:sz w:val="22"/>
                <w:szCs w:val="22"/>
                <w:lang w:val="en-GB" w:eastAsia="it-IT"/>
              </w:rPr>
            </w:pPr>
            <w:r w:rsidRPr="001B2E7C">
              <w:rPr>
                <w:sz w:val="22"/>
                <w:szCs w:val="22"/>
                <w:lang w:val="en-GB" w:eastAsia="it-IT"/>
              </w:rPr>
              <w:t>0.94 (0.60-1.47)</w:t>
            </w:r>
          </w:p>
        </w:tc>
        <w:tc>
          <w:tcPr>
            <w:tcW w:w="0" w:type="auto"/>
            <w:tcBorders>
              <w:top w:val="nil"/>
              <w:bottom w:val="nil"/>
            </w:tcBorders>
            <w:shd w:val="clear" w:color="auto" w:fill="auto"/>
            <w:vAlign w:val="center"/>
          </w:tcPr>
          <w:p w14:paraId="74EE9430" w14:textId="77777777" w:rsidR="00653FFE" w:rsidRPr="001B2E7C" w:rsidRDefault="00653FFE" w:rsidP="00095A92">
            <w:pPr>
              <w:ind w:left="-65" w:right="-108"/>
              <w:jc w:val="center"/>
              <w:rPr>
                <w:sz w:val="22"/>
                <w:szCs w:val="22"/>
                <w:lang w:val="en-GB" w:eastAsia="it-IT"/>
              </w:rPr>
            </w:pPr>
            <w:r w:rsidRPr="001B2E7C">
              <w:rPr>
                <w:sz w:val="22"/>
                <w:szCs w:val="22"/>
                <w:lang w:val="en-GB" w:eastAsia="it-IT"/>
              </w:rPr>
              <w:t>0.80 (0.57-1.13)</w:t>
            </w:r>
          </w:p>
        </w:tc>
      </w:tr>
      <w:tr w:rsidR="00653FFE" w:rsidRPr="001B2E7C" w14:paraId="33FD3E71" w14:textId="77777777" w:rsidTr="001B2E7C">
        <w:trPr>
          <w:trHeight w:val="352"/>
        </w:trPr>
        <w:tc>
          <w:tcPr>
            <w:tcW w:w="0" w:type="auto"/>
            <w:tcBorders>
              <w:top w:val="nil"/>
              <w:bottom w:val="nil"/>
            </w:tcBorders>
            <w:vAlign w:val="center"/>
          </w:tcPr>
          <w:p w14:paraId="50265D03" w14:textId="77777777" w:rsidR="00653FFE" w:rsidRPr="001B2E7C" w:rsidRDefault="00653FFE" w:rsidP="00095A92">
            <w:pPr>
              <w:tabs>
                <w:tab w:val="left" w:pos="142"/>
              </w:tabs>
              <w:spacing w:line="480" w:lineRule="auto"/>
              <w:rPr>
                <w:rFonts w:eastAsia="Calibri"/>
                <w:b/>
                <w:sz w:val="22"/>
                <w:szCs w:val="22"/>
                <w:lang w:val="en-GB"/>
              </w:rPr>
            </w:pPr>
            <w:r w:rsidRPr="001B2E7C">
              <w:rPr>
                <w:rFonts w:eastAsia="Calibri"/>
                <w:b/>
                <w:sz w:val="22"/>
                <w:szCs w:val="22"/>
                <w:lang w:val="en-GB"/>
              </w:rPr>
              <w:t>Healthy LDL-cholesterol (yes vs no)</w:t>
            </w:r>
          </w:p>
        </w:tc>
        <w:tc>
          <w:tcPr>
            <w:tcW w:w="0" w:type="auto"/>
            <w:tcBorders>
              <w:top w:val="nil"/>
              <w:bottom w:val="nil"/>
            </w:tcBorders>
            <w:shd w:val="clear" w:color="auto" w:fill="auto"/>
            <w:vAlign w:val="center"/>
          </w:tcPr>
          <w:p w14:paraId="6ACB26B6"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1.11 (0.76-1.62)</w:t>
            </w:r>
          </w:p>
        </w:tc>
        <w:tc>
          <w:tcPr>
            <w:tcW w:w="0" w:type="auto"/>
            <w:tcBorders>
              <w:top w:val="nil"/>
              <w:bottom w:val="nil"/>
            </w:tcBorders>
            <w:shd w:val="clear" w:color="auto" w:fill="auto"/>
            <w:vAlign w:val="center"/>
          </w:tcPr>
          <w:p w14:paraId="0E99002B"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1.36 (0.95-1.95)</w:t>
            </w:r>
          </w:p>
        </w:tc>
        <w:tc>
          <w:tcPr>
            <w:tcW w:w="0" w:type="auto"/>
            <w:tcBorders>
              <w:top w:val="nil"/>
              <w:bottom w:val="nil"/>
            </w:tcBorders>
            <w:shd w:val="clear" w:color="auto" w:fill="auto"/>
            <w:vAlign w:val="center"/>
          </w:tcPr>
          <w:p w14:paraId="1EA82267"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1.06 (0.59-1.92)</w:t>
            </w:r>
          </w:p>
        </w:tc>
        <w:tc>
          <w:tcPr>
            <w:tcW w:w="0" w:type="auto"/>
            <w:tcBorders>
              <w:top w:val="nil"/>
              <w:bottom w:val="nil"/>
            </w:tcBorders>
            <w:shd w:val="clear" w:color="auto" w:fill="auto"/>
            <w:vAlign w:val="center"/>
          </w:tcPr>
          <w:p w14:paraId="333C8669"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1.26 (0.73-2.19)</w:t>
            </w:r>
          </w:p>
        </w:tc>
      </w:tr>
      <w:tr w:rsidR="00653FFE" w:rsidRPr="001B2E7C" w14:paraId="14B7E06E" w14:textId="77777777" w:rsidTr="001B2E7C">
        <w:trPr>
          <w:trHeight w:val="352"/>
        </w:trPr>
        <w:tc>
          <w:tcPr>
            <w:tcW w:w="0" w:type="auto"/>
            <w:tcBorders>
              <w:top w:val="nil"/>
              <w:bottom w:val="nil"/>
            </w:tcBorders>
            <w:vAlign w:val="center"/>
          </w:tcPr>
          <w:p w14:paraId="155135CB" w14:textId="77777777" w:rsidR="00653FFE" w:rsidRPr="001B2E7C" w:rsidRDefault="00653FFE" w:rsidP="00095A92">
            <w:pPr>
              <w:tabs>
                <w:tab w:val="left" w:pos="142"/>
              </w:tabs>
              <w:spacing w:line="480" w:lineRule="auto"/>
              <w:rPr>
                <w:rFonts w:eastAsia="Calibri"/>
                <w:b/>
                <w:sz w:val="22"/>
                <w:szCs w:val="22"/>
                <w:lang w:val="en-GB"/>
              </w:rPr>
            </w:pPr>
            <w:r w:rsidRPr="001B2E7C">
              <w:rPr>
                <w:rFonts w:eastAsia="Calibri"/>
                <w:b/>
                <w:sz w:val="22"/>
                <w:szCs w:val="22"/>
                <w:lang w:val="en-GB"/>
              </w:rPr>
              <w:t>Healthy blood pressure (yes vs no)</w:t>
            </w:r>
          </w:p>
        </w:tc>
        <w:tc>
          <w:tcPr>
            <w:tcW w:w="0" w:type="auto"/>
            <w:tcBorders>
              <w:top w:val="nil"/>
              <w:bottom w:val="nil"/>
            </w:tcBorders>
            <w:shd w:val="clear" w:color="auto" w:fill="auto"/>
            <w:vAlign w:val="center"/>
          </w:tcPr>
          <w:p w14:paraId="67895DD2"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0.95 (0.80-1.13)</w:t>
            </w:r>
          </w:p>
        </w:tc>
        <w:tc>
          <w:tcPr>
            <w:tcW w:w="0" w:type="auto"/>
            <w:tcBorders>
              <w:top w:val="nil"/>
              <w:bottom w:val="nil"/>
            </w:tcBorders>
            <w:shd w:val="clear" w:color="auto" w:fill="auto"/>
            <w:vAlign w:val="center"/>
          </w:tcPr>
          <w:p w14:paraId="1BE14085"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0.87 (0.73-1.03)</w:t>
            </w:r>
          </w:p>
        </w:tc>
        <w:tc>
          <w:tcPr>
            <w:tcW w:w="0" w:type="auto"/>
            <w:tcBorders>
              <w:top w:val="nil"/>
              <w:bottom w:val="nil"/>
            </w:tcBorders>
            <w:shd w:val="clear" w:color="auto" w:fill="auto"/>
            <w:vAlign w:val="center"/>
          </w:tcPr>
          <w:p w14:paraId="2B74F221"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0.87 (0.68-1.13)</w:t>
            </w:r>
          </w:p>
        </w:tc>
        <w:tc>
          <w:tcPr>
            <w:tcW w:w="0" w:type="auto"/>
            <w:tcBorders>
              <w:top w:val="nil"/>
              <w:bottom w:val="nil"/>
            </w:tcBorders>
            <w:shd w:val="clear" w:color="auto" w:fill="auto"/>
            <w:vAlign w:val="center"/>
          </w:tcPr>
          <w:p w14:paraId="40799E3A"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0.81 (0.63-1.03)</w:t>
            </w:r>
          </w:p>
        </w:tc>
      </w:tr>
      <w:tr w:rsidR="00653FFE" w:rsidRPr="001B2E7C" w14:paraId="2651771D" w14:textId="77777777" w:rsidTr="001B2E7C">
        <w:trPr>
          <w:trHeight w:val="352"/>
        </w:trPr>
        <w:tc>
          <w:tcPr>
            <w:tcW w:w="0" w:type="auto"/>
            <w:tcBorders>
              <w:top w:val="nil"/>
              <w:bottom w:val="nil"/>
            </w:tcBorders>
            <w:vAlign w:val="center"/>
          </w:tcPr>
          <w:p w14:paraId="6D2988C4" w14:textId="77777777" w:rsidR="00653FFE" w:rsidRPr="001B2E7C" w:rsidRDefault="00653FFE" w:rsidP="00095A92">
            <w:pPr>
              <w:tabs>
                <w:tab w:val="left" w:pos="142"/>
              </w:tabs>
              <w:spacing w:line="480" w:lineRule="auto"/>
              <w:rPr>
                <w:rFonts w:eastAsia="Calibri"/>
                <w:b/>
                <w:sz w:val="22"/>
                <w:szCs w:val="22"/>
                <w:lang w:val="en-GB"/>
              </w:rPr>
            </w:pPr>
            <w:r w:rsidRPr="001B2E7C">
              <w:rPr>
                <w:rFonts w:eastAsia="Calibri"/>
                <w:b/>
                <w:sz w:val="22"/>
                <w:szCs w:val="22"/>
                <w:lang w:val="en-GB"/>
              </w:rPr>
              <w:t>Healthy physical activity (yes vs no)</w:t>
            </w:r>
          </w:p>
        </w:tc>
        <w:tc>
          <w:tcPr>
            <w:tcW w:w="0" w:type="auto"/>
            <w:tcBorders>
              <w:top w:val="nil"/>
              <w:bottom w:val="nil"/>
            </w:tcBorders>
            <w:shd w:val="clear" w:color="auto" w:fill="auto"/>
            <w:vAlign w:val="center"/>
          </w:tcPr>
          <w:p w14:paraId="6D70B8DE"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0.67 (0.55-0.81)***</w:t>
            </w:r>
          </w:p>
        </w:tc>
        <w:tc>
          <w:tcPr>
            <w:tcW w:w="0" w:type="auto"/>
            <w:tcBorders>
              <w:top w:val="nil"/>
              <w:bottom w:val="nil"/>
            </w:tcBorders>
            <w:shd w:val="clear" w:color="auto" w:fill="auto"/>
            <w:vAlign w:val="center"/>
          </w:tcPr>
          <w:p w14:paraId="18710B9F"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0.77 (0.65-0.92)**</w:t>
            </w:r>
          </w:p>
        </w:tc>
        <w:tc>
          <w:tcPr>
            <w:tcW w:w="0" w:type="auto"/>
            <w:tcBorders>
              <w:top w:val="nil"/>
              <w:bottom w:val="nil"/>
            </w:tcBorders>
            <w:shd w:val="clear" w:color="auto" w:fill="auto"/>
            <w:vAlign w:val="center"/>
          </w:tcPr>
          <w:p w14:paraId="43D786B0"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0.63 (0.48-0.83)**</w:t>
            </w:r>
          </w:p>
        </w:tc>
        <w:tc>
          <w:tcPr>
            <w:tcW w:w="0" w:type="auto"/>
            <w:tcBorders>
              <w:top w:val="nil"/>
              <w:bottom w:val="nil"/>
            </w:tcBorders>
            <w:shd w:val="clear" w:color="auto" w:fill="auto"/>
            <w:vAlign w:val="center"/>
          </w:tcPr>
          <w:p w14:paraId="3E56E30E"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0.60 (0.47-0.77)</w:t>
            </w:r>
          </w:p>
        </w:tc>
      </w:tr>
      <w:tr w:rsidR="00653FFE" w:rsidRPr="001B2E7C" w14:paraId="1463F2BF" w14:textId="77777777" w:rsidTr="001B2E7C">
        <w:trPr>
          <w:trHeight w:val="81"/>
        </w:trPr>
        <w:tc>
          <w:tcPr>
            <w:tcW w:w="0" w:type="auto"/>
            <w:tcBorders>
              <w:top w:val="nil"/>
              <w:bottom w:val="nil"/>
            </w:tcBorders>
            <w:vAlign w:val="center"/>
          </w:tcPr>
          <w:p w14:paraId="1E536403" w14:textId="77777777" w:rsidR="00653FFE" w:rsidRPr="001B2E7C" w:rsidRDefault="00653FFE" w:rsidP="00095A92">
            <w:pPr>
              <w:tabs>
                <w:tab w:val="left" w:pos="142"/>
              </w:tabs>
              <w:spacing w:line="480" w:lineRule="auto"/>
              <w:rPr>
                <w:rFonts w:eastAsia="Calibri"/>
                <w:b/>
                <w:sz w:val="22"/>
                <w:szCs w:val="22"/>
                <w:lang w:val="en-GB"/>
              </w:rPr>
            </w:pPr>
            <w:r w:rsidRPr="001B2E7C">
              <w:rPr>
                <w:rFonts w:eastAsia="Calibri"/>
                <w:b/>
                <w:sz w:val="22"/>
                <w:szCs w:val="22"/>
                <w:lang w:val="en-GB"/>
              </w:rPr>
              <w:t>Healthy diet (yes vs no)</w:t>
            </w:r>
          </w:p>
        </w:tc>
        <w:tc>
          <w:tcPr>
            <w:tcW w:w="0" w:type="auto"/>
            <w:tcBorders>
              <w:top w:val="nil"/>
              <w:bottom w:val="nil"/>
            </w:tcBorders>
            <w:shd w:val="clear" w:color="auto" w:fill="auto"/>
            <w:vAlign w:val="center"/>
          </w:tcPr>
          <w:p w14:paraId="00307DB7"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0.94 (0.80-1.10)</w:t>
            </w:r>
          </w:p>
        </w:tc>
        <w:tc>
          <w:tcPr>
            <w:tcW w:w="0" w:type="auto"/>
            <w:tcBorders>
              <w:top w:val="nil"/>
              <w:bottom w:val="nil"/>
            </w:tcBorders>
            <w:shd w:val="clear" w:color="auto" w:fill="auto"/>
            <w:vAlign w:val="center"/>
          </w:tcPr>
          <w:p w14:paraId="5F5398EA"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0.90 (0.76-1.06)</w:t>
            </w:r>
          </w:p>
        </w:tc>
        <w:tc>
          <w:tcPr>
            <w:tcW w:w="0" w:type="auto"/>
            <w:tcBorders>
              <w:top w:val="nil"/>
              <w:bottom w:val="nil"/>
            </w:tcBorders>
            <w:shd w:val="clear" w:color="auto" w:fill="auto"/>
            <w:vAlign w:val="center"/>
          </w:tcPr>
          <w:p w14:paraId="251E3522"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0.91 (0.72-1.16)</w:t>
            </w:r>
          </w:p>
        </w:tc>
        <w:tc>
          <w:tcPr>
            <w:tcW w:w="0" w:type="auto"/>
            <w:tcBorders>
              <w:top w:val="nil"/>
              <w:bottom w:val="nil"/>
            </w:tcBorders>
            <w:shd w:val="clear" w:color="auto" w:fill="auto"/>
            <w:vAlign w:val="center"/>
          </w:tcPr>
          <w:p w14:paraId="12E91F56"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0.75 (0.60-0.94)*</w:t>
            </w:r>
          </w:p>
        </w:tc>
      </w:tr>
      <w:tr w:rsidR="00653FFE" w:rsidRPr="001B2E7C" w14:paraId="78B052BB" w14:textId="77777777" w:rsidTr="001B2E7C">
        <w:trPr>
          <w:trHeight w:val="352"/>
        </w:trPr>
        <w:tc>
          <w:tcPr>
            <w:tcW w:w="0" w:type="auto"/>
            <w:tcBorders>
              <w:top w:val="nil"/>
              <w:bottom w:val="nil"/>
            </w:tcBorders>
            <w:vAlign w:val="center"/>
          </w:tcPr>
          <w:p w14:paraId="59644E52" w14:textId="77777777" w:rsidR="00653FFE" w:rsidRPr="001B2E7C" w:rsidRDefault="00653FFE" w:rsidP="00095A92">
            <w:pPr>
              <w:tabs>
                <w:tab w:val="left" w:pos="142"/>
              </w:tabs>
              <w:spacing w:line="480" w:lineRule="auto"/>
              <w:rPr>
                <w:rFonts w:eastAsia="Calibri"/>
                <w:b/>
                <w:sz w:val="22"/>
                <w:szCs w:val="22"/>
                <w:lang w:val="en-GB"/>
              </w:rPr>
            </w:pPr>
            <w:r w:rsidRPr="001B2E7C">
              <w:rPr>
                <w:rFonts w:eastAsia="Calibri"/>
                <w:b/>
                <w:sz w:val="22"/>
                <w:szCs w:val="22"/>
                <w:lang w:val="en-GB"/>
              </w:rPr>
              <w:t>No current smoking habits (yes vs no)</w:t>
            </w:r>
          </w:p>
        </w:tc>
        <w:tc>
          <w:tcPr>
            <w:tcW w:w="0" w:type="auto"/>
            <w:tcBorders>
              <w:top w:val="nil"/>
              <w:bottom w:val="nil"/>
            </w:tcBorders>
            <w:shd w:val="clear" w:color="auto" w:fill="auto"/>
            <w:vAlign w:val="center"/>
          </w:tcPr>
          <w:p w14:paraId="781D7DD2"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0.75 (0.60-0.93)**</w:t>
            </w:r>
          </w:p>
        </w:tc>
        <w:tc>
          <w:tcPr>
            <w:tcW w:w="0" w:type="auto"/>
            <w:tcBorders>
              <w:top w:val="nil"/>
              <w:bottom w:val="nil"/>
            </w:tcBorders>
            <w:shd w:val="clear" w:color="auto" w:fill="auto"/>
            <w:vAlign w:val="center"/>
          </w:tcPr>
          <w:p w14:paraId="1E70DFEC"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0.82 (0.50-1.34)</w:t>
            </w:r>
          </w:p>
        </w:tc>
        <w:tc>
          <w:tcPr>
            <w:tcW w:w="0" w:type="auto"/>
            <w:tcBorders>
              <w:top w:val="nil"/>
              <w:bottom w:val="nil"/>
            </w:tcBorders>
            <w:shd w:val="clear" w:color="auto" w:fill="auto"/>
            <w:vAlign w:val="center"/>
          </w:tcPr>
          <w:p w14:paraId="6B4B134F"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0.90 (0.63-1.28)</w:t>
            </w:r>
          </w:p>
        </w:tc>
        <w:tc>
          <w:tcPr>
            <w:tcW w:w="0" w:type="auto"/>
            <w:tcBorders>
              <w:top w:val="nil"/>
              <w:bottom w:val="nil"/>
            </w:tcBorders>
            <w:shd w:val="clear" w:color="auto" w:fill="auto"/>
            <w:vAlign w:val="center"/>
          </w:tcPr>
          <w:p w14:paraId="3A30AED7"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2.36 (0.75-7.44)</w:t>
            </w:r>
          </w:p>
        </w:tc>
      </w:tr>
      <w:tr w:rsidR="00653FFE" w:rsidRPr="001B2E7C" w14:paraId="312673DC" w14:textId="77777777" w:rsidTr="001B2E7C">
        <w:trPr>
          <w:trHeight w:val="214"/>
        </w:trPr>
        <w:tc>
          <w:tcPr>
            <w:tcW w:w="0" w:type="auto"/>
            <w:tcBorders>
              <w:top w:val="nil"/>
              <w:bottom w:val="single" w:sz="4" w:space="0" w:color="auto"/>
            </w:tcBorders>
            <w:vAlign w:val="center"/>
          </w:tcPr>
          <w:p w14:paraId="1F62CDF7" w14:textId="77777777" w:rsidR="00653FFE" w:rsidRPr="001B2E7C" w:rsidRDefault="00653FFE" w:rsidP="00095A92">
            <w:pPr>
              <w:tabs>
                <w:tab w:val="left" w:pos="142"/>
              </w:tabs>
              <w:spacing w:line="480" w:lineRule="auto"/>
              <w:rPr>
                <w:rFonts w:eastAsia="Calibri"/>
                <w:b/>
                <w:sz w:val="22"/>
                <w:szCs w:val="22"/>
                <w:lang w:val="en-GB"/>
              </w:rPr>
            </w:pPr>
            <w:r w:rsidRPr="001B2E7C">
              <w:rPr>
                <w:rFonts w:eastAsia="Calibri"/>
                <w:b/>
                <w:sz w:val="22"/>
                <w:szCs w:val="22"/>
                <w:lang w:val="en-GB"/>
              </w:rPr>
              <w:t>Healthy weight (yes vs no)</w:t>
            </w:r>
          </w:p>
        </w:tc>
        <w:tc>
          <w:tcPr>
            <w:tcW w:w="0" w:type="auto"/>
            <w:tcBorders>
              <w:top w:val="nil"/>
              <w:bottom w:val="single" w:sz="4" w:space="0" w:color="auto"/>
            </w:tcBorders>
            <w:shd w:val="clear" w:color="auto" w:fill="auto"/>
            <w:vAlign w:val="center"/>
          </w:tcPr>
          <w:p w14:paraId="2C84444A"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1.08 (0.90-1.29)</w:t>
            </w:r>
          </w:p>
        </w:tc>
        <w:tc>
          <w:tcPr>
            <w:tcW w:w="0" w:type="auto"/>
            <w:tcBorders>
              <w:top w:val="nil"/>
              <w:bottom w:val="single" w:sz="4" w:space="0" w:color="auto"/>
            </w:tcBorders>
            <w:shd w:val="clear" w:color="auto" w:fill="auto"/>
            <w:vAlign w:val="center"/>
          </w:tcPr>
          <w:p w14:paraId="693C9044"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0.85 (0.57-1.25)</w:t>
            </w:r>
          </w:p>
        </w:tc>
        <w:tc>
          <w:tcPr>
            <w:tcW w:w="0" w:type="auto"/>
            <w:tcBorders>
              <w:top w:val="nil"/>
              <w:bottom w:val="single" w:sz="4" w:space="0" w:color="auto"/>
            </w:tcBorders>
            <w:shd w:val="clear" w:color="auto" w:fill="auto"/>
            <w:vAlign w:val="center"/>
          </w:tcPr>
          <w:p w14:paraId="5377622F"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1.01 (0.77-1.33)</w:t>
            </w:r>
          </w:p>
        </w:tc>
        <w:tc>
          <w:tcPr>
            <w:tcW w:w="0" w:type="auto"/>
            <w:tcBorders>
              <w:top w:val="nil"/>
              <w:bottom w:val="single" w:sz="4" w:space="0" w:color="auto"/>
            </w:tcBorders>
            <w:shd w:val="clear" w:color="auto" w:fill="auto"/>
            <w:vAlign w:val="center"/>
          </w:tcPr>
          <w:p w14:paraId="25FE8AFB"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0.89 (0.53-1.51)</w:t>
            </w:r>
          </w:p>
        </w:tc>
      </w:tr>
      <w:tr w:rsidR="00653FFE" w:rsidRPr="001B2E7C" w14:paraId="24D96D18" w14:textId="77777777" w:rsidTr="001B2E7C">
        <w:trPr>
          <w:trHeight w:val="50"/>
        </w:trPr>
        <w:tc>
          <w:tcPr>
            <w:tcW w:w="0" w:type="auto"/>
            <w:tcBorders>
              <w:top w:val="nil"/>
              <w:bottom w:val="nil"/>
            </w:tcBorders>
            <w:vAlign w:val="center"/>
          </w:tcPr>
          <w:p w14:paraId="2B378D00" w14:textId="77777777" w:rsidR="00653FFE" w:rsidRPr="001B2E7C" w:rsidRDefault="00653FFE" w:rsidP="001B2E7C">
            <w:pPr>
              <w:tabs>
                <w:tab w:val="left" w:pos="142"/>
              </w:tabs>
              <w:rPr>
                <w:rFonts w:eastAsia="Calibri"/>
                <w:b/>
                <w:sz w:val="22"/>
                <w:szCs w:val="22"/>
                <w:lang w:val="en-GB"/>
              </w:rPr>
            </w:pPr>
          </w:p>
        </w:tc>
        <w:tc>
          <w:tcPr>
            <w:tcW w:w="0" w:type="auto"/>
            <w:tcBorders>
              <w:top w:val="nil"/>
              <w:bottom w:val="nil"/>
            </w:tcBorders>
            <w:shd w:val="clear" w:color="auto" w:fill="auto"/>
            <w:vAlign w:val="center"/>
          </w:tcPr>
          <w:p w14:paraId="0D28F6D2" w14:textId="77777777" w:rsidR="00653FFE" w:rsidRPr="001B2E7C" w:rsidRDefault="00653FFE" w:rsidP="001B2E7C">
            <w:pPr>
              <w:ind w:right="-108"/>
              <w:jc w:val="center"/>
              <w:rPr>
                <w:sz w:val="22"/>
                <w:szCs w:val="22"/>
                <w:lang w:val="en-GB" w:eastAsia="it-IT"/>
              </w:rPr>
            </w:pPr>
          </w:p>
        </w:tc>
        <w:tc>
          <w:tcPr>
            <w:tcW w:w="0" w:type="auto"/>
            <w:tcBorders>
              <w:top w:val="nil"/>
              <w:bottom w:val="nil"/>
            </w:tcBorders>
            <w:shd w:val="clear" w:color="auto" w:fill="auto"/>
            <w:vAlign w:val="center"/>
          </w:tcPr>
          <w:p w14:paraId="77918424" w14:textId="77777777" w:rsidR="00653FFE" w:rsidRPr="001B2E7C" w:rsidRDefault="00653FFE" w:rsidP="001B2E7C">
            <w:pPr>
              <w:ind w:left="-65" w:right="-108"/>
              <w:jc w:val="center"/>
              <w:rPr>
                <w:sz w:val="22"/>
                <w:szCs w:val="22"/>
                <w:lang w:val="en-GB" w:eastAsia="it-IT"/>
              </w:rPr>
            </w:pPr>
          </w:p>
        </w:tc>
        <w:tc>
          <w:tcPr>
            <w:tcW w:w="0" w:type="auto"/>
            <w:tcBorders>
              <w:top w:val="nil"/>
              <w:bottom w:val="nil"/>
            </w:tcBorders>
            <w:shd w:val="clear" w:color="auto" w:fill="auto"/>
            <w:vAlign w:val="center"/>
          </w:tcPr>
          <w:p w14:paraId="24875F94" w14:textId="77777777" w:rsidR="00653FFE" w:rsidRPr="001B2E7C" w:rsidRDefault="00653FFE" w:rsidP="001B2E7C">
            <w:pPr>
              <w:ind w:right="-108"/>
              <w:jc w:val="center"/>
              <w:rPr>
                <w:sz w:val="22"/>
                <w:szCs w:val="22"/>
                <w:lang w:val="en-GB" w:eastAsia="it-IT"/>
              </w:rPr>
            </w:pPr>
          </w:p>
        </w:tc>
        <w:tc>
          <w:tcPr>
            <w:tcW w:w="0" w:type="auto"/>
            <w:tcBorders>
              <w:top w:val="nil"/>
              <w:bottom w:val="nil"/>
            </w:tcBorders>
            <w:shd w:val="clear" w:color="auto" w:fill="auto"/>
            <w:vAlign w:val="center"/>
          </w:tcPr>
          <w:p w14:paraId="786A6609" w14:textId="77777777" w:rsidR="00653FFE" w:rsidRPr="001B2E7C" w:rsidRDefault="00653FFE" w:rsidP="001B2E7C">
            <w:pPr>
              <w:ind w:left="-65" w:right="-108"/>
              <w:jc w:val="center"/>
              <w:rPr>
                <w:sz w:val="22"/>
                <w:szCs w:val="22"/>
                <w:lang w:val="en-GB" w:eastAsia="it-IT"/>
              </w:rPr>
            </w:pPr>
          </w:p>
        </w:tc>
      </w:tr>
      <w:tr w:rsidR="00653FFE" w:rsidRPr="001B2E7C" w14:paraId="2FE61BF4" w14:textId="77777777" w:rsidTr="001B2E7C">
        <w:trPr>
          <w:trHeight w:val="352"/>
        </w:trPr>
        <w:tc>
          <w:tcPr>
            <w:tcW w:w="0" w:type="auto"/>
            <w:tcBorders>
              <w:bottom w:val="single" w:sz="4" w:space="0" w:color="auto"/>
            </w:tcBorders>
          </w:tcPr>
          <w:p w14:paraId="443AF514" w14:textId="77777777" w:rsidR="00653FFE" w:rsidRPr="001B2E7C" w:rsidRDefault="00653FFE" w:rsidP="00095A92">
            <w:pPr>
              <w:tabs>
                <w:tab w:val="left" w:pos="142"/>
              </w:tabs>
              <w:rPr>
                <w:rFonts w:eastAsia="Calibri"/>
                <w:b/>
                <w:sz w:val="22"/>
                <w:szCs w:val="22"/>
                <w:lang w:val="en-GB"/>
              </w:rPr>
            </w:pPr>
          </w:p>
        </w:tc>
        <w:tc>
          <w:tcPr>
            <w:tcW w:w="9455" w:type="dxa"/>
            <w:gridSpan w:val="4"/>
            <w:tcBorders>
              <w:bottom w:val="single" w:sz="4" w:space="0" w:color="auto"/>
            </w:tcBorders>
            <w:shd w:val="clear" w:color="auto" w:fill="auto"/>
            <w:vAlign w:val="center"/>
          </w:tcPr>
          <w:p w14:paraId="24D8E56C" w14:textId="77777777" w:rsidR="00653FFE" w:rsidRPr="001B2E7C" w:rsidRDefault="00653FFE" w:rsidP="00095A92">
            <w:pPr>
              <w:ind w:right="-108"/>
              <w:jc w:val="center"/>
              <w:rPr>
                <w:b/>
                <w:sz w:val="22"/>
                <w:szCs w:val="22"/>
                <w:lang w:val="en-GB" w:eastAsia="it-IT"/>
              </w:rPr>
            </w:pPr>
            <w:r w:rsidRPr="001B2E7C">
              <w:rPr>
                <w:b/>
                <w:sz w:val="22"/>
                <w:szCs w:val="22"/>
                <w:lang w:val="en-GB" w:eastAsia="it-IT"/>
              </w:rPr>
              <w:t>20-year follow-up</w:t>
            </w:r>
          </w:p>
        </w:tc>
      </w:tr>
      <w:tr w:rsidR="00653FFE" w:rsidRPr="001B2E7C" w14:paraId="4E5439CA" w14:textId="77777777" w:rsidTr="001B2E7C">
        <w:trPr>
          <w:trHeight w:val="535"/>
        </w:trPr>
        <w:tc>
          <w:tcPr>
            <w:tcW w:w="0" w:type="auto"/>
            <w:tcBorders>
              <w:top w:val="nil"/>
              <w:bottom w:val="nil"/>
            </w:tcBorders>
            <w:vAlign w:val="center"/>
          </w:tcPr>
          <w:p w14:paraId="29CB3091" w14:textId="77777777" w:rsidR="00653FFE" w:rsidRPr="001B2E7C" w:rsidRDefault="00653FFE" w:rsidP="00095A92">
            <w:pPr>
              <w:tabs>
                <w:tab w:val="left" w:pos="142"/>
              </w:tabs>
              <w:rPr>
                <w:rFonts w:eastAsia="Calibri"/>
                <w:b/>
                <w:sz w:val="22"/>
                <w:szCs w:val="22"/>
                <w:lang w:val="en-GB"/>
              </w:rPr>
            </w:pPr>
            <w:r w:rsidRPr="001B2E7C">
              <w:rPr>
                <w:rFonts w:eastAsia="Calibri"/>
                <w:b/>
                <w:sz w:val="22"/>
                <w:szCs w:val="22"/>
                <w:lang w:val="en-GB"/>
              </w:rPr>
              <w:t>Healthy glucose control (yes vs no)</w:t>
            </w:r>
          </w:p>
        </w:tc>
        <w:tc>
          <w:tcPr>
            <w:tcW w:w="0" w:type="auto"/>
            <w:tcBorders>
              <w:top w:val="nil"/>
              <w:bottom w:val="nil"/>
            </w:tcBorders>
            <w:shd w:val="clear" w:color="auto" w:fill="auto"/>
            <w:vAlign w:val="center"/>
          </w:tcPr>
          <w:p w14:paraId="7312E4BE" w14:textId="77777777" w:rsidR="00653FFE" w:rsidRPr="001B2E7C" w:rsidRDefault="00653FFE" w:rsidP="00095A92">
            <w:pPr>
              <w:ind w:right="-108"/>
              <w:jc w:val="center"/>
              <w:rPr>
                <w:sz w:val="22"/>
                <w:szCs w:val="22"/>
                <w:lang w:val="en-GB" w:eastAsia="it-IT"/>
              </w:rPr>
            </w:pPr>
            <w:r w:rsidRPr="001B2E7C">
              <w:rPr>
                <w:sz w:val="22"/>
                <w:szCs w:val="22"/>
                <w:lang w:val="en-GB" w:eastAsia="it-IT"/>
              </w:rPr>
              <w:t>0.74 (0.59-0.94)*</w:t>
            </w:r>
          </w:p>
        </w:tc>
        <w:tc>
          <w:tcPr>
            <w:tcW w:w="0" w:type="auto"/>
            <w:tcBorders>
              <w:top w:val="nil"/>
              <w:bottom w:val="nil"/>
            </w:tcBorders>
            <w:shd w:val="clear" w:color="auto" w:fill="auto"/>
            <w:vAlign w:val="center"/>
          </w:tcPr>
          <w:p w14:paraId="36DE4476" w14:textId="77777777" w:rsidR="00653FFE" w:rsidRPr="001B2E7C" w:rsidRDefault="00653FFE" w:rsidP="00095A92">
            <w:pPr>
              <w:ind w:right="-108"/>
              <w:jc w:val="center"/>
              <w:rPr>
                <w:sz w:val="22"/>
                <w:szCs w:val="22"/>
                <w:lang w:val="en-GB" w:eastAsia="it-IT"/>
              </w:rPr>
            </w:pPr>
            <w:r w:rsidRPr="001B2E7C">
              <w:rPr>
                <w:sz w:val="22"/>
                <w:szCs w:val="22"/>
                <w:lang w:val="en-GB" w:eastAsia="it-IT"/>
              </w:rPr>
              <w:t>0.63 (0.53-0.75)***</w:t>
            </w:r>
          </w:p>
        </w:tc>
        <w:tc>
          <w:tcPr>
            <w:tcW w:w="0" w:type="auto"/>
            <w:tcBorders>
              <w:top w:val="nil"/>
              <w:bottom w:val="nil"/>
            </w:tcBorders>
            <w:shd w:val="clear" w:color="auto" w:fill="auto"/>
            <w:vAlign w:val="center"/>
          </w:tcPr>
          <w:p w14:paraId="07F52B07" w14:textId="77777777" w:rsidR="00653FFE" w:rsidRPr="001B2E7C" w:rsidRDefault="00653FFE" w:rsidP="00095A92">
            <w:pPr>
              <w:ind w:right="-108"/>
              <w:jc w:val="center"/>
              <w:rPr>
                <w:sz w:val="22"/>
                <w:szCs w:val="22"/>
                <w:lang w:val="en-GB" w:eastAsia="it-IT"/>
              </w:rPr>
            </w:pPr>
            <w:r w:rsidRPr="001B2E7C">
              <w:rPr>
                <w:sz w:val="22"/>
                <w:szCs w:val="22"/>
                <w:lang w:val="en-GB" w:eastAsia="it-IT"/>
              </w:rPr>
              <w:t>0.92 (0.63-1.36)</w:t>
            </w:r>
          </w:p>
        </w:tc>
        <w:tc>
          <w:tcPr>
            <w:tcW w:w="0" w:type="auto"/>
            <w:tcBorders>
              <w:top w:val="nil"/>
              <w:bottom w:val="nil"/>
            </w:tcBorders>
            <w:shd w:val="clear" w:color="auto" w:fill="auto"/>
            <w:vAlign w:val="center"/>
          </w:tcPr>
          <w:p w14:paraId="63805BF2" w14:textId="77777777" w:rsidR="00653FFE" w:rsidRPr="001B2E7C" w:rsidRDefault="00653FFE" w:rsidP="00095A92">
            <w:pPr>
              <w:ind w:left="-65" w:right="-108"/>
              <w:jc w:val="center"/>
              <w:rPr>
                <w:sz w:val="22"/>
                <w:szCs w:val="22"/>
                <w:lang w:val="en-GB" w:eastAsia="it-IT"/>
              </w:rPr>
            </w:pPr>
            <w:r w:rsidRPr="001B2E7C">
              <w:rPr>
                <w:sz w:val="22"/>
                <w:szCs w:val="22"/>
                <w:lang w:val="en-GB" w:eastAsia="it-IT"/>
              </w:rPr>
              <w:t>0.83 (0.63-1.10)</w:t>
            </w:r>
          </w:p>
        </w:tc>
      </w:tr>
      <w:tr w:rsidR="00653FFE" w:rsidRPr="001B2E7C" w14:paraId="6AC7D1F8" w14:textId="77777777" w:rsidTr="001B2E7C">
        <w:trPr>
          <w:trHeight w:val="352"/>
        </w:trPr>
        <w:tc>
          <w:tcPr>
            <w:tcW w:w="0" w:type="auto"/>
            <w:tcBorders>
              <w:top w:val="nil"/>
              <w:bottom w:val="nil"/>
            </w:tcBorders>
            <w:vAlign w:val="center"/>
          </w:tcPr>
          <w:p w14:paraId="1039E349" w14:textId="77777777" w:rsidR="00653FFE" w:rsidRPr="001B2E7C" w:rsidRDefault="00653FFE" w:rsidP="00095A92">
            <w:pPr>
              <w:tabs>
                <w:tab w:val="left" w:pos="142"/>
              </w:tabs>
              <w:spacing w:line="480" w:lineRule="auto"/>
              <w:rPr>
                <w:rFonts w:eastAsia="Calibri"/>
                <w:b/>
                <w:sz w:val="22"/>
                <w:szCs w:val="22"/>
                <w:lang w:val="en-GB"/>
              </w:rPr>
            </w:pPr>
            <w:r w:rsidRPr="001B2E7C">
              <w:rPr>
                <w:rFonts w:eastAsia="Calibri"/>
                <w:b/>
                <w:sz w:val="22"/>
                <w:szCs w:val="22"/>
                <w:lang w:val="en-GB"/>
              </w:rPr>
              <w:t>Healthy LDL-cholesterol (yes vs no)</w:t>
            </w:r>
          </w:p>
        </w:tc>
        <w:tc>
          <w:tcPr>
            <w:tcW w:w="0" w:type="auto"/>
            <w:tcBorders>
              <w:top w:val="nil"/>
              <w:bottom w:val="nil"/>
            </w:tcBorders>
            <w:shd w:val="clear" w:color="auto" w:fill="auto"/>
            <w:vAlign w:val="center"/>
          </w:tcPr>
          <w:p w14:paraId="17D12663"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0.99 (0.73-1.34)</w:t>
            </w:r>
          </w:p>
        </w:tc>
        <w:tc>
          <w:tcPr>
            <w:tcW w:w="0" w:type="auto"/>
            <w:tcBorders>
              <w:top w:val="nil"/>
              <w:bottom w:val="nil"/>
            </w:tcBorders>
            <w:shd w:val="clear" w:color="auto" w:fill="auto"/>
            <w:vAlign w:val="center"/>
          </w:tcPr>
          <w:p w14:paraId="4DBA66A7"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1.43 (1.12-1.82)**</w:t>
            </w:r>
          </w:p>
        </w:tc>
        <w:tc>
          <w:tcPr>
            <w:tcW w:w="0" w:type="auto"/>
            <w:tcBorders>
              <w:top w:val="nil"/>
              <w:bottom w:val="nil"/>
            </w:tcBorders>
            <w:shd w:val="clear" w:color="auto" w:fill="auto"/>
            <w:vAlign w:val="center"/>
          </w:tcPr>
          <w:p w14:paraId="0300E179"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1.00 (0.63-1.59)</w:t>
            </w:r>
          </w:p>
        </w:tc>
        <w:tc>
          <w:tcPr>
            <w:tcW w:w="0" w:type="auto"/>
            <w:tcBorders>
              <w:top w:val="nil"/>
              <w:bottom w:val="nil"/>
            </w:tcBorders>
            <w:shd w:val="clear" w:color="auto" w:fill="auto"/>
            <w:vAlign w:val="center"/>
          </w:tcPr>
          <w:p w14:paraId="53D69966"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1.18 (0.80-1.73)</w:t>
            </w:r>
          </w:p>
        </w:tc>
      </w:tr>
      <w:tr w:rsidR="00653FFE" w:rsidRPr="001B2E7C" w14:paraId="0E3236F5" w14:textId="77777777" w:rsidTr="001B2E7C">
        <w:trPr>
          <w:trHeight w:val="352"/>
        </w:trPr>
        <w:tc>
          <w:tcPr>
            <w:tcW w:w="0" w:type="auto"/>
            <w:tcBorders>
              <w:top w:val="nil"/>
              <w:bottom w:val="nil"/>
            </w:tcBorders>
            <w:vAlign w:val="center"/>
          </w:tcPr>
          <w:p w14:paraId="0ECF07DD" w14:textId="77777777" w:rsidR="00653FFE" w:rsidRPr="001B2E7C" w:rsidRDefault="00653FFE" w:rsidP="00095A92">
            <w:pPr>
              <w:tabs>
                <w:tab w:val="left" w:pos="142"/>
              </w:tabs>
              <w:spacing w:line="480" w:lineRule="auto"/>
              <w:rPr>
                <w:rFonts w:eastAsia="Calibri"/>
                <w:b/>
                <w:sz w:val="22"/>
                <w:szCs w:val="22"/>
                <w:lang w:val="en-GB"/>
              </w:rPr>
            </w:pPr>
            <w:r w:rsidRPr="001B2E7C">
              <w:rPr>
                <w:rFonts w:eastAsia="Calibri"/>
                <w:b/>
                <w:sz w:val="22"/>
                <w:szCs w:val="22"/>
                <w:lang w:val="en-GB"/>
              </w:rPr>
              <w:t>Healthy blood pressure (yes vs no)</w:t>
            </w:r>
          </w:p>
        </w:tc>
        <w:tc>
          <w:tcPr>
            <w:tcW w:w="0" w:type="auto"/>
            <w:tcBorders>
              <w:top w:val="nil"/>
              <w:bottom w:val="nil"/>
            </w:tcBorders>
            <w:shd w:val="clear" w:color="auto" w:fill="auto"/>
            <w:vAlign w:val="center"/>
          </w:tcPr>
          <w:p w14:paraId="376D6B00"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0.91 (0.80-1.04)</w:t>
            </w:r>
          </w:p>
        </w:tc>
        <w:tc>
          <w:tcPr>
            <w:tcW w:w="0" w:type="auto"/>
            <w:tcBorders>
              <w:top w:val="nil"/>
              <w:bottom w:val="nil"/>
            </w:tcBorders>
            <w:shd w:val="clear" w:color="auto" w:fill="auto"/>
            <w:vAlign w:val="center"/>
          </w:tcPr>
          <w:p w14:paraId="7BAE9DF0"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0.90 (0.80-1.01)</w:t>
            </w:r>
          </w:p>
        </w:tc>
        <w:tc>
          <w:tcPr>
            <w:tcW w:w="0" w:type="auto"/>
            <w:tcBorders>
              <w:top w:val="nil"/>
              <w:bottom w:val="nil"/>
            </w:tcBorders>
            <w:shd w:val="clear" w:color="auto" w:fill="auto"/>
            <w:vAlign w:val="center"/>
          </w:tcPr>
          <w:p w14:paraId="74EDF034"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0.84 (0.68-1.04)</w:t>
            </w:r>
          </w:p>
        </w:tc>
        <w:tc>
          <w:tcPr>
            <w:tcW w:w="0" w:type="auto"/>
            <w:tcBorders>
              <w:top w:val="nil"/>
              <w:bottom w:val="nil"/>
            </w:tcBorders>
            <w:shd w:val="clear" w:color="auto" w:fill="auto"/>
            <w:vAlign w:val="center"/>
          </w:tcPr>
          <w:p w14:paraId="6724EA02"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0.81 (0.68-0.96)*</w:t>
            </w:r>
          </w:p>
        </w:tc>
      </w:tr>
      <w:tr w:rsidR="00653FFE" w:rsidRPr="001B2E7C" w14:paraId="3E93F787" w14:textId="77777777" w:rsidTr="001B2E7C">
        <w:trPr>
          <w:trHeight w:val="352"/>
        </w:trPr>
        <w:tc>
          <w:tcPr>
            <w:tcW w:w="0" w:type="auto"/>
            <w:tcBorders>
              <w:top w:val="nil"/>
              <w:bottom w:val="nil"/>
            </w:tcBorders>
            <w:vAlign w:val="center"/>
          </w:tcPr>
          <w:p w14:paraId="3772FB85" w14:textId="77777777" w:rsidR="00653FFE" w:rsidRPr="001B2E7C" w:rsidRDefault="00653FFE" w:rsidP="00095A92">
            <w:pPr>
              <w:tabs>
                <w:tab w:val="left" w:pos="142"/>
              </w:tabs>
              <w:spacing w:line="480" w:lineRule="auto"/>
              <w:rPr>
                <w:rFonts w:eastAsia="Calibri"/>
                <w:b/>
                <w:sz w:val="22"/>
                <w:szCs w:val="22"/>
                <w:lang w:val="en-GB"/>
              </w:rPr>
            </w:pPr>
            <w:r w:rsidRPr="001B2E7C">
              <w:rPr>
                <w:rFonts w:eastAsia="Calibri"/>
                <w:b/>
                <w:sz w:val="22"/>
                <w:szCs w:val="22"/>
                <w:lang w:val="en-GB"/>
              </w:rPr>
              <w:t>Healthy physical activity (yes vs no)</w:t>
            </w:r>
          </w:p>
        </w:tc>
        <w:tc>
          <w:tcPr>
            <w:tcW w:w="0" w:type="auto"/>
            <w:tcBorders>
              <w:top w:val="nil"/>
              <w:bottom w:val="nil"/>
            </w:tcBorders>
            <w:shd w:val="clear" w:color="auto" w:fill="auto"/>
            <w:vAlign w:val="center"/>
          </w:tcPr>
          <w:p w14:paraId="5127DEBA"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0.72 (0.60-0.85)***</w:t>
            </w:r>
          </w:p>
        </w:tc>
        <w:tc>
          <w:tcPr>
            <w:tcW w:w="0" w:type="auto"/>
            <w:tcBorders>
              <w:top w:val="nil"/>
              <w:bottom w:val="nil"/>
            </w:tcBorders>
            <w:shd w:val="clear" w:color="auto" w:fill="auto"/>
            <w:vAlign w:val="center"/>
          </w:tcPr>
          <w:p w14:paraId="0198755E"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0.82 (0.73-0.92)**</w:t>
            </w:r>
          </w:p>
        </w:tc>
        <w:tc>
          <w:tcPr>
            <w:tcW w:w="0" w:type="auto"/>
            <w:tcBorders>
              <w:top w:val="nil"/>
              <w:bottom w:val="nil"/>
            </w:tcBorders>
            <w:shd w:val="clear" w:color="auto" w:fill="auto"/>
            <w:vAlign w:val="center"/>
          </w:tcPr>
          <w:p w14:paraId="50DB4AEC"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0.66 (0.52-0.85)**</w:t>
            </w:r>
          </w:p>
        </w:tc>
        <w:tc>
          <w:tcPr>
            <w:tcW w:w="0" w:type="auto"/>
            <w:tcBorders>
              <w:top w:val="nil"/>
              <w:bottom w:val="nil"/>
            </w:tcBorders>
            <w:shd w:val="clear" w:color="auto" w:fill="auto"/>
            <w:vAlign w:val="center"/>
          </w:tcPr>
          <w:p w14:paraId="07D62D49"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0.70 (0.60-0.83)***</w:t>
            </w:r>
          </w:p>
        </w:tc>
      </w:tr>
      <w:tr w:rsidR="00653FFE" w:rsidRPr="001B2E7C" w14:paraId="116621E0" w14:textId="77777777" w:rsidTr="001B2E7C">
        <w:trPr>
          <w:trHeight w:val="93"/>
        </w:trPr>
        <w:tc>
          <w:tcPr>
            <w:tcW w:w="0" w:type="auto"/>
            <w:tcBorders>
              <w:top w:val="nil"/>
              <w:bottom w:val="nil"/>
            </w:tcBorders>
            <w:vAlign w:val="center"/>
          </w:tcPr>
          <w:p w14:paraId="4D8BBDC0" w14:textId="77777777" w:rsidR="00653FFE" w:rsidRPr="001B2E7C" w:rsidRDefault="00653FFE" w:rsidP="00095A92">
            <w:pPr>
              <w:tabs>
                <w:tab w:val="left" w:pos="142"/>
              </w:tabs>
              <w:spacing w:line="480" w:lineRule="auto"/>
              <w:rPr>
                <w:rFonts w:eastAsia="Calibri"/>
                <w:b/>
                <w:sz w:val="22"/>
                <w:szCs w:val="22"/>
                <w:lang w:val="en-GB"/>
              </w:rPr>
            </w:pPr>
            <w:r w:rsidRPr="001B2E7C">
              <w:rPr>
                <w:rFonts w:eastAsia="Calibri"/>
                <w:b/>
                <w:sz w:val="22"/>
                <w:szCs w:val="22"/>
                <w:lang w:val="en-GB"/>
              </w:rPr>
              <w:t>Healthy diet (yes vs no)</w:t>
            </w:r>
          </w:p>
        </w:tc>
        <w:tc>
          <w:tcPr>
            <w:tcW w:w="0" w:type="auto"/>
            <w:tcBorders>
              <w:top w:val="nil"/>
              <w:bottom w:val="nil"/>
            </w:tcBorders>
            <w:shd w:val="clear" w:color="auto" w:fill="auto"/>
            <w:vAlign w:val="center"/>
          </w:tcPr>
          <w:p w14:paraId="04FB4213"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0.90 (0.79-1.02)</w:t>
            </w:r>
          </w:p>
        </w:tc>
        <w:tc>
          <w:tcPr>
            <w:tcW w:w="0" w:type="auto"/>
            <w:tcBorders>
              <w:top w:val="nil"/>
              <w:bottom w:val="nil"/>
            </w:tcBorders>
            <w:shd w:val="clear" w:color="auto" w:fill="auto"/>
            <w:vAlign w:val="center"/>
          </w:tcPr>
          <w:p w14:paraId="362285C8"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0.92 (0.82-1.03)</w:t>
            </w:r>
          </w:p>
        </w:tc>
        <w:tc>
          <w:tcPr>
            <w:tcW w:w="0" w:type="auto"/>
            <w:tcBorders>
              <w:top w:val="nil"/>
              <w:bottom w:val="nil"/>
            </w:tcBorders>
            <w:shd w:val="clear" w:color="auto" w:fill="auto"/>
            <w:vAlign w:val="center"/>
          </w:tcPr>
          <w:p w14:paraId="657309F1"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0.97 (0.80-1.18)</w:t>
            </w:r>
          </w:p>
        </w:tc>
        <w:tc>
          <w:tcPr>
            <w:tcW w:w="0" w:type="auto"/>
            <w:tcBorders>
              <w:top w:val="nil"/>
              <w:bottom w:val="nil"/>
            </w:tcBorders>
            <w:shd w:val="clear" w:color="auto" w:fill="auto"/>
            <w:vAlign w:val="center"/>
          </w:tcPr>
          <w:p w14:paraId="09515CEA"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0.87 (0.74-1.02)</w:t>
            </w:r>
          </w:p>
        </w:tc>
      </w:tr>
      <w:tr w:rsidR="00653FFE" w:rsidRPr="001B2E7C" w14:paraId="25D0263D" w14:textId="77777777" w:rsidTr="001B2E7C">
        <w:trPr>
          <w:trHeight w:val="271"/>
        </w:trPr>
        <w:tc>
          <w:tcPr>
            <w:tcW w:w="0" w:type="auto"/>
            <w:tcBorders>
              <w:top w:val="nil"/>
              <w:bottom w:val="nil"/>
            </w:tcBorders>
            <w:vAlign w:val="center"/>
          </w:tcPr>
          <w:p w14:paraId="162E4FF1" w14:textId="77777777" w:rsidR="00653FFE" w:rsidRPr="001B2E7C" w:rsidRDefault="00653FFE" w:rsidP="00095A92">
            <w:pPr>
              <w:tabs>
                <w:tab w:val="left" w:pos="142"/>
              </w:tabs>
              <w:spacing w:line="480" w:lineRule="auto"/>
              <w:rPr>
                <w:rFonts w:eastAsia="Calibri"/>
                <w:b/>
                <w:sz w:val="22"/>
                <w:szCs w:val="22"/>
                <w:lang w:val="en-GB"/>
              </w:rPr>
            </w:pPr>
            <w:r w:rsidRPr="001B2E7C">
              <w:rPr>
                <w:rFonts w:eastAsia="Calibri"/>
                <w:b/>
                <w:sz w:val="22"/>
                <w:szCs w:val="22"/>
                <w:lang w:val="en-GB"/>
              </w:rPr>
              <w:t>No current smoking habits (yes vs no)</w:t>
            </w:r>
          </w:p>
        </w:tc>
        <w:tc>
          <w:tcPr>
            <w:tcW w:w="0" w:type="auto"/>
            <w:tcBorders>
              <w:top w:val="nil"/>
              <w:bottom w:val="nil"/>
            </w:tcBorders>
            <w:shd w:val="clear" w:color="auto" w:fill="auto"/>
            <w:vAlign w:val="center"/>
          </w:tcPr>
          <w:p w14:paraId="09BD818F"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0.75 (0.63-0.89)***</w:t>
            </w:r>
          </w:p>
        </w:tc>
        <w:tc>
          <w:tcPr>
            <w:tcW w:w="0" w:type="auto"/>
            <w:tcBorders>
              <w:top w:val="nil"/>
              <w:bottom w:val="nil"/>
            </w:tcBorders>
            <w:shd w:val="clear" w:color="auto" w:fill="auto"/>
            <w:vAlign w:val="center"/>
          </w:tcPr>
          <w:p w14:paraId="461FF67C"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0.66 (0.50-0.87)**</w:t>
            </w:r>
          </w:p>
        </w:tc>
        <w:tc>
          <w:tcPr>
            <w:tcW w:w="0" w:type="auto"/>
            <w:tcBorders>
              <w:top w:val="nil"/>
              <w:bottom w:val="nil"/>
            </w:tcBorders>
            <w:shd w:val="clear" w:color="auto" w:fill="auto"/>
            <w:vAlign w:val="center"/>
          </w:tcPr>
          <w:p w14:paraId="533FBAFA"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0.97 (0.73-1.29)</w:t>
            </w:r>
          </w:p>
        </w:tc>
        <w:tc>
          <w:tcPr>
            <w:tcW w:w="0" w:type="auto"/>
            <w:tcBorders>
              <w:top w:val="nil"/>
              <w:bottom w:val="nil"/>
            </w:tcBorders>
            <w:shd w:val="clear" w:color="auto" w:fill="auto"/>
            <w:vAlign w:val="center"/>
          </w:tcPr>
          <w:p w14:paraId="4EF4F10C"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1.10 (0.66-1.82)</w:t>
            </w:r>
          </w:p>
        </w:tc>
      </w:tr>
      <w:tr w:rsidR="00653FFE" w:rsidRPr="001B2E7C" w14:paraId="173A9D82" w14:textId="77777777" w:rsidTr="001B2E7C">
        <w:trPr>
          <w:trHeight w:val="115"/>
        </w:trPr>
        <w:tc>
          <w:tcPr>
            <w:tcW w:w="0" w:type="auto"/>
            <w:tcBorders>
              <w:top w:val="nil"/>
              <w:bottom w:val="single" w:sz="4" w:space="0" w:color="auto"/>
            </w:tcBorders>
            <w:vAlign w:val="center"/>
          </w:tcPr>
          <w:p w14:paraId="3D57B393" w14:textId="77777777" w:rsidR="00653FFE" w:rsidRPr="001B2E7C" w:rsidRDefault="00653FFE" w:rsidP="00095A92">
            <w:pPr>
              <w:tabs>
                <w:tab w:val="left" w:pos="142"/>
              </w:tabs>
              <w:spacing w:line="480" w:lineRule="auto"/>
              <w:rPr>
                <w:rFonts w:eastAsia="Calibri"/>
                <w:b/>
                <w:sz w:val="22"/>
                <w:szCs w:val="22"/>
                <w:lang w:val="en-GB"/>
              </w:rPr>
            </w:pPr>
            <w:r w:rsidRPr="001B2E7C">
              <w:rPr>
                <w:rFonts w:eastAsia="Calibri"/>
                <w:b/>
                <w:sz w:val="22"/>
                <w:szCs w:val="22"/>
                <w:lang w:val="en-GB"/>
              </w:rPr>
              <w:lastRenderedPageBreak/>
              <w:t>Healthy weight (yes vs no)</w:t>
            </w:r>
          </w:p>
        </w:tc>
        <w:tc>
          <w:tcPr>
            <w:tcW w:w="0" w:type="auto"/>
            <w:tcBorders>
              <w:top w:val="nil"/>
              <w:bottom w:val="single" w:sz="4" w:space="0" w:color="auto"/>
            </w:tcBorders>
            <w:shd w:val="clear" w:color="auto" w:fill="auto"/>
            <w:vAlign w:val="center"/>
          </w:tcPr>
          <w:p w14:paraId="6890D7D4"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1.05 (0.91-1.22)</w:t>
            </w:r>
          </w:p>
        </w:tc>
        <w:tc>
          <w:tcPr>
            <w:tcW w:w="0" w:type="auto"/>
            <w:tcBorders>
              <w:top w:val="nil"/>
              <w:bottom w:val="single" w:sz="4" w:space="0" w:color="auto"/>
            </w:tcBorders>
            <w:shd w:val="clear" w:color="auto" w:fill="auto"/>
            <w:vAlign w:val="center"/>
          </w:tcPr>
          <w:p w14:paraId="17B4E085"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0.92 (0.71-1.18)</w:t>
            </w:r>
          </w:p>
        </w:tc>
        <w:tc>
          <w:tcPr>
            <w:tcW w:w="0" w:type="auto"/>
            <w:tcBorders>
              <w:top w:val="nil"/>
              <w:bottom w:val="single" w:sz="4" w:space="0" w:color="auto"/>
            </w:tcBorders>
            <w:shd w:val="clear" w:color="auto" w:fill="auto"/>
            <w:vAlign w:val="center"/>
          </w:tcPr>
          <w:p w14:paraId="11161580" w14:textId="77777777" w:rsidR="00653FFE" w:rsidRPr="001B2E7C" w:rsidRDefault="00653FFE" w:rsidP="00095A92">
            <w:pPr>
              <w:spacing w:line="480" w:lineRule="auto"/>
              <w:ind w:right="-108"/>
              <w:jc w:val="center"/>
              <w:rPr>
                <w:sz w:val="22"/>
                <w:szCs w:val="22"/>
                <w:lang w:val="en-GB" w:eastAsia="it-IT"/>
              </w:rPr>
            </w:pPr>
            <w:r w:rsidRPr="001B2E7C">
              <w:rPr>
                <w:sz w:val="22"/>
                <w:szCs w:val="22"/>
                <w:lang w:val="en-GB" w:eastAsia="it-IT"/>
              </w:rPr>
              <w:t>1.04 (0.84-1.30)</w:t>
            </w:r>
          </w:p>
        </w:tc>
        <w:tc>
          <w:tcPr>
            <w:tcW w:w="0" w:type="auto"/>
            <w:tcBorders>
              <w:top w:val="nil"/>
              <w:bottom w:val="single" w:sz="4" w:space="0" w:color="auto"/>
            </w:tcBorders>
            <w:shd w:val="clear" w:color="auto" w:fill="auto"/>
            <w:vAlign w:val="center"/>
          </w:tcPr>
          <w:p w14:paraId="17439868" w14:textId="77777777" w:rsidR="00653FFE" w:rsidRPr="001B2E7C" w:rsidRDefault="00653FFE" w:rsidP="00095A92">
            <w:pPr>
              <w:spacing w:line="480" w:lineRule="auto"/>
              <w:ind w:left="-65" w:right="-108"/>
              <w:jc w:val="center"/>
              <w:rPr>
                <w:sz w:val="22"/>
                <w:szCs w:val="22"/>
                <w:lang w:val="en-GB" w:eastAsia="it-IT"/>
              </w:rPr>
            </w:pPr>
            <w:r w:rsidRPr="001B2E7C">
              <w:rPr>
                <w:sz w:val="22"/>
                <w:szCs w:val="22"/>
                <w:lang w:val="en-GB" w:eastAsia="it-IT"/>
              </w:rPr>
              <w:t>1.02 (0.72-1.44)</w:t>
            </w:r>
          </w:p>
        </w:tc>
      </w:tr>
    </w:tbl>
    <w:p w14:paraId="3EB941E5" w14:textId="35C4C49B" w:rsidR="00653FFE" w:rsidRPr="001B2E7C" w:rsidRDefault="00653FFE" w:rsidP="00653FFE">
      <w:pPr>
        <w:suppressAutoHyphens w:val="0"/>
        <w:rPr>
          <w:rFonts w:eastAsia="Calibri"/>
          <w:sz w:val="22"/>
          <w:szCs w:val="22"/>
          <w:lang w:val="en-GB" w:eastAsia="en-US"/>
        </w:rPr>
      </w:pPr>
      <w:r w:rsidRPr="001B2E7C">
        <w:rPr>
          <w:rFonts w:eastAsia="Calibri"/>
          <w:sz w:val="22"/>
          <w:szCs w:val="22"/>
          <w:lang w:val="en-GB" w:eastAsia="en-US"/>
        </w:rPr>
        <w:t>Model adjusted for educational level (≥5 vs &lt;5 years), monthly income (&lt; vs ≥500</w:t>
      </w:r>
      <w:r w:rsidRPr="001B2E7C">
        <w:rPr>
          <w:sz w:val="22"/>
          <w:szCs w:val="22"/>
          <w:lang w:val="en-GB"/>
        </w:rPr>
        <w:t>€), living arrangements (living with somebody vs living alone), chronic obstructive pulmonary disease, osteoarticular diseases, cancer, cognitive impairment,</w:t>
      </w:r>
      <w:r w:rsidRPr="001B2E7C">
        <w:rPr>
          <w:rFonts w:eastAsia="Calibri"/>
          <w:sz w:val="22"/>
          <w:szCs w:val="22"/>
          <w:lang w:val="en-GB" w:eastAsia="en-US"/>
        </w:rPr>
        <w:t xml:space="preserve"> cardiovascular diseases. </w:t>
      </w:r>
      <w:r w:rsidRPr="001B2E7C">
        <w:rPr>
          <w:sz w:val="22"/>
          <w:szCs w:val="22"/>
          <w:lang w:val="en-GB"/>
        </w:rPr>
        <w:t>*p&lt;0.05; **p&lt;0.01; ***p&lt;0.001</w:t>
      </w:r>
    </w:p>
    <w:p w14:paraId="6421B479" w14:textId="77777777" w:rsidR="00653FFE" w:rsidRPr="0097693F" w:rsidRDefault="00653FFE" w:rsidP="00653FFE">
      <w:pPr>
        <w:suppressAutoHyphens w:val="0"/>
        <w:spacing w:line="480" w:lineRule="auto"/>
        <w:rPr>
          <w:b/>
          <w:sz w:val="22"/>
          <w:lang w:val="en-GB"/>
        </w:rPr>
      </w:pPr>
    </w:p>
    <w:p w14:paraId="7C156E54" w14:textId="77777777" w:rsidR="00653FFE" w:rsidRPr="0097693F" w:rsidRDefault="00653FFE" w:rsidP="00653FFE">
      <w:pPr>
        <w:suppressAutoHyphens w:val="0"/>
        <w:spacing w:line="480" w:lineRule="auto"/>
        <w:rPr>
          <w:b/>
          <w:sz w:val="22"/>
          <w:lang w:val="en-GB"/>
        </w:rPr>
      </w:pPr>
    </w:p>
    <w:p w14:paraId="5D368DB1" w14:textId="77777777" w:rsidR="00653FFE" w:rsidRPr="0097693F" w:rsidRDefault="00653FFE" w:rsidP="00653FFE">
      <w:pPr>
        <w:suppressAutoHyphens w:val="0"/>
        <w:spacing w:line="480" w:lineRule="auto"/>
        <w:rPr>
          <w:b/>
          <w:sz w:val="22"/>
          <w:lang w:val="en-GB"/>
        </w:rPr>
      </w:pPr>
    </w:p>
    <w:p w14:paraId="10E69ED6" w14:textId="77777777" w:rsidR="00653FFE" w:rsidRPr="0097693F" w:rsidRDefault="00653FFE" w:rsidP="00653FFE">
      <w:pPr>
        <w:suppressAutoHyphens w:val="0"/>
        <w:spacing w:line="480" w:lineRule="auto"/>
        <w:rPr>
          <w:b/>
          <w:sz w:val="22"/>
          <w:lang w:val="en-GB"/>
        </w:rPr>
      </w:pPr>
    </w:p>
    <w:p w14:paraId="7A6841EB" w14:textId="77777777" w:rsidR="00653FFE" w:rsidRPr="0097693F" w:rsidRDefault="00653FFE" w:rsidP="00653FFE">
      <w:pPr>
        <w:suppressAutoHyphens w:val="0"/>
        <w:spacing w:line="480" w:lineRule="auto"/>
        <w:rPr>
          <w:sz w:val="22"/>
          <w:lang w:val="en-GB"/>
        </w:rPr>
      </w:pPr>
    </w:p>
    <w:p w14:paraId="0CB5CDD5" w14:textId="77777777" w:rsidR="006A56C1" w:rsidRPr="001B2E7C" w:rsidRDefault="006A56C1">
      <w:pPr>
        <w:rPr>
          <w:lang w:val="en-US"/>
        </w:rPr>
      </w:pPr>
    </w:p>
    <w:sectPr w:rsidR="006A56C1" w:rsidRPr="001B2E7C" w:rsidSect="001B2E7C">
      <w:pgSz w:w="16838" w:h="11906" w:orient="landscape"/>
      <w:pgMar w:top="1134" w:right="141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4491EC" w14:textId="77777777" w:rsidR="0025633A" w:rsidRDefault="0025633A">
      <w:r>
        <w:separator/>
      </w:r>
    </w:p>
  </w:endnote>
  <w:endnote w:type="continuationSeparator" w:id="0">
    <w:p w14:paraId="63772447" w14:textId="77777777" w:rsidR="0025633A" w:rsidRDefault="00256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D2E38" w14:textId="77777777" w:rsidR="00197D92" w:rsidRDefault="00653FFE">
    <w:pPr>
      <w:pStyle w:val="Footer"/>
      <w:jc w:val="right"/>
    </w:pPr>
    <w:r>
      <w:fldChar w:fldCharType="begin"/>
    </w:r>
    <w:r>
      <w:instrText xml:space="preserve"> PAGE   \* MERGEFORMAT </w:instrText>
    </w:r>
    <w:r>
      <w:fldChar w:fldCharType="separate"/>
    </w:r>
    <w:r w:rsidR="00E676D5">
      <w:rPr>
        <w:noProof/>
      </w:rPr>
      <w:t>7</w:t>
    </w:r>
    <w:r>
      <w:fldChar w:fldCharType="end"/>
    </w:r>
  </w:p>
  <w:p w14:paraId="23D2E054" w14:textId="77777777" w:rsidR="00197D92" w:rsidRDefault="00256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CC0AD" w14:textId="77777777" w:rsidR="0025633A" w:rsidRDefault="0025633A">
      <w:r>
        <w:separator/>
      </w:r>
    </w:p>
  </w:footnote>
  <w:footnote w:type="continuationSeparator" w:id="0">
    <w:p w14:paraId="74EB2F71" w14:textId="77777777" w:rsidR="0025633A" w:rsidRDefault="002563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3MjE0szAzNwIyDJR0lIJTi4sz8/NACoxrAQZac8gsAAAA"/>
  </w:docVars>
  <w:rsids>
    <w:rsidRoot w:val="00653FFE"/>
    <w:rsid w:val="00000687"/>
    <w:rsid w:val="000743D3"/>
    <w:rsid w:val="00084D1C"/>
    <w:rsid w:val="000A3B58"/>
    <w:rsid w:val="001B2E7C"/>
    <w:rsid w:val="0025633A"/>
    <w:rsid w:val="00544A9F"/>
    <w:rsid w:val="00653FFE"/>
    <w:rsid w:val="006A56C1"/>
    <w:rsid w:val="00741733"/>
    <w:rsid w:val="007A77AA"/>
    <w:rsid w:val="007F3AEA"/>
    <w:rsid w:val="008C1767"/>
    <w:rsid w:val="00C532A5"/>
    <w:rsid w:val="00C87670"/>
    <w:rsid w:val="00D26A1B"/>
    <w:rsid w:val="00D333FD"/>
    <w:rsid w:val="00D616FD"/>
    <w:rsid w:val="00E676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DA148"/>
  <w15:chartTrackingRefBased/>
  <w15:docId w15:val="{69DFED0C-5767-4AA8-9387-C48612EC5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FFE"/>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53FFE"/>
    <w:pPr>
      <w:tabs>
        <w:tab w:val="center" w:pos="4819"/>
        <w:tab w:val="right" w:pos="9638"/>
      </w:tabs>
    </w:pPr>
    <w:rPr>
      <w:lang w:val="x-none"/>
    </w:rPr>
  </w:style>
  <w:style w:type="character" w:customStyle="1" w:styleId="FooterChar">
    <w:name w:val="Footer Char"/>
    <w:basedOn w:val="DefaultParagraphFont"/>
    <w:link w:val="Footer"/>
    <w:uiPriority w:val="99"/>
    <w:rsid w:val="00653FFE"/>
    <w:rPr>
      <w:rFonts w:ascii="Times New Roman" w:eastAsia="Times New Roman" w:hAnsi="Times New Roman" w:cs="Times New Roman"/>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97A46-A55B-4EF6-B96C-53A3A9F2C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Pages>
  <Words>2532</Words>
  <Characters>14437</Characters>
  <Application>Microsoft Office Word</Application>
  <DocSecurity>0</DocSecurity>
  <Lines>120</Lines>
  <Paragraphs>33</Paragraphs>
  <ScaleCrop>false</ScaleCrop>
  <Company/>
  <LinksUpToDate>false</LinksUpToDate>
  <CharactersWithSpaces>16936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dc:creator>
  <cp:keywords/>
  <dc:description/>
  <cp:lastModifiedBy>Trevisan Caterina</cp:lastModifiedBy>
  <cp:revision>11</cp:revision>
  <dcterms:created xsi:type="dcterms:W3CDTF">2019-10-22T16:22:00Z</dcterms:created>
  <dcterms:modified xsi:type="dcterms:W3CDTF">2021-04-10T20:04:00Z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http://www.zotero.org/styles/jama</vt:lpwstr>
  </property>
  <property fmtid="{D5CDD505-2E9C-101B-9397-08002B2CF9AE}" pid="4" name="Mendeley Recent Style Id 0_1">
    <vt:lpwstr>http://www.zotero.org/styles/american-journal-of-epidemiology</vt:lpwstr>
  </property>
  <property fmtid="{D5CDD505-2E9C-101B-9397-08002B2CF9AE}" pid="5" name="Mendeley Recent Style Name 0_1">
    <vt:lpwstr>American Journal of Epidemiology</vt:lpwstr>
  </property>
  <property fmtid="{D5CDD505-2E9C-101B-9397-08002B2CF9AE}" pid="6" name="Mendeley Recent Style Id 1_1">
    <vt:lpwstr>http://www.zotero.org/styles/circulation</vt:lpwstr>
  </property>
  <property fmtid="{D5CDD505-2E9C-101B-9397-08002B2CF9AE}" pid="7" name="Mendeley Recent Style Name 1_1">
    <vt:lpwstr>Circulation</vt:lpwstr>
  </property>
  <property fmtid="{D5CDD505-2E9C-101B-9397-08002B2CF9AE}" pid="8" name="Mendeley Recent Style Id 2_1">
    <vt:lpwstr>http://www.zotero.org/styles/clinical-infectious-diseases</vt:lpwstr>
  </property>
  <property fmtid="{D5CDD505-2E9C-101B-9397-08002B2CF9AE}" pid="9" name="Mendeley Recent Style Name 2_1">
    <vt:lpwstr>Clinical Infectious Diseases</vt:lpwstr>
  </property>
  <property fmtid="{D5CDD505-2E9C-101B-9397-08002B2CF9AE}" pid="10" name="Mendeley Recent Style Id 3_1">
    <vt:lpwstr>http://www.zotero.org/styles/europace</vt:lpwstr>
  </property>
  <property fmtid="{D5CDD505-2E9C-101B-9397-08002B2CF9AE}" pid="11" name="Mendeley Recent Style Name 3_1">
    <vt:lpwstr>Europace</vt:lpwstr>
  </property>
  <property fmtid="{D5CDD505-2E9C-101B-9397-08002B2CF9AE}" pid="12" name="Mendeley Recent Style Id 4_1">
    <vt:lpwstr>http://www.zotero.org/styles/european-journal-of-clinical-investigation</vt:lpwstr>
  </property>
  <property fmtid="{D5CDD505-2E9C-101B-9397-08002B2CF9AE}" pid="13" name="Mendeley Recent Style Name 4_1">
    <vt:lpwstr>European Journal of Clinical Investigation</vt:lpwstr>
  </property>
  <property fmtid="{D5CDD505-2E9C-101B-9397-08002B2CF9AE}" pid="14" name="Mendeley Recent Style Id 5_1">
    <vt:lpwstr>http://www.zotero.org/styles/european-respiratory-journal</vt:lpwstr>
  </property>
  <property fmtid="{D5CDD505-2E9C-101B-9397-08002B2CF9AE}" pid="15" name="Mendeley Recent Style Name 5_1">
    <vt:lpwstr>European Respiratory Journal</vt:lpwstr>
  </property>
  <property fmtid="{D5CDD505-2E9C-101B-9397-08002B2CF9AE}" pid="16" name="Mendeley Recent Style Id 6_1">
    <vt:lpwstr>http://www.zotero.org/styles/jama</vt:lpwstr>
  </property>
  <property fmtid="{D5CDD505-2E9C-101B-9397-08002B2CF9AE}" pid="17" name="Mendeley Recent Style Name 6_1">
    <vt:lpwstr>JAMA (The Journal of the American Medical Association)</vt:lpwstr>
  </property>
  <property fmtid="{D5CDD505-2E9C-101B-9397-08002B2CF9AE}" pid="18" name="Mendeley Recent Style Id 7_1">
    <vt:lpwstr>http://www.zotero.org/styles/nutrition-metabolism-and-cardiovascular-diseases</vt:lpwstr>
  </property>
  <property fmtid="{D5CDD505-2E9C-101B-9397-08002B2CF9AE}" pid="19" name="Mendeley Recent Style Name 7_1">
    <vt:lpwstr>Nutrition, Metabolism and Cardiovascular Diseases</vt:lpwstr>
  </property>
  <property fmtid="{D5CDD505-2E9C-101B-9397-08002B2CF9AE}" pid="20" name="Mendeley Recent Style Id 8_1">
    <vt:lpwstr>http://www.zotero.org/styles/springer-vancouver-brackets</vt:lpwstr>
  </property>
  <property fmtid="{D5CDD505-2E9C-101B-9397-08002B2CF9AE}" pid="21" name="Mendeley Recent Style Name 8_1">
    <vt:lpwstr>Springer Vancouver (brackets)</vt:lpwstr>
  </property>
  <property fmtid="{D5CDD505-2E9C-101B-9397-08002B2CF9AE}" pid="22" name="Mendeley Recent Style Id 9_1">
    <vt:lpwstr>http://www.zotero.org/styles/the-new-england-journal-of-medicine</vt:lpwstr>
  </property>
  <property fmtid="{D5CDD505-2E9C-101B-9397-08002B2CF9AE}" pid="23" name="Mendeley Recent Style Name 9_1">
    <vt:lpwstr>The New England Journal of Medicine</vt:lpwstr>
  </property>
  <property fmtid="{D5CDD505-2E9C-101B-9397-08002B2CF9AE}" pid="24" name="Mendeley Unique User Id_1">
    <vt:lpwstr>d5bd6551-e34e-39b9-9b9f-70057898ec50</vt:lpwstr>
  </property>
</Properties>
</file>