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840E0" w14:textId="77777777" w:rsidR="00923F07" w:rsidRPr="00D541A6" w:rsidRDefault="00923F07" w:rsidP="00D541A6">
      <w:pPr>
        <w:adjustRightInd w:val="0"/>
        <w:snapToGrid w:val="0"/>
        <w:spacing w:line="480" w:lineRule="auto"/>
        <w:jc w:val="center"/>
        <w:rPr>
          <w:rFonts w:ascii="Times New Roman" w:hAnsi="Times New Roman" w:cs="Times New Roman"/>
          <w:b/>
          <w:bCs/>
          <w:sz w:val="20"/>
          <w:szCs w:val="20"/>
        </w:rPr>
      </w:pPr>
      <w:bookmarkStart w:id="0" w:name="_Toc178237408"/>
      <w:bookmarkStart w:id="1" w:name="_Hlk181966106"/>
      <w:r w:rsidRPr="00D541A6">
        <w:rPr>
          <w:rFonts w:ascii="Times New Roman" w:hAnsi="Times New Roman" w:cs="Times New Roman"/>
          <w:b/>
          <w:bCs/>
          <w:sz w:val="20"/>
          <w:szCs w:val="20"/>
        </w:rPr>
        <w:t>Supplementary Materials</w:t>
      </w:r>
    </w:p>
    <w:sdt>
      <w:sdtPr>
        <w:rPr>
          <w:rFonts w:ascii="Times New Roman" w:eastAsiaTheme="minorEastAsia" w:hAnsi="Times New Roman" w:cs="Times New Roman"/>
          <w:color w:val="auto"/>
          <w:kern w:val="2"/>
          <w:sz w:val="20"/>
          <w:szCs w:val="20"/>
          <w:lang w:val="en-GB"/>
        </w:rPr>
        <w:id w:val="-1736392184"/>
        <w:docPartObj>
          <w:docPartGallery w:val="Table of Contents"/>
          <w:docPartUnique/>
        </w:docPartObj>
      </w:sdtPr>
      <w:sdtEndPr>
        <w:rPr>
          <w:b/>
          <w:bCs/>
        </w:rPr>
      </w:sdtEndPr>
      <w:sdtContent>
        <w:p w14:paraId="6DAD7A22" w14:textId="77777777" w:rsidR="00923F07" w:rsidRPr="00D541A6" w:rsidRDefault="00923F07" w:rsidP="00D541A6">
          <w:pPr>
            <w:pStyle w:val="TOCHeading"/>
            <w:adjustRightInd w:val="0"/>
            <w:snapToGrid w:val="0"/>
            <w:spacing w:before="0" w:line="480" w:lineRule="auto"/>
            <w:jc w:val="center"/>
            <w:rPr>
              <w:rFonts w:ascii="Times New Roman" w:hAnsi="Times New Roman" w:cs="Times New Roman"/>
              <w:b/>
              <w:bCs/>
              <w:color w:val="auto"/>
              <w:sz w:val="20"/>
              <w:szCs w:val="20"/>
            </w:rPr>
          </w:pPr>
          <w:r w:rsidRPr="00D541A6">
            <w:rPr>
              <w:rFonts w:ascii="Times New Roman" w:hAnsi="Times New Roman" w:cs="Times New Roman"/>
              <w:b/>
              <w:bCs/>
              <w:color w:val="auto"/>
              <w:sz w:val="20"/>
              <w:szCs w:val="20"/>
              <w:lang w:val="en-GB"/>
            </w:rPr>
            <w:t>Contents</w:t>
          </w:r>
        </w:p>
        <w:p w14:paraId="3333635D" w14:textId="77777777" w:rsidR="00923F07" w:rsidRPr="00D541A6" w:rsidRDefault="00923F07" w:rsidP="00D541A6">
          <w:pPr>
            <w:pStyle w:val="TOC1"/>
            <w:tabs>
              <w:tab w:val="right" w:leader="dot" w:pos="9060"/>
            </w:tabs>
            <w:adjustRightInd w:val="0"/>
            <w:snapToGrid w:val="0"/>
            <w:spacing w:line="480" w:lineRule="auto"/>
            <w:rPr>
              <w:noProof/>
              <w:sz w:val="20"/>
              <w:szCs w:val="20"/>
            </w:rPr>
          </w:pPr>
          <w:r w:rsidRPr="00D541A6">
            <w:rPr>
              <w:rFonts w:ascii="Times New Roman" w:hAnsi="Times New Roman" w:cs="Times New Roman"/>
              <w:b/>
              <w:bCs/>
              <w:sz w:val="20"/>
              <w:szCs w:val="20"/>
            </w:rPr>
            <w:fldChar w:fldCharType="begin"/>
          </w:r>
          <w:r w:rsidRPr="00D541A6">
            <w:rPr>
              <w:rFonts w:ascii="Times New Roman" w:hAnsi="Times New Roman" w:cs="Times New Roman"/>
              <w:b/>
              <w:bCs/>
              <w:sz w:val="20"/>
              <w:szCs w:val="20"/>
            </w:rPr>
            <w:instrText xml:space="preserve"> TOC \o "1-3" \h \z \u </w:instrText>
          </w:r>
          <w:r w:rsidRPr="00D541A6">
            <w:rPr>
              <w:rFonts w:ascii="Times New Roman" w:hAnsi="Times New Roman" w:cs="Times New Roman"/>
              <w:b/>
              <w:bCs/>
              <w:sz w:val="20"/>
              <w:szCs w:val="20"/>
            </w:rPr>
            <w:fldChar w:fldCharType="separate"/>
          </w:r>
          <w:hyperlink w:anchor="_Toc195209559" w:history="1">
            <w:r w:rsidRPr="00D541A6">
              <w:rPr>
                <w:rStyle w:val="Hyperlink"/>
                <w:rFonts w:ascii="Times New Roman" w:hAnsi="Times New Roman" w:cs="Times New Roman"/>
                <w:noProof/>
                <w:sz w:val="20"/>
                <w:szCs w:val="20"/>
              </w:rPr>
              <w:t>Section A: Pilot cities and key features of long-term care insurance in China</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_Toc195209559 \h </w:instrText>
            </w:r>
            <w:r w:rsidRPr="00D541A6">
              <w:rPr>
                <w:noProof/>
                <w:webHidden/>
                <w:sz w:val="20"/>
                <w:szCs w:val="20"/>
              </w:rPr>
            </w:r>
            <w:r w:rsidRPr="00D541A6">
              <w:rPr>
                <w:noProof/>
                <w:webHidden/>
                <w:sz w:val="20"/>
                <w:szCs w:val="20"/>
              </w:rPr>
              <w:fldChar w:fldCharType="separate"/>
            </w:r>
            <w:r w:rsidRPr="00D541A6">
              <w:rPr>
                <w:noProof/>
                <w:webHidden/>
                <w:sz w:val="20"/>
                <w:szCs w:val="20"/>
              </w:rPr>
              <w:t>1</w:t>
            </w:r>
            <w:r w:rsidRPr="00D541A6">
              <w:rPr>
                <w:noProof/>
                <w:webHidden/>
                <w:sz w:val="20"/>
                <w:szCs w:val="20"/>
              </w:rPr>
              <w:fldChar w:fldCharType="end"/>
            </w:r>
          </w:hyperlink>
        </w:p>
        <w:p w14:paraId="5577A7BF" w14:textId="77777777" w:rsidR="00923F07" w:rsidRPr="00D541A6" w:rsidRDefault="00923F07" w:rsidP="00D541A6">
          <w:pPr>
            <w:pStyle w:val="TOC2"/>
            <w:tabs>
              <w:tab w:val="right" w:leader="dot" w:pos="9060"/>
            </w:tabs>
            <w:adjustRightInd w:val="0"/>
            <w:snapToGrid w:val="0"/>
            <w:spacing w:line="480" w:lineRule="auto"/>
            <w:rPr>
              <w:noProof/>
              <w:sz w:val="20"/>
              <w:szCs w:val="20"/>
            </w:rPr>
          </w:pPr>
          <w:hyperlink w:anchor="_Toc195209560" w:history="1">
            <w:r w:rsidRPr="00D541A6">
              <w:rPr>
                <w:rStyle w:val="Hyperlink"/>
                <w:rFonts w:ascii="Times New Roman" w:hAnsi="Times New Roman" w:cs="Times New Roman"/>
                <w:noProof/>
                <w:sz w:val="20"/>
                <w:szCs w:val="20"/>
              </w:rPr>
              <w:t>Table A.1. Key features of the long-term care insurance in China.</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_Toc195209560 \h </w:instrText>
            </w:r>
            <w:r w:rsidRPr="00D541A6">
              <w:rPr>
                <w:noProof/>
                <w:webHidden/>
                <w:sz w:val="20"/>
                <w:szCs w:val="20"/>
              </w:rPr>
            </w:r>
            <w:r w:rsidRPr="00D541A6">
              <w:rPr>
                <w:noProof/>
                <w:webHidden/>
                <w:sz w:val="20"/>
                <w:szCs w:val="20"/>
              </w:rPr>
              <w:fldChar w:fldCharType="separate"/>
            </w:r>
            <w:r w:rsidRPr="00D541A6">
              <w:rPr>
                <w:noProof/>
                <w:webHidden/>
                <w:sz w:val="20"/>
                <w:szCs w:val="20"/>
              </w:rPr>
              <w:t>2</w:t>
            </w:r>
            <w:r w:rsidRPr="00D541A6">
              <w:rPr>
                <w:noProof/>
                <w:webHidden/>
                <w:sz w:val="20"/>
                <w:szCs w:val="20"/>
              </w:rPr>
              <w:fldChar w:fldCharType="end"/>
            </w:r>
          </w:hyperlink>
        </w:p>
        <w:p w14:paraId="6A6B36BB" w14:textId="77777777" w:rsidR="00923F07" w:rsidRPr="00D541A6" w:rsidRDefault="00923F07" w:rsidP="00D541A6">
          <w:pPr>
            <w:pStyle w:val="TOC1"/>
            <w:tabs>
              <w:tab w:val="right" w:leader="dot" w:pos="9060"/>
            </w:tabs>
            <w:adjustRightInd w:val="0"/>
            <w:snapToGrid w:val="0"/>
            <w:spacing w:line="480" w:lineRule="auto"/>
            <w:rPr>
              <w:noProof/>
              <w:sz w:val="20"/>
              <w:szCs w:val="20"/>
            </w:rPr>
          </w:pPr>
          <w:hyperlink w:anchor="_Toc195209561" w:history="1">
            <w:r w:rsidRPr="00D541A6">
              <w:rPr>
                <w:rStyle w:val="Hyperlink"/>
                <w:rFonts w:ascii="Times New Roman" w:hAnsi="Times New Roman" w:cs="Times New Roman"/>
                <w:noProof/>
                <w:sz w:val="20"/>
                <w:szCs w:val="20"/>
              </w:rPr>
              <w:t>Section B: Measurement of cognitive function and physical limitations</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_Toc195209561 \h </w:instrText>
            </w:r>
            <w:r w:rsidRPr="00D541A6">
              <w:rPr>
                <w:noProof/>
                <w:webHidden/>
                <w:sz w:val="20"/>
                <w:szCs w:val="20"/>
              </w:rPr>
            </w:r>
            <w:r w:rsidRPr="00D541A6">
              <w:rPr>
                <w:noProof/>
                <w:webHidden/>
                <w:sz w:val="20"/>
                <w:szCs w:val="20"/>
              </w:rPr>
              <w:fldChar w:fldCharType="separate"/>
            </w:r>
            <w:r w:rsidRPr="00D541A6">
              <w:rPr>
                <w:noProof/>
                <w:webHidden/>
                <w:sz w:val="20"/>
                <w:szCs w:val="20"/>
              </w:rPr>
              <w:t>3</w:t>
            </w:r>
            <w:r w:rsidRPr="00D541A6">
              <w:rPr>
                <w:noProof/>
                <w:webHidden/>
                <w:sz w:val="20"/>
                <w:szCs w:val="20"/>
              </w:rPr>
              <w:fldChar w:fldCharType="end"/>
            </w:r>
          </w:hyperlink>
        </w:p>
        <w:p w14:paraId="2E1F96CD" w14:textId="77777777" w:rsidR="00923F07" w:rsidRPr="00D541A6" w:rsidRDefault="00923F07" w:rsidP="00D541A6">
          <w:pPr>
            <w:pStyle w:val="TOC1"/>
            <w:tabs>
              <w:tab w:val="right" w:leader="dot" w:pos="9060"/>
            </w:tabs>
            <w:adjustRightInd w:val="0"/>
            <w:snapToGrid w:val="0"/>
            <w:spacing w:line="480" w:lineRule="auto"/>
            <w:rPr>
              <w:noProof/>
              <w:sz w:val="20"/>
              <w:szCs w:val="20"/>
            </w:rPr>
          </w:pPr>
          <w:hyperlink w:anchor="_Toc195209562" w:history="1">
            <w:r w:rsidRPr="00D541A6">
              <w:rPr>
                <w:rStyle w:val="Hyperlink"/>
                <w:rFonts w:ascii="Times New Roman" w:hAnsi="Times New Roman" w:cs="Times New Roman"/>
                <w:noProof/>
                <w:sz w:val="20"/>
                <w:szCs w:val="20"/>
              </w:rPr>
              <w:t>Section C. Flow chart of the study sample</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_Toc195209562 \h </w:instrText>
            </w:r>
            <w:r w:rsidRPr="00D541A6">
              <w:rPr>
                <w:noProof/>
                <w:webHidden/>
                <w:sz w:val="20"/>
                <w:szCs w:val="20"/>
              </w:rPr>
            </w:r>
            <w:r w:rsidRPr="00D541A6">
              <w:rPr>
                <w:noProof/>
                <w:webHidden/>
                <w:sz w:val="20"/>
                <w:szCs w:val="20"/>
              </w:rPr>
              <w:fldChar w:fldCharType="separate"/>
            </w:r>
            <w:r w:rsidRPr="00D541A6">
              <w:rPr>
                <w:noProof/>
                <w:webHidden/>
                <w:sz w:val="20"/>
                <w:szCs w:val="20"/>
              </w:rPr>
              <w:t>4</w:t>
            </w:r>
            <w:r w:rsidRPr="00D541A6">
              <w:rPr>
                <w:noProof/>
                <w:webHidden/>
                <w:sz w:val="20"/>
                <w:szCs w:val="20"/>
              </w:rPr>
              <w:fldChar w:fldCharType="end"/>
            </w:r>
          </w:hyperlink>
        </w:p>
        <w:p w14:paraId="0CE8FB69" w14:textId="77777777" w:rsidR="00923F07" w:rsidRPr="00D541A6" w:rsidRDefault="00923F07" w:rsidP="00D541A6">
          <w:pPr>
            <w:pStyle w:val="TOC2"/>
            <w:tabs>
              <w:tab w:val="right" w:leader="dot" w:pos="9060"/>
            </w:tabs>
            <w:adjustRightInd w:val="0"/>
            <w:snapToGrid w:val="0"/>
            <w:spacing w:line="480" w:lineRule="auto"/>
            <w:rPr>
              <w:noProof/>
              <w:sz w:val="20"/>
              <w:szCs w:val="20"/>
            </w:rPr>
          </w:pPr>
          <w:hyperlink w:anchor="_Toc195209563" w:history="1">
            <w:r w:rsidRPr="00D541A6">
              <w:rPr>
                <w:rStyle w:val="Hyperlink"/>
                <w:rFonts w:ascii="Times New Roman" w:hAnsi="Times New Roman" w:cs="Times New Roman"/>
                <w:noProof/>
                <w:kern w:val="44"/>
                <w:sz w:val="20"/>
                <w:szCs w:val="20"/>
              </w:rPr>
              <w:t>Figure C.1. Flow chart of the study sample</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_Toc195209563 \h </w:instrText>
            </w:r>
            <w:r w:rsidRPr="00D541A6">
              <w:rPr>
                <w:noProof/>
                <w:webHidden/>
                <w:sz w:val="20"/>
                <w:szCs w:val="20"/>
              </w:rPr>
            </w:r>
            <w:r w:rsidRPr="00D541A6">
              <w:rPr>
                <w:noProof/>
                <w:webHidden/>
                <w:sz w:val="20"/>
                <w:szCs w:val="20"/>
              </w:rPr>
              <w:fldChar w:fldCharType="separate"/>
            </w:r>
            <w:r w:rsidRPr="00D541A6">
              <w:rPr>
                <w:noProof/>
                <w:webHidden/>
                <w:sz w:val="20"/>
                <w:szCs w:val="20"/>
              </w:rPr>
              <w:t>4</w:t>
            </w:r>
            <w:r w:rsidRPr="00D541A6">
              <w:rPr>
                <w:noProof/>
                <w:webHidden/>
                <w:sz w:val="20"/>
                <w:szCs w:val="20"/>
              </w:rPr>
              <w:fldChar w:fldCharType="end"/>
            </w:r>
          </w:hyperlink>
        </w:p>
        <w:p w14:paraId="6101A2D1" w14:textId="77777777" w:rsidR="00923F07" w:rsidRPr="00D541A6" w:rsidRDefault="00923F07" w:rsidP="00D541A6">
          <w:pPr>
            <w:pStyle w:val="TOC1"/>
            <w:tabs>
              <w:tab w:val="right" w:leader="dot" w:pos="9060"/>
            </w:tabs>
            <w:adjustRightInd w:val="0"/>
            <w:snapToGrid w:val="0"/>
            <w:spacing w:line="480" w:lineRule="auto"/>
            <w:rPr>
              <w:noProof/>
              <w:sz w:val="20"/>
              <w:szCs w:val="20"/>
            </w:rPr>
          </w:pPr>
          <w:hyperlink w:anchor="_Toc195209564" w:history="1">
            <w:r w:rsidRPr="00D541A6">
              <w:rPr>
                <w:rStyle w:val="Hyperlink"/>
                <w:rFonts w:ascii="Times New Roman" w:hAnsi="Times New Roman" w:cs="Times New Roman"/>
                <w:noProof/>
                <w:sz w:val="20"/>
                <w:szCs w:val="20"/>
              </w:rPr>
              <w:t>Section D: Measurement of dependent variables</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_Toc195209564 \h </w:instrText>
            </w:r>
            <w:r w:rsidRPr="00D541A6">
              <w:rPr>
                <w:noProof/>
                <w:webHidden/>
                <w:sz w:val="20"/>
                <w:szCs w:val="20"/>
              </w:rPr>
            </w:r>
            <w:r w:rsidRPr="00D541A6">
              <w:rPr>
                <w:noProof/>
                <w:webHidden/>
                <w:sz w:val="20"/>
                <w:szCs w:val="20"/>
              </w:rPr>
              <w:fldChar w:fldCharType="separate"/>
            </w:r>
            <w:r w:rsidRPr="00D541A6">
              <w:rPr>
                <w:noProof/>
                <w:webHidden/>
                <w:sz w:val="20"/>
                <w:szCs w:val="20"/>
              </w:rPr>
              <w:t>5</w:t>
            </w:r>
            <w:r w:rsidRPr="00D541A6">
              <w:rPr>
                <w:noProof/>
                <w:webHidden/>
                <w:sz w:val="20"/>
                <w:szCs w:val="20"/>
              </w:rPr>
              <w:fldChar w:fldCharType="end"/>
            </w:r>
          </w:hyperlink>
        </w:p>
        <w:p w14:paraId="16D00432" w14:textId="77777777" w:rsidR="00923F07" w:rsidRPr="00D541A6" w:rsidRDefault="00923F07" w:rsidP="00D541A6">
          <w:pPr>
            <w:pStyle w:val="TOC1"/>
            <w:tabs>
              <w:tab w:val="right" w:leader="dot" w:pos="9060"/>
            </w:tabs>
            <w:adjustRightInd w:val="0"/>
            <w:snapToGrid w:val="0"/>
            <w:spacing w:line="480" w:lineRule="auto"/>
            <w:rPr>
              <w:noProof/>
              <w:sz w:val="20"/>
              <w:szCs w:val="20"/>
            </w:rPr>
          </w:pPr>
          <w:hyperlink w:anchor="_Toc195209565" w:history="1">
            <w:r w:rsidRPr="00D541A6">
              <w:rPr>
                <w:rStyle w:val="Hyperlink"/>
                <w:rFonts w:ascii="Times New Roman" w:hAnsi="Times New Roman" w:cs="Times New Roman"/>
                <w:noProof/>
                <w:sz w:val="20"/>
                <w:szCs w:val="20"/>
              </w:rPr>
              <w:t>Section E. Treated group, control group and the timing of long-term care insurance pilot schemes</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_Toc195209565 \h </w:instrText>
            </w:r>
            <w:r w:rsidRPr="00D541A6">
              <w:rPr>
                <w:noProof/>
                <w:webHidden/>
                <w:sz w:val="20"/>
                <w:szCs w:val="20"/>
              </w:rPr>
            </w:r>
            <w:r w:rsidRPr="00D541A6">
              <w:rPr>
                <w:noProof/>
                <w:webHidden/>
                <w:sz w:val="20"/>
                <w:szCs w:val="20"/>
              </w:rPr>
              <w:fldChar w:fldCharType="separate"/>
            </w:r>
            <w:r w:rsidRPr="00D541A6">
              <w:rPr>
                <w:noProof/>
                <w:webHidden/>
                <w:sz w:val="20"/>
                <w:szCs w:val="20"/>
              </w:rPr>
              <w:t>8</w:t>
            </w:r>
            <w:r w:rsidRPr="00D541A6">
              <w:rPr>
                <w:noProof/>
                <w:webHidden/>
                <w:sz w:val="20"/>
                <w:szCs w:val="20"/>
              </w:rPr>
              <w:fldChar w:fldCharType="end"/>
            </w:r>
          </w:hyperlink>
        </w:p>
        <w:p w14:paraId="453DA497" w14:textId="77777777" w:rsidR="00923F07" w:rsidRPr="00D541A6" w:rsidRDefault="00923F07" w:rsidP="00D541A6">
          <w:pPr>
            <w:pStyle w:val="TOC2"/>
            <w:tabs>
              <w:tab w:val="right" w:leader="dot" w:pos="9060"/>
            </w:tabs>
            <w:adjustRightInd w:val="0"/>
            <w:snapToGrid w:val="0"/>
            <w:spacing w:line="480" w:lineRule="auto"/>
            <w:rPr>
              <w:noProof/>
              <w:sz w:val="20"/>
              <w:szCs w:val="20"/>
            </w:rPr>
          </w:pPr>
          <w:hyperlink w:anchor="_Toc195209566" w:history="1">
            <w:r w:rsidRPr="00D541A6">
              <w:rPr>
                <w:rStyle w:val="Hyperlink"/>
                <w:rFonts w:ascii="Times New Roman" w:hAnsi="Times New Roman" w:cs="Times New Roman"/>
                <w:noProof/>
                <w:kern w:val="44"/>
                <w:sz w:val="20"/>
                <w:szCs w:val="20"/>
              </w:rPr>
              <w:t>Table E.1 The timing of policy implementation, population coverage, and copayment rates of 16 pilot cities in our study sample.</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_Toc195209566 \h </w:instrText>
            </w:r>
            <w:r w:rsidRPr="00D541A6">
              <w:rPr>
                <w:noProof/>
                <w:webHidden/>
                <w:sz w:val="20"/>
                <w:szCs w:val="20"/>
              </w:rPr>
            </w:r>
            <w:r w:rsidRPr="00D541A6">
              <w:rPr>
                <w:noProof/>
                <w:webHidden/>
                <w:sz w:val="20"/>
                <w:szCs w:val="20"/>
              </w:rPr>
              <w:fldChar w:fldCharType="separate"/>
            </w:r>
            <w:r w:rsidRPr="00D541A6">
              <w:rPr>
                <w:noProof/>
                <w:webHidden/>
                <w:sz w:val="20"/>
                <w:szCs w:val="20"/>
              </w:rPr>
              <w:t>8</w:t>
            </w:r>
            <w:r w:rsidRPr="00D541A6">
              <w:rPr>
                <w:noProof/>
                <w:webHidden/>
                <w:sz w:val="20"/>
                <w:szCs w:val="20"/>
              </w:rPr>
              <w:fldChar w:fldCharType="end"/>
            </w:r>
          </w:hyperlink>
        </w:p>
        <w:p w14:paraId="68E0180F" w14:textId="77777777" w:rsidR="00923F07" w:rsidRPr="00D541A6" w:rsidRDefault="00923F07" w:rsidP="00D541A6">
          <w:pPr>
            <w:pStyle w:val="TOC1"/>
            <w:tabs>
              <w:tab w:val="right" w:leader="dot" w:pos="9060"/>
            </w:tabs>
            <w:adjustRightInd w:val="0"/>
            <w:snapToGrid w:val="0"/>
            <w:spacing w:line="480" w:lineRule="auto"/>
            <w:rPr>
              <w:noProof/>
              <w:sz w:val="20"/>
              <w:szCs w:val="20"/>
            </w:rPr>
          </w:pPr>
          <w:hyperlink w:anchor="_Toc195209567" w:history="1">
            <w:r w:rsidRPr="00D541A6">
              <w:rPr>
                <w:rStyle w:val="Hyperlink"/>
                <w:rFonts w:ascii="Times New Roman" w:hAnsi="Times New Roman" w:cs="Times New Roman"/>
                <w:noProof/>
                <w:sz w:val="20"/>
                <w:szCs w:val="20"/>
              </w:rPr>
              <w:t>Section F: Measurement of control variables</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_Toc195209567 \h </w:instrText>
            </w:r>
            <w:r w:rsidRPr="00D541A6">
              <w:rPr>
                <w:noProof/>
                <w:webHidden/>
                <w:sz w:val="20"/>
                <w:szCs w:val="20"/>
              </w:rPr>
            </w:r>
            <w:r w:rsidRPr="00D541A6">
              <w:rPr>
                <w:noProof/>
                <w:webHidden/>
                <w:sz w:val="20"/>
                <w:szCs w:val="20"/>
              </w:rPr>
              <w:fldChar w:fldCharType="separate"/>
            </w:r>
            <w:r w:rsidRPr="00D541A6">
              <w:rPr>
                <w:noProof/>
                <w:webHidden/>
                <w:sz w:val="20"/>
                <w:szCs w:val="20"/>
              </w:rPr>
              <w:t>10</w:t>
            </w:r>
            <w:r w:rsidRPr="00D541A6">
              <w:rPr>
                <w:noProof/>
                <w:webHidden/>
                <w:sz w:val="20"/>
                <w:szCs w:val="20"/>
              </w:rPr>
              <w:fldChar w:fldCharType="end"/>
            </w:r>
          </w:hyperlink>
        </w:p>
        <w:p w14:paraId="7807E42B" w14:textId="77777777" w:rsidR="00923F07" w:rsidRPr="00D541A6" w:rsidRDefault="00923F07" w:rsidP="00D541A6">
          <w:pPr>
            <w:pStyle w:val="TOC1"/>
            <w:tabs>
              <w:tab w:val="right" w:leader="dot" w:pos="9060"/>
            </w:tabs>
            <w:adjustRightInd w:val="0"/>
            <w:snapToGrid w:val="0"/>
            <w:spacing w:line="480" w:lineRule="auto"/>
            <w:rPr>
              <w:noProof/>
              <w:sz w:val="20"/>
              <w:szCs w:val="20"/>
            </w:rPr>
          </w:pPr>
          <w:hyperlink w:anchor="_Toc195209568" w:history="1">
            <w:r w:rsidRPr="00D541A6">
              <w:rPr>
                <w:rStyle w:val="Hyperlink"/>
                <w:rFonts w:ascii="Times New Roman" w:hAnsi="Times New Roman" w:cs="Times New Roman"/>
                <w:noProof/>
                <w:sz w:val="20"/>
                <w:szCs w:val="20"/>
              </w:rPr>
              <w:t>Section G: Identification strategy</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_Toc195209568 \h </w:instrText>
            </w:r>
            <w:r w:rsidRPr="00D541A6">
              <w:rPr>
                <w:noProof/>
                <w:webHidden/>
                <w:sz w:val="20"/>
                <w:szCs w:val="20"/>
              </w:rPr>
            </w:r>
            <w:r w:rsidRPr="00D541A6">
              <w:rPr>
                <w:noProof/>
                <w:webHidden/>
                <w:sz w:val="20"/>
                <w:szCs w:val="20"/>
              </w:rPr>
              <w:fldChar w:fldCharType="separate"/>
            </w:r>
            <w:r w:rsidRPr="00D541A6">
              <w:rPr>
                <w:noProof/>
                <w:webHidden/>
                <w:sz w:val="20"/>
                <w:szCs w:val="20"/>
              </w:rPr>
              <w:t>11</w:t>
            </w:r>
            <w:r w:rsidRPr="00D541A6">
              <w:rPr>
                <w:noProof/>
                <w:webHidden/>
                <w:sz w:val="20"/>
                <w:szCs w:val="20"/>
              </w:rPr>
              <w:fldChar w:fldCharType="end"/>
            </w:r>
          </w:hyperlink>
        </w:p>
        <w:p w14:paraId="61C934F6" w14:textId="77777777" w:rsidR="00923F07" w:rsidRPr="00D541A6" w:rsidRDefault="00923F07" w:rsidP="00D541A6">
          <w:pPr>
            <w:pStyle w:val="TOC1"/>
            <w:tabs>
              <w:tab w:val="right" w:leader="dot" w:pos="9060"/>
            </w:tabs>
            <w:adjustRightInd w:val="0"/>
            <w:snapToGrid w:val="0"/>
            <w:spacing w:line="480" w:lineRule="auto"/>
            <w:rPr>
              <w:noProof/>
              <w:sz w:val="20"/>
              <w:szCs w:val="20"/>
            </w:rPr>
          </w:pPr>
          <w:hyperlink w:anchor="_Toc195209569" w:history="1">
            <w:r w:rsidRPr="00D541A6">
              <w:rPr>
                <w:rStyle w:val="Hyperlink"/>
                <w:rFonts w:ascii="Times New Roman" w:hAnsi="Times New Roman" w:cs="Times New Roman"/>
                <w:noProof/>
                <w:sz w:val="20"/>
                <w:szCs w:val="20"/>
              </w:rPr>
              <w:t>Section H: Full results of the main models</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_Toc195209569 \h </w:instrText>
            </w:r>
            <w:r w:rsidRPr="00D541A6">
              <w:rPr>
                <w:noProof/>
                <w:webHidden/>
                <w:sz w:val="20"/>
                <w:szCs w:val="20"/>
              </w:rPr>
            </w:r>
            <w:r w:rsidRPr="00D541A6">
              <w:rPr>
                <w:noProof/>
                <w:webHidden/>
                <w:sz w:val="20"/>
                <w:szCs w:val="20"/>
              </w:rPr>
              <w:fldChar w:fldCharType="separate"/>
            </w:r>
            <w:r w:rsidRPr="00D541A6">
              <w:rPr>
                <w:noProof/>
                <w:webHidden/>
                <w:sz w:val="20"/>
                <w:szCs w:val="20"/>
              </w:rPr>
              <w:t>13</w:t>
            </w:r>
            <w:r w:rsidRPr="00D541A6">
              <w:rPr>
                <w:noProof/>
                <w:webHidden/>
                <w:sz w:val="20"/>
                <w:szCs w:val="20"/>
              </w:rPr>
              <w:fldChar w:fldCharType="end"/>
            </w:r>
          </w:hyperlink>
        </w:p>
        <w:p w14:paraId="7F01BE92" w14:textId="77777777" w:rsidR="00923F07" w:rsidRPr="00D541A6" w:rsidRDefault="00923F07" w:rsidP="00D541A6">
          <w:pPr>
            <w:pStyle w:val="TOC2"/>
            <w:tabs>
              <w:tab w:val="right" w:leader="dot" w:pos="9060"/>
            </w:tabs>
            <w:adjustRightInd w:val="0"/>
            <w:snapToGrid w:val="0"/>
            <w:spacing w:line="480" w:lineRule="auto"/>
            <w:rPr>
              <w:noProof/>
              <w:sz w:val="20"/>
              <w:szCs w:val="20"/>
            </w:rPr>
          </w:pPr>
          <w:hyperlink w:anchor="_Toc195209570" w:history="1">
            <w:r w:rsidRPr="00D541A6">
              <w:rPr>
                <w:rStyle w:val="Hyperlink"/>
                <w:rFonts w:ascii="Times New Roman" w:hAnsi="Times New Roman" w:cs="Times New Roman"/>
                <w:noProof/>
                <w:sz w:val="20"/>
                <w:szCs w:val="20"/>
              </w:rPr>
              <w:t>Table H.1: Effect of long-term care insurance on the likelihood of experiencing of catastrophic health and long-term care expenditure.</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_Toc195209570 \h </w:instrText>
            </w:r>
            <w:r w:rsidRPr="00D541A6">
              <w:rPr>
                <w:noProof/>
                <w:webHidden/>
                <w:sz w:val="20"/>
                <w:szCs w:val="20"/>
              </w:rPr>
            </w:r>
            <w:r w:rsidRPr="00D541A6">
              <w:rPr>
                <w:noProof/>
                <w:webHidden/>
                <w:sz w:val="20"/>
                <w:szCs w:val="20"/>
              </w:rPr>
              <w:fldChar w:fldCharType="separate"/>
            </w:r>
            <w:r w:rsidRPr="00D541A6">
              <w:rPr>
                <w:noProof/>
                <w:webHidden/>
                <w:sz w:val="20"/>
                <w:szCs w:val="20"/>
              </w:rPr>
              <w:t>13</w:t>
            </w:r>
            <w:r w:rsidRPr="00D541A6">
              <w:rPr>
                <w:noProof/>
                <w:webHidden/>
                <w:sz w:val="20"/>
                <w:szCs w:val="20"/>
              </w:rPr>
              <w:fldChar w:fldCharType="end"/>
            </w:r>
          </w:hyperlink>
        </w:p>
        <w:p w14:paraId="00F8D4E3" w14:textId="77777777" w:rsidR="00923F07" w:rsidRPr="00D541A6" w:rsidRDefault="00923F07" w:rsidP="00D541A6">
          <w:pPr>
            <w:pStyle w:val="TOC1"/>
            <w:tabs>
              <w:tab w:val="right" w:leader="dot" w:pos="9060"/>
            </w:tabs>
            <w:adjustRightInd w:val="0"/>
            <w:snapToGrid w:val="0"/>
            <w:spacing w:line="480" w:lineRule="auto"/>
            <w:rPr>
              <w:noProof/>
              <w:sz w:val="20"/>
              <w:szCs w:val="20"/>
            </w:rPr>
          </w:pPr>
          <w:hyperlink w:anchor="_Toc195209571" w:history="1">
            <w:r w:rsidRPr="00D541A6">
              <w:rPr>
                <w:rStyle w:val="Hyperlink"/>
                <w:rFonts w:ascii="Times New Roman" w:hAnsi="Times New Roman" w:cs="Times New Roman"/>
                <w:noProof/>
                <w:sz w:val="20"/>
                <w:szCs w:val="20"/>
              </w:rPr>
              <w:t>Section I: Robustness check</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_Toc195209571 \h </w:instrText>
            </w:r>
            <w:r w:rsidRPr="00D541A6">
              <w:rPr>
                <w:noProof/>
                <w:webHidden/>
                <w:sz w:val="20"/>
                <w:szCs w:val="20"/>
              </w:rPr>
            </w:r>
            <w:r w:rsidRPr="00D541A6">
              <w:rPr>
                <w:noProof/>
                <w:webHidden/>
                <w:sz w:val="20"/>
                <w:szCs w:val="20"/>
              </w:rPr>
              <w:fldChar w:fldCharType="separate"/>
            </w:r>
            <w:r w:rsidRPr="00D541A6">
              <w:rPr>
                <w:noProof/>
                <w:webHidden/>
                <w:sz w:val="20"/>
                <w:szCs w:val="20"/>
              </w:rPr>
              <w:t>16</w:t>
            </w:r>
            <w:r w:rsidRPr="00D541A6">
              <w:rPr>
                <w:noProof/>
                <w:webHidden/>
                <w:sz w:val="20"/>
                <w:szCs w:val="20"/>
              </w:rPr>
              <w:fldChar w:fldCharType="end"/>
            </w:r>
          </w:hyperlink>
        </w:p>
        <w:p w14:paraId="650BC707" w14:textId="77777777" w:rsidR="00923F07" w:rsidRPr="00D541A6" w:rsidRDefault="00923F07" w:rsidP="00D541A6">
          <w:pPr>
            <w:pStyle w:val="TOC2"/>
            <w:tabs>
              <w:tab w:val="right" w:leader="dot" w:pos="9060"/>
            </w:tabs>
            <w:adjustRightInd w:val="0"/>
            <w:snapToGrid w:val="0"/>
            <w:spacing w:line="480" w:lineRule="auto"/>
            <w:rPr>
              <w:noProof/>
              <w:sz w:val="20"/>
              <w:szCs w:val="20"/>
            </w:rPr>
          </w:pPr>
          <w:hyperlink w:anchor="_Toc195209572" w:history="1">
            <w:r w:rsidRPr="00D541A6">
              <w:rPr>
                <w:rStyle w:val="Hyperlink"/>
                <w:rFonts w:ascii="Times New Roman" w:hAnsi="Times New Roman" w:cs="Times New Roman"/>
                <w:noProof/>
                <w:sz w:val="20"/>
                <w:szCs w:val="20"/>
              </w:rPr>
              <w:t>Figure I.1. Robustness check 1: Weighted likelihood of experiencing catastrophic health and long-term care expenditure (CHLTCE) after accounting for long-term care costs.</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_Toc195209572 \h </w:instrText>
            </w:r>
            <w:r w:rsidRPr="00D541A6">
              <w:rPr>
                <w:noProof/>
                <w:webHidden/>
                <w:sz w:val="20"/>
                <w:szCs w:val="20"/>
              </w:rPr>
            </w:r>
            <w:r w:rsidRPr="00D541A6">
              <w:rPr>
                <w:noProof/>
                <w:webHidden/>
                <w:sz w:val="20"/>
                <w:szCs w:val="20"/>
              </w:rPr>
              <w:fldChar w:fldCharType="separate"/>
            </w:r>
            <w:r w:rsidRPr="00D541A6">
              <w:rPr>
                <w:noProof/>
                <w:webHidden/>
                <w:sz w:val="20"/>
                <w:szCs w:val="20"/>
              </w:rPr>
              <w:t>16</w:t>
            </w:r>
            <w:r w:rsidRPr="00D541A6">
              <w:rPr>
                <w:noProof/>
                <w:webHidden/>
                <w:sz w:val="20"/>
                <w:szCs w:val="20"/>
              </w:rPr>
              <w:fldChar w:fldCharType="end"/>
            </w:r>
          </w:hyperlink>
        </w:p>
        <w:p w14:paraId="0FDF4B16" w14:textId="77777777" w:rsidR="00923F07" w:rsidRPr="00D541A6" w:rsidRDefault="00923F07" w:rsidP="00D541A6">
          <w:pPr>
            <w:pStyle w:val="TOC2"/>
            <w:tabs>
              <w:tab w:val="right" w:leader="dot" w:pos="9060"/>
            </w:tabs>
            <w:adjustRightInd w:val="0"/>
            <w:snapToGrid w:val="0"/>
            <w:spacing w:line="480" w:lineRule="auto"/>
            <w:rPr>
              <w:noProof/>
              <w:sz w:val="20"/>
              <w:szCs w:val="20"/>
            </w:rPr>
          </w:pPr>
          <w:hyperlink w:anchor="_Toc195209573" w:history="1">
            <w:r w:rsidRPr="00D541A6">
              <w:rPr>
                <w:rStyle w:val="Hyperlink"/>
                <w:rFonts w:ascii="Times New Roman" w:hAnsi="Times New Roman" w:cs="Times New Roman"/>
                <w:noProof/>
                <w:sz w:val="20"/>
                <w:szCs w:val="20"/>
              </w:rPr>
              <w:t>Table I.1: Robustness check 1: Effect of long-term care insurance on the likelihood of experiencing of catastrophic health and long-term care expenditure.</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_Toc195209573 \h </w:instrText>
            </w:r>
            <w:r w:rsidRPr="00D541A6">
              <w:rPr>
                <w:noProof/>
                <w:webHidden/>
                <w:sz w:val="20"/>
                <w:szCs w:val="20"/>
              </w:rPr>
            </w:r>
            <w:r w:rsidRPr="00D541A6">
              <w:rPr>
                <w:noProof/>
                <w:webHidden/>
                <w:sz w:val="20"/>
                <w:szCs w:val="20"/>
              </w:rPr>
              <w:fldChar w:fldCharType="separate"/>
            </w:r>
            <w:r w:rsidRPr="00D541A6">
              <w:rPr>
                <w:noProof/>
                <w:webHidden/>
                <w:sz w:val="20"/>
                <w:szCs w:val="20"/>
              </w:rPr>
              <w:t>16</w:t>
            </w:r>
            <w:r w:rsidRPr="00D541A6">
              <w:rPr>
                <w:noProof/>
                <w:webHidden/>
                <w:sz w:val="20"/>
                <w:szCs w:val="20"/>
              </w:rPr>
              <w:fldChar w:fldCharType="end"/>
            </w:r>
          </w:hyperlink>
        </w:p>
        <w:p w14:paraId="04504D62" w14:textId="77777777" w:rsidR="00923F07" w:rsidRPr="00D541A6" w:rsidRDefault="00923F07" w:rsidP="00D541A6">
          <w:pPr>
            <w:pStyle w:val="TOC2"/>
            <w:tabs>
              <w:tab w:val="right" w:leader="dot" w:pos="9060"/>
            </w:tabs>
            <w:adjustRightInd w:val="0"/>
            <w:snapToGrid w:val="0"/>
            <w:spacing w:line="480" w:lineRule="auto"/>
            <w:rPr>
              <w:noProof/>
              <w:sz w:val="20"/>
              <w:szCs w:val="20"/>
            </w:rPr>
          </w:pPr>
          <w:hyperlink w:anchor="_Toc195209574" w:history="1">
            <w:r w:rsidRPr="00D541A6">
              <w:rPr>
                <w:rStyle w:val="Hyperlink"/>
                <w:rFonts w:ascii="Times New Roman" w:hAnsi="Times New Roman" w:cs="Times New Roman"/>
                <w:noProof/>
                <w:sz w:val="20"/>
                <w:szCs w:val="20"/>
              </w:rPr>
              <w:t>Figure I.2. Robustness check 2: Weighted likelihood of experiencing catastrophic health and long-term care expenditure (CHLTCE) after accounting for long-term care costs.</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_Toc195209574 \h </w:instrText>
            </w:r>
            <w:r w:rsidRPr="00D541A6">
              <w:rPr>
                <w:noProof/>
                <w:webHidden/>
                <w:sz w:val="20"/>
                <w:szCs w:val="20"/>
              </w:rPr>
            </w:r>
            <w:r w:rsidRPr="00D541A6">
              <w:rPr>
                <w:noProof/>
                <w:webHidden/>
                <w:sz w:val="20"/>
                <w:szCs w:val="20"/>
              </w:rPr>
              <w:fldChar w:fldCharType="separate"/>
            </w:r>
            <w:r w:rsidRPr="00D541A6">
              <w:rPr>
                <w:noProof/>
                <w:webHidden/>
                <w:sz w:val="20"/>
                <w:szCs w:val="20"/>
              </w:rPr>
              <w:t>19</w:t>
            </w:r>
            <w:r w:rsidRPr="00D541A6">
              <w:rPr>
                <w:noProof/>
                <w:webHidden/>
                <w:sz w:val="20"/>
                <w:szCs w:val="20"/>
              </w:rPr>
              <w:fldChar w:fldCharType="end"/>
            </w:r>
          </w:hyperlink>
        </w:p>
        <w:p w14:paraId="17B55988" w14:textId="77777777" w:rsidR="00923F07" w:rsidRPr="00D541A6" w:rsidRDefault="00923F07" w:rsidP="00D541A6">
          <w:pPr>
            <w:pStyle w:val="TOC2"/>
            <w:tabs>
              <w:tab w:val="right" w:leader="dot" w:pos="9060"/>
            </w:tabs>
            <w:adjustRightInd w:val="0"/>
            <w:snapToGrid w:val="0"/>
            <w:spacing w:line="480" w:lineRule="auto"/>
            <w:rPr>
              <w:noProof/>
              <w:sz w:val="20"/>
              <w:szCs w:val="20"/>
            </w:rPr>
          </w:pPr>
          <w:hyperlink w:anchor="_Toc195209575" w:history="1">
            <w:r w:rsidRPr="00D541A6">
              <w:rPr>
                <w:rStyle w:val="Hyperlink"/>
                <w:rFonts w:ascii="Times New Roman" w:hAnsi="Times New Roman" w:cs="Times New Roman"/>
                <w:noProof/>
                <w:sz w:val="20"/>
                <w:szCs w:val="20"/>
              </w:rPr>
              <w:t>Table I.2: Robustness check 2: Effect of long-term care insurance on the likelihood of experiencing of catastrophic health and long-term care expenditure.</w:t>
            </w:r>
            <w:r w:rsidRPr="00D541A6">
              <w:rPr>
                <w:noProof/>
                <w:webHidden/>
                <w:sz w:val="20"/>
                <w:szCs w:val="20"/>
              </w:rPr>
              <w:tab/>
            </w:r>
            <w:r w:rsidRPr="00D541A6">
              <w:rPr>
                <w:noProof/>
                <w:webHidden/>
                <w:sz w:val="20"/>
                <w:szCs w:val="20"/>
              </w:rPr>
              <w:fldChar w:fldCharType="begin"/>
            </w:r>
            <w:r w:rsidRPr="00D541A6">
              <w:rPr>
                <w:noProof/>
                <w:webHidden/>
                <w:sz w:val="20"/>
                <w:szCs w:val="20"/>
              </w:rPr>
              <w:instrText xml:space="preserve"> PAGEREF _Toc195209575 \h </w:instrText>
            </w:r>
            <w:r w:rsidRPr="00D541A6">
              <w:rPr>
                <w:noProof/>
                <w:webHidden/>
                <w:sz w:val="20"/>
                <w:szCs w:val="20"/>
              </w:rPr>
            </w:r>
            <w:r w:rsidRPr="00D541A6">
              <w:rPr>
                <w:noProof/>
                <w:webHidden/>
                <w:sz w:val="20"/>
                <w:szCs w:val="20"/>
              </w:rPr>
              <w:fldChar w:fldCharType="separate"/>
            </w:r>
            <w:r w:rsidRPr="00D541A6">
              <w:rPr>
                <w:noProof/>
                <w:webHidden/>
                <w:sz w:val="20"/>
                <w:szCs w:val="20"/>
              </w:rPr>
              <w:t>19</w:t>
            </w:r>
            <w:r w:rsidRPr="00D541A6">
              <w:rPr>
                <w:noProof/>
                <w:webHidden/>
                <w:sz w:val="20"/>
                <w:szCs w:val="20"/>
              </w:rPr>
              <w:fldChar w:fldCharType="end"/>
            </w:r>
          </w:hyperlink>
        </w:p>
        <w:p w14:paraId="23388156" w14:textId="77777777" w:rsidR="00923F07" w:rsidRPr="001031F8" w:rsidRDefault="00923F07" w:rsidP="00D541A6">
          <w:pPr>
            <w:adjustRightInd w:val="0"/>
            <w:snapToGrid w:val="0"/>
            <w:spacing w:line="480" w:lineRule="auto"/>
            <w:rPr>
              <w:rStyle w:val="Heading1Char"/>
              <w:rFonts w:ascii="Times New Roman" w:hAnsi="Times New Roman" w:cs="Times New Roman"/>
              <w:b w:val="0"/>
              <w:bCs w:val="0"/>
              <w:kern w:val="2"/>
              <w:sz w:val="20"/>
              <w:szCs w:val="20"/>
            </w:rPr>
          </w:pPr>
          <w:r w:rsidRPr="00D541A6">
            <w:rPr>
              <w:rFonts w:ascii="Times New Roman" w:hAnsi="Times New Roman" w:cs="Times New Roman"/>
              <w:b/>
              <w:bCs/>
              <w:sz w:val="20"/>
              <w:szCs w:val="20"/>
              <w:lang w:val="en-GB"/>
            </w:rPr>
            <w:fldChar w:fldCharType="end"/>
          </w:r>
        </w:p>
      </w:sdtContent>
    </w:sdt>
    <w:p w14:paraId="49C68C4B" w14:textId="77777777" w:rsidR="00923F07" w:rsidRDefault="00923F07">
      <w:pPr>
        <w:widowControl/>
        <w:jc w:val="left"/>
        <w:rPr>
          <w:rStyle w:val="Heading1Char"/>
          <w:rFonts w:ascii="Times New Roman" w:hAnsi="Times New Roman" w:cs="Times New Roman"/>
          <w:sz w:val="20"/>
          <w:szCs w:val="20"/>
        </w:rPr>
      </w:pPr>
      <w:bookmarkStart w:id="2" w:name="_Toc195209559"/>
      <w:r>
        <w:rPr>
          <w:rStyle w:val="Heading1Char"/>
          <w:rFonts w:ascii="Times New Roman" w:hAnsi="Times New Roman" w:cs="Times New Roman"/>
          <w:b w:val="0"/>
          <w:bCs w:val="0"/>
          <w:sz w:val="20"/>
          <w:szCs w:val="20"/>
        </w:rPr>
        <w:br w:type="page"/>
      </w:r>
    </w:p>
    <w:p w14:paraId="61010118" w14:textId="77777777" w:rsidR="00923F07" w:rsidRPr="001031F8" w:rsidRDefault="00923F07" w:rsidP="007B0D17">
      <w:pPr>
        <w:pStyle w:val="Heading1"/>
        <w:adjustRightInd w:val="0"/>
        <w:snapToGrid w:val="0"/>
        <w:spacing w:before="0" w:after="0" w:line="480" w:lineRule="auto"/>
        <w:rPr>
          <w:b w:val="0"/>
          <w:bCs w:val="0"/>
          <w:sz w:val="20"/>
          <w:szCs w:val="20"/>
        </w:rPr>
      </w:pPr>
      <w:r w:rsidRPr="001031F8">
        <w:rPr>
          <w:rStyle w:val="Heading1Char"/>
          <w:rFonts w:ascii="Times New Roman" w:hAnsi="Times New Roman" w:cs="Times New Roman"/>
          <w:b/>
          <w:bCs/>
          <w:sz w:val="20"/>
          <w:szCs w:val="20"/>
        </w:rPr>
        <w:lastRenderedPageBreak/>
        <w:t xml:space="preserve">Section </w:t>
      </w:r>
      <w:r>
        <w:rPr>
          <w:rStyle w:val="Heading1Char"/>
          <w:rFonts w:ascii="Times New Roman" w:hAnsi="Times New Roman" w:cs="Times New Roman" w:hint="eastAsia"/>
          <w:b/>
          <w:bCs/>
          <w:sz w:val="20"/>
          <w:szCs w:val="20"/>
        </w:rPr>
        <w:t>A</w:t>
      </w:r>
      <w:r w:rsidRPr="001031F8">
        <w:rPr>
          <w:rStyle w:val="Heading1Char"/>
          <w:rFonts w:ascii="Times New Roman" w:hAnsi="Times New Roman" w:cs="Times New Roman"/>
          <w:b/>
          <w:bCs/>
          <w:sz w:val="20"/>
          <w:szCs w:val="20"/>
        </w:rPr>
        <w:t>: Pilot cities and key features of long-term care insurance in China</w:t>
      </w:r>
      <w:bookmarkEnd w:id="2"/>
    </w:p>
    <w:p w14:paraId="7E93EC7A" w14:textId="77777777" w:rsidR="00923F07" w:rsidRPr="001031F8" w:rsidRDefault="00923F07" w:rsidP="007B0D17">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The Chinese government initiated the first round of long-term care insurance (LTCI) scheme in 15 cities and two provinces (Jilin and Shandong) in July 2016</w:t>
      </w:r>
      <w:r w:rsidRPr="00A51CEA">
        <w:rPr>
          <w:rFonts w:ascii="Times New Roman" w:hAnsi="Times New Roman" w:cs="Times New Roman"/>
          <w:sz w:val="20"/>
          <w:szCs w:val="20"/>
        </w:rPr>
        <w:t xml:space="preserve"> </w:t>
      </w:r>
      <w:r>
        <w:rPr>
          <w:rFonts w:ascii="Times New Roman" w:hAnsi="Times New Roman" w:cs="Times New Roman"/>
          <w:noProof/>
          <w:sz w:val="20"/>
          <w:szCs w:val="20"/>
        </w:rPr>
        <w:t>(Lei et al., 2022)</w:t>
      </w:r>
      <w:r w:rsidRPr="001031F8">
        <w:rPr>
          <w:rFonts w:ascii="Times New Roman" w:hAnsi="Times New Roman" w:cs="Times New Roman"/>
          <w:sz w:val="20"/>
          <w:szCs w:val="20"/>
        </w:rPr>
        <w:t>. Among the 15 cities, only 12 were included in our study sample. Specifically, three pilot cities (</w:t>
      </w:r>
      <w:proofErr w:type="spellStart"/>
      <w:r w:rsidRPr="001031F8">
        <w:rPr>
          <w:rFonts w:ascii="Times New Roman" w:hAnsi="Times New Roman" w:cs="Times New Roman"/>
          <w:sz w:val="20"/>
          <w:szCs w:val="20"/>
        </w:rPr>
        <w:t>Shihezi</w:t>
      </w:r>
      <w:proofErr w:type="spellEnd"/>
      <w:r w:rsidRPr="001031F8">
        <w:rPr>
          <w:rFonts w:ascii="Times New Roman" w:hAnsi="Times New Roman" w:cs="Times New Roman"/>
          <w:sz w:val="20"/>
          <w:szCs w:val="20"/>
        </w:rPr>
        <w:t xml:space="preserve">, Changchun, and Nantong) are not in our study sample. </w:t>
      </w:r>
      <w:bookmarkStart w:id="3" w:name="_Hlk179798073"/>
      <w:r w:rsidRPr="001031F8">
        <w:rPr>
          <w:rFonts w:ascii="Times New Roman" w:hAnsi="Times New Roman" w:cs="Times New Roman"/>
          <w:sz w:val="20"/>
          <w:szCs w:val="20"/>
        </w:rPr>
        <w:t>Among the two pilot provinces, four cities (</w:t>
      </w:r>
      <w:proofErr w:type="spellStart"/>
      <w:r w:rsidRPr="001031F8">
        <w:rPr>
          <w:rFonts w:ascii="Times New Roman" w:hAnsi="Times New Roman" w:cs="Times New Roman"/>
          <w:sz w:val="20"/>
          <w:szCs w:val="20"/>
        </w:rPr>
        <w:t>Liaocheng</w:t>
      </w:r>
      <w:proofErr w:type="spellEnd"/>
      <w:r w:rsidRPr="001031F8">
        <w:rPr>
          <w:rFonts w:ascii="Times New Roman" w:hAnsi="Times New Roman" w:cs="Times New Roman"/>
          <w:sz w:val="20"/>
          <w:szCs w:val="20"/>
        </w:rPr>
        <w:t xml:space="preserve">, Weifang, </w:t>
      </w:r>
      <w:proofErr w:type="spellStart"/>
      <w:r w:rsidRPr="001031F8">
        <w:rPr>
          <w:rFonts w:ascii="Times New Roman" w:hAnsi="Times New Roman" w:cs="Times New Roman"/>
          <w:sz w:val="20"/>
          <w:szCs w:val="20"/>
        </w:rPr>
        <w:t>Linqi</w:t>
      </w:r>
      <w:proofErr w:type="spellEnd"/>
      <w:r w:rsidRPr="001031F8">
        <w:rPr>
          <w:rFonts w:ascii="Times New Roman" w:hAnsi="Times New Roman" w:cs="Times New Roman"/>
          <w:sz w:val="20"/>
          <w:szCs w:val="20"/>
        </w:rPr>
        <w:t xml:space="preserve">, and the Jilin city) have also initiated the pilot phase of LTCI since 2017, and these four cities are included in our study sample. Therefore, </w:t>
      </w:r>
      <w:bookmarkStart w:id="4" w:name="_Hlk195381821"/>
      <w:r w:rsidRPr="001031F8">
        <w:rPr>
          <w:rFonts w:ascii="Times New Roman" w:hAnsi="Times New Roman" w:cs="Times New Roman"/>
          <w:sz w:val="20"/>
          <w:szCs w:val="20"/>
        </w:rPr>
        <w:t>there are 16 pilot cities in our study sample</w:t>
      </w:r>
      <w:r w:rsidRPr="00A51CEA">
        <w:rPr>
          <w:rFonts w:ascii="Times New Roman" w:hAnsi="Times New Roman" w:cs="Times New Roman"/>
          <w:sz w:val="20"/>
          <w:szCs w:val="20"/>
        </w:rPr>
        <w:t xml:space="preserve"> </w:t>
      </w:r>
      <w:r>
        <w:rPr>
          <w:rFonts w:ascii="Times New Roman" w:hAnsi="Times New Roman" w:cs="Times New Roman"/>
          <w:noProof/>
          <w:sz w:val="20"/>
          <w:szCs w:val="20"/>
        </w:rPr>
        <w:t>(Lei et al., 2022)</w:t>
      </w:r>
      <w:r w:rsidRPr="001031F8">
        <w:rPr>
          <w:rFonts w:ascii="Times New Roman" w:hAnsi="Times New Roman" w:cs="Times New Roman"/>
          <w:bCs/>
          <w:iCs/>
          <w:sz w:val="20"/>
          <w:szCs w:val="20"/>
        </w:rPr>
        <w:t>:</w:t>
      </w:r>
      <w:bookmarkEnd w:id="4"/>
      <w:r w:rsidRPr="001031F8">
        <w:rPr>
          <w:rFonts w:ascii="Times New Roman" w:hAnsi="Times New Roman" w:cs="Times New Roman"/>
          <w:bCs/>
          <w:iCs/>
          <w:sz w:val="20"/>
          <w:szCs w:val="20"/>
        </w:rPr>
        <w:t xml:space="preserve"> Shanghai, Qingdao, </w:t>
      </w:r>
      <w:proofErr w:type="spellStart"/>
      <w:r w:rsidRPr="001031F8">
        <w:rPr>
          <w:rFonts w:ascii="Times New Roman" w:hAnsi="Times New Roman" w:cs="Times New Roman"/>
          <w:bCs/>
          <w:iCs/>
          <w:sz w:val="20"/>
          <w:szCs w:val="20"/>
        </w:rPr>
        <w:t>Jingmen</w:t>
      </w:r>
      <w:proofErr w:type="spellEnd"/>
      <w:r w:rsidRPr="001031F8">
        <w:rPr>
          <w:rFonts w:ascii="Times New Roman" w:hAnsi="Times New Roman" w:cs="Times New Roman"/>
          <w:bCs/>
          <w:iCs/>
          <w:sz w:val="20"/>
          <w:szCs w:val="20"/>
        </w:rPr>
        <w:t xml:space="preserve">, Guangzhou, </w:t>
      </w:r>
      <w:proofErr w:type="spellStart"/>
      <w:r w:rsidRPr="001031F8">
        <w:rPr>
          <w:rFonts w:ascii="Times New Roman" w:hAnsi="Times New Roman" w:cs="Times New Roman"/>
          <w:bCs/>
          <w:iCs/>
          <w:sz w:val="20"/>
          <w:szCs w:val="20"/>
        </w:rPr>
        <w:t>Liaocheng</w:t>
      </w:r>
      <w:proofErr w:type="spellEnd"/>
      <w:r w:rsidRPr="001031F8">
        <w:rPr>
          <w:rFonts w:ascii="Times New Roman" w:hAnsi="Times New Roman" w:cs="Times New Roman"/>
          <w:bCs/>
          <w:iCs/>
          <w:sz w:val="20"/>
          <w:szCs w:val="20"/>
        </w:rPr>
        <w:t xml:space="preserve">, Weifang, </w:t>
      </w:r>
      <w:proofErr w:type="spellStart"/>
      <w:r w:rsidRPr="001031F8">
        <w:rPr>
          <w:rFonts w:ascii="Times New Roman" w:hAnsi="Times New Roman" w:cs="Times New Roman"/>
          <w:bCs/>
          <w:iCs/>
          <w:sz w:val="20"/>
          <w:szCs w:val="20"/>
        </w:rPr>
        <w:t>Linqi</w:t>
      </w:r>
      <w:proofErr w:type="spellEnd"/>
      <w:r w:rsidRPr="001031F8">
        <w:rPr>
          <w:rFonts w:ascii="Times New Roman" w:hAnsi="Times New Roman" w:cs="Times New Roman"/>
          <w:bCs/>
          <w:iCs/>
          <w:sz w:val="20"/>
          <w:szCs w:val="20"/>
        </w:rPr>
        <w:t xml:space="preserve">, Chengdu, Chengde, Jilin, </w:t>
      </w:r>
      <w:proofErr w:type="spellStart"/>
      <w:r w:rsidRPr="001031F8">
        <w:rPr>
          <w:rFonts w:ascii="Times New Roman" w:hAnsi="Times New Roman" w:cs="Times New Roman"/>
          <w:bCs/>
          <w:iCs/>
          <w:sz w:val="20"/>
          <w:szCs w:val="20"/>
        </w:rPr>
        <w:t>Qiqihaer</w:t>
      </w:r>
      <w:proofErr w:type="spellEnd"/>
      <w:r w:rsidRPr="001031F8">
        <w:rPr>
          <w:rFonts w:ascii="Times New Roman" w:hAnsi="Times New Roman" w:cs="Times New Roman"/>
          <w:bCs/>
          <w:iCs/>
          <w:sz w:val="20"/>
          <w:szCs w:val="20"/>
        </w:rPr>
        <w:t xml:space="preserve">, </w:t>
      </w:r>
      <w:proofErr w:type="spellStart"/>
      <w:r w:rsidRPr="001031F8">
        <w:rPr>
          <w:rFonts w:ascii="Times New Roman" w:hAnsi="Times New Roman" w:cs="Times New Roman"/>
          <w:bCs/>
          <w:iCs/>
          <w:sz w:val="20"/>
          <w:szCs w:val="20"/>
        </w:rPr>
        <w:t>Anqing</w:t>
      </w:r>
      <w:proofErr w:type="spellEnd"/>
      <w:r w:rsidRPr="001031F8">
        <w:rPr>
          <w:rFonts w:ascii="Times New Roman" w:hAnsi="Times New Roman" w:cs="Times New Roman"/>
          <w:bCs/>
          <w:iCs/>
          <w:sz w:val="20"/>
          <w:szCs w:val="20"/>
        </w:rPr>
        <w:t xml:space="preserve">, Ningbo, Chongqing, </w:t>
      </w:r>
      <w:proofErr w:type="spellStart"/>
      <w:r w:rsidRPr="001031F8">
        <w:rPr>
          <w:rFonts w:ascii="Times New Roman" w:hAnsi="Times New Roman" w:cs="Times New Roman"/>
          <w:bCs/>
          <w:iCs/>
          <w:sz w:val="20"/>
          <w:szCs w:val="20"/>
        </w:rPr>
        <w:t>Shangrao</w:t>
      </w:r>
      <w:proofErr w:type="spellEnd"/>
      <w:r w:rsidRPr="001031F8">
        <w:rPr>
          <w:rFonts w:ascii="Times New Roman" w:hAnsi="Times New Roman" w:cs="Times New Roman"/>
          <w:bCs/>
          <w:iCs/>
          <w:sz w:val="20"/>
          <w:szCs w:val="20"/>
        </w:rPr>
        <w:t>, and Suzhou</w:t>
      </w:r>
      <w:r w:rsidRPr="001031F8">
        <w:rPr>
          <w:rFonts w:ascii="Times New Roman" w:hAnsi="Times New Roman" w:cs="Times New Roman"/>
          <w:sz w:val="20"/>
          <w:szCs w:val="20"/>
        </w:rPr>
        <w:t>. Table S2 summarizes the key features of China’s long-term care insurance.</w:t>
      </w:r>
    </w:p>
    <w:bookmarkEnd w:id="3"/>
    <w:p w14:paraId="0BE400B4" w14:textId="77777777" w:rsidR="00923F07" w:rsidRPr="001031F8" w:rsidRDefault="00923F07" w:rsidP="007B0D17">
      <w:pPr>
        <w:adjustRightInd w:val="0"/>
        <w:snapToGrid w:val="0"/>
        <w:spacing w:line="480" w:lineRule="auto"/>
        <w:rPr>
          <w:rFonts w:ascii="Times New Roman" w:hAnsi="Times New Roman" w:cs="Times New Roman"/>
          <w:sz w:val="20"/>
          <w:szCs w:val="20"/>
        </w:rPr>
      </w:pPr>
    </w:p>
    <w:p w14:paraId="44FBC0F2" w14:textId="77777777" w:rsidR="00923F07" w:rsidRPr="001031F8" w:rsidRDefault="00923F07" w:rsidP="007B0D17">
      <w:pPr>
        <w:pStyle w:val="Heading2"/>
        <w:adjustRightInd w:val="0"/>
        <w:snapToGrid w:val="0"/>
        <w:spacing w:before="0" w:after="0" w:line="480" w:lineRule="auto"/>
        <w:rPr>
          <w:rFonts w:ascii="Times New Roman" w:hAnsi="Times New Roman" w:cs="Times New Roman"/>
          <w:sz w:val="20"/>
          <w:szCs w:val="20"/>
        </w:rPr>
      </w:pPr>
      <w:bookmarkStart w:id="5" w:name="_Toc195209560"/>
      <w:r w:rsidRPr="001031F8">
        <w:rPr>
          <w:rFonts w:ascii="Times New Roman" w:hAnsi="Times New Roman" w:cs="Times New Roman"/>
          <w:sz w:val="20"/>
          <w:szCs w:val="20"/>
        </w:rPr>
        <w:t xml:space="preserve">Table </w:t>
      </w:r>
      <w:r>
        <w:rPr>
          <w:rFonts w:ascii="Times New Roman" w:hAnsi="Times New Roman" w:cs="Times New Roman" w:hint="eastAsia"/>
          <w:sz w:val="20"/>
          <w:szCs w:val="20"/>
        </w:rPr>
        <w:t>A</w:t>
      </w:r>
      <w:r w:rsidRPr="001031F8">
        <w:rPr>
          <w:rFonts w:ascii="Times New Roman" w:hAnsi="Times New Roman" w:cs="Times New Roman"/>
          <w:sz w:val="20"/>
          <w:szCs w:val="20"/>
        </w:rPr>
        <w:t>.1. Key features of the long-term care insurance in China.</w:t>
      </w:r>
      <w:bookmarkEnd w:id="5"/>
    </w:p>
    <w:tbl>
      <w:tblPr>
        <w:tblW w:w="10348" w:type="dxa"/>
        <w:jc w:val="center"/>
        <w:tblCellMar>
          <w:top w:w="20" w:type="dxa"/>
          <w:bottom w:w="22" w:type="dxa"/>
        </w:tblCellMar>
        <w:tblLook w:val="04A0" w:firstRow="1" w:lastRow="0" w:firstColumn="1" w:lastColumn="0" w:noHBand="0" w:noVBand="1"/>
      </w:tblPr>
      <w:tblGrid>
        <w:gridCol w:w="1603"/>
        <w:gridCol w:w="1941"/>
        <w:gridCol w:w="6804"/>
      </w:tblGrid>
      <w:tr w:rsidR="00923F07" w:rsidRPr="001031F8" w14:paraId="35401175" w14:textId="77777777" w:rsidTr="003D19E1">
        <w:trPr>
          <w:trHeight w:val="209"/>
          <w:jc w:val="center"/>
        </w:trPr>
        <w:tc>
          <w:tcPr>
            <w:tcW w:w="1603" w:type="dxa"/>
            <w:tcBorders>
              <w:top w:val="single" w:sz="4" w:space="0" w:color="auto"/>
              <w:left w:val="nil"/>
              <w:right w:val="nil"/>
            </w:tcBorders>
          </w:tcPr>
          <w:p w14:paraId="0925EFAA"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Fund pooling</w:t>
            </w:r>
          </w:p>
        </w:tc>
        <w:tc>
          <w:tcPr>
            <w:tcW w:w="1941" w:type="dxa"/>
            <w:tcBorders>
              <w:top w:val="single" w:sz="4" w:space="0" w:color="auto"/>
              <w:left w:val="nil"/>
              <w:right w:val="nil"/>
            </w:tcBorders>
          </w:tcPr>
          <w:p w14:paraId="0F6807E1"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p>
        </w:tc>
        <w:tc>
          <w:tcPr>
            <w:tcW w:w="6804" w:type="dxa"/>
            <w:tcBorders>
              <w:top w:val="single" w:sz="4" w:space="0" w:color="auto"/>
              <w:left w:val="nil"/>
              <w:right w:val="nil"/>
            </w:tcBorders>
          </w:tcPr>
          <w:p w14:paraId="25030248" w14:textId="77777777" w:rsidR="00923F07" w:rsidRPr="001031F8" w:rsidRDefault="00923F07" w:rsidP="003D19E1">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1) use Social Health Insurance funds solely (</w:t>
            </w:r>
            <w:proofErr w:type="spellStart"/>
            <w:r w:rsidRPr="001031F8">
              <w:rPr>
                <w:rFonts w:ascii="Times New Roman" w:hAnsi="Times New Roman" w:cs="Times New Roman"/>
                <w:sz w:val="20"/>
                <w:szCs w:val="20"/>
              </w:rPr>
              <w:t>e.g</w:t>
            </w:r>
            <w:proofErr w:type="spellEnd"/>
            <w:r w:rsidRPr="001031F8">
              <w:rPr>
                <w:rFonts w:ascii="Times New Roman" w:hAnsi="Times New Roman" w:cs="Times New Roman"/>
                <w:sz w:val="20"/>
                <w:szCs w:val="20"/>
              </w:rPr>
              <w:t>, Ningbo)</w:t>
            </w:r>
          </w:p>
          <w:p w14:paraId="7F7B38D4"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 xml:space="preserve">2) two (e.g., </w:t>
            </w:r>
            <w:proofErr w:type="spellStart"/>
            <w:r w:rsidRPr="001031F8">
              <w:rPr>
                <w:rFonts w:ascii="Times New Roman" w:hAnsi="Times New Roman" w:cs="Times New Roman"/>
                <w:sz w:val="20"/>
                <w:szCs w:val="20"/>
              </w:rPr>
              <w:t>Qiqihaer</w:t>
            </w:r>
            <w:proofErr w:type="spellEnd"/>
            <w:r w:rsidRPr="001031F8">
              <w:rPr>
                <w:rFonts w:ascii="Times New Roman" w:hAnsi="Times New Roman" w:cs="Times New Roman"/>
                <w:sz w:val="20"/>
                <w:szCs w:val="20"/>
              </w:rPr>
              <w:t>) or three (e.g., Chengde) grant schemes, including Social Health Insurance, financial assistance, employers’ contributions, personal payments, and welfare lottery funds</w:t>
            </w:r>
          </w:p>
        </w:tc>
      </w:tr>
      <w:tr w:rsidR="00923F07" w:rsidRPr="001031F8" w14:paraId="5E67FCA1" w14:textId="77777777" w:rsidTr="003D19E1">
        <w:trPr>
          <w:trHeight w:val="102"/>
          <w:jc w:val="center"/>
        </w:trPr>
        <w:tc>
          <w:tcPr>
            <w:tcW w:w="1603" w:type="dxa"/>
            <w:tcBorders>
              <w:left w:val="nil"/>
              <w:bottom w:val="nil"/>
              <w:right w:val="nil"/>
            </w:tcBorders>
          </w:tcPr>
          <w:p w14:paraId="75EA7377"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Purchasing</w:t>
            </w:r>
          </w:p>
        </w:tc>
        <w:tc>
          <w:tcPr>
            <w:tcW w:w="1941" w:type="dxa"/>
            <w:tcBorders>
              <w:left w:val="nil"/>
              <w:bottom w:val="nil"/>
              <w:right w:val="nil"/>
            </w:tcBorders>
            <w:vAlign w:val="bottom"/>
          </w:tcPr>
          <w:p w14:paraId="3E5CA4C0"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Hospitals</w:t>
            </w:r>
          </w:p>
        </w:tc>
        <w:tc>
          <w:tcPr>
            <w:tcW w:w="6804" w:type="dxa"/>
            <w:tcBorders>
              <w:left w:val="nil"/>
              <w:bottom w:val="nil"/>
              <w:right w:val="nil"/>
            </w:tcBorders>
          </w:tcPr>
          <w:p w14:paraId="032931CB"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40-150 CNY per day for care provided.</w:t>
            </w:r>
          </w:p>
        </w:tc>
      </w:tr>
      <w:tr w:rsidR="00923F07" w:rsidRPr="001031F8" w14:paraId="68E05279" w14:textId="77777777" w:rsidTr="003D19E1">
        <w:trPr>
          <w:trHeight w:val="25"/>
          <w:jc w:val="center"/>
        </w:trPr>
        <w:tc>
          <w:tcPr>
            <w:tcW w:w="1603" w:type="dxa"/>
            <w:tcBorders>
              <w:top w:val="nil"/>
              <w:left w:val="nil"/>
              <w:bottom w:val="nil"/>
              <w:right w:val="nil"/>
            </w:tcBorders>
          </w:tcPr>
          <w:p w14:paraId="56539C0F"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p>
        </w:tc>
        <w:tc>
          <w:tcPr>
            <w:tcW w:w="1941" w:type="dxa"/>
            <w:tcBorders>
              <w:top w:val="nil"/>
              <w:left w:val="nil"/>
              <w:bottom w:val="nil"/>
              <w:right w:val="nil"/>
            </w:tcBorders>
          </w:tcPr>
          <w:p w14:paraId="6096C7AF"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Nursing home</w:t>
            </w:r>
          </w:p>
        </w:tc>
        <w:tc>
          <w:tcPr>
            <w:tcW w:w="6804" w:type="dxa"/>
            <w:tcBorders>
              <w:top w:val="nil"/>
              <w:left w:val="nil"/>
              <w:bottom w:val="nil"/>
              <w:right w:val="nil"/>
            </w:tcBorders>
          </w:tcPr>
          <w:p w14:paraId="1377756B"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23-120 CNY per day for nursing homes.</w:t>
            </w:r>
          </w:p>
        </w:tc>
      </w:tr>
      <w:tr w:rsidR="00923F07" w:rsidRPr="001031F8" w14:paraId="74E27CE0" w14:textId="77777777" w:rsidTr="003D19E1">
        <w:trPr>
          <w:trHeight w:val="47"/>
          <w:jc w:val="center"/>
        </w:trPr>
        <w:tc>
          <w:tcPr>
            <w:tcW w:w="1603" w:type="dxa"/>
            <w:tcBorders>
              <w:top w:val="nil"/>
              <w:left w:val="nil"/>
              <w:bottom w:val="nil"/>
              <w:right w:val="nil"/>
            </w:tcBorders>
          </w:tcPr>
          <w:p w14:paraId="00C8EC8A"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p>
        </w:tc>
        <w:tc>
          <w:tcPr>
            <w:tcW w:w="1941" w:type="dxa"/>
            <w:tcBorders>
              <w:top w:val="nil"/>
              <w:left w:val="nil"/>
              <w:bottom w:val="nil"/>
              <w:right w:val="nil"/>
            </w:tcBorders>
          </w:tcPr>
          <w:p w14:paraId="372711EC"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Home-based care</w:t>
            </w:r>
          </w:p>
        </w:tc>
        <w:tc>
          <w:tcPr>
            <w:tcW w:w="6804" w:type="dxa"/>
            <w:tcBorders>
              <w:top w:val="nil"/>
              <w:left w:val="nil"/>
              <w:bottom w:val="nil"/>
              <w:right w:val="nil"/>
            </w:tcBorders>
          </w:tcPr>
          <w:p w14:paraId="70E74F84"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20-105 CNY per day for home-based care.</w:t>
            </w:r>
          </w:p>
        </w:tc>
      </w:tr>
      <w:tr w:rsidR="00923F07" w:rsidRPr="001031F8" w14:paraId="731A5622" w14:textId="77777777" w:rsidTr="003D19E1">
        <w:trPr>
          <w:trHeight w:val="307"/>
          <w:jc w:val="center"/>
        </w:trPr>
        <w:tc>
          <w:tcPr>
            <w:tcW w:w="1603" w:type="dxa"/>
            <w:tcBorders>
              <w:top w:val="nil"/>
              <w:left w:val="nil"/>
              <w:bottom w:val="nil"/>
            </w:tcBorders>
          </w:tcPr>
          <w:p w14:paraId="2FDD9C61"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Services covered</w:t>
            </w:r>
          </w:p>
        </w:tc>
        <w:tc>
          <w:tcPr>
            <w:tcW w:w="1941" w:type="dxa"/>
          </w:tcPr>
          <w:p w14:paraId="63C50A94"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Hospitals</w:t>
            </w:r>
          </w:p>
        </w:tc>
        <w:tc>
          <w:tcPr>
            <w:tcW w:w="6804" w:type="dxa"/>
            <w:vMerge w:val="restart"/>
          </w:tcPr>
          <w:p w14:paraId="1933CBB3"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For institutional care provided at hospitals and nursing homes, LTCI covers nursing care provided by designated caregivers. Patients are responsible for payments related to food, travel, accommodation, and carer costs.</w:t>
            </w:r>
          </w:p>
        </w:tc>
      </w:tr>
      <w:tr w:rsidR="00923F07" w:rsidRPr="001031F8" w14:paraId="72D8B7EE" w14:textId="77777777" w:rsidTr="003D19E1">
        <w:trPr>
          <w:trHeight w:val="20"/>
          <w:jc w:val="center"/>
        </w:trPr>
        <w:tc>
          <w:tcPr>
            <w:tcW w:w="1603" w:type="dxa"/>
            <w:tcBorders>
              <w:top w:val="nil"/>
              <w:left w:val="nil"/>
              <w:bottom w:val="nil"/>
            </w:tcBorders>
          </w:tcPr>
          <w:p w14:paraId="54675AD3"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p>
        </w:tc>
        <w:tc>
          <w:tcPr>
            <w:tcW w:w="1941" w:type="dxa"/>
          </w:tcPr>
          <w:p w14:paraId="1C142FE4"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Nursing home</w:t>
            </w:r>
          </w:p>
        </w:tc>
        <w:tc>
          <w:tcPr>
            <w:tcW w:w="6804" w:type="dxa"/>
            <w:vMerge/>
          </w:tcPr>
          <w:p w14:paraId="4D7DEC22"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p>
        </w:tc>
      </w:tr>
      <w:tr w:rsidR="00923F07" w:rsidRPr="001031F8" w14:paraId="65A0798A" w14:textId="77777777" w:rsidTr="003D19E1">
        <w:trPr>
          <w:trHeight w:val="117"/>
          <w:jc w:val="center"/>
        </w:trPr>
        <w:tc>
          <w:tcPr>
            <w:tcW w:w="1603" w:type="dxa"/>
            <w:tcBorders>
              <w:top w:val="nil"/>
              <w:left w:val="nil"/>
              <w:bottom w:val="nil"/>
            </w:tcBorders>
          </w:tcPr>
          <w:p w14:paraId="7F150EA8"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p>
        </w:tc>
        <w:tc>
          <w:tcPr>
            <w:tcW w:w="1941" w:type="dxa"/>
          </w:tcPr>
          <w:p w14:paraId="65E04421"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Home-based care</w:t>
            </w:r>
          </w:p>
        </w:tc>
        <w:tc>
          <w:tcPr>
            <w:tcW w:w="6804" w:type="dxa"/>
          </w:tcPr>
          <w:p w14:paraId="67A2A4FD"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Regular visits from</w:t>
            </w:r>
            <w:r w:rsidRPr="001031F8">
              <w:rPr>
                <w:rFonts w:ascii="Times New Roman" w:hAnsi="Times New Roman" w:cs="Times New Roman"/>
                <w:color w:val="0D0D0D"/>
                <w:sz w:val="20"/>
                <w:szCs w:val="20"/>
                <w:shd w:val="clear" w:color="auto" w:fill="FFFFFF"/>
              </w:rPr>
              <w:t xml:space="preserve"> </w:t>
            </w:r>
            <w:r w:rsidRPr="001031F8">
              <w:rPr>
                <w:rFonts w:ascii="Times New Roman" w:hAnsi="Times New Roman" w:cs="Times New Roman"/>
                <w:sz w:val="20"/>
                <w:szCs w:val="20"/>
              </w:rPr>
              <w:t>home care assistants (depending on the pilot cities).</w:t>
            </w:r>
          </w:p>
        </w:tc>
      </w:tr>
      <w:tr w:rsidR="00923F07" w:rsidRPr="001031F8" w14:paraId="23E8F06F" w14:textId="77777777" w:rsidTr="003D19E1">
        <w:trPr>
          <w:trHeight w:val="407"/>
          <w:jc w:val="center"/>
        </w:trPr>
        <w:tc>
          <w:tcPr>
            <w:tcW w:w="1603" w:type="dxa"/>
            <w:tcBorders>
              <w:top w:val="nil"/>
              <w:left w:val="nil"/>
              <w:bottom w:val="nil"/>
              <w:right w:val="nil"/>
            </w:tcBorders>
          </w:tcPr>
          <w:p w14:paraId="58639818"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Eligibility</w:t>
            </w:r>
          </w:p>
        </w:tc>
        <w:tc>
          <w:tcPr>
            <w:tcW w:w="8745" w:type="dxa"/>
            <w:gridSpan w:val="2"/>
            <w:tcBorders>
              <w:left w:val="nil"/>
              <w:bottom w:val="nil"/>
              <w:right w:val="nil"/>
            </w:tcBorders>
          </w:tcPr>
          <w:p w14:paraId="7FCEBF4F"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Eligible participants need to meet the following criteria (varying by pilot cities):</w:t>
            </w:r>
          </w:p>
          <w:p w14:paraId="398E3DCC" w14:textId="77777777" w:rsidR="00923F07" w:rsidRPr="001031F8" w:rsidRDefault="00923F07" w:rsidP="007B0D17">
            <w:pPr>
              <w:pStyle w:val="ListParagraph"/>
              <w:numPr>
                <w:ilvl w:val="0"/>
                <w:numId w:val="3"/>
              </w:numPr>
              <w:adjustRightInd w:val="0"/>
              <w:snapToGrid w:val="0"/>
              <w:spacing w:line="480" w:lineRule="auto"/>
              <w:ind w:firstLineChars="0"/>
              <w:jc w:val="left"/>
              <w:rPr>
                <w:rFonts w:ascii="Times New Roman" w:hAnsi="Times New Roman" w:cs="Times New Roman"/>
                <w:sz w:val="20"/>
                <w:szCs w:val="20"/>
              </w:rPr>
            </w:pPr>
            <w:r w:rsidRPr="001031F8">
              <w:rPr>
                <w:rFonts w:ascii="Times New Roman" w:hAnsi="Times New Roman" w:cs="Times New Roman"/>
                <w:sz w:val="20"/>
                <w:szCs w:val="20"/>
              </w:rPr>
              <w:t>have undergone a long-term care needs assessment and have been determined to have certain levels of needs</w:t>
            </w:r>
          </w:p>
          <w:p w14:paraId="20E59DF1" w14:textId="77777777" w:rsidR="00923F07" w:rsidRPr="001031F8" w:rsidRDefault="00923F07" w:rsidP="007B0D17">
            <w:pPr>
              <w:pStyle w:val="ListParagraph"/>
              <w:numPr>
                <w:ilvl w:val="0"/>
                <w:numId w:val="3"/>
              </w:numPr>
              <w:adjustRightInd w:val="0"/>
              <w:snapToGrid w:val="0"/>
              <w:spacing w:line="480" w:lineRule="auto"/>
              <w:ind w:firstLineChars="0"/>
              <w:jc w:val="left"/>
              <w:rPr>
                <w:rFonts w:ascii="Times New Roman" w:hAnsi="Times New Roman" w:cs="Times New Roman"/>
                <w:sz w:val="20"/>
                <w:szCs w:val="20"/>
              </w:rPr>
            </w:pPr>
            <w:r w:rsidRPr="001031F8">
              <w:rPr>
                <w:rFonts w:ascii="Times New Roman" w:hAnsi="Times New Roman" w:cs="Times New Roman"/>
                <w:sz w:val="20"/>
                <w:szCs w:val="20"/>
              </w:rPr>
              <w:t>be residents enrolled in UEI, URI, or URMI (depending on the pilot cities)</w:t>
            </w:r>
          </w:p>
        </w:tc>
      </w:tr>
      <w:tr w:rsidR="00923F07" w:rsidRPr="001031F8" w14:paraId="55F5A25D" w14:textId="77777777" w:rsidTr="003D19E1">
        <w:trPr>
          <w:trHeight w:val="31"/>
          <w:jc w:val="center"/>
        </w:trPr>
        <w:tc>
          <w:tcPr>
            <w:tcW w:w="1603" w:type="dxa"/>
            <w:tcBorders>
              <w:top w:val="nil"/>
              <w:left w:val="nil"/>
              <w:bottom w:val="single" w:sz="4" w:space="0" w:color="000000"/>
              <w:right w:val="nil"/>
            </w:tcBorders>
          </w:tcPr>
          <w:p w14:paraId="3A5C898C"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Premiums and copayments</w:t>
            </w:r>
          </w:p>
        </w:tc>
        <w:tc>
          <w:tcPr>
            <w:tcW w:w="8745" w:type="dxa"/>
            <w:gridSpan w:val="2"/>
            <w:tcBorders>
              <w:top w:val="nil"/>
              <w:left w:val="nil"/>
              <w:bottom w:val="single" w:sz="4" w:space="0" w:color="000000"/>
              <w:right w:val="nil"/>
            </w:tcBorders>
          </w:tcPr>
          <w:p w14:paraId="0B1594AF" w14:textId="77777777" w:rsidR="00923F07" w:rsidRPr="001031F8" w:rsidRDefault="00923F07" w:rsidP="003D19E1">
            <w:pPr>
              <w:adjustRightInd w:val="0"/>
              <w:snapToGrid w:val="0"/>
              <w:spacing w:line="480" w:lineRule="auto"/>
              <w:ind w:left="200" w:hangingChars="100" w:hanging="200"/>
              <w:jc w:val="left"/>
              <w:rPr>
                <w:rFonts w:ascii="Times New Roman" w:hAnsi="Times New Roman" w:cs="Times New Roman"/>
                <w:sz w:val="20"/>
                <w:szCs w:val="20"/>
              </w:rPr>
            </w:pPr>
            <w:r w:rsidRPr="001031F8">
              <w:rPr>
                <w:rFonts w:ascii="Times New Roman" w:hAnsi="Times New Roman" w:cs="Times New Roman"/>
                <w:sz w:val="20"/>
                <w:szCs w:val="20"/>
              </w:rPr>
              <w:t>An annual contribution of RMB 20-180 for UEI a RMB 10-90 for UEI or URRMI. Copayments can be found in Table S2</w:t>
            </w:r>
          </w:p>
        </w:tc>
      </w:tr>
    </w:tbl>
    <w:p w14:paraId="4B62AABE" w14:textId="77777777" w:rsidR="00923F07" w:rsidRPr="001031F8" w:rsidRDefault="00923F07" w:rsidP="007B0D17">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i/>
          <w:iCs/>
          <w:sz w:val="20"/>
          <w:szCs w:val="20"/>
        </w:rPr>
        <w:t>Notes</w:t>
      </w:r>
      <w:r w:rsidRPr="001031F8">
        <w:rPr>
          <w:rFonts w:ascii="Times New Roman" w:hAnsi="Times New Roman" w:cs="Times New Roman"/>
          <w:sz w:val="20"/>
          <w:szCs w:val="20"/>
        </w:rPr>
        <w:t>. UEI</w:t>
      </w:r>
      <w:r w:rsidRPr="001031F8">
        <w:rPr>
          <w:rFonts w:ascii="Times New Roman" w:hAnsi="Times New Roman" w:cs="Times New Roman"/>
          <w:bCs/>
          <w:kern w:val="0"/>
          <w:sz w:val="20"/>
          <w:szCs w:val="20"/>
        </w:rPr>
        <w:t xml:space="preserve">: </w:t>
      </w:r>
      <w:r w:rsidRPr="001031F8">
        <w:rPr>
          <w:rFonts w:ascii="Times New Roman" w:hAnsi="Times New Roman" w:cs="Times New Roman"/>
          <w:sz w:val="20"/>
          <w:szCs w:val="20"/>
        </w:rPr>
        <w:t>Urban Employee Insurance. URI</w:t>
      </w:r>
      <w:r w:rsidRPr="001031F8">
        <w:rPr>
          <w:rFonts w:ascii="Times New Roman" w:hAnsi="Times New Roman" w:cs="Times New Roman"/>
          <w:bCs/>
          <w:kern w:val="0"/>
          <w:sz w:val="20"/>
          <w:szCs w:val="20"/>
        </w:rPr>
        <w:t>:</w:t>
      </w:r>
      <w:r w:rsidRPr="001031F8">
        <w:rPr>
          <w:rFonts w:ascii="Times New Roman" w:hAnsi="Times New Roman" w:cs="Times New Roman"/>
          <w:sz w:val="20"/>
          <w:szCs w:val="20"/>
        </w:rPr>
        <w:t xml:space="preserve"> Urban Resident Employee Insurance. URRMI</w:t>
      </w:r>
      <w:r w:rsidRPr="001031F8">
        <w:rPr>
          <w:rFonts w:ascii="Times New Roman" w:hAnsi="Times New Roman" w:cs="Times New Roman"/>
          <w:bCs/>
          <w:kern w:val="0"/>
          <w:sz w:val="20"/>
          <w:szCs w:val="20"/>
        </w:rPr>
        <w:t>:</w:t>
      </w:r>
      <w:r w:rsidRPr="001031F8">
        <w:rPr>
          <w:rFonts w:ascii="Times New Roman" w:hAnsi="Times New Roman" w:cs="Times New Roman"/>
          <w:sz w:val="20"/>
          <w:szCs w:val="20"/>
        </w:rPr>
        <w:t xml:space="preserve"> Urban-</w:t>
      </w:r>
      <w:r w:rsidRPr="001031F8">
        <w:rPr>
          <w:rFonts w:ascii="Times New Roman" w:hAnsi="Times New Roman" w:cs="Times New Roman"/>
          <w:sz w:val="20"/>
          <w:szCs w:val="20"/>
        </w:rPr>
        <w:lastRenderedPageBreak/>
        <w:t xml:space="preserve">Rural Resident Medical Insurance. Source: </w:t>
      </w:r>
      <w:r>
        <w:rPr>
          <w:rFonts w:ascii="Times New Roman" w:hAnsi="Times New Roman" w:cs="Times New Roman"/>
          <w:noProof/>
          <w:sz w:val="20"/>
          <w:szCs w:val="20"/>
        </w:rPr>
        <w:t>(National Healthcare Security Administration of China &amp; Ministry of Finance of China, 2020; Pei et al., 2024; Yang et al., 2018; Zhou &amp; Dai, 2021)</w:t>
      </w:r>
    </w:p>
    <w:p w14:paraId="233D1683" w14:textId="77777777" w:rsidR="00923F07" w:rsidRPr="001031F8" w:rsidRDefault="00923F07" w:rsidP="007B0D17">
      <w:pPr>
        <w:adjustRightInd w:val="0"/>
        <w:snapToGrid w:val="0"/>
        <w:spacing w:line="480" w:lineRule="auto"/>
        <w:jc w:val="left"/>
        <w:rPr>
          <w:rFonts w:ascii="Times New Roman" w:hAnsi="Times New Roman" w:cs="Times New Roman"/>
          <w:sz w:val="20"/>
          <w:szCs w:val="20"/>
        </w:rPr>
      </w:pPr>
    </w:p>
    <w:p w14:paraId="7995711C" w14:textId="77777777" w:rsidR="00923F07" w:rsidRPr="001031F8" w:rsidRDefault="00923F07" w:rsidP="007B0D17">
      <w:pPr>
        <w:widowControl/>
        <w:adjustRightInd w:val="0"/>
        <w:snapToGrid w:val="0"/>
        <w:spacing w:line="480" w:lineRule="auto"/>
        <w:jc w:val="left"/>
        <w:rPr>
          <w:rStyle w:val="Heading1Char"/>
          <w:rFonts w:ascii="Times New Roman" w:hAnsi="Times New Roman" w:cs="Times New Roman"/>
          <w:sz w:val="20"/>
          <w:szCs w:val="20"/>
        </w:rPr>
      </w:pPr>
      <w:r w:rsidRPr="001031F8">
        <w:rPr>
          <w:rStyle w:val="Heading1Char"/>
          <w:rFonts w:ascii="Times New Roman" w:hAnsi="Times New Roman" w:cs="Times New Roman"/>
          <w:sz w:val="20"/>
          <w:szCs w:val="20"/>
        </w:rPr>
        <w:br w:type="page"/>
      </w:r>
    </w:p>
    <w:p w14:paraId="752130FC" w14:textId="77777777" w:rsidR="00923F07" w:rsidRPr="001031F8" w:rsidRDefault="00923F07" w:rsidP="007B0D17">
      <w:pPr>
        <w:pStyle w:val="Heading1"/>
        <w:adjustRightInd w:val="0"/>
        <w:snapToGrid w:val="0"/>
        <w:spacing w:before="0" w:after="0" w:line="480" w:lineRule="auto"/>
        <w:rPr>
          <w:b w:val="0"/>
          <w:bCs w:val="0"/>
          <w:sz w:val="20"/>
          <w:szCs w:val="20"/>
        </w:rPr>
      </w:pPr>
      <w:bookmarkStart w:id="6" w:name="_Toc195209561"/>
      <w:r w:rsidRPr="001031F8">
        <w:rPr>
          <w:rStyle w:val="Heading1Char"/>
          <w:rFonts w:ascii="Times New Roman" w:hAnsi="Times New Roman" w:cs="Times New Roman"/>
          <w:b/>
          <w:bCs/>
          <w:sz w:val="20"/>
          <w:szCs w:val="20"/>
        </w:rPr>
        <w:lastRenderedPageBreak/>
        <w:t xml:space="preserve">Section </w:t>
      </w:r>
      <w:r>
        <w:rPr>
          <w:rStyle w:val="Heading1Char"/>
          <w:rFonts w:ascii="Times New Roman" w:hAnsi="Times New Roman" w:cs="Times New Roman" w:hint="eastAsia"/>
          <w:b/>
          <w:bCs/>
          <w:sz w:val="20"/>
          <w:szCs w:val="20"/>
        </w:rPr>
        <w:t>B</w:t>
      </w:r>
      <w:r w:rsidRPr="001031F8">
        <w:rPr>
          <w:rStyle w:val="Heading1Char"/>
          <w:rFonts w:ascii="Times New Roman" w:hAnsi="Times New Roman" w:cs="Times New Roman"/>
          <w:b/>
          <w:bCs/>
          <w:sz w:val="20"/>
          <w:szCs w:val="20"/>
        </w:rPr>
        <w:t>: Measurement of cognitive function and physical limitations</w:t>
      </w:r>
      <w:bookmarkEnd w:id="6"/>
    </w:p>
    <w:p w14:paraId="15613075" w14:textId="77777777" w:rsidR="00923F07" w:rsidRPr="001031F8" w:rsidRDefault="00923F07" w:rsidP="007B0D17">
      <w:pPr>
        <w:adjustRightInd w:val="0"/>
        <w:snapToGrid w:val="0"/>
        <w:spacing w:line="480" w:lineRule="auto"/>
        <w:jc w:val="left"/>
        <w:rPr>
          <w:rFonts w:ascii="Times New Roman" w:hAnsi="Times New Roman" w:cs="Times New Roman"/>
          <w:sz w:val="20"/>
          <w:szCs w:val="20"/>
        </w:rPr>
      </w:pPr>
    </w:p>
    <w:p w14:paraId="4C8CA430" w14:textId="77777777" w:rsidR="00923F07" w:rsidRPr="001031F8" w:rsidRDefault="00923F07" w:rsidP="007B0D17">
      <w:pPr>
        <w:adjustRightInd w:val="0"/>
        <w:snapToGrid w:val="0"/>
        <w:spacing w:line="480" w:lineRule="auto"/>
        <w:rPr>
          <w:rFonts w:ascii="Times New Roman" w:hAnsi="Times New Roman" w:cs="Times New Roman"/>
          <w:b/>
          <w:bCs/>
          <w:sz w:val="20"/>
          <w:szCs w:val="20"/>
        </w:rPr>
      </w:pPr>
      <w:bookmarkStart w:id="7" w:name="_Hlk180316180"/>
      <w:r w:rsidRPr="001031F8">
        <w:rPr>
          <w:rFonts w:ascii="Times New Roman" w:hAnsi="Times New Roman" w:cs="Times New Roman"/>
          <w:b/>
          <w:bCs/>
          <w:sz w:val="20"/>
          <w:szCs w:val="20"/>
        </w:rPr>
        <w:t>Measure of cognitive function</w:t>
      </w:r>
    </w:p>
    <w:p w14:paraId="4A839B4E" w14:textId="77777777" w:rsidR="00923F07" w:rsidRPr="001031F8" w:rsidRDefault="00923F07" w:rsidP="007B0D17">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 xml:space="preserve">Since the questions measuring cognitive function at each wave of the China Health and Retirement Longitudinal Survey (CHARLS) are inconsistent, we followed the measure used in previous research </w:t>
      </w:r>
      <w:r>
        <w:rPr>
          <w:rFonts w:ascii="Times New Roman" w:hAnsi="Times New Roman" w:cs="Times New Roman"/>
          <w:noProof/>
          <w:color w:val="000000" w:themeColor="text1"/>
          <w:sz w:val="20"/>
          <w:szCs w:val="20"/>
        </w:rPr>
        <w:t>(Li et al., 2022)</w:t>
      </w:r>
      <w:r w:rsidRPr="001031F8">
        <w:rPr>
          <w:rFonts w:ascii="Times New Roman" w:hAnsi="Times New Roman" w:cs="Times New Roman"/>
          <w:color w:val="2E2E2E"/>
          <w:sz w:val="20"/>
          <w:szCs w:val="20"/>
        </w:rPr>
        <w:t xml:space="preserve"> </w:t>
      </w:r>
      <w:r w:rsidRPr="001031F8">
        <w:rPr>
          <w:rFonts w:ascii="Times New Roman" w:hAnsi="Times New Roman" w:cs="Times New Roman"/>
          <w:sz w:val="20"/>
          <w:szCs w:val="20"/>
        </w:rPr>
        <w:t xml:space="preserve">and calculated cognitive function by summing the number of correct responses to the 11 questions consistently asked in all waves. The total score ranges from 0 to 11, with a higher score indicating better cognitive function. Questions asked included today’s date (month, day, year, and seasons, four points), the day of the week (one point), the serial subtraction of seven from 100 (five times, five points), and figure drawing (one point) </w:t>
      </w:r>
      <w:r>
        <w:rPr>
          <w:rFonts w:ascii="Times New Roman" w:hAnsi="Times New Roman" w:cs="Times New Roman"/>
          <w:noProof/>
          <w:color w:val="000000" w:themeColor="text1"/>
          <w:sz w:val="20"/>
          <w:szCs w:val="20"/>
        </w:rPr>
        <w:t>(Li et al., 2022)</w:t>
      </w:r>
      <w:r w:rsidRPr="001031F8">
        <w:rPr>
          <w:rFonts w:ascii="Times New Roman" w:hAnsi="Times New Roman" w:cs="Times New Roman"/>
          <w:sz w:val="20"/>
          <w:szCs w:val="20"/>
        </w:rPr>
        <w:t>. In figure drawing, participants were asked to redraw a picture from a picture (one point)</w:t>
      </w:r>
      <w:r>
        <w:rPr>
          <w:rFonts w:ascii="Times New Roman" w:hAnsi="Times New Roman" w:cs="Times New Roman" w:hint="eastAsia"/>
          <w:sz w:val="20"/>
          <w:szCs w:val="20"/>
        </w:rPr>
        <w:t xml:space="preserve"> </w:t>
      </w:r>
      <w:r>
        <w:rPr>
          <w:rFonts w:ascii="Times New Roman" w:hAnsi="Times New Roman" w:cs="Times New Roman"/>
          <w:noProof/>
          <w:color w:val="000000" w:themeColor="text1"/>
          <w:sz w:val="20"/>
          <w:szCs w:val="20"/>
        </w:rPr>
        <w:t>(Li et al., 2022)</w:t>
      </w:r>
      <w:r w:rsidRPr="001031F8">
        <w:rPr>
          <w:rFonts w:ascii="Times New Roman" w:hAnsi="Times New Roman" w:cs="Times New Roman"/>
          <w:sz w:val="20"/>
          <w:szCs w:val="20"/>
        </w:rPr>
        <w:t>. Consistent with previous studies</w:t>
      </w:r>
      <w:r>
        <w:rPr>
          <w:rFonts w:ascii="Times New Roman" w:hAnsi="Times New Roman" w:cs="Times New Roman" w:hint="eastAsia"/>
          <w:noProof/>
          <w:color w:val="2E2E2E"/>
          <w:sz w:val="20"/>
          <w:szCs w:val="20"/>
        </w:rPr>
        <w:t xml:space="preserve"> </w:t>
      </w:r>
      <w:r>
        <w:rPr>
          <w:rFonts w:ascii="Times New Roman" w:hAnsi="Times New Roman" w:cs="Times New Roman"/>
          <w:noProof/>
          <w:color w:val="2E2E2E"/>
          <w:sz w:val="20"/>
          <w:szCs w:val="20"/>
        </w:rPr>
        <w:t>(Jak et al., 2009; Li et al., 2022)</w:t>
      </w:r>
      <w:r w:rsidRPr="001031F8">
        <w:rPr>
          <w:rFonts w:ascii="Times New Roman" w:hAnsi="Times New Roman" w:cs="Times New Roman"/>
          <w:sz w:val="20"/>
          <w:szCs w:val="20"/>
        </w:rPr>
        <w:t>, the respondent was categorized as having cognitive limitations if the summary score was less than six.</w:t>
      </w:r>
    </w:p>
    <w:p w14:paraId="35E9DF52" w14:textId="77777777" w:rsidR="00923F07" w:rsidRPr="001031F8" w:rsidRDefault="00923F07" w:rsidP="007B0D17">
      <w:pPr>
        <w:adjustRightInd w:val="0"/>
        <w:snapToGrid w:val="0"/>
        <w:spacing w:line="480" w:lineRule="auto"/>
        <w:rPr>
          <w:rFonts w:ascii="Times New Roman" w:hAnsi="Times New Roman" w:cs="Times New Roman"/>
          <w:sz w:val="20"/>
          <w:szCs w:val="20"/>
        </w:rPr>
      </w:pPr>
    </w:p>
    <w:p w14:paraId="68291A6A" w14:textId="77777777" w:rsidR="00923F07" w:rsidRPr="001031F8" w:rsidRDefault="00923F07" w:rsidP="007B0D17">
      <w:pPr>
        <w:adjustRightInd w:val="0"/>
        <w:snapToGrid w:val="0"/>
        <w:spacing w:line="480" w:lineRule="auto"/>
        <w:rPr>
          <w:rFonts w:ascii="Times New Roman" w:hAnsi="Times New Roman" w:cs="Times New Roman"/>
          <w:b/>
          <w:bCs/>
          <w:sz w:val="20"/>
          <w:szCs w:val="20"/>
        </w:rPr>
      </w:pPr>
      <w:r w:rsidRPr="001031F8">
        <w:rPr>
          <w:rFonts w:ascii="Times New Roman" w:hAnsi="Times New Roman" w:cs="Times New Roman"/>
          <w:b/>
          <w:bCs/>
          <w:sz w:val="20"/>
          <w:szCs w:val="20"/>
        </w:rPr>
        <w:t>Measure of physical limitations</w:t>
      </w:r>
    </w:p>
    <w:p w14:paraId="0BE7353E" w14:textId="77777777" w:rsidR="00923F07" w:rsidRPr="001031F8" w:rsidRDefault="00923F07" w:rsidP="007B0D17">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Physical limitations were measured by older adults’ ability to perform daily tasks</w:t>
      </w:r>
      <w:bookmarkStart w:id="8" w:name="_Hlk195198705"/>
      <w:r w:rsidRPr="00900C96">
        <w:rPr>
          <w:rFonts w:ascii="Times New Roman" w:hAnsi="Times New Roman" w:cs="Times New Roman"/>
          <w:sz w:val="20"/>
          <w:szCs w:val="20"/>
        </w:rPr>
        <w:t xml:space="preserve"> </w:t>
      </w:r>
      <w:bookmarkEnd w:id="8"/>
      <w:r w:rsidRPr="00624BD1">
        <w:rPr>
          <w:rFonts w:ascii="Times New Roman" w:hAnsi="Times New Roman" w:cs="Times New Roman"/>
          <w:noProof/>
          <w:sz w:val="20"/>
          <w:szCs w:val="20"/>
        </w:rPr>
        <w:t>(Hu et al., 2022)</w:t>
      </w:r>
      <w:r w:rsidRPr="001031F8">
        <w:rPr>
          <w:rFonts w:ascii="Times New Roman" w:hAnsi="Times New Roman" w:cs="Times New Roman"/>
          <w:sz w:val="20"/>
          <w:szCs w:val="20"/>
        </w:rPr>
        <w:t>. Participants were asked to report whether or not they had difficulties in performing six activities of daily living (ADLs; dressing, bathing, eating, walking across a room, using the toilet, and controlling urination), five instrumental activities of daily living (IADLs; doing household chores, cooking, shopping, taking medications, and managing money), and six mobility tasks (walking 100m, climbing several flights of stairs, getting up from a chair, stooping or kneeling or crouching, extending arms up, lifting 5kg, and picking up a small coin). We followed previous research</w:t>
      </w:r>
      <w:r w:rsidRPr="00900C96">
        <w:rPr>
          <w:rFonts w:ascii="Times New Roman" w:hAnsi="Times New Roman" w:cs="Times New Roman"/>
          <w:sz w:val="20"/>
          <w:szCs w:val="20"/>
        </w:rPr>
        <w:t xml:space="preserve"> </w:t>
      </w:r>
      <w:r w:rsidRPr="00624BD1">
        <w:rPr>
          <w:rFonts w:ascii="Times New Roman" w:hAnsi="Times New Roman" w:cs="Times New Roman"/>
          <w:noProof/>
          <w:sz w:val="20"/>
          <w:szCs w:val="20"/>
        </w:rPr>
        <w:t>(Hu et al., 2022)</w:t>
      </w:r>
      <w:r w:rsidRPr="001031F8">
        <w:rPr>
          <w:rFonts w:ascii="Times New Roman" w:hAnsi="Times New Roman" w:cs="Times New Roman"/>
          <w:b/>
          <w:bCs/>
          <w:sz w:val="20"/>
          <w:szCs w:val="20"/>
        </w:rPr>
        <w:t xml:space="preserve"> </w:t>
      </w:r>
      <w:r w:rsidRPr="001031F8">
        <w:rPr>
          <w:rFonts w:ascii="Times New Roman" w:hAnsi="Times New Roman" w:cs="Times New Roman"/>
          <w:sz w:val="20"/>
          <w:szCs w:val="20"/>
        </w:rPr>
        <w:t xml:space="preserve">and created a dichotomous variable to identify older adults with physical limitations: 1 = have at least one difficulty with any ADLs, IADLs, or mobility tasks; 0 = </w:t>
      </w:r>
      <w:proofErr w:type="gramStart"/>
      <w:r w:rsidRPr="001031F8">
        <w:rPr>
          <w:rFonts w:ascii="Times New Roman" w:hAnsi="Times New Roman" w:cs="Times New Roman"/>
          <w:sz w:val="20"/>
          <w:szCs w:val="20"/>
        </w:rPr>
        <w:t>none</w:t>
      </w:r>
      <w:proofErr w:type="gramEnd"/>
      <w:r w:rsidRPr="001031F8">
        <w:rPr>
          <w:rFonts w:ascii="Times New Roman" w:hAnsi="Times New Roman" w:cs="Times New Roman"/>
          <w:sz w:val="20"/>
          <w:szCs w:val="20"/>
        </w:rPr>
        <w:t xml:space="preserve"> difficulties.</w:t>
      </w:r>
      <w:bookmarkEnd w:id="7"/>
    </w:p>
    <w:p w14:paraId="3FF2521B" w14:textId="77777777" w:rsidR="00923F07" w:rsidRPr="001031F8" w:rsidRDefault="00923F07" w:rsidP="007B0D17">
      <w:pPr>
        <w:adjustRightInd w:val="0"/>
        <w:snapToGrid w:val="0"/>
        <w:spacing w:line="480" w:lineRule="auto"/>
        <w:jc w:val="left"/>
        <w:rPr>
          <w:rFonts w:ascii="Times New Roman" w:hAnsi="Times New Roman" w:cs="Times New Roman"/>
          <w:sz w:val="20"/>
          <w:szCs w:val="20"/>
        </w:rPr>
      </w:pPr>
    </w:p>
    <w:p w14:paraId="4E44B3B1" w14:textId="77777777" w:rsidR="00923F07" w:rsidRPr="001031F8" w:rsidRDefault="00923F07" w:rsidP="007B0D17">
      <w:pPr>
        <w:widowControl/>
        <w:adjustRightInd w:val="0"/>
        <w:snapToGrid w:val="0"/>
        <w:spacing w:line="480" w:lineRule="auto"/>
        <w:jc w:val="left"/>
        <w:rPr>
          <w:rStyle w:val="Heading1Char"/>
          <w:rFonts w:ascii="Times New Roman" w:hAnsi="Times New Roman" w:cs="Times New Roman"/>
          <w:sz w:val="20"/>
          <w:szCs w:val="20"/>
        </w:rPr>
      </w:pPr>
      <w:r w:rsidRPr="001031F8">
        <w:rPr>
          <w:rStyle w:val="Heading1Char"/>
          <w:rFonts w:ascii="Times New Roman" w:hAnsi="Times New Roman" w:cs="Times New Roman"/>
          <w:sz w:val="20"/>
          <w:szCs w:val="20"/>
        </w:rPr>
        <w:br w:type="page"/>
      </w:r>
    </w:p>
    <w:p w14:paraId="3CAE7DFE" w14:textId="77777777" w:rsidR="00923F07" w:rsidRPr="001031F8" w:rsidRDefault="00923F07" w:rsidP="001031F8">
      <w:pPr>
        <w:pStyle w:val="Heading1"/>
        <w:adjustRightInd w:val="0"/>
        <w:snapToGrid w:val="0"/>
        <w:spacing w:before="0" w:after="0" w:line="480" w:lineRule="auto"/>
        <w:jc w:val="center"/>
        <w:rPr>
          <w:rStyle w:val="Heading1Char"/>
          <w:rFonts w:ascii="Times New Roman" w:hAnsi="Times New Roman" w:cs="Times New Roman"/>
          <w:b/>
          <w:bCs/>
          <w:sz w:val="20"/>
          <w:szCs w:val="20"/>
        </w:rPr>
      </w:pPr>
      <w:bookmarkStart w:id="9" w:name="_Toc195209562"/>
      <w:r w:rsidRPr="001031F8">
        <w:rPr>
          <w:rStyle w:val="Heading1Char"/>
          <w:rFonts w:ascii="Times New Roman" w:hAnsi="Times New Roman" w:cs="Times New Roman" w:hint="eastAsia"/>
          <w:b/>
          <w:bCs/>
          <w:sz w:val="20"/>
          <w:szCs w:val="20"/>
        </w:rPr>
        <w:lastRenderedPageBreak/>
        <w:t xml:space="preserve">Section </w:t>
      </w:r>
      <w:r>
        <w:rPr>
          <w:rStyle w:val="Heading1Char"/>
          <w:rFonts w:ascii="Times New Roman" w:hAnsi="Times New Roman" w:cs="Times New Roman" w:hint="eastAsia"/>
          <w:b/>
          <w:bCs/>
          <w:sz w:val="20"/>
          <w:szCs w:val="20"/>
        </w:rPr>
        <w:t>C</w:t>
      </w:r>
      <w:r w:rsidRPr="001031F8">
        <w:rPr>
          <w:rStyle w:val="Heading1Char"/>
          <w:rFonts w:ascii="Times New Roman" w:hAnsi="Times New Roman" w:cs="Times New Roman" w:hint="eastAsia"/>
          <w:b/>
          <w:bCs/>
          <w:sz w:val="20"/>
          <w:szCs w:val="20"/>
        </w:rPr>
        <w:t>. Flow chart of the study sample</w:t>
      </w:r>
      <w:bookmarkEnd w:id="9"/>
    </w:p>
    <w:p w14:paraId="0D245A4F" w14:textId="77777777" w:rsidR="00923F07" w:rsidRPr="001031F8" w:rsidRDefault="00923F07" w:rsidP="001031F8">
      <w:pPr>
        <w:adjustRightInd w:val="0"/>
        <w:snapToGrid w:val="0"/>
        <w:spacing w:line="480" w:lineRule="auto"/>
        <w:rPr>
          <w:sz w:val="20"/>
          <w:szCs w:val="20"/>
        </w:rPr>
      </w:pPr>
    </w:p>
    <w:p w14:paraId="46A944CB" w14:textId="77777777" w:rsidR="00923F07" w:rsidRPr="001031F8" w:rsidRDefault="00923F07" w:rsidP="001031F8">
      <w:pPr>
        <w:pStyle w:val="Heading2"/>
        <w:adjustRightInd w:val="0"/>
        <w:snapToGrid w:val="0"/>
        <w:spacing w:before="0" w:after="0" w:line="480" w:lineRule="auto"/>
        <w:rPr>
          <w:rStyle w:val="Heading1Char"/>
          <w:rFonts w:ascii="Times New Roman" w:hAnsi="Times New Roman" w:cs="Times New Roman"/>
          <w:b/>
          <w:bCs/>
          <w:sz w:val="20"/>
          <w:szCs w:val="20"/>
        </w:rPr>
      </w:pPr>
      <w:bookmarkStart w:id="10" w:name="_Toc195209563"/>
      <w:r w:rsidRPr="001031F8">
        <w:rPr>
          <w:rStyle w:val="Heading1Char"/>
          <w:rFonts w:ascii="Times New Roman" w:hAnsi="Times New Roman" w:cs="Times New Roman"/>
          <w:b/>
          <w:bCs/>
          <w:sz w:val="20"/>
          <w:szCs w:val="20"/>
        </w:rPr>
        <w:t xml:space="preserve">Figure </w:t>
      </w:r>
      <w:r>
        <w:rPr>
          <w:rStyle w:val="Heading1Char"/>
          <w:rFonts w:ascii="Times New Roman" w:hAnsi="Times New Roman" w:cs="Times New Roman" w:hint="eastAsia"/>
          <w:b/>
          <w:bCs/>
          <w:sz w:val="20"/>
          <w:szCs w:val="20"/>
        </w:rPr>
        <w:t>C</w:t>
      </w:r>
      <w:r w:rsidRPr="001031F8">
        <w:rPr>
          <w:rStyle w:val="Heading1Char"/>
          <w:rFonts w:ascii="Times New Roman" w:hAnsi="Times New Roman" w:cs="Times New Roman"/>
          <w:b/>
          <w:bCs/>
          <w:sz w:val="20"/>
          <w:szCs w:val="20"/>
        </w:rPr>
        <w:t>.1. Flow chart of the study sample</w:t>
      </w:r>
      <w:bookmarkEnd w:id="10"/>
    </w:p>
    <w:p w14:paraId="66C0ED25" w14:textId="77777777" w:rsidR="00923F07" w:rsidRPr="001031F8" w:rsidRDefault="00923F07" w:rsidP="001031F8">
      <w:pPr>
        <w:adjustRightInd w:val="0"/>
        <w:snapToGrid w:val="0"/>
        <w:spacing w:line="480" w:lineRule="auto"/>
        <w:rPr>
          <w:rStyle w:val="Heading1Char"/>
          <w:rFonts w:ascii="Times New Roman" w:hAnsi="Times New Roman" w:cs="Times New Roman"/>
          <w:sz w:val="20"/>
          <w:szCs w:val="20"/>
        </w:rPr>
      </w:pPr>
      <w:r w:rsidRPr="001031F8">
        <w:rPr>
          <w:rFonts w:ascii="Times New Roman" w:hAnsi="Times New Roman" w:cs="Times New Roman"/>
          <w:b/>
          <w:bCs/>
          <w:noProof/>
          <w:sz w:val="20"/>
          <w:szCs w:val="20"/>
        </w:rPr>
        <w:drawing>
          <wp:inline distT="0" distB="0" distL="0" distR="0" wp14:anchorId="355CFD45" wp14:editId="4B6D2033">
            <wp:extent cx="4446070" cy="2383182"/>
            <wp:effectExtent l="0" t="0" r="0" b="0"/>
            <wp:docPr id="110722247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22478" name="Picture 1" descr="A black background with a black squar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86403" cy="2404801"/>
                    </a:xfrm>
                    <a:prstGeom prst="rect">
                      <a:avLst/>
                    </a:prstGeom>
                    <a:noFill/>
                  </pic:spPr>
                </pic:pic>
              </a:graphicData>
            </a:graphic>
          </wp:inline>
        </w:drawing>
      </w:r>
    </w:p>
    <w:p w14:paraId="125696A3" w14:textId="77777777" w:rsidR="00923F07" w:rsidRPr="001031F8" w:rsidRDefault="00923F07" w:rsidP="001031F8">
      <w:pPr>
        <w:adjustRightInd w:val="0"/>
        <w:snapToGrid w:val="0"/>
        <w:spacing w:line="480" w:lineRule="auto"/>
        <w:jc w:val="left"/>
        <w:rPr>
          <w:rStyle w:val="Heading1Char"/>
          <w:rFonts w:ascii="Times New Roman" w:hAnsi="Times New Roman" w:cs="Times New Roman"/>
          <w:sz w:val="20"/>
          <w:szCs w:val="20"/>
        </w:rPr>
      </w:pPr>
    </w:p>
    <w:p w14:paraId="1EDD97CD" w14:textId="77777777" w:rsidR="00923F07" w:rsidRPr="001031F8" w:rsidRDefault="00923F07" w:rsidP="001031F8">
      <w:pPr>
        <w:widowControl/>
        <w:adjustRightInd w:val="0"/>
        <w:snapToGrid w:val="0"/>
        <w:spacing w:line="480" w:lineRule="auto"/>
        <w:jc w:val="left"/>
        <w:rPr>
          <w:rStyle w:val="Heading1Char"/>
          <w:rFonts w:ascii="Times New Roman" w:hAnsi="Times New Roman" w:cs="Times New Roman"/>
          <w:sz w:val="20"/>
          <w:szCs w:val="20"/>
        </w:rPr>
      </w:pPr>
      <w:r w:rsidRPr="001031F8">
        <w:rPr>
          <w:rStyle w:val="Heading1Char"/>
          <w:rFonts w:ascii="Times New Roman" w:hAnsi="Times New Roman" w:cs="Times New Roman"/>
          <w:sz w:val="20"/>
          <w:szCs w:val="20"/>
        </w:rPr>
        <w:br w:type="page"/>
      </w:r>
    </w:p>
    <w:p w14:paraId="361549DF" w14:textId="77777777" w:rsidR="00923F07" w:rsidRPr="001031F8" w:rsidRDefault="00923F07" w:rsidP="001031F8">
      <w:pPr>
        <w:pStyle w:val="Heading1"/>
        <w:adjustRightInd w:val="0"/>
        <w:snapToGrid w:val="0"/>
        <w:spacing w:before="0" w:after="0" w:line="480" w:lineRule="auto"/>
        <w:rPr>
          <w:b w:val="0"/>
          <w:bCs w:val="0"/>
          <w:sz w:val="20"/>
          <w:szCs w:val="20"/>
        </w:rPr>
      </w:pPr>
      <w:bookmarkStart w:id="11" w:name="_Toc195209564"/>
      <w:bookmarkEnd w:id="0"/>
      <w:bookmarkEnd w:id="1"/>
      <w:r w:rsidRPr="001031F8">
        <w:rPr>
          <w:rStyle w:val="Heading1Char"/>
          <w:rFonts w:ascii="Times New Roman" w:hAnsi="Times New Roman" w:cs="Times New Roman"/>
          <w:b/>
          <w:bCs/>
          <w:sz w:val="20"/>
          <w:szCs w:val="20"/>
        </w:rPr>
        <w:lastRenderedPageBreak/>
        <w:t xml:space="preserve">Section </w:t>
      </w:r>
      <w:r>
        <w:rPr>
          <w:rStyle w:val="Heading1Char"/>
          <w:rFonts w:ascii="Times New Roman" w:hAnsi="Times New Roman" w:cs="Times New Roman" w:hint="eastAsia"/>
          <w:b/>
          <w:bCs/>
          <w:sz w:val="20"/>
          <w:szCs w:val="20"/>
        </w:rPr>
        <w:t>D</w:t>
      </w:r>
      <w:r w:rsidRPr="001031F8">
        <w:rPr>
          <w:rStyle w:val="Heading1Char"/>
          <w:rFonts w:ascii="Times New Roman" w:hAnsi="Times New Roman" w:cs="Times New Roman"/>
          <w:b/>
          <w:bCs/>
          <w:sz w:val="20"/>
          <w:szCs w:val="20"/>
        </w:rPr>
        <w:t>: Measurement of dependent variables</w:t>
      </w:r>
      <w:bookmarkEnd w:id="11"/>
    </w:p>
    <w:p w14:paraId="69BFC4E7" w14:textId="77777777" w:rsidR="00923F07" w:rsidRPr="001031F8" w:rsidRDefault="00923F07" w:rsidP="001031F8">
      <w:pPr>
        <w:adjustRightInd w:val="0"/>
        <w:snapToGrid w:val="0"/>
        <w:spacing w:line="480" w:lineRule="auto"/>
        <w:jc w:val="left"/>
        <w:rPr>
          <w:rFonts w:ascii="Times New Roman" w:hAnsi="Times New Roman" w:cs="Times New Roman"/>
          <w:b/>
          <w:bCs/>
          <w:sz w:val="20"/>
          <w:szCs w:val="20"/>
        </w:rPr>
      </w:pPr>
      <w:bookmarkStart w:id="12" w:name="_Hlk122355548"/>
    </w:p>
    <w:p w14:paraId="7CF1CA66"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 xml:space="preserve">The outcome in our study is the </w:t>
      </w:r>
      <w:r w:rsidRPr="001031F8">
        <w:rPr>
          <w:rFonts w:ascii="Times New Roman" w:hAnsi="Times New Roman" w:cs="Times New Roman" w:hint="eastAsia"/>
          <w:sz w:val="20"/>
          <w:szCs w:val="20"/>
        </w:rPr>
        <w:t xml:space="preserve">likelihood of </w:t>
      </w:r>
      <w:r w:rsidRPr="001031F8">
        <w:rPr>
          <w:rFonts w:ascii="Times New Roman" w:hAnsi="Times New Roman" w:cs="Times New Roman"/>
          <w:sz w:val="20"/>
          <w:szCs w:val="20"/>
        </w:rPr>
        <w:t>experiencing</w:t>
      </w:r>
      <w:r w:rsidRPr="001031F8">
        <w:rPr>
          <w:rFonts w:ascii="Times New Roman" w:hAnsi="Times New Roman" w:cs="Times New Roman" w:hint="eastAsia"/>
          <w:sz w:val="20"/>
          <w:szCs w:val="20"/>
        </w:rPr>
        <w:t xml:space="preserve"> </w:t>
      </w:r>
      <w:r w:rsidRPr="001031F8">
        <w:rPr>
          <w:rFonts w:ascii="Times New Roman" w:hAnsi="Times New Roman" w:cs="Times New Roman"/>
          <w:sz w:val="20"/>
          <w:szCs w:val="20"/>
        </w:rPr>
        <w:t>catastrophic health and long-term care expenditures (CHLTCE)</w:t>
      </w:r>
      <w:bookmarkEnd w:id="12"/>
      <w:r w:rsidRPr="001031F8">
        <w:rPr>
          <w:rFonts w:ascii="Times New Roman" w:hAnsi="Times New Roman" w:cs="Times New Roman"/>
          <w:sz w:val="20"/>
          <w:szCs w:val="20"/>
        </w:rPr>
        <w:t xml:space="preserve">. These indicators were calculated using measures of total health and </w:t>
      </w:r>
      <w:r>
        <w:rPr>
          <w:rFonts w:ascii="Times New Roman" w:hAnsi="Times New Roman" w:cs="Times New Roman" w:hint="eastAsia"/>
          <w:sz w:val="20"/>
          <w:szCs w:val="20"/>
        </w:rPr>
        <w:t>long-term care (</w:t>
      </w:r>
      <w:r w:rsidRPr="001031F8">
        <w:rPr>
          <w:rFonts w:ascii="Times New Roman" w:hAnsi="Times New Roman" w:cs="Times New Roman"/>
          <w:color w:val="2E2E2E"/>
          <w:sz w:val="20"/>
          <w:szCs w:val="20"/>
        </w:rPr>
        <w:t>LTC</w:t>
      </w:r>
      <w:r>
        <w:rPr>
          <w:rFonts w:ascii="Times New Roman" w:hAnsi="Times New Roman" w:cs="Times New Roman" w:hint="eastAsia"/>
          <w:color w:val="2E2E2E"/>
          <w:sz w:val="20"/>
          <w:szCs w:val="20"/>
        </w:rPr>
        <w:t>)</w:t>
      </w:r>
      <w:r w:rsidRPr="001031F8">
        <w:rPr>
          <w:rFonts w:ascii="Times New Roman" w:hAnsi="Times New Roman" w:cs="Times New Roman"/>
          <w:sz w:val="20"/>
          <w:szCs w:val="20"/>
        </w:rPr>
        <w:t xml:space="preserve"> costs by aggregating out-of-pocket healthcare expenditures</w:t>
      </w:r>
      <w:r w:rsidRPr="001031F8">
        <w:rPr>
          <w:rFonts w:ascii="Times New Roman" w:hAnsi="Times New Roman" w:cs="Times New Roman" w:hint="eastAsia"/>
          <w:sz w:val="20"/>
          <w:szCs w:val="20"/>
        </w:rPr>
        <w:t>,</w:t>
      </w:r>
      <w:r w:rsidRPr="001031F8">
        <w:rPr>
          <w:rFonts w:ascii="Times New Roman" w:hAnsi="Times New Roman" w:cs="Times New Roman"/>
          <w:sz w:val="20"/>
          <w:szCs w:val="20"/>
        </w:rPr>
        <w:t xml:space="preserve"> out-of-pocket formal care costs</w:t>
      </w:r>
      <w:r w:rsidRPr="001031F8">
        <w:rPr>
          <w:rFonts w:ascii="Times New Roman" w:hAnsi="Times New Roman" w:cs="Times New Roman" w:hint="eastAsia"/>
          <w:sz w:val="20"/>
          <w:szCs w:val="20"/>
        </w:rPr>
        <w:t>, and informal care costs</w:t>
      </w:r>
      <w:r w:rsidRPr="001031F8">
        <w:rPr>
          <w:rFonts w:ascii="Times New Roman" w:hAnsi="Times New Roman" w:cs="Times New Roman"/>
          <w:sz w:val="20"/>
          <w:szCs w:val="20"/>
        </w:rPr>
        <w:t>. In terms of healthcare expenditures, respondents in CHARLS were asked to report out-of-pocket expenditures in the previous year (e.g., inpatient and outpatient expenditures)</w:t>
      </w:r>
      <w:r>
        <w:rPr>
          <w:rFonts w:ascii="Times New Roman" w:hAnsi="Times New Roman" w:cs="Times New Roman" w:hint="eastAsia"/>
          <w:noProof/>
          <w:sz w:val="20"/>
          <w:szCs w:val="20"/>
        </w:rPr>
        <w:t xml:space="preserve"> </w:t>
      </w:r>
      <w:r>
        <w:rPr>
          <w:rFonts w:ascii="Times New Roman" w:hAnsi="Times New Roman" w:cs="Times New Roman"/>
          <w:noProof/>
          <w:sz w:val="20"/>
          <w:szCs w:val="20"/>
        </w:rPr>
        <w:t>(Yang &amp; Hu, 2022)</w:t>
      </w:r>
      <w:r w:rsidRPr="001031F8">
        <w:rPr>
          <w:rFonts w:ascii="Times New Roman" w:hAnsi="Times New Roman" w:cs="Times New Roman"/>
          <w:sz w:val="20"/>
          <w:szCs w:val="20"/>
        </w:rPr>
        <w:t xml:space="preserve">. We did not include indirect healthcare expenditures here (e.g., travel costs associated with receiving healthcare) as our data </w:t>
      </w:r>
      <w:proofErr w:type="gramStart"/>
      <w:r w:rsidRPr="001031F8">
        <w:rPr>
          <w:rFonts w:ascii="Times New Roman" w:hAnsi="Times New Roman" w:cs="Times New Roman"/>
          <w:sz w:val="20"/>
          <w:szCs w:val="20"/>
        </w:rPr>
        <w:t>do</w:t>
      </w:r>
      <w:proofErr w:type="gramEnd"/>
      <w:r w:rsidRPr="001031F8">
        <w:rPr>
          <w:rFonts w:ascii="Times New Roman" w:hAnsi="Times New Roman" w:cs="Times New Roman"/>
          <w:sz w:val="20"/>
          <w:szCs w:val="20"/>
        </w:rPr>
        <w:t xml:space="preserve"> not support the collection of these costs at all waves of CHALRS.</w:t>
      </w:r>
    </w:p>
    <w:p w14:paraId="62EEAE41"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p>
    <w:p w14:paraId="799FCF8C"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 xml:space="preserve">In terms of </w:t>
      </w:r>
      <w:r w:rsidRPr="001031F8">
        <w:rPr>
          <w:rFonts w:ascii="Times New Roman" w:hAnsi="Times New Roman" w:cs="Times New Roman"/>
          <w:color w:val="2E2E2E"/>
          <w:sz w:val="20"/>
          <w:szCs w:val="20"/>
        </w:rPr>
        <w:t>LTC</w:t>
      </w:r>
      <w:r w:rsidRPr="001031F8">
        <w:rPr>
          <w:rFonts w:ascii="Times New Roman" w:hAnsi="Times New Roman" w:cs="Times New Roman"/>
          <w:sz w:val="20"/>
          <w:szCs w:val="20"/>
        </w:rPr>
        <w:t xml:space="preserve"> costs, since out-of-pocket LTC expenditures were not recorded in the CHARLS, th</w:t>
      </w:r>
      <w:r w:rsidRPr="001031F8">
        <w:rPr>
          <w:rFonts w:ascii="Times New Roman" w:hAnsi="Times New Roman" w:cs="Times New Roman" w:hint="eastAsia"/>
          <w:sz w:val="20"/>
          <w:szCs w:val="20"/>
        </w:rPr>
        <w:t>ese</w:t>
      </w:r>
      <w:r w:rsidRPr="001031F8">
        <w:rPr>
          <w:rFonts w:ascii="Times New Roman" w:hAnsi="Times New Roman" w:cs="Times New Roman"/>
          <w:sz w:val="20"/>
          <w:szCs w:val="20"/>
        </w:rPr>
        <w:t xml:space="preserve"> </w:t>
      </w:r>
      <w:r w:rsidRPr="001031F8">
        <w:rPr>
          <w:rFonts w:ascii="Times New Roman" w:hAnsi="Times New Roman" w:cs="Times New Roman" w:hint="eastAsia"/>
          <w:sz w:val="20"/>
          <w:szCs w:val="20"/>
        </w:rPr>
        <w:t xml:space="preserve">costs </w:t>
      </w:r>
      <w:r w:rsidRPr="001031F8">
        <w:rPr>
          <w:rFonts w:ascii="Times New Roman" w:hAnsi="Times New Roman" w:cs="Times New Roman"/>
          <w:sz w:val="20"/>
          <w:szCs w:val="20"/>
        </w:rPr>
        <w:t>w</w:t>
      </w:r>
      <w:r w:rsidRPr="001031F8">
        <w:rPr>
          <w:rFonts w:ascii="Times New Roman" w:hAnsi="Times New Roman" w:cs="Times New Roman" w:hint="eastAsia"/>
          <w:sz w:val="20"/>
          <w:szCs w:val="20"/>
        </w:rPr>
        <w:t>ere</w:t>
      </w:r>
      <w:r w:rsidRPr="001031F8">
        <w:rPr>
          <w:rFonts w:ascii="Times New Roman" w:hAnsi="Times New Roman" w:cs="Times New Roman"/>
          <w:sz w:val="20"/>
          <w:szCs w:val="20"/>
        </w:rPr>
        <w:t xml:space="preserve"> </w:t>
      </w:r>
      <w:r w:rsidRPr="001031F8">
        <w:rPr>
          <w:rFonts w:ascii="Times New Roman" w:hAnsi="Times New Roman" w:cs="Times New Roman" w:hint="eastAsia"/>
          <w:sz w:val="20"/>
          <w:szCs w:val="20"/>
        </w:rPr>
        <w:t xml:space="preserve">estimated by </w:t>
      </w:r>
      <w:r w:rsidRPr="001031F8">
        <w:rPr>
          <w:rFonts w:ascii="Times New Roman" w:hAnsi="Times New Roman" w:cs="Times New Roman"/>
          <w:sz w:val="20"/>
          <w:szCs w:val="20"/>
        </w:rPr>
        <w:t>calculat</w:t>
      </w:r>
      <w:r w:rsidRPr="001031F8">
        <w:rPr>
          <w:rFonts w:ascii="Times New Roman" w:hAnsi="Times New Roman" w:cs="Times New Roman" w:hint="eastAsia"/>
          <w:sz w:val="20"/>
          <w:szCs w:val="20"/>
        </w:rPr>
        <w:t>ing</w:t>
      </w:r>
      <w:r w:rsidRPr="001031F8">
        <w:rPr>
          <w:rFonts w:ascii="Times New Roman" w:hAnsi="Times New Roman" w:cs="Times New Roman"/>
          <w:sz w:val="20"/>
          <w:szCs w:val="20"/>
        </w:rPr>
        <w:t xml:space="preserve"> the value of </w:t>
      </w:r>
      <w:r w:rsidRPr="001031F8">
        <w:rPr>
          <w:rFonts w:ascii="Times New Roman" w:hAnsi="Times New Roman" w:cs="Times New Roman" w:hint="eastAsia"/>
          <w:sz w:val="20"/>
          <w:szCs w:val="20"/>
        </w:rPr>
        <w:t xml:space="preserve">both </w:t>
      </w:r>
      <w:r w:rsidRPr="001031F8">
        <w:rPr>
          <w:rFonts w:ascii="Times New Roman" w:hAnsi="Times New Roman" w:cs="Times New Roman"/>
          <w:sz w:val="20"/>
          <w:szCs w:val="20"/>
        </w:rPr>
        <w:t xml:space="preserve">formal </w:t>
      </w:r>
      <w:r w:rsidRPr="001031F8">
        <w:rPr>
          <w:rFonts w:ascii="Times New Roman" w:hAnsi="Times New Roman" w:cs="Times New Roman" w:hint="eastAsia"/>
          <w:sz w:val="20"/>
          <w:szCs w:val="20"/>
        </w:rPr>
        <w:t>and informal care</w:t>
      </w:r>
      <w:r w:rsidRPr="001031F8">
        <w:rPr>
          <w:rFonts w:ascii="Times New Roman" w:hAnsi="Times New Roman" w:cs="Times New Roman"/>
          <w:sz w:val="20"/>
          <w:szCs w:val="20"/>
        </w:rPr>
        <w:t xml:space="preserve"> individuals received</w:t>
      </w:r>
      <w:r w:rsidRPr="001031F8">
        <w:rPr>
          <w:rFonts w:ascii="Times New Roman" w:hAnsi="Times New Roman" w:cs="Times New Roman" w:hint="eastAsia"/>
          <w:sz w:val="20"/>
          <w:szCs w:val="20"/>
        </w:rPr>
        <w:t>.</w:t>
      </w:r>
      <w:r w:rsidRPr="001031F8">
        <w:rPr>
          <w:sz w:val="20"/>
          <w:szCs w:val="20"/>
        </w:rPr>
        <w:t xml:space="preserve"> </w:t>
      </w:r>
      <w:r w:rsidRPr="001031F8">
        <w:rPr>
          <w:rFonts w:ascii="Times New Roman" w:hAnsi="Times New Roman" w:cs="Times New Roman"/>
          <w:sz w:val="20"/>
          <w:szCs w:val="20"/>
        </w:rPr>
        <w:t xml:space="preserve">The calculation of out-of-pocket formal </w:t>
      </w:r>
      <w:r>
        <w:rPr>
          <w:rFonts w:ascii="Times New Roman" w:hAnsi="Times New Roman" w:cs="Times New Roman" w:hint="eastAsia"/>
          <w:sz w:val="20"/>
          <w:szCs w:val="20"/>
        </w:rPr>
        <w:t>LTC</w:t>
      </w:r>
      <w:r w:rsidRPr="001031F8">
        <w:rPr>
          <w:rFonts w:ascii="Times New Roman" w:hAnsi="Times New Roman" w:cs="Times New Roman"/>
          <w:sz w:val="20"/>
          <w:szCs w:val="20"/>
        </w:rPr>
        <w:t xml:space="preserve"> costs followed these four steps. Firstly</w:t>
      </w:r>
      <w:bookmarkStart w:id="13" w:name="_Hlk180326264"/>
      <w:r w:rsidRPr="001031F8">
        <w:rPr>
          <w:rFonts w:ascii="Times New Roman" w:hAnsi="Times New Roman" w:cs="Times New Roman"/>
          <w:sz w:val="20"/>
          <w:szCs w:val="20"/>
        </w:rPr>
        <w:t xml:space="preserve">, following previous studies </w:t>
      </w:r>
      <w:r w:rsidRPr="00624BD1">
        <w:rPr>
          <w:rFonts w:ascii="Times New Roman" w:hAnsi="Times New Roman" w:cs="Times New Roman"/>
          <w:noProof/>
          <w:sz w:val="20"/>
          <w:szCs w:val="20"/>
        </w:rPr>
        <w:t>(Hu et al., 2022)</w:t>
      </w:r>
      <w:r w:rsidRPr="001031F8">
        <w:rPr>
          <w:rFonts w:ascii="Times New Roman" w:hAnsi="Times New Roman" w:cs="Times New Roman"/>
          <w:sz w:val="20"/>
          <w:szCs w:val="20"/>
        </w:rPr>
        <w:t>, individuals with LTC needs as those having at least one difficulty in performing any ADLs, IADLs, or mobility tasks</w:t>
      </w:r>
      <w:bookmarkStart w:id="14" w:name="_Hlk180325450"/>
      <w:r w:rsidRPr="001031F8">
        <w:rPr>
          <w:rFonts w:ascii="Times New Roman" w:hAnsi="Times New Roman" w:cs="Times New Roman"/>
          <w:sz w:val="20"/>
          <w:szCs w:val="20"/>
        </w:rPr>
        <w:t>.</w:t>
      </w:r>
      <w:bookmarkStart w:id="15" w:name="_Hlk180325473"/>
      <w:r w:rsidRPr="001031F8">
        <w:rPr>
          <w:rFonts w:ascii="Times New Roman" w:hAnsi="Times New Roman" w:cs="Times New Roman"/>
          <w:sz w:val="20"/>
          <w:szCs w:val="20"/>
        </w:rPr>
        <w:t xml:space="preserve"> </w:t>
      </w:r>
      <w:bookmarkEnd w:id="13"/>
      <w:bookmarkEnd w:id="14"/>
      <w:r w:rsidRPr="001031F8">
        <w:rPr>
          <w:rFonts w:ascii="Times New Roman" w:hAnsi="Times New Roman" w:cs="Times New Roman"/>
          <w:sz w:val="20"/>
          <w:szCs w:val="20"/>
        </w:rPr>
        <w:t xml:space="preserve">Secondly, </w:t>
      </w:r>
      <w:r>
        <w:rPr>
          <w:rFonts w:ascii="Times New Roman" w:hAnsi="Times New Roman" w:cs="Times New Roman" w:hint="eastAsia"/>
          <w:sz w:val="20"/>
          <w:szCs w:val="20"/>
        </w:rPr>
        <w:t>LTC</w:t>
      </w:r>
      <w:r w:rsidRPr="001031F8">
        <w:rPr>
          <w:rFonts w:ascii="Times New Roman" w:hAnsi="Times New Roman" w:cs="Times New Roman"/>
          <w:sz w:val="20"/>
          <w:szCs w:val="20"/>
        </w:rPr>
        <w:t xml:space="preserve"> was classified as ‘informal’ when the carer was a family member or an unpaid individual without any affiliation to an institution (Hurd et al., 2013). Other forms of care, whether acquired through institutional care, community-based care, or hired helpers, were categorized as ‘formal’ </w:t>
      </w:r>
      <w:r>
        <w:rPr>
          <w:rFonts w:ascii="Times New Roman" w:hAnsi="Times New Roman" w:cs="Times New Roman" w:hint="eastAsia"/>
          <w:sz w:val="20"/>
          <w:szCs w:val="20"/>
        </w:rPr>
        <w:t>LTC</w:t>
      </w:r>
      <w:r w:rsidRPr="001031F8">
        <w:rPr>
          <w:rFonts w:ascii="Times New Roman" w:hAnsi="Times New Roman" w:cs="Times New Roman"/>
          <w:sz w:val="20"/>
          <w:szCs w:val="20"/>
        </w:rPr>
        <w:t xml:space="preserve"> was classified as "formal" which was acquired through institutional care, community-based care, or hired helpers</w:t>
      </w:r>
      <w:r w:rsidRPr="001031F8">
        <w:rPr>
          <w:rFonts w:ascii="Times New Roman" w:hAnsi="Times New Roman" w:cs="Times New Roman" w:hint="eastAsia"/>
          <w:sz w:val="20"/>
          <w:szCs w:val="20"/>
        </w:rPr>
        <w:t xml:space="preserve"> </w:t>
      </w:r>
      <w:r w:rsidRPr="001031F8">
        <w:rPr>
          <w:rFonts w:ascii="Times New Roman" w:hAnsi="Times New Roman" w:cs="Times New Roman"/>
          <w:sz w:val="20"/>
          <w:szCs w:val="20"/>
        </w:rPr>
        <w:t>(Hurd et al., 2013). We identified individuals with LTC needs who received formal care and calculated the total hours of formal care they received in the previous month. As in previous research</w:t>
      </w:r>
      <w:r>
        <w:rPr>
          <w:rFonts w:ascii="Times New Roman" w:hAnsi="Times New Roman" w:cs="Times New Roman" w:hint="eastAsia"/>
          <w:noProof/>
          <w:sz w:val="20"/>
          <w:szCs w:val="20"/>
        </w:rPr>
        <w:t xml:space="preserve"> </w:t>
      </w:r>
      <w:r>
        <w:rPr>
          <w:rFonts w:ascii="Times New Roman" w:hAnsi="Times New Roman" w:cs="Times New Roman"/>
          <w:noProof/>
          <w:sz w:val="20"/>
          <w:szCs w:val="20"/>
        </w:rPr>
        <w:t>(Zhao et al., 2020)</w:t>
      </w:r>
      <w:r w:rsidRPr="001031F8">
        <w:rPr>
          <w:rFonts w:ascii="Times New Roman" w:hAnsi="Times New Roman" w:cs="Times New Roman"/>
          <w:sz w:val="20"/>
          <w:szCs w:val="20"/>
        </w:rPr>
        <w:t>, the monthly formal hours of LTC were multiplied by 12 to establish a yearly indicator for formal care hours received. Thirdly, we estimated the costs for formal care by multiplying the formal care hours received by the average national hourly payment for institutional care</w:t>
      </w:r>
      <w:r>
        <w:rPr>
          <w:rFonts w:ascii="Times New Roman" w:hAnsi="Times New Roman" w:cs="Times New Roman" w:hint="eastAsia"/>
          <w:noProof/>
          <w:color w:val="2E2E2E"/>
          <w:sz w:val="20"/>
          <w:szCs w:val="20"/>
        </w:rPr>
        <w:t xml:space="preserve"> </w:t>
      </w:r>
      <w:r>
        <w:rPr>
          <w:rFonts w:ascii="Times New Roman" w:hAnsi="Times New Roman" w:cs="Times New Roman"/>
          <w:noProof/>
          <w:color w:val="2E2E2E"/>
          <w:sz w:val="20"/>
          <w:szCs w:val="20"/>
        </w:rPr>
        <w:t>(China National Bureau of Statistics, 2019)</w:t>
      </w:r>
      <w:r w:rsidRPr="001031F8">
        <w:rPr>
          <w:rFonts w:ascii="Times New Roman" w:hAnsi="Times New Roman" w:cs="Times New Roman"/>
          <w:color w:val="2E2E2E"/>
          <w:sz w:val="20"/>
          <w:szCs w:val="20"/>
        </w:rPr>
        <w:t>.</w:t>
      </w:r>
      <w:r w:rsidRPr="001031F8">
        <w:rPr>
          <w:rFonts w:ascii="Times New Roman" w:hAnsi="Times New Roman" w:cs="Times New Roman"/>
          <w:sz w:val="20"/>
          <w:szCs w:val="20"/>
        </w:rPr>
        <w:t xml:space="preserve"> </w:t>
      </w:r>
    </w:p>
    <w:p w14:paraId="02EA2932"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p>
    <w:p w14:paraId="6C3B160A"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Fourthly, considering that the LTCI covers formal care costs for eligible individuals, we examined the copayment rates for formal LTC expenses for individuals in each LTCI pilot city</w:t>
      </w:r>
      <w:bookmarkStart w:id="16" w:name="_Hlk179798104"/>
      <w:r w:rsidRPr="001031F8">
        <w:rPr>
          <w:rFonts w:ascii="Times New Roman" w:hAnsi="Times New Roman" w:cs="Times New Roman"/>
          <w:sz w:val="20"/>
          <w:szCs w:val="20"/>
        </w:rPr>
        <w:t xml:space="preserve"> who are eligible for LTCI (see Supplementary Table S1).</w:t>
      </w:r>
      <w:bookmarkStart w:id="17" w:name="_Hlk180327012"/>
      <w:bookmarkEnd w:id="15"/>
      <w:bookmarkEnd w:id="16"/>
      <w:r w:rsidRPr="001031F8">
        <w:rPr>
          <w:rFonts w:ascii="Times New Roman" w:hAnsi="Times New Roman" w:cs="Times New Roman"/>
          <w:sz w:val="20"/>
          <w:szCs w:val="20"/>
        </w:rPr>
        <w:t xml:space="preserve"> Specifically, we estimated their out-of-pocket costs for formal LTC by multiplying their annual formal care costs by the corresponding copayment rate. For instance, </w:t>
      </w:r>
      <w:r w:rsidRPr="001031F8">
        <w:rPr>
          <w:rFonts w:ascii="Times New Roman" w:hAnsi="Times New Roman" w:cs="Times New Roman"/>
          <w:sz w:val="20"/>
          <w:szCs w:val="20"/>
        </w:rPr>
        <w:lastRenderedPageBreak/>
        <w:t>in Shanghai, the out-of-pocket for formal care costs (1,500 CNY) are derived by applying a copayment rate of 15% to the individual's annual formal care costs (10,000 CNY). In some pilot cities, the copayment rate for institutional care expenses is not applicable (Table S1). To estimate the out-of-pocket costs for formal LTC in these cases, we subtracted the annual reimbursement payments for LTCI beneficiaries from the estimated total formal LTC costs in the preceding year. For instance, in Ningbo in 2018, we deducted the hourly reimbursement payments for LTCI beneficiaries (40 CNY/hour) from the average national hourly payment for private care (49 CNY/hour)</w:t>
      </w:r>
      <w:r>
        <w:rPr>
          <w:rFonts w:ascii="Times New Roman" w:hAnsi="Times New Roman" w:cs="Times New Roman" w:hint="eastAsia"/>
          <w:sz w:val="20"/>
          <w:szCs w:val="20"/>
        </w:rPr>
        <w:t xml:space="preserve"> </w:t>
      </w:r>
      <w:r>
        <w:rPr>
          <w:rFonts w:ascii="Times New Roman" w:hAnsi="Times New Roman" w:cs="Times New Roman"/>
          <w:noProof/>
          <w:sz w:val="20"/>
          <w:szCs w:val="20"/>
        </w:rPr>
        <w:t>(China National Bureau of Statistics, 2019)</w:t>
      </w:r>
      <w:r w:rsidRPr="001031F8">
        <w:rPr>
          <w:rFonts w:ascii="Times New Roman" w:hAnsi="Times New Roman" w:cs="Times New Roman"/>
          <w:sz w:val="20"/>
          <w:szCs w:val="20"/>
        </w:rPr>
        <w:t>. Subsequently, we estimated the out-of-pocket formal care costs (6,480 CNY), which were calculated by multiplying the payment difference (9 CNY) by the total hours of formal LTC the individual had obtained in the previous year (60 hours/month * 12 months).</w:t>
      </w:r>
      <w:bookmarkStart w:id="18" w:name="_Hlk176975978"/>
    </w:p>
    <w:p w14:paraId="31C9644A"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p>
    <w:p w14:paraId="16192F98"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hint="eastAsia"/>
          <w:sz w:val="20"/>
          <w:szCs w:val="20"/>
        </w:rPr>
        <w:t xml:space="preserve">In addition, following the approach used in prior studies </w:t>
      </w:r>
      <w:r>
        <w:rPr>
          <w:rFonts w:ascii="Times New Roman" w:hAnsi="Times New Roman" w:cs="Times New Roman"/>
          <w:noProof/>
          <w:sz w:val="20"/>
          <w:szCs w:val="20"/>
        </w:rPr>
        <w:t>(Engel et al., 2021; Van den Berg et al., 2004)</w:t>
      </w:r>
      <w:r w:rsidRPr="001031F8">
        <w:rPr>
          <w:rFonts w:ascii="Times New Roman" w:hAnsi="Times New Roman" w:cs="Times New Roman" w:hint="eastAsia"/>
          <w:sz w:val="20"/>
          <w:szCs w:val="20"/>
        </w:rPr>
        <w:t>,</w:t>
      </w:r>
      <w:r w:rsidRPr="001031F8">
        <w:rPr>
          <w:rFonts w:ascii="Times New Roman" w:hAnsi="Times New Roman" w:cs="Times New Roman"/>
          <w:sz w:val="20"/>
          <w:szCs w:val="20"/>
        </w:rPr>
        <w:t xml:space="preserve"> informal care costs were</w:t>
      </w:r>
      <w:r w:rsidRPr="001031F8">
        <w:rPr>
          <w:rFonts w:ascii="Times New Roman" w:hAnsi="Times New Roman" w:cs="Times New Roman" w:hint="eastAsia"/>
          <w:sz w:val="20"/>
          <w:szCs w:val="20"/>
        </w:rPr>
        <w:t xml:space="preserve"> </w:t>
      </w:r>
      <w:r w:rsidRPr="001031F8">
        <w:rPr>
          <w:rFonts w:ascii="Times New Roman" w:hAnsi="Times New Roman" w:cs="Times New Roman"/>
          <w:sz w:val="20"/>
          <w:szCs w:val="20"/>
        </w:rPr>
        <w:t>measur</w:t>
      </w:r>
      <w:r w:rsidRPr="001031F8">
        <w:rPr>
          <w:rFonts w:ascii="Times New Roman" w:hAnsi="Times New Roman" w:cs="Times New Roman" w:hint="eastAsia"/>
          <w:sz w:val="20"/>
          <w:szCs w:val="20"/>
        </w:rPr>
        <w:t xml:space="preserve">ed by </w:t>
      </w:r>
      <w:r w:rsidRPr="001031F8">
        <w:rPr>
          <w:rFonts w:ascii="Times New Roman" w:hAnsi="Times New Roman" w:cs="Times New Roman"/>
          <w:sz w:val="20"/>
          <w:szCs w:val="20"/>
        </w:rPr>
        <w:t>valuing the time spent by informal carers based on forgone wages.</w:t>
      </w:r>
      <w:r w:rsidRPr="001031F8">
        <w:rPr>
          <w:rFonts w:ascii="Times New Roman" w:hAnsi="Times New Roman" w:cs="Times New Roman" w:hint="eastAsia"/>
          <w:sz w:val="20"/>
          <w:szCs w:val="20"/>
        </w:rPr>
        <w:t xml:space="preserve"> T</w:t>
      </w:r>
      <w:r w:rsidRPr="001031F8">
        <w:rPr>
          <w:rFonts w:ascii="Times New Roman" w:hAnsi="Times New Roman" w:cs="Times New Roman"/>
          <w:sz w:val="20"/>
          <w:szCs w:val="20"/>
        </w:rPr>
        <w:t xml:space="preserve">he total hours of informal care </w:t>
      </w:r>
      <w:r w:rsidRPr="001031F8">
        <w:rPr>
          <w:rFonts w:ascii="Times New Roman" w:hAnsi="Times New Roman" w:cs="Times New Roman" w:hint="eastAsia"/>
          <w:sz w:val="20"/>
          <w:szCs w:val="20"/>
        </w:rPr>
        <w:t xml:space="preserve">received by </w:t>
      </w:r>
      <w:r w:rsidRPr="001031F8">
        <w:rPr>
          <w:rFonts w:ascii="Times New Roman" w:hAnsi="Times New Roman" w:cs="Times New Roman"/>
          <w:sz w:val="20"/>
          <w:szCs w:val="20"/>
        </w:rPr>
        <w:t>individuals in the preceding month</w:t>
      </w:r>
      <w:r w:rsidRPr="001031F8">
        <w:rPr>
          <w:rFonts w:ascii="Times New Roman" w:hAnsi="Times New Roman" w:cs="Times New Roman" w:hint="eastAsia"/>
          <w:sz w:val="20"/>
          <w:szCs w:val="20"/>
        </w:rPr>
        <w:t xml:space="preserve"> w</w:t>
      </w:r>
      <w:r>
        <w:rPr>
          <w:rFonts w:ascii="Times New Roman" w:hAnsi="Times New Roman" w:cs="Times New Roman" w:hint="eastAsia"/>
          <w:sz w:val="20"/>
          <w:szCs w:val="20"/>
        </w:rPr>
        <w:t>ere</w:t>
      </w:r>
      <w:r w:rsidRPr="001031F8">
        <w:rPr>
          <w:rFonts w:ascii="Times New Roman" w:hAnsi="Times New Roman" w:cs="Times New Roman" w:hint="eastAsia"/>
          <w:sz w:val="20"/>
          <w:szCs w:val="20"/>
        </w:rPr>
        <w:t xml:space="preserve"> calculated</w:t>
      </w:r>
      <w:r w:rsidRPr="001031F8">
        <w:rPr>
          <w:rFonts w:ascii="Times New Roman" w:hAnsi="Times New Roman" w:cs="Times New Roman"/>
          <w:sz w:val="20"/>
          <w:szCs w:val="20"/>
        </w:rPr>
        <w:t>. Like the formal care measure, monthly hours of informal care were multiplied by 12 to create a yearly indicator for informal care hours received</w:t>
      </w:r>
      <w:r w:rsidRPr="001031F8">
        <w:rPr>
          <w:rFonts w:ascii="Times New Roman" w:hAnsi="Times New Roman" w:cs="Times New Roman" w:hint="eastAsia"/>
          <w:sz w:val="20"/>
          <w:szCs w:val="20"/>
        </w:rPr>
        <w:t xml:space="preserve"> </w:t>
      </w:r>
      <w:r w:rsidRPr="001031F8">
        <w:rPr>
          <w:rFonts w:ascii="Times New Roman" w:hAnsi="Times New Roman" w:cs="Times New Roman"/>
          <w:noProof/>
          <w:sz w:val="20"/>
          <w:szCs w:val="20"/>
        </w:rPr>
        <w:t>(Zhao et al., 2020)</w:t>
      </w:r>
      <w:r w:rsidRPr="001031F8">
        <w:rPr>
          <w:rFonts w:ascii="Times New Roman" w:hAnsi="Times New Roman" w:cs="Times New Roman"/>
          <w:sz w:val="20"/>
          <w:szCs w:val="20"/>
        </w:rPr>
        <w:t>.</w:t>
      </w:r>
      <w:r w:rsidRPr="001031F8">
        <w:rPr>
          <w:rFonts w:ascii="Times New Roman" w:hAnsi="Times New Roman" w:cs="Times New Roman" w:hint="eastAsia"/>
          <w:sz w:val="20"/>
          <w:szCs w:val="20"/>
        </w:rPr>
        <w:t xml:space="preserve"> T</w:t>
      </w:r>
      <w:r w:rsidRPr="001031F8">
        <w:rPr>
          <w:rFonts w:ascii="Times New Roman" w:hAnsi="Times New Roman" w:cs="Times New Roman"/>
          <w:sz w:val="20"/>
          <w:szCs w:val="20"/>
        </w:rPr>
        <w:t xml:space="preserve">he monetary value of time spent by informal carers </w:t>
      </w:r>
      <w:r w:rsidRPr="001031F8">
        <w:rPr>
          <w:rFonts w:ascii="Times New Roman" w:hAnsi="Times New Roman" w:cs="Times New Roman" w:hint="eastAsia"/>
          <w:sz w:val="20"/>
          <w:szCs w:val="20"/>
        </w:rPr>
        <w:t xml:space="preserve">was then calculated </w:t>
      </w:r>
      <w:r w:rsidRPr="001031F8">
        <w:rPr>
          <w:rFonts w:ascii="Times New Roman" w:hAnsi="Times New Roman" w:cs="Times New Roman"/>
          <w:sz w:val="20"/>
          <w:szCs w:val="20"/>
        </w:rPr>
        <w:t xml:space="preserve">as a forgone wage based on the average national hourly wage in the nursing or care sector </w:t>
      </w:r>
      <w:r w:rsidRPr="001031F8">
        <w:rPr>
          <w:rStyle w:val="cf01"/>
          <w:rFonts w:ascii="Times New Roman" w:hAnsi="Times New Roman" w:cs="Times New Roman"/>
          <w:sz w:val="20"/>
          <w:szCs w:val="20"/>
        </w:rPr>
        <w:t>(Equation 1)</w:t>
      </w:r>
      <w:r w:rsidRPr="001031F8">
        <w:rPr>
          <w:rStyle w:val="cf01"/>
          <w:rFonts w:ascii="Times New Roman" w:hAnsi="Times New Roman" w:cs="Times New Roman" w:hint="eastAsia"/>
          <w:sz w:val="20"/>
          <w:szCs w:val="20"/>
        </w:rPr>
        <w:t>,</w:t>
      </w:r>
      <w:r w:rsidRPr="001031F8">
        <w:rPr>
          <w:rFonts w:ascii="Times New Roman" w:hAnsi="Times New Roman" w:cs="Times New Roman"/>
          <w:sz w:val="20"/>
          <w:szCs w:val="20"/>
        </w:rPr>
        <w:t xml:space="preserve"> creat</w:t>
      </w:r>
      <w:r w:rsidRPr="001031F8">
        <w:rPr>
          <w:rFonts w:ascii="Times New Roman" w:hAnsi="Times New Roman" w:cs="Times New Roman" w:hint="eastAsia"/>
          <w:sz w:val="20"/>
          <w:szCs w:val="20"/>
        </w:rPr>
        <w:t>ing</w:t>
      </w:r>
      <w:r w:rsidRPr="001031F8">
        <w:rPr>
          <w:rFonts w:ascii="Times New Roman" w:hAnsi="Times New Roman" w:cs="Times New Roman"/>
          <w:sz w:val="20"/>
          <w:szCs w:val="20"/>
        </w:rPr>
        <w:t xml:space="preserve"> a continuous variable for </w:t>
      </w:r>
      <w:r w:rsidRPr="001031F8">
        <w:rPr>
          <w:rFonts w:ascii="Times New Roman" w:hAnsi="Times New Roman" w:cs="Times New Roman"/>
          <w:color w:val="374151"/>
          <w:sz w:val="20"/>
          <w:szCs w:val="20"/>
        </w:rPr>
        <w:t>i</w:t>
      </w:r>
      <w:r w:rsidRPr="001031F8">
        <w:rPr>
          <w:rFonts w:ascii="Times New Roman" w:hAnsi="Times New Roman" w:cs="Times New Roman"/>
          <w:sz w:val="20"/>
          <w:szCs w:val="20"/>
        </w:rPr>
        <w:t xml:space="preserve">nformal care costs </w:t>
      </w:r>
      <w:r w:rsidRPr="001031F8">
        <w:rPr>
          <w:rFonts w:ascii="Times New Roman" w:hAnsi="Times New Roman" w:cs="Times New Roman"/>
          <w:noProof/>
          <w:sz w:val="20"/>
          <w:szCs w:val="20"/>
        </w:rPr>
        <w:t>(Van den Berg et al., 2006)</w:t>
      </w:r>
      <w:r w:rsidRPr="001031F8">
        <w:rPr>
          <w:rFonts w:ascii="Times New Roman" w:hAnsi="Times New Roman" w:cs="Times New Roman"/>
          <w:sz w:val="20"/>
          <w:szCs w:val="20"/>
        </w:rPr>
        <w:t xml:space="preserve">. </w:t>
      </w:r>
    </w:p>
    <w:p w14:paraId="5F43A359"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p>
    <w:p w14:paraId="40DE71F6" w14:textId="77777777" w:rsidR="00923F07" w:rsidRPr="001031F8" w:rsidRDefault="00923F07" w:rsidP="001031F8">
      <w:pPr>
        <w:adjustRightInd w:val="0"/>
        <w:snapToGrid w:val="0"/>
        <w:spacing w:line="480" w:lineRule="auto"/>
        <w:jc w:val="left"/>
        <w:rPr>
          <w:rStyle w:val="cf01"/>
          <w:rFonts w:ascii="Times New Roman" w:hAnsi="Times New Roman" w:cs="Times New Roman"/>
          <w:sz w:val="20"/>
          <w:szCs w:val="20"/>
        </w:rPr>
      </w:pPr>
      <w:r w:rsidRPr="001031F8">
        <w:rPr>
          <w:rStyle w:val="cf01"/>
          <w:rFonts w:ascii="Times New Roman" w:hAnsi="Times New Roman" w:cs="Times New Roman"/>
          <w:sz w:val="20"/>
          <w:szCs w:val="20"/>
        </w:rPr>
        <w:t xml:space="preserve">Value informal care = </w:t>
      </w:r>
      <w:proofErr w:type="spellStart"/>
      <w:r w:rsidRPr="001031F8">
        <w:rPr>
          <w:rStyle w:val="cf01"/>
          <w:rFonts w:ascii="Times New Roman" w:hAnsi="Times New Roman" w:cs="Times New Roman"/>
          <w:sz w:val="20"/>
          <w:szCs w:val="20"/>
        </w:rPr>
        <w:t>t</w:t>
      </w:r>
      <w:r w:rsidRPr="001031F8">
        <w:rPr>
          <w:rStyle w:val="cf01"/>
          <w:rFonts w:ascii="Times New Roman" w:hAnsi="Times New Roman" w:cs="Times New Roman"/>
          <w:sz w:val="20"/>
          <w:szCs w:val="20"/>
          <w:vertAlign w:val="subscript"/>
        </w:rPr>
        <w:t>i</w:t>
      </w:r>
      <w:r w:rsidRPr="001031F8">
        <w:rPr>
          <w:rStyle w:val="cf01"/>
          <w:rFonts w:ascii="Times New Roman" w:hAnsi="Times New Roman" w:cs="Times New Roman"/>
          <w:sz w:val="20"/>
          <w:szCs w:val="20"/>
        </w:rPr>
        <w:t>w</w:t>
      </w:r>
      <w:proofErr w:type="spellEnd"/>
      <w:r w:rsidRPr="001031F8">
        <w:rPr>
          <w:rStyle w:val="cf01"/>
          <w:rFonts w:ascii="Times New Roman" w:hAnsi="Times New Roman" w:cs="Times New Roman"/>
          <w:sz w:val="20"/>
          <w:szCs w:val="20"/>
        </w:rPr>
        <w:t xml:space="preserve">                                                                                                                                    </w:t>
      </w:r>
      <w:proofErr w:type="gramStart"/>
      <w:r w:rsidRPr="001031F8">
        <w:rPr>
          <w:rStyle w:val="cf01"/>
          <w:rFonts w:ascii="Times New Roman" w:hAnsi="Times New Roman" w:cs="Times New Roman"/>
          <w:sz w:val="20"/>
          <w:szCs w:val="20"/>
        </w:rPr>
        <w:t xml:space="preserve">   (</w:t>
      </w:r>
      <w:proofErr w:type="gramEnd"/>
      <w:r w:rsidRPr="001031F8">
        <w:rPr>
          <w:rFonts w:ascii="Times New Roman" w:hAnsi="Times New Roman" w:cs="Times New Roman"/>
          <w:kern w:val="0"/>
          <w:sz w:val="20"/>
          <w:szCs w:val="20"/>
        </w:rPr>
        <w:t>1</w:t>
      </w:r>
      <w:r w:rsidRPr="001031F8">
        <w:rPr>
          <w:rStyle w:val="cf01"/>
          <w:rFonts w:ascii="Times New Roman" w:hAnsi="Times New Roman" w:cs="Times New Roman"/>
          <w:sz w:val="20"/>
          <w:szCs w:val="20"/>
        </w:rPr>
        <w:t>)</w:t>
      </w:r>
    </w:p>
    <w:p w14:paraId="30C6C209" w14:textId="77777777" w:rsidR="00923F07" w:rsidRPr="001031F8" w:rsidRDefault="00923F07" w:rsidP="001031F8">
      <w:pPr>
        <w:pStyle w:val="NormalWeb"/>
        <w:adjustRightInd w:val="0"/>
        <w:snapToGrid w:val="0"/>
        <w:spacing w:before="0" w:beforeAutospacing="0" w:after="0" w:afterAutospacing="0" w:line="480" w:lineRule="auto"/>
        <w:rPr>
          <w:rFonts w:ascii="Times New Roman" w:hAnsi="Times New Roman" w:cs="Times New Roman"/>
          <w:color w:val="2E2E2E"/>
          <w:sz w:val="20"/>
          <w:szCs w:val="20"/>
        </w:rPr>
      </w:pPr>
    </w:p>
    <w:p w14:paraId="540E9AAD" w14:textId="77777777" w:rsidR="00923F07" w:rsidRPr="001031F8" w:rsidRDefault="00923F07" w:rsidP="001031F8">
      <w:pPr>
        <w:pStyle w:val="NormalWeb"/>
        <w:adjustRightInd w:val="0"/>
        <w:snapToGrid w:val="0"/>
        <w:spacing w:before="0" w:beforeAutospacing="0" w:after="0" w:afterAutospacing="0" w:line="480" w:lineRule="auto"/>
        <w:rPr>
          <w:rFonts w:ascii="Times New Roman" w:hAnsi="Times New Roman" w:cs="Times New Roman"/>
          <w:color w:val="2E2E2E"/>
          <w:sz w:val="20"/>
          <w:szCs w:val="20"/>
        </w:rPr>
      </w:pPr>
      <w:proofErr w:type="spellStart"/>
      <w:r w:rsidRPr="001031F8">
        <w:rPr>
          <w:rStyle w:val="Emphasis"/>
          <w:rFonts w:ascii="Times New Roman" w:hAnsi="Times New Roman" w:cs="Times New Roman"/>
          <w:color w:val="2E2E2E"/>
          <w:sz w:val="20"/>
          <w:szCs w:val="20"/>
        </w:rPr>
        <w:t>t</w:t>
      </w:r>
      <w:r w:rsidRPr="001031F8">
        <w:rPr>
          <w:rStyle w:val="Emphasis"/>
          <w:rFonts w:ascii="Times New Roman" w:hAnsi="Times New Roman" w:cs="Times New Roman"/>
          <w:color w:val="2E2E2E"/>
          <w:sz w:val="20"/>
          <w:szCs w:val="20"/>
          <w:vertAlign w:val="subscript"/>
        </w:rPr>
        <w:t>i</w:t>
      </w:r>
      <w:proofErr w:type="spellEnd"/>
      <w:r w:rsidRPr="001031F8">
        <w:rPr>
          <w:rFonts w:ascii="Times New Roman" w:hAnsi="Times New Roman" w:cs="Times New Roman"/>
          <w:color w:val="2E2E2E"/>
          <w:sz w:val="20"/>
          <w:szCs w:val="20"/>
        </w:rPr>
        <w:t xml:space="preserve"> is the time spent on ADL/IADL tasks by </w:t>
      </w:r>
      <w:r w:rsidRPr="001031F8">
        <w:rPr>
          <w:rFonts w:ascii="Times New Roman" w:hAnsi="Times New Roman" w:cs="Times New Roman" w:hint="eastAsia"/>
          <w:color w:val="2E2E2E"/>
          <w:sz w:val="20"/>
          <w:szCs w:val="20"/>
        </w:rPr>
        <w:t xml:space="preserve">the </w:t>
      </w:r>
      <w:r w:rsidRPr="001031F8">
        <w:rPr>
          <w:rFonts w:ascii="Times New Roman" w:hAnsi="Times New Roman" w:cs="Times New Roman"/>
          <w:color w:val="2E2E2E"/>
          <w:sz w:val="20"/>
          <w:szCs w:val="20"/>
        </w:rPr>
        <w:t xml:space="preserve">informal carer </w:t>
      </w:r>
      <w:proofErr w:type="spellStart"/>
      <w:r w:rsidRPr="001031F8">
        <w:rPr>
          <w:rStyle w:val="Emphasis"/>
          <w:rFonts w:ascii="Times New Roman" w:hAnsi="Times New Roman" w:cs="Times New Roman"/>
          <w:color w:val="2E2E2E"/>
          <w:sz w:val="20"/>
          <w:szCs w:val="20"/>
        </w:rPr>
        <w:t>i</w:t>
      </w:r>
      <w:proofErr w:type="spellEnd"/>
      <w:r w:rsidRPr="001031F8">
        <w:rPr>
          <w:rFonts w:ascii="Times New Roman" w:hAnsi="Times New Roman" w:cs="Times New Roman"/>
          <w:color w:val="2E2E2E"/>
          <w:sz w:val="20"/>
          <w:szCs w:val="20"/>
        </w:rPr>
        <w:t xml:space="preserve">. </w:t>
      </w:r>
      <w:r w:rsidRPr="001031F8">
        <w:rPr>
          <w:rStyle w:val="Emphasis"/>
          <w:rFonts w:ascii="Times New Roman" w:hAnsi="Times New Roman" w:cs="Times New Roman"/>
          <w:color w:val="2E2E2E"/>
          <w:sz w:val="20"/>
          <w:szCs w:val="20"/>
        </w:rPr>
        <w:t>w</w:t>
      </w:r>
      <w:r w:rsidRPr="001031F8">
        <w:rPr>
          <w:rFonts w:ascii="Times New Roman" w:hAnsi="Times New Roman" w:cs="Times New Roman"/>
          <w:color w:val="2E2E2E"/>
          <w:sz w:val="20"/>
          <w:szCs w:val="20"/>
        </w:rPr>
        <w:t xml:space="preserve"> is the average national hourly wage</w:t>
      </w:r>
      <w:r w:rsidRPr="001031F8">
        <w:rPr>
          <w:rFonts w:ascii="Times New Roman" w:hAnsi="Times New Roman" w:cs="Times New Roman" w:hint="eastAsia"/>
          <w:color w:val="2E2E2E"/>
          <w:sz w:val="20"/>
          <w:szCs w:val="20"/>
        </w:rPr>
        <w:t xml:space="preserve"> </w:t>
      </w:r>
      <w:r w:rsidRPr="001031F8">
        <w:rPr>
          <w:rFonts w:ascii="Times New Roman" w:hAnsi="Times New Roman" w:cs="Times New Roman"/>
          <w:color w:val="2E2E2E"/>
          <w:sz w:val="20"/>
          <w:szCs w:val="20"/>
        </w:rPr>
        <w:t>(China National Bureau of Statistics, 2019).</w:t>
      </w:r>
    </w:p>
    <w:bookmarkEnd w:id="17"/>
    <w:bookmarkEnd w:id="18"/>
    <w:p w14:paraId="4F50BCA8"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p>
    <w:p w14:paraId="676262C1" w14:textId="77777777" w:rsidR="00923F07" w:rsidRPr="001031F8" w:rsidRDefault="00923F07" w:rsidP="001031F8">
      <w:pPr>
        <w:adjustRightInd w:val="0"/>
        <w:snapToGrid w:val="0"/>
        <w:spacing w:line="480" w:lineRule="auto"/>
        <w:jc w:val="left"/>
        <w:rPr>
          <w:rFonts w:ascii="Times New Roman" w:hAnsi="Times New Roman" w:cs="Times New Roman"/>
          <w:color w:val="2E2E2E"/>
          <w:sz w:val="20"/>
          <w:szCs w:val="20"/>
        </w:rPr>
      </w:pPr>
      <w:r w:rsidRPr="001031F8">
        <w:rPr>
          <w:rFonts w:ascii="Times New Roman" w:hAnsi="Times New Roman" w:cs="Times New Roman"/>
          <w:color w:val="2E2E2E"/>
          <w:sz w:val="20"/>
          <w:szCs w:val="20"/>
        </w:rPr>
        <w:t>We calculated the proportion of individual</w:t>
      </w:r>
      <w:r w:rsidRPr="001031F8">
        <w:rPr>
          <w:rFonts w:ascii="Times New Roman" w:hAnsi="Times New Roman" w:cs="Times New Roman" w:hint="eastAsia"/>
          <w:color w:val="2E2E2E"/>
          <w:sz w:val="20"/>
          <w:szCs w:val="20"/>
        </w:rPr>
        <w:t>s</w:t>
      </w:r>
      <w:r w:rsidRPr="001031F8">
        <w:rPr>
          <w:rFonts w:ascii="Times New Roman" w:hAnsi="Times New Roman" w:cs="Times New Roman"/>
          <w:color w:val="2E2E2E"/>
          <w:sz w:val="20"/>
          <w:szCs w:val="20"/>
        </w:rPr>
        <w:t>’ health and LTC costs by aggregating out-of-pocket healthcare expenditures, out-of-pocket formal care costs, and informal care costs. T</w:t>
      </w:r>
      <w:r w:rsidRPr="001031F8">
        <w:rPr>
          <w:rFonts w:ascii="Times New Roman" w:hAnsi="Times New Roman" w:cs="Times New Roman" w:hint="eastAsia"/>
          <w:color w:val="2E2E2E"/>
          <w:sz w:val="20"/>
          <w:szCs w:val="20"/>
        </w:rPr>
        <w:t>he proportion of an individual</w:t>
      </w:r>
      <w:r w:rsidRPr="001031F8">
        <w:rPr>
          <w:rFonts w:ascii="Times New Roman" w:hAnsi="Times New Roman" w:cs="Times New Roman"/>
          <w:color w:val="2E2E2E"/>
          <w:sz w:val="20"/>
          <w:szCs w:val="20"/>
        </w:rPr>
        <w:t>’</w:t>
      </w:r>
      <w:r w:rsidRPr="001031F8">
        <w:rPr>
          <w:rFonts w:ascii="Times New Roman" w:hAnsi="Times New Roman" w:cs="Times New Roman" w:hint="eastAsia"/>
          <w:color w:val="2E2E2E"/>
          <w:sz w:val="20"/>
          <w:szCs w:val="20"/>
        </w:rPr>
        <w:t xml:space="preserve">s </w:t>
      </w:r>
      <w:r w:rsidRPr="001031F8">
        <w:rPr>
          <w:rFonts w:ascii="Times New Roman" w:hAnsi="Times New Roman" w:cs="Times New Roman"/>
          <w:color w:val="2E2E2E"/>
          <w:sz w:val="20"/>
          <w:szCs w:val="20"/>
        </w:rPr>
        <w:t xml:space="preserve">health and LTC costs relative to their annual household expenditures was then calculated. Both measures were adjusted for inflation, expressed in 2011 prices using the Consumer Price Index </w:t>
      </w:r>
      <w:r>
        <w:rPr>
          <w:rFonts w:ascii="Times New Roman" w:hAnsi="Times New Roman" w:cs="Times New Roman"/>
          <w:noProof/>
          <w:color w:val="2E2E2E"/>
          <w:sz w:val="20"/>
          <w:szCs w:val="20"/>
        </w:rPr>
        <w:lastRenderedPageBreak/>
        <w:t>(World Bank, 2022)</w:t>
      </w:r>
      <w:r w:rsidRPr="001031F8">
        <w:rPr>
          <w:rFonts w:ascii="Times New Roman" w:hAnsi="Times New Roman" w:cs="Times New Roman"/>
          <w:color w:val="2E2E2E"/>
          <w:sz w:val="20"/>
          <w:szCs w:val="20"/>
        </w:rPr>
        <w:t xml:space="preserve">, and trimmed at the </w:t>
      </w:r>
      <w:r w:rsidRPr="001031F8">
        <w:rPr>
          <w:rFonts w:ascii="Times New Roman" w:hAnsi="Times New Roman" w:cs="Times New Roman" w:hint="eastAsia"/>
          <w:color w:val="2E2E2E"/>
          <w:sz w:val="20"/>
          <w:szCs w:val="20"/>
        </w:rPr>
        <w:t>1</w:t>
      </w:r>
      <w:r w:rsidRPr="001031F8">
        <w:rPr>
          <w:rFonts w:ascii="Times New Roman" w:hAnsi="Times New Roman" w:cs="Times New Roman"/>
          <w:color w:val="2E2E2E"/>
          <w:sz w:val="20"/>
          <w:szCs w:val="20"/>
        </w:rPr>
        <w:t>% quantile on both ends</w:t>
      </w:r>
      <w:r w:rsidRPr="001031F8">
        <w:rPr>
          <w:rFonts w:ascii="Times New Roman" w:hAnsi="Times New Roman" w:cs="Times New Roman" w:hint="eastAsia"/>
          <w:color w:val="2E2E2E"/>
          <w:sz w:val="20"/>
          <w:szCs w:val="20"/>
        </w:rPr>
        <w:t xml:space="preserve"> </w:t>
      </w:r>
      <w:r>
        <w:rPr>
          <w:rFonts w:ascii="Times New Roman" w:hAnsi="Times New Roman" w:cs="Times New Roman"/>
          <w:noProof/>
          <w:sz w:val="20"/>
          <w:szCs w:val="20"/>
        </w:rPr>
        <w:t>(Leone et al., 2019)</w:t>
      </w:r>
      <w:r w:rsidRPr="001031F8">
        <w:rPr>
          <w:rFonts w:ascii="Times New Roman" w:hAnsi="Times New Roman" w:cs="Times New Roman"/>
          <w:color w:val="2E2E2E"/>
          <w:sz w:val="20"/>
          <w:szCs w:val="20"/>
        </w:rPr>
        <w:t xml:space="preserve">. According to </w:t>
      </w:r>
      <w:bookmarkStart w:id="19" w:name="_Hlk194949786"/>
      <w:r w:rsidRPr="001031F8">
        <w:rPr>
          <w:rFonts w:ascii="Times New Roman" w:hAnsi="Times New Roman" w:cs="Times New Roman"/>
          <w:color w:val="2E2E2E"/>
          <w:sz w:val="20"/>
          <w:szCs w:val="20"/>
        </w:rPr>
        <w:t>World Health Organization</w:t>
      </w:r>
      <w:bookmarkEnd w:id="19"/>
      <w:r w:rsidRPr="001031F8">
        <w:rPr>
          <w:rFonts w:ascii="Times New Roman" w:hAnsi="Times New Roman" w:cs="Times New Roman"/>
          <w:color w:val="2E2E2E"/>
          <w:sz w:val="20"/>
          <w:szCs w:val="20"/>
        </w:rPr>
        <w:t xml:space="preserve"> and previous research </w:t>
      </w:r>
      <w:r w:rsidRPr="001031F8">
        <w:rPr>
          <w:rFonts w:ascii="Times New Roman" w:hAnsi="Times New Roman" w:cs="Times New Roman"/>
          <w:noProof/>
          <w:color w:val="2E2E2E"/>
          <w:sz w:val="20"/>
          <w:szCs w:val="20"/>
        </w:rPr>
        <w:t>(Yang and Hu, 2022, World Health Organization, 2024)</w:t>
      </w:r>
      <w:r w:rsidRPr="001031F8">
        <w:rPr>
          <w:rFonts w:ascii="Times New Roman" w:hAnsi="Times New Roman" w:cs="Times New Roman"/>
          <w:color w:val="2E2E2E"/>
          <w:sz w:val="20"/>
          <w:szCs w:val="20"/>
        </w:rPr>
        <w:t xml:space="preserve">, different thresholds—20% and 25% of total household expenditures, as well as 40% of non-food household expenditures </w:t>
      </w:r>
      <w:r w:rsidRPr="001031F8">
        <w:rPr>
          <w:rFonts w:ascii="Times New Roman" w:hAnsi="Times New Roman" w:cs="Times New Roman" w:hint="eastAsia"/>
          <w:color w:val="2E2E2E"/>
          <w:sz w:val="20"/>
          <w:szCs w:val="20"/>
        </w:rPr>
        <w:t xml:space="preserve">were used to </w:t>
      </w:r>
      <w:r w:rsidRPr="001031F8">
        <w:rPr>
          <w:rFonts w:ascii="Times New Roman" w:hAnsi="Times New Roman" w:cs="Times New Roman"/>
          <w:color w:val="2E2E2E"/>
          <w:sz w:val="20"/>
          <w:szCs w:val="20"/>
        </w:rPr>
        <w:t xml:space="preserve">determine CHLTCE in each survey wave. </w:t>
      </w:r>
      <w:r w:rsidRPr="001031F8">
        <w:rPr>
          <w:rStyle w:val="normaltextrun"/>
          <w:rFonts w:ascii="Times New Roman" w:hAnsi="Times New Roman" w:cs="Times New Roman"/>
          <w:color w:val="2E2E2E"/>
          <w:sz w:val="20"/>
          <w:szCs w:val="20"/>
          <w:shd w:val="clear" w:color="auto" w:fill="FFFFFF"/>
        </w:rPr>
        <w:t xml:space="preserve">The </w:t>
      </w:r>
      <w:r w:rsidRPr="001031F8">
        <w:rPr>
          <w:rStyle w:val="normaltextrun"/>
          <w:rFonts w:ascii="Times New Roman" w:hAnsi="Times New Roman" w:cs="Times New Roman" w:hint="eastAsia"/>
          <w:color w:val="2E2E2E"/>
          <w:sz w:val="20"/>
          <w:szCs w:val="20"/>
          <w:shd w:val="clear" w:color="auto" w:fill="FFFFFF"/>
        </w:rPr>
        <w:t>1</w:t>
      </w:r>
      <w:r w:rsidRPr="001031F8">
        <w:rPr>
          <w:rStyle w:val="normaltextrun"/>
          <w:rFonts w:ascii="Times New Roman" w:hAnsi="Times New Roman" w:cs="Times New Roman"/>
          <w:color w:val="2E2E2E"/>
          <w:sz w:val="20"/>
          <w:szCs w:val="20"/>
          <w:shd w:val="clear" w:color="auto" w:fill="FFFFFF"/>
        </w:rPr>
        <w:t xml:space="preserve">0% </w:t>
      </w:r>
      <w:r w:rsidRPr="001031F8">
        <w:rPr>
          <w:rStyle w:val="normaltextrun"/>
          <w:rFonts w:ascii="Times New Roman" w:hAnsi="Times New Roman" w:cs="Times New Roman" w:hint="eastAsia"/>
          <w:color w:val="2E2E2E"/>
          <w:sz w:val="20"/>
          <w:szCs w:val="20"/>
          <w:shd w:val="clear" w:color="auto" w:fill="FFFFFF"/>
        </w:rPr>
        <w:t xml:space="preserve">of </w:t>
      </w:r>
      <w:r w:rsidRPr="001031F8">
        <w:rPr>
          <w:rFonts w:ascii="Times New Roman" w:hAnsi="Times New Roman" w:cs="Times New Roman" w:hint="eastAsia"/>
          <w:color w:val="2E2E2E"/>
          <w:sz w:val="20"/>
          <w:szCs w:val="20"/>
        </w:rPr>
        <w:t xml:space="preserve">total </w:t>
      </w:r>
      <w:r w:rsidRPr="001031F8">
        <w:rPr>
          <w:rStyle w:val="normaltextrun"/>
          <w:rFonts w:ascii="Times New Roman" w:hAnsi="Times New Roman" w:cs="Times New Roman" w:hint="eastAsia"/>
          <w:color w:val="2E2E2E"/>
          <w:sz w:val="20"/>
          <w:szCs w:val="20"/>
          <w:shd w:val="clear" w:color="auto" w:fill="FFFFFF"/>
        </w:rPr>
        <w:t>household</w:t>
      </w:r>
      <w:r w:rsidRPr="001031F8">
        <w:rPr>
          <w:rStyle w:val="normaltextrun"/>
          <w:rFonts w:ascii="Times New Roman" w:hAnsi="Times New Roman" w:cs="Times New Roman"/>
          <w:color w:val="2E2E2E"/>
          <w:sz w:val="20"/>
          <w:szCs w:val="20"/>
          <w:shd w:val="clear" w:color="auto" w:fill="FFFFFF"/>
        </w:rPr>
        <w:t xml:space="preserve"> expenditure threshold was not used, as </w:t>
      </w:r>
      <w:r w:rsidRPr="001031F8">
        <w:rPr>
          <w:rStyle w:val="normaltextrun"/>
          <w:rFonts w:ascii="Times New Roman" w:hAnsi="Times New Roman" w:cs="Times New Roman" w:hint="eastAsia"/>
          <w:color w:val="2E2E2E"/>
          <w:sz w:val="20"/>
          <w:szCs w:val="20"/>
          <w:shd w:val="clear" w:color="auto" w:fill="FFFFFF"/>
        </w:rPr>
        <w:t xml:space="preserve">previous research suggests that a low threshold would overestimate </w:t>
      </w:r>
      <w:r w:rsidRPr="001031F8">
        <w:rPr>
          <w:rStyle w:val="normaltextrun"/>
          <w:rFonts w:ascii="Times New Roman" w:hAnsi="Times New Roman" w:cs="Times New Roman"/>
          <w:color w:val="2E2E2E"/>
          <w:sz w:val="20"/>
          <w:szCs w:val="20"/>
          <w:shd w:val="clear" w:color="auto" w:fill="FFFFFF"/>
        </w:rPr>
        <w:t>catastroph</w:t>
      </w:r>
      <w:r w:rsidRPr="001031F8">
        <w:rPr>
          <w:rStyle w:val="normaltextrun"/>
          <w:rFonts w:ascii="Times New Roman" w:hAnsi="Times New Roman" w:cs="Times New Roman" w:hint="eastAsia"/>
          <w:color w:val="2E2E2E"/>
          <w:sz w:val="20"/>
          <w:szCs w:val="20"/>
          <w:shd w:val="clear" w:color="auto" w:fill="FFFFFF"/>
        </w:rPr>
        <w:t xml:space="preserve">ic </w:t>
      </w:r>
      <w:r w:rsidRPr="001031F8">
        <w:rPr>
          <w:rStyle w:val="normaltextrun"/>
          <w:rFonts w:ascii="Times New Roman" w:hAnsi="Times New Roman" w:cs="Times New Roman"/>
          <w:color w:val="2E2E2E"/>
          <w:sz w:val="20"/>
          <w:szCs w:val="20"/>
          <w:shd w:val="clear" w:color="auto" w:fill="FFFFFF"/>
        </w:rPr>
        <w:t>expenditures</w:t>
      </w:r>
      <w:r w:rsidRPr="001031F8">
        <w:rPr>
          <w:rStyle w:val="normaltextrun"/>
          <w:rFonts w:ascii="Times New Roman" w:hAnsi="Times New Roman" w:cs="Times New Roman" w:hint="eastAsia"/>
          <w:color w:val="2E2E2E"/>
          <w:sz w:val="20"/>
          <w:szCs w:val="20"/>
          <w:shd w:val="clear" w:color="auto" w:fill="FFFFFF"/>
        </w:rPr>
        <w:t xml:space="preserve"> </w:t>
      </w:r>
      <w:r>
        <w:rPr>
          <w:rStyle w:val="normaltextrun"/>
          <w:rFonts w:ascii="Times New Roman" w:hAnsi="Times New Roman" w:cs="Times New Roman"/>
          <w:noProof/>
          <w:color w:val="2E2E2E"/>
          <w:sz w:val="20"/>
          <w:szCs w:val="20"/>
          <w:shd w:val="clear" w:color="auto" w:fill="FFFFFF"/>
        </w:rPr>
        <w:t>(Arsenijevic et al., 2013; Wagstaff &amp; van Doorslaer, 2003)</w:t>
      </w:r>
      <w:r w:rsidRPr="001031F8">
        <w:rPr>
          <w:rStyle w:val="normaltextrun"/>
          <w:rFonts w:ascii="Times New Roman" w:hAnsi="Times New Roman" w:cs="Times New Roman" w:hint="eastAsia"/>
          <w:color w:val="2E2E2E"/>
          <w:sz w:val="20"/>
          <w:szCs w:val="20"/>
          <w:shd w:val="clear" w:color="auto" w:fill="FFFFFF"/>
        </w:rPr>
        <w:t xml:space="preserve">, </w:t>
      </w:r>
      <w:r w:rsidRPr="001031F8">
        <w:rPr>
          <w:rStyle w:val="normaltextrun"/>
          <w:rFonts w:ascii="Times New Roman" w:hAnsi="Times New Roman" w:cs="Times New Roman"/>
          <w:color w:val="2E2E2E"/>
          <w:sz w:val="20"/>
          <w:szCs w:val="20"/>
          <w:shd w:val="clear" w:color="auto" w:fill="FFFFFF"/>
        </w:rPr>
        <w:t>especially</w:t>
      </w:r>
      <w:r w:rsidRPr="001031F8">
        <w:rPr>
          <w:rStyle w:val="normaltextrun"/>
          <w:rFonts w:ascii="Times New Roman" w:hAnsi="Times New Roman" w:cs="Times New Roman" w:hint="eastAsia"/>
          <w:color w:val="2E2E2E"/>
          <w:sz w:val="20"/>
          <w:szCs w:val="20"/>
          <w:shd w:val="clear" w:color="auto" w:fill="FFFFFF"/>
        </w:rPr>
        <w:t xml:space="preserve"> for older adults with cognitive and/or physical limitations, who often face excessive health and </w:t>
      </w:r>
      <w:r>
        <w:rPr>
          <w:rFonts w:ascii="Times New Roman" w:hAnsi="Times New Roman" w:cs="Times New Roman" w:hint="eastAsia"/>
          <w:sz w:val="20"/>
          <w:szCs w:val="20"/>
        </w:rPr>
        <w:t>LTC</w:t>
      </w:r>
      <w:r w:rsidRPr="001031F8">
        <w:rPr>
          <w:rStyle w:val="normaltextrun"/>
          <w:rFonts w:ascii="Times New Roman" w:hAnsi="Times New Roman" w:cs="Times New Roman" w:hint="eastAsia"/>
          <w:color w:val="2E2E2E"/>
          <w:sz w:val="20"/>
          <w:szCs w:val="20"/>
          <w:shd w:val="clear" w:color="auto" w:fill="FFFFFF"/>
        </w:rPr>
        <w:t xml:space="preserve"> expenditures. </w:t>
      </w:r>
      <w:r w:rsidRPr="001031F8">
        <w:rPr>
          <w:rFonts w:ascii="Times New Roman" w:hAnsi="Times New Roman" w:cs="Times New Roman"/>
          <w:color w:val="333333"/>
          <w:sz w:val="20"/>
          <w:szCs w:val="20"/>
        </w:rPr>
        <w:t xml:space="preserve">An individual is marked as incurring CHLTCE if </w:t>
      </w:r>
      <m:oMath>
        <m:f>
          <m:fPr>
            <m:ctrlPr>
              <w:rPr>
                <w:rFonts w:ascii="Cambria Math" w:hAnsi="Cambria Math" w:cs="Times New Roman"/>
                <w:i/>
                <w:color w:val="333333"/>
                <w:sz w:val="20"/>
                <w:szCs w:val="20"/>
              </w:rPr>
            </m:ctrlPr>
          </m:fPr>
          <m:num>
            <m:sSub>
              <m:sSubPr>
                <m:ctrlPr>
                  <w:rPr>
                    <w:rFonts w:ascii="Cambria Math" w:hAnsi="Cambria Math" w:cs="Times New Roman"/>
                    <w:color w:val="333333"/>
                    <w:sz w:val="20"/>
                    <w:szCs w:val="20"/>
                  </w:rPr>
                </m:ctrlPr>
              </m:sSubPr>
              <m:e>
                <m:r>
                  <w:rPr>
                    <w:rFonts w:ascii="Cambria Math" w:eastAsia="Cambria Math" w:hAnsi="Cambria Math" w:cs="Times New Roman"/>
                    <w:color w:val="333333"/>
                    <w:sz w:val="20"/>
                    <w:szCs w:val="20"/>
                  </w:rPr>
                  <m:t>H</m:t>
                </m:r>
              </m:e>
              <m:sub>
                <m:r>
                  <w:rPr>
                    <w:rFonts w:ascii="Cambria Math" w:eastAsia="Cambria Math" w:hAnsi="Cambria Math" w:cs="Times New Roman"/>
                    <w:color w:val="333333"/>
                    <w:sz w:val="20"/>
                    <w:szCs w:val="20"/>
                  </w:rPr>
                  <m:t>i</m:t>
                </m:r>
              </m:sub>
            </m:sSub>
          </m:num>
          <m:den>
            <m:sSub>
              <m:sSubPr>
                <m:ctrlPr>
                  <w:rPr>
                    <w:rFonts w:ascii="Cambria Math" w:hAnsi="Cambria Math" w:cs="Times New Roman"/>
                    <w:color w:val="333333"/>
                    <w:sz w:val="20"/>
                    <w:szCs w:val="20"/>
                  </w:rPr>
                </m:ctrlPr>
              </m:sSubPr>
              <m:e>
                <m:r>
                  <w:rPr>
                    <w:rFonts w:ascii="Cambria Math" w:eastAsia="Cambria Math" w:hAnsi="Cambria Math" w:cs="Times New Roman"/>
                    <w:color w:val="333333"/>
                    <w:sz w:val="20"/>
                    <w:szCs w:val="20"/>
                  </w:rPr>
                  <m:t>E</m:t>
                </m:r>
              </m:e>
              <m:sub>
                <m:r>
                  <w:rPr>
                    <w:rFonts w:ascii="Cambria Math" w:eastAsia="Cambria Math" w:hAnsi="Cambria Math" w:cs="Times New Roman"/>
                    <w:color w:val="333333"/>
                    <w:sz w:val="20"/>
                    <w:szCs w:val="20"/>
                  </w:rPr>
                  <m:t>i</m:t>
                </m:r>
              </m:sub>
            </m:sSub>
          </m:den>
        </m:f>
        <m:r>
          <w:rPr>
            <w:rFonts w:ascii="Cambria Math" w:hAnsi="Cambria Math" w:cs="Times New Roman"/>
            <w:color w:val="333333"/>
            <w:sz w:val="20"/>
            <w:szCs w:val="20"/>
          </w:rPr>
          <m:t>&gt;</m:t>
        </m:r>
        <m:sSub>
          <m:sSubPr>
            <m:ctrlPr>
              <w:rPr>
                <w:rFonts w:ascii="Cambria Math" w:hAnsi="Cambria Math" w:cs="Times New Roman"/>
                <w:color w:val="333333"/>
                <w:sz w:val="20"/>
                <w:szCs w:val="20"/>
              </w:rPr>
            </m:ctrlPr>
          </m:sSubPr>
          <m:e>
            <m:r>
              <w:rPr>
                <w:rFonts w:ascii="Cambria Math" w:eastAsia="Cambria Math" w:hAnsi="Cambria Math" w:cs="Times New Roman"/>
                <w:color w:val="333333"/>
                <w:sz w:val="20"/>
                <w:szCs w:val="20"/>
              </w:rPr>
              <m:t>z</m:t>
            </m:r>
          </m:e>
          <m:sub>
            <m:r>
              <w:rPr>
                <w:rFonts w:ascii="Cambria Math" w:eastAsia="Cambria Math" w:hAnsi="Cambria Math" w:cs="Times New Roman"/>
                <w:color w:val="333333"/>
                <w:sz w:val="20"/>
                <w:szCs w:val="20"/>
              </w:rPr>
              <m:t>l</m:t>
            </m:r>
          </m:sub>
        </m:sSub>
      </m:oMath>
      <w:r w:rsidRPr="001031F8">
        <w:rPr>
          <w:rFonts w:ascii="Times New Roman" w:hAnsi="Times New Roman" w:cs="Times New Roman"/>
          <w:color w:val="333333"/>
          <w:sz w:val="20"/>
          <w:szCs w:val="20"/>
        </w:rPr>
        <w:t xml:space="preserve">, where </w:t>
      </w:r>
      <w:r w:rsidRPr="001031F8">
        <w:rPr>
          <w:rFonts w:ascii="Times New Roman" w:hAnsi="Times New Roman" w:cs="Times New Roman"/>
          <w:color w:val="2E2E2E"/>
          <w:sz w:val="20"/>
          <w:szCs w:val="20"/>
        </w:rPr>
        <w:t>‘</w:t>
      </w:r>
      <m:oMath>
        <m:sSub>
          <m:sSubPr>
            <m:ctrlPr>
              <w:rPr>
                <w:rFonts w:ascii="Cambria Math" w:hAnsi="Cambria Math" w:cs="Times New Roman"/>
                <w:color w:val="333333"/>
                <w:sz w:val="20"/>
                <w:szCs w:val="20"/>
              </w:rPr>
            </m:ctrlPr>
          </m:sSubPr>
          <m:e>
            <m:r>
              <w:rPr>
                <w:rFonts w:ascii="Cambria Math" w:eastAsia="Cambria Math" w:hAnsi="Cambria Math" w:cs="Times New Roman"/>
                <w:color w:val="333333"/>
                <w:sz w:val="20"/>
                <w:szCs w:val="20"/>
              </w:rPr>
              <m:t>H</m:t>
            </m:r>
          </m:e>
          <m:sub>
            <m:r>
              <w:rPr>
                <w:rFonts w:ascii="Cambria Math" w:eastAsia="Cambria Math" w:hAnsi="Cambria Math" w:cs="Times New Roman"/>
                <w:color w:val="333333"/>
                <w:sz w:val="20"/>
                <w:szCs w:val="20"/>
              </w:rPr>
              <m:t>i</m:t>
            </m:r>
          </m:sub>
        </m:sSub>
      </m:oMath>
      <w:r w:rsidRPr="001031F8">
        <w:rPr>
          <w:rFonts w:ascii="Times New Roman" w:hAnsi="Times New Roman" w:cs="Times New Roman"/>
          <w:color w:val="2E2E2E"/>
          <w:sz w:val="20"/>
          <w:szCs w:val="20"/>
        </w:rPr>
        <w:t>’ is health and LTC costs of the individual i and ‘</w:t>
      </w:r>
      <m:oMath>
        <m:sSub>
          <m:sSubPr>
            <m:ctrlPr>
              <w:rPr>
                <w:rFonts w:ascii="Cambria Math" w:hAnsi="Cambria Math" w:cs="Times New Roman"/>
                <w:color w:val="333333"/>
                <w:sz w:val="20"/>
                <w:szCs w:val="20"/>
              </w:rPr>
            </m:ctrlPr>
          </m:sSubPr>
          <m:e>
            <m:r>
              <w:rPr>
                <w:rFonts w:ascii="Cambria Math" w:eastAsia="Cambria Math" w:hAnsi="Cambria Math" w:cs="Times New Roman"/>
                <w:color w:val="333333"/>
                <w:sz w:val="20"/>
                <w:szCs w:val="20"/>
              </w:rPr>
              <m:t>E</m:t>
            </m:r>
          </m:e>
          <m:sub>
            <m:r>
              <w:rPr>
                <w:rFonts w:ascii="Cambria Math" w:eastAsia="Cambria Math" w:hAnsi="Cambria Math" w:cs="Times New Roman"/>
                <w:color w:val="333333"/>
                <w:sz w:val="20"/>
                <w:szCs w:val="20"/>
              </w:rPr>
              <m:t>i</m:t>
            </m:r>
          </m:sub>
        </m:sSub>
      </m:oMath>
      <w:r w:rsidRPr="001031F8">
        <w:rPr>
          <w:rFonts w:ascii="Times New Roman" w:hAnsi="Times New Roman" w:cs="Times New Roman"/>
          <w:color w:val="2E2E2E"/>
          <w:sz w:val="20"/>
          <w:szCs w:val="20"/>
        </w:rPr>
        <w:t xml:space="preserve">’ refers to the household </w:t>
      </w:r>
      <w:r>
        <w:rPr>
          <w:rFonts w:ascii="Times New Roman" w:hAnsi="Times New Roman" w:cs="Times New Roman" w:hint="eastAsia"/>
          <w:color w:val="2E2E2E"/>
          <w:sz w:val="20"/>
          <w:szCs w:val="20"/>
        </w:rPr>
        <w:t>expenditures</w:t>
      </w:r>
      <w:r w:rsidRPr="001031F8">
        <w:rPr>
          <w:rFonts w:ascii="Times New Roman" w:hAnsi="Times New Roman" w:cs="Times New Roman"/>
          <w:color w:val="2E2E2E"/>
          <w:sz w:val="20"/>
          <w:szCs w:val="20"/>
        </w:rPr>
        <w:t xml:space="preserve"> </w:t>
      </w:r>
      <w:r w:rsidRPr="001031F8">
        <w:rPr>
          <w:rFonts w:ascii="Times New Roman" w:hAnsi="Times New Roman" w:cs="Times New Roman"/>
          <w:noProof/>
          <w:color w:val="2E2E2E"/>
          <w:sz w:val="20"/>
          <w:szCs w:val="20"/>
        </w:rPr>
        <w:t>(World Health Organization, 2024)</w:t>
      </w:r>
      <w:r w:rsidRPr="001031F8">
        <w:rPr>
          <w:rFonts w:ascii="Times New Roman" w:hAnsi="Times New Roman" w:cs="Times New Roman"/>
          <w:color w:val="2E2E2E"/>
          <w:sz w:val="20"/>
          <w:szCs w:val="20"/>
        </w:rPr>
        <w:t>. ‘</w:t>
      </w:r>
      <m:oMath>
        <m:sSub>
          <m:sSubPr>
            <m:ctrlPr>
              <w:rPr>
                <w:rFonts w:ascii="Cambria Math" w:hAnsi="Cambria Math" w:cs="Times New Roman"/>
                <w:color w:val="333333"/>
                <w:sz w:val="20"/>
                <w:szCs w:val="20"/>
              </w:rPr>
            </m:ctrlPr>
          </m:sSubPr>
          <m:e>
            <m:r>
              <w:rPr>
                <w:rFonts w:ascii="Cambria Math" w:eastAsia="Cambria Math" w:hAnsi="Cambria Math" w:cs="Times New Roman"/>
                <w:color w:val="333333"/>
                <w:sz w:val="20"/>
                <w:szCs w:val="20"/>
              </w:rPr>
              <m:t>Z</m:t>
            </m:r>
          </m:e>
          <m:sub>
            <m:r>
              <w:rPr>
                <w:rFonts w:ascii="Cambria Math" w:eastAsia="Cambria Math" w:hAnsi="Cambria Math" w:cs="Times New Roman"/>
                <w:color w:val="333333"/>
                <w:sz w:val="20"/>
                <w:szCs w:val="20"/>
              </w:rPr>
              <m:t>l</m:t>
            </m:r>
          </m:sub>
        </m:sSub>
      </m:oMath>
      <w:r w:rsidRPr="001031F8">
        <w:rPr>
          <w:rFonts w:ascii="Times New Roman" w:hAnsi="Times New Roman" w:cs="Times New Roman"/>
          <w:color w:val="2E2E2E"/>
          <w:sz w:val="20"/>
          <w:szCs w:val="20"/>
        </w:rPr>
        <w:t xml:space="preserve">’ is the predetermined CHLTCE threshold, defined as (210% of total household expenditures, 250% of total household expenditures, or 25% of non-food household expenditures. Specifically, we created three sets of dichotomous variables indicating whether the proportion of out-of-pocket health and LTC costs exceeded the defined threshold in each survey wave: a) individuals with CHLTCE at </w:t>
      </w:r>
      <w:r w:rsidRPr="001031F8">
        <w:rPr>
          <w:rFonts w:ascii="Times New Roman" w:hAnsi="Times New Roman" w:cs="Times New Roman" w:hint="eastAsia"/>
          <w:color w:val="2E2E2E"/>
          <w:sz w:val="20"/>
          <w:szCs w:val="20"/>
        </w:rPr>
        <w:t>2</w:t>
      </w:r>
      <w:r w:rsidRPr="001031F8">
        <w:rPr>
          <w:rFonts w:ascii="Times New Roman" w:hAnsi="Times New Roman" w:cs="Times New Roman"/>
          <w:color w:val="2E2E2E"/>
          <w:sz w:val="20"/>
          <w:szCs w:val="20"/>
        </w:rPr>
        <w:t xml:space="preserve">0% (0 = out-of-pocket health and LTC costs &lt; </w:t>
      </w:r>
      <w:r w:rsidRPr="001031F8">
        <w:rPr>
          <w:rFonts w:ascii="Times New Roman" w:hAnsi="Times New Roman" w:cs="Times New Roman" w:hint="eastAsia"/>
          <w:color w:val="2E2E2E"/>
          <w:sz w:val="20"/>
          <w:szCs w:val="20"/>
        </w:rPr>
        <w:t>2</w:t>
      </w:r>
      <w:r w:rsidRPr="001031F8">
        <w:rPr>
          <w:rFonts w:ascii="Times New Roman" w:hAnsi="Times New Roman" w:cs="Times New Roman"/>
          <w:color w:val="2E2E2E"/>
          <w:sz w:val="20"/>
          <w:szCs w:val="20"/>
        </w:rPr>
        <w:t xml:space="preserve">0% of </w:t>
      </w:r>
      <w:r w:rsidRPr="001031F8">
        <w:rPr>
          <w:rFonts w:ascii="Times New Roman" w:hAnsi="Times New Roman" w:cs="Times New Roman" w:hint="eastAsia"/>
          <w:color w:val="2E2E2E"/>
          <w:sz w:val="20"/>
          <w:szCs w:val="20"/>
        </w:rPr>
        <w:t>total</w:t>
      </w:r>
      <w:r w:rsidRPr="001031F8">
        <w:rPr>
          <w:rFonts w:ascii="Times New Roman" w:hAnsi="Times New Roman" w:cs="Times New Roman"/>
          <w:color w:val="2E2E2E"/>
          <w:sz w:val="20"/>
          <w:szCs w:val="20"/>
        </w:rPr>
        <w:t xml:space="preserve"> household </w:t>
      </w:r>
      <w:r w:rsidRPr="001031F8">
        <w:rPr>
          <w:rFonts w:ascii="Times New Roman" w:hAnsi="Times New Roman" w:cs="Times New Roman" w:hint="eastAsia"/>
          <w:color w:val="2E2E2E"/>
          <w:sz w:val="20"/>
          <w:szCs w:val="20"/>
        </w:rPr>
        <w:t>expenditures</w:t>
      </w:r>
      <w:r w:rsidRPr="001031F8">
        <w:rPr>
          <w:rFonts w:ascii="Times New Roman" w:hAnsi="Times New Roman" w:cs="Times New Roman"/>
          <w:color w:val="2E2E2E"/>
          <w:sz w:val="20"/>
          <w:szCs w:val="20"/>
        </w:rPr>
        <w:t xml:space="preserve">; 1= ≥ </w:t>
      </w:r>
      <w:r w:rsidRPr="001031F8">
        <w:rPr>
          <w:rFonts w:ascii="Times New Roman" w:hAnsi="Times New Roman" w:cs="Times New Roman" w:hint="eastAsia"/>
          <w:color w:val="2E2E2E"/>
          <w:sz w:val="20"/>
          <w:szCs w:val="20"/>
        </w:rPr>
        <w:t>2</w:t>
      </w:r>
      <w:r w:rsidRPr="001031F8">
        <w:rPr>
          <w:rFonts w:ascii="Times New Roman" w:hAnsi="Times New Roman" w:cs="Times New Roman"/>
          <w:color w:val="2E2E2E"/>
          <w:sz w:val="20"/>
          <w:szCs w:val="20"/>
        </w:rPr>
        <w:t>0%); b) individuals with CHLTCE at 2</w:t>
      </w:r>
      <w:r w:rsidRPr="001031F8">
        <w:rPr>
          <w:rFonts w:ascii="Times New Roman" w:hAnsi="Times New Roman" w:cs="Times New Roman" w:hint="eastAsia"/>
          <w:color w:val="2E2E2E"/>
          <w:sz w:val="20"/>
          <w:szCs w:val="20"/>
        </w:rPr>
        <w:t>5</w:t>
      </w:r>
      <w:r w:rsidRPr="001031F8">
        <w:rPr>
          <w:rFonts w:ascii="Times New Roman" w:hAnsi="Times New Roman" w:cs="Times New Roman"/>
          <w:color w:val="2E2E2E"/>
          <w:sz w:val="20"/>
          <w:szCs w:val="20"/>
        </w:rPr>
        <w:t>% (0 = out-of-pocket health and LTC costs &lt; 2</w:t>
      </w:r>
      <w:r w:rsidRPr="001031F8">
        <w:rPr>
          <w:rFonts w:ascii="Times New Roman" w:hAnsi="Times New Roman" w:cs="Times New Roman" w:hint="eastAsia"/>
          <w:color w:val="2E2E2E"/>
          <w:sz w:val="20"/>
          <w:szCs w:val="20"/>
        </w:rPr>
        <w:t>5</w:t>
      </w:r>
      <w:r w:rsidRPr="001031F8">
        <w:rPr>
          <w:rFonts w:ascii="Times New Roman" w:hAnsi="Times New Roman" w:cs="Times New Roman"/>
          <w:color w:val="2E2E2E"/>
          <w:sz w:val="20"/>
          <w:szCs w:val="20"/>
        </w:rPr>
        <w:t xml:space="preserve">% of </w:t>
      </w:r>
      <w:r w:rsidRPr="001031F8">
        <w:rPr>
          <w:rFonts w:ascii="Times New Roman" w:hAnsi="Times New Roman" w:cs="Times New Roman" w:hint="eastAsia"/>
          <w:color w:val="2E2E2E"/>
          <w:sz w:val="20"/>
          <w:szCs w:val="20"/>
        </w:rPr>
        <w:t xml:space="preserve">total </w:t>
      </w:r>
      <w:r w:rsidRPr="001031F8">
        <w:rPr>
          <w:rFonts w:ascii="Times New Roman" w:hAnsi="Times New Roman" w:cs="Times New Roman"/>
          <w:color w:val="2E2E2E"/>
          <w:sz w:val="20"/>
          <w:szCs w:val="20"/>
        </w:rPr>
        <w:t xml:space="preserve">household </w:t>
      </w:r>
      <w:r w:rsidRPr="001031F8">
        <w:rPr>
          <w:rFonts w:ascii="Times New Roman" w:hAnsi="Times New Roman" w:cs="Times New Roman" w:hint="eastAsia"/>
          <w:color w:val="2E2E2E"/>
          <w:sz w:val="20"/>
          <w:szCs w:val="20"/>
        </w:rPr>
        <w:t>expenditures</w:t>
      </w:r>
      <w:r w:rsidRPr="001031F8">
        <w:rPr>
          <w:rFonts w:ascii="Times New Roman" w:hAnsi="Times New Roman" w:cs="Times New Roman"/>
          <w:color w:val="2E2E2E"/>
          <w:sz w:val="20"/>
          <w:szCs w:val="20"/>
        </w:rPr>
        <w:t>; 1= ≥ 2</w:t>
      </w:r>
      <w:r w:rsidRPr="001031F8">
        <w:rPr>
          <w:rFonts w:ascii="Times New Roman" w:hAnsi="Times New Roman" w:cs="Times New Roman" w:hint="eastAsia"/>
          <w:color w:val="2E2E2E"/>
          <w:sz w:val="20"/>
          <w:szCs w:val="20"/>
        </w:rPr>
        <w:t>5</w:t>
      </w:r>
      <w:r w:rsidRPr="001031F8">
        <w:rPr>
          <w:rFonts w:ascii="Times New Roman" w:hAnsi="Times New Roman" w:cs="Times New Roman"/>
          <w:color w:val="2E2E2E"/>
          <w:sz w:val="20"/>
          <w:szCs w:val="20"/>
        </w:rPr>
        <w:t xml:space="preserve">%); c) individuals with CHLTCE at </w:t>
      </w:r>
      <w:r w:rsidRPr="001031F8">
        <w:rPr>
          <w:rFonts w:ascii="Times New Roman" w:hAnsi="Times New Roman" w:cs="Times New Roman" w:hint="eastAsia"/>
          <w:color w:val="2E2E2E"/>
          <w:sz w:val="20"/>
          <w:szCs w:val="20"/>
        </w:rPr>
        <w:t>40</w:t>
      </w:r>
      <w:r w:rsidRPr="001031F8">
        <w:rPr>
          <w:rFonts w:ascii="Times New Roman" w:hAnsi="Times New Roman" w:cs="Times New Roman"/>
          <w:color w:val="2E2E2E"/>
          <w:sz w:val="20"/>
          <w:szCs w:val="20"/>
        </w:rPr>
        <w:t xml:space="preserve">% (0 = out-of-pocket health and LTC costs &lt; </w:t>
      </w:r>
      <w:r w:rsidRPr="001031F8">
        <w:rPr>
          <w:rFonts w:ascii="Times New Roman" w:hAnsi="Times New Roman" w:cs="Times New Roman" w:hint="eastAsia"/>
          <w:color w:val="2E2E2E"/>
          <w:sz w:val="20"/>
          <w:szCs w:val="20"/>
        </w:rPr>
        <w:t>40</w:t>
      </w:r>
      <w:r w:rsidRPr="001031F8">
        <w:rPr>
          <w:rFonts w:ascii="Times New Roman" w:hAnsi="Times New Roman" w:cs="Times New Roman"/>
          <w:color w:val="2E2E2E"/>
          <w:sz w:val="20"/>
          <w:szCs w:val="20"/>
        </w:rPr>
        <w:t xml:space="preserve">% of </w:t>
      </w:r>
      <w:r w:rsidRPr="001031F8">
        <w:rPr>
          <w:rFonts w:ascii="Times New Roman" w:hAnsi="Times New Roman" w:cs="Times New Roman" w:hint="eastAsia"/>
          <w:color w:val="2E2E2E"/>
          <w:sz w:val="20"/>
          <w:szCs w:val="20"/>
        </w:rPr>
        <w:t xml:space="preserve">non-food </w:t>
      </w:r>
      <w:r w:rsidRPr="001031F8">
        <w:rPr>
          <w:rFonts w:ascii="Times New Roman" w:hAnsi="Times New Roman" w:cs="Times New Roman"/>
          <w:color w:val="2E2E2E"/>
          <w:sz w:val="20"/>
          <w:szCs w:val="20"/>
        </w:rPr>
        <w:t xml:space="preserve">household </w:t>
      </w:r>
      <w:r w:rsidRPr="001031F8">
        <w:rPr>
          <w:rFonts w:ascii="Times New Roman" w:hAnsi="Times New Roman" w:cs="Times New Roman" w:hint="eastAsia"/>
          <w:color w:val="2E2E2E"/>
          <w:sz w:val="20"/>
          <w:szCs w:val="20"/>
        </w:rPr>
        <w:t>expenditures</w:t>
      </w:r>
      <w:r w:rsidRPr="001031F8">
        <w:rPr>
          <w:rFonts w:ascii="Times New Roman" w:hAnsi="Times New Roman" w:cs="Times New Roman"/>
          <w:color w:val="2E2E2E"/>
          <w:sz w:val="20"/>
          <w:szCs w:val="20"/>
        </w:rPr>
        <w:t xml:space="preserve">; 1= ≥ </w:t>
      </w:r>
      <w:r w:rsidRPr="001031F8">
        <w:rPr>
          <w:rFonts w:ascii="Times New Roman" w:hAnsi="Times New Roman" w:cs="Times New Roman" w:hint="eastAsia"/>
          <w:color w:val="2E2E2E"/>
          <w:sz w:val="20"/>
          <w:szCs w:val="20"/>
        </w:rPr>
        <w:t>40</w:t>
      </w:r>
      <w:r w:rsidRPr="001031F8">
        <w:rPr>
          <w:rFonts w:ascii="Times New Roman" w:hAnsi="Times New Roman" w:cs="Times New Roman"/>
          <w:color w:val="2E2E2E"/>
          <w:sz w:val="20"/>
          <w:szCs w:val="20"/>
        </w:rPr>
        <w:t>%).</w:t>
      </w:r>
    </w:p>
    <w:p w14:paraId="44736B44" w14:textId="77777777" w:rsidR="00923F07" w:rsidRPr="001031F8" w:rsidRDefault="00923F07" w:rsidP="001031F8">
      <w:pPr>
        <w:adjustRightInd w:val="0"/>
        <w:snapToGrid w:val="0"/>
        <w:spacing w:line="480" w:lineRule="auto"/>
        <w:rPr>
          <w:rStyle w:val="Heading1Char"/>
          <w:rFonts w:ascii="Times New Roman" w:hAnsi="Times New Roman" w:cs="Times New Roman"/>
          <w:sz w:val="20"/>
          <w:szCs w:val="20"/>
        </w:rPr>
      </w:pPr>
    </w:p>
    <w:p w14:paraId="1AE6F1C9" w14:textId="77777777" w:rsidR="00923F07" w:rsidRPr="001031F8" w:rsidRDefault="00923F07" w:rsidP="001031F8">
      <w:pPr>
        <w:widowControl/>
        <w:adjustRightInd w:val="0"/>
        <w:snapToGrid w:val="0"/>
        <w:spacing w:line="480" w:lineRule="auto"/>
        <w:jc w:val="left"/>
        <w:rPr>
          <w:rStyle w:val="Heading1Char"/>
          <w:rFonts w:ascii="Times New Roman" w:hAnsi="Times New Roman" w:cs="Times New Roman"/>
          <w:sz w:val="20"/>
          <w:szCs w:val="20"/>
        </w:rPr>
      </w:pPr>
      <w:r w:rsidRPr="001031F8">
        <w:rPr>
          <w:rStyle w:val="Heading1Char"/>
          <w:rFonts w:ascii="Times New Roman" w:hAnsi="Times New Roman" w:cs="Times New Roman"/>
          <w:sz w:val="20"/>
          <w:szCs w:val="20"/>
        </w:rPr>
        <w:br w:type="page"/>
      </w:r>
    </w:p>
    <w:p w14:paraId="28D67CF2" w14:textId="77777777" w:rsidR="00923F07" w:rsidRPr="001031F8" w:rsidRDefault="00923F07" w:rsidP="007B0D17">
      <w:pPr>
        <w:pStyle w:val="Heading1"/>
        <w:adjustRightInd w:val="0"/>
        <w:snapToGrid w:val="0"/>
        <w:spacing w:before="0" w:after="0" w:line="480" w:lineRule="auto"/>
        <w:jc w:val="center"/>
        <w:rPr>
          <w:rStyle w:val="Heading1Char"/>
          <w:rFonts w:ascii="Times New Roman" w:hAnsi="Times New Roman" w:cs="Times New Roman"/>
          <w:b/>
          <w:bCs/>
          <w:sz w:val="20"/>
          <w:szCs w:val="20"/>
        </w:rPr>
      </w:pPr>
      <w:bookmarkStart w:id="20" w:name="_Toc195209565"/>
      <w:bookmarkStart w:id="21" w:name="_Toc184140227"/>
      <w:r w:rsidRPr="001031F8">
        <w:rPr>
          <w:rStyle w:val="Heading1Char"/>
          <w:rFonts w:ascii="Times New Roman" w:hAnsi="Times New Roman" w:cs="Times New Roman"/>
          <w:b/>
          <w:bCs/>
          <w:sz w:val="20"/>
          <w:szCs w:val="20"/>
        </w:rPr>
        <w:lastRenderedPageBreak/>
        <w:t>S</w:t>
      </w:r>
      <w:r w:rsidRPr="001031F8">
        <w:rPr>
          <w:rStyle w:val="Heading1Char"/>
          <w:rFonts w:ascii="Times New Roman" w:hAnsi="Times New Roman" w:cs="Times New Roman" w:hint="eastAsia"/>
          <w:b/>
          <w:bCs/>
          <w:sz w:val="20"/>
          <w:szCs w:val="20"/>
        </w:rPr>
        <w:t xml:space="preserve">ection </w:t>
      </w:r>
      <w:r>
        <w:rPr>
          <w:rStyle w:val="Heading1Char"/>
          <w:rFonts w:ascii="Times New Roman" w:hAnsi="Times New Roman" w:cs="Times New Roman" w:hint="eastAsia"/>
          <w:b/>
          <w:bCs/>
          <w:sz w:val="20"/>
          <w:szCs w:val="20"/>
        </w:rPr>
        <w:t>E</w:t>
      </w:r>
      <w:r w:rsidRPr="001031F8">
        <w:rPr>
          <w:rStyle w:val="Heading1Char"/>
          <w:rFonts w:ascii="Times New Roman" w:hAnsi="Times New Roman" w:cs="Times New Roman"/>
          <w:b/>
          <w:bCs/>
          <w:sz w:val="20"/>
          <w:szCs w:val="20"/>
        </w:rPr>
        <w:t xml:space="preserve">. </w:t>
      </w:r>
      <w:r>
        <w:rPr>
          <w:rStyle w:val="Heading1Char"/>
          <w:rFonts w:ascii="Times New Roman" w:hAnsi="Times New Roman" w:cs="Times New Roman" w:hint="eastAsia"/>
          <w:b/>
          <w:bCs/>
          <w:sz w:val="20"/>
          <w:szCs w:val="20"/>
        </w:rPr>
        <w:t xml:space="preserve">Treated group, control group and the </w:t>
      </w:r>
      <w:r w:rsidRPr="001031F8">
        <w:rPr>
          <w:rStyle w:val="Heading1Char"/>
          <w:rFonts w:ascii="Times New Roman" w:hAnsi="Times New Roman" w:cs="Times New Roman"/>
          <w:b/>
          <w:bCs/>
          <w:sz w:val="20"/>
          <w:szCs w:val="20"/>
        </w:rPr>
        <w:t xml:space="preserve">timing of </w:t>
      </w:r>
      <w:r w:rsidRPr="001031F8">
        <w:rPr>
          <w:rStyle w:val="Heading1Char"/>
          <w:rFonts w:ascii="Times New Roman" w:hAnsi="Times New Roman" w:cs="Times New Roman" w:hint="eastAsia"/>
          <w:b/>
          <w:bCs/>
          <w:sz w:val="20"/>
          <w:szCs w:val="20"/>
        </w:rPr>
        <w:t xml:space="preserve">long-term care insurance </w:t>
      </w:r>
      <w:r w:rsidRPr="001031F8">
        <w:rPr>
          <w:rStyle w:val="Heading1Char"/>
          <w:rFonts w:ascii="Times New Roman" w:hAnsi="Times New Roman" w:cs="Times New Roman"/>
          <w:b/>
          <w:bCs/>
          <w:sz w:val="20"/>
          <w:szCs w:val="20"/>
        </w:rPr>
        <w:t>pilot</w:t>
      </w:r>
      <w:r>
        <w:rPr>
          <w:rStyle w:val="Heading1Char"/>
          <w:rFonts w:ascii="Times New Roman" w:hAnsi="Times New Roman" w:cs="Times New Roman" w:hint="eastAsia"/>
          <w:b/>
          <w:bCs/>
          <w:sz w:val="20"/>
          <w:szCs w:val="20"/>
        </w:rPr>
        <w:t xml:space="preserve"> schemes</w:t>
      </w:r>
      <w:bookmarkEnd w:id="20"/>
    </w:p>
    <w:p w14:paraId="478409FC" w14:textId="77777777" w:rsidR="00923F07" w:rsidRDefault="00923F07" w:rsidP="007B0D17">
      <w:pPr>
        <w:adjustRightInd w:val="0"/>
        <w:snapToGrid w:val="0"/>
        <w:spacing w:line="480" w:lineRule="auto"/>
        <w:rPr>
          <w:sz w:val="20"/>
          <w:szCs w:val="20"/>
        </w:rPr>
      </w:pPr>
    </w:p>
    <w:p w14:paraId="2F7FD99F" w14:textId="77777777" w:rsidR="00923F07" w:rsidRPr="00BD6C7A" w:rsidRDefault="00923F07" w:rsidP="007B0D17">
      <w:pPr>
        <w:widowControl/>
        <w:adjustRightInd w:val="0"/>
        <w:snapToGrid w:val="0"/>
        <w:spacing w:line="480" w:lineRule="auto"/>
        <w:jc w:val="left"/>
        <w:rPr>
          <w:rFonts w:ascii="Times New Roman" w:hAnsi="Times New Roman" w:cs="Times New Roman"/>
          <w:sz w:val="20"/>
          <w:szCs w:val="20"/>
        </w:rPr>
      </w:pPr>
      <w:bookmarkStart w:id="22" w:name="_Hlk195202160"/>
      <w:r w:rsidRPr="004E6799">
        <w:rPr>
          <w:rFonts w:ascii="Times New Roman" w:hAnsi="Times New Roman" w:cs="Times New Roman" w:hint="eastAsia"/>
          <w:sz w:val="20"/>
          <w:szCs w:val="20"/>
        </w:rPr>
        <w:t xml:space="preserve">As noted in Section A and shown in </w:t>
      </w:r>
      <w:r w:rsidRPr="005F2805">
        <w:rPr>
          <w:rFonts w:ascii="Times New Roman" w:hAnsi="Times New Roman" w:cs="Times New Roman" w:hint="eastAsia"/>
          <w:b/>
          <w:bCs/>
          <w:sz w:val="20"/>
          <w:szCs w:val="20"/>
        </w:rPr>
        <w:t>Table E.1</w:t>
      </w:r>
      <w:r w:rsidRPr="004E6799">
        <w:rPr>
          <w:rFonts w:ascii="Times New Roman" w:hAnsi="Times New Roman" w:cs="Times New Roman" w:hint="eastAsia"/>
          <w:sz w:val="20"/>
          <w:szCs w:val="20"/>
        </w:rPr>
        <w:t xml:space="preserve">, </w:t>
      </w:r>
      <w:r>
        <w:rPr>
          <w:rFonts w:ascii="Times New Roman" w:hAnsi="Times New Roman" w:cs="Times New Roman" w:hint="eastAsia"/>
          <w:sz w:val="20"/>
          <w:szCs w:val="20"/>
        </w:rPr>
        <w:t>our study sample includes</w:t>
      </w:r>
      <w:r w:rsidRPr="004E6799">
        <w:rPr>
          <w:rFonts w:ascii="Times New Roman" w:hAnsi="Times New Roman" w:cs="Times New Roman"/>
          <w:sz w:val="20"/>
          <w:szCs w:val="20"/>
        </w:rPr>
        <w:t xml:space="preserve"> 16 pilot cities (Lei et al., 2022)</w:t>
      </w:r>
      <w:r w:rsidRPr="004E6799">
        <w:rPr>
          <w:rFonts w:ascii="Times New Roman" w:hAnsi="Times New Roman" w:cs="Times New Roman" w:hint="eastAsia"/>
          <w:sz w:val="20"/>
          <w:szCs w:val="20"/>
        </w:rPr>
        <w:t xml:space="preserve">. </w:t>
      </w:r>
      <w:r w:rsidRPr="004E6799">
        <w:rPr>
          <w:rFonts w:ascii="Times New Roman" w:hAnsi="Times New Roman" w:cs="Times New Roman"/>
          <w:sz w:val="20"/>
          <w:szCs w:val="20"/>
        </w:rPr>
        <w:t>Following the approach used in previous studies</w:t>
      </w:r>
      <w:r w:rsidRPr="004E6799">
        <w:rPr>
          <w:rFonts w:ascii="Times New Roman" w:hAnsi="Times New Roman" w:cs="Times New Roman" w:hint="eastAsia"/>
          <w:sz w:val="20"/>
          <w:szCs w:val="20"/>
        </w:rPr>
        <w:t xml:space="preserve"> </w:t>
      </w:r>
      <w:r w:rsidRPr="004E6799">
        <w:rPr>
          <w:rFonts w:ascii="Times New Roman" w:hAnsi="Times New Roman" w:cs="Times New Roman"/>
          <w:noProof/>
          <w:sz w:val="20"/>
          <w:szCs w:val="20"/>
        </w:rPr>
        <w:t>(Lei et al., 2022; Pei et al., 2024)</w:t>
      </w:r>
      <w:r w:rsidRPr="004E6799">
        <w:rPr>
          <w:rFonts w:ascii="Times New Roman" w:hAnsi="Times New Roman" w:cs="Times New Roman"/>
          <w:sz w:val="20"/>
          <w:szCs w:val="20"/>
        </w:rPr>
        <w:t xml:space="preserve">, </w:t>
      </w:r>
      <w:r w:rsidRPr="004E6799">
        <w:rPr>
          <w:rFonts w:ascii="Times New Roman" w:hAnsi="Times New Roman" w:cs="Times New Roman" w:hint="eastAsia"/>
          <w:sz w:val="20"/>
          <w:szCs w:val="20"/>
        </w:rPr>
        <w:t>w</w:t>
      </w:r>
      <w:r w:rsidRPr="004E6799">
        <w:rPr>
          <w:rFonts w:ascii="Times New Roman" w:hAnsi="Times New Roman" w:cs="Times New Roman"/>
          <w:sz w:val="20"/>
          <w:szCs w:val="20"/>
        </w:rPr>
        <w:t xml:space="preserve">e defined the treatment group as individuals residing in </w:t>
      </w:r>
      <w:r>
        <w:rPr>
          <w:rFonts w:ascii="Times New Roman" w:hAnsi="Times New Roman" w:cs="Times New Roman" w:hint="eastAsia"/>
          <w:sz w:val="20"/>
          <w:szCs w:val="20"/>
        </w:rPr>
        <w:t xml:space="preserve">these 16 </w:t>
      </w:r>
      <w:r w:rsidRPr="004E6799">
        <w:rPr>
          <w:rFonts w:ascii="Times New Roman" w:hAnsi="Times New Roman" w:cs="Times New Roman"/>
          <w:sz w:val="20"/>
          <w:szCs w:val="20"/>
        </w:rPr>
        <w:t xml:space="preserve">pilot cities who were eligible for LTCI, and the control group as those residing in non-pilot cities </w:t>
      </w:r>
      <w:r w:rsidRPr="004E6799">
        <w:rPr>
          <w:rFonts w:ascii="Times New Roman" w:hAnsi="Times New Roman" w:cs="Times New Roman"/>
          <w:noProof/>
          <w:sz w:val="20"/>
          <w:szCs w:val="20"/>
        </w:rPr>
        <w:t>(Pei et al., 2024)</w:t>
      </w:r>
      <w:r w:rsidRPr="004E6799">
        <w:rPr>
          <w:rFonts w:ascii="Times New Roman" w:hAnsi="Times New Roman" w:cs="Times New Roman"/>
          <w:sz w:val="20"/>
          <w:szCs w:val="20"/>
        </w:rPr>
        <w:t>. Speci</w:t>
      </w:r>
      <w:r>
        <w:rPr>
          <w:rFonts w:ascii="Times New Roman" w:hAnsi="Times New Roman" w:cs="Times New Roman" w:hint="eastAsia"/>
          <w:sz w:val="20"/>
          <w:szCs w:val="20"/>
        </w:rPr>
        <w:t>fic</w:t>
      </w:r>
      <w:r w:rsidRPr="004E6799">
        <w:rPr>
          <w:rFonts w:ascii="Times New Roman" w:hAnsi="Times New Roman" w:cs="Times New Roman"/>
          <w:sz w:val="20"/>
          <w:szCs w:val="20"/>
        </w:rPr>
        <w:t>ally</w:t>
      </w:r>
      <w:r w:rsidRPr="004E6799">
        <w:rPr>
          <w:rFonts w:ascii="Times New Roman" w:hAnsi="Times New Roman" w:cs="Times New Roman" w:hint="eastAsia"/>
          <w:sz w:val="20"/>
          <w:szCs w:val="20"/>
        </w:rPr>
        <w:t xml:space="preserve">, </w:t>
      </w:r>
      <w:r>
        <w:rPr>
          <w:rFonts w:ascii="Times New Roman" w:hAnsi="Times New Roman" w:cs="Times New Roman" w:hint="eastAsia"/>
          <w:sz w:val="20"/>
          <w:szCs w:val="20"/>
        </w:rPr>
        <w:t>individuals</w:t>
      </w:r>
      <w:r w:rsidRPr="004E6799">
        <w:rPr>
          <w:rFonts w:ascii="Times New Roman" w:hAnsi="Times New Roman" w:cs="Times New Roman" w:hint="eastAsia"/>
          <w:sz w:val="20"/>
          <w:szCs w:val="20"/>
        </w:rPr>
        <w:t xml:space="preserve"> </w:t>
      </w:r>
      <w:r>
        <w:rPr>
          <w:rFonts w:ascii="Times New Roman" w:hAnsi="Times New Roman" w:cs="Times New Roman" w:hint="eastAsia"/>
          <w:sz w:val="20"/>
          <w:szCs w:val="20"/>
        </w:rPr>
        <w:t xml:space="preserve">in </w:t>
      </w:r>
      <w:r w:rsidRPr="004E6799">
        <w:rPr>
          <w:rFonts w:ascii="Times New Roman" w:hAnsi="Times New Roman" w:cs="Times New Roman"/>
          <w:sz w:val="20"/>
          <w:szCs w:val="20"/>
        </w:rPr>
        <w:t>the treatment grou</w:t>
      </w:r>
      <w:r w:rsidRPr="004E6799">
        <w:rPr>
          <w:rFonts w:ascii="Times New Roman" w:hAnsi="Times New Roman" w:cs="Times New Roman" w:hint="eastAsia"/>
          <w:sz w:val="20"/>
          <w:szCs w:val="20"/>
        </w:rPr>
        <w:t>p</w:t>
      </w:r>
      <w:r>
        <w:rPr>
          <w:rFonts w:ascii="Times New Roman" w:hAnsi="Times New Roman" w:cs="Times New Roman" w:hint="eastAsia"/>
          <w:sz w:val="20"/>
          <w:szCs w:val="20"/>
        </w:rPr>
        <w:t xml:space="preserve"> were required to </w:t>
      </w:r>
      <w:proofErr w:type="gramStart"/>
      <w:r>
        <w:rPr>
          <w:rFonts w:ascii="Times New Roman" w:hAnsi="Times New Roman" w:cs="Times New Roman" w:hint="eastAsia"/>
          <w:sz w:val="20"/>
          <w:szCs w:val="20"/>
        </w:rPr>
        <w:t>meet both</w:t>
      </w:r>
      <w:proofErr w:type="gramEnd"/>
      <w:r w:rsidRPr="004E6799">
        <w:rPr>
          <w:rFonts w:ascii="Times New Roman" w:hAnsi="Times New Roman" w:cs="Times New Roman"/>
          <w:sz w:val="20"/>
          <w:szCs w:val="20"/>
        </w:rPr>
        <w:t xml:space="preserve"> the following </w:t>
      </w:r>
      <w:r w:rsidRPr="004E6799">
        <w:rPr>
          <w:rFonts w:ascii="Times New Roman" w:hAnsi="Times New Roman" w:cs="Times New Roman" w:hint="eastAsia"/>
          <w:sz w:val="20"/>
          <w:szCs w:val="20"/>
        </w:rPr>
        <w:t xml:space="preserve">two </w:t>
      </w:r>
      <w:r w:rsidRPr="004E6799">
        <w:rPr>
          <w:rFonts w:ascii="Times New Roman" w:hAnsi="Times New Roman" w:cs="Times New Roman"/>
          <w:sz w:val="20"/>
          <w:szCs w:val="20"/>
        </w:rPr>
        <w:t xml:space="preserve">criteria: (1) residing in a </w:t>
      </w:r>
      <w:proofErr w:type="gramStart"/>
      <w:r w:rsidRPr="004E6799">
        <w:rPr>
          <w:rFonts w:ascii="Times New Roman" w:hAnsi="Times New Roman" w:cs="Times New Roman"/>
          <w:sz w:val="20"/>
          <w:szCs w:val="20"/>
        </w:rPr>
        <w:t>pilot</w:t>
      </w:r>
      <w:proofErr w:type="gramEnd"/>
      <w:r w:rsidRPr="004E6799">
        <w:rPr>
          <w:rFonts w:ascii="Times New Roman" w:hAnsi="Times New Roman" w:cs="Times New Roman"/>
          <w:sz w:val="20"/>
          <w:szCs w:val="20"/>
        </w:rPr>
        <w:t xml:space="preserve"> city; and (2) </w:t>
      </w:r>
      <w:r>
        <w:rPr>
          <w:rFonts w:ascii="Times New Roman" w:hAnsi="Times New Roman" w:cs="Times New Roman" w:hint="eastAsia"/>
          <w:sz w:val="20"/>
          <w:szCs w:val="20"/>
        </w:rPr>
        <w:t xml:space="preserve">being </w:t>
      </w:r>
      <w:r w:rsidRPr="004E6799">
        <w:rPr>
          <w:rFonts w:ascii="Times New Roman" w:hAnsi="Times New Roman" w:cs="Times New Roman"/>
          <w:sz w:val="20"/>
          <w:szCs w:val="20"/>
        </w:rPr>
        <w:t xml:space="preserve">covered by an urban </w:t>
      </w:r>
      <w:r>
        <w:rPr>
          <w:rFonts w:ascii="Times New Roman" w:hAnsi="Times New Roman" w:cs="Times New Roman" w:hint="eastAsia"/>
          <w:sz w:val="20"/>
          <w:szCs w:val="20"/>
        </w:rPr>
        <w:t>Social Health Insurance (</w:t>
      </w:r>
      <w:r w:rsidRPr="004E6799">
        <w:rPr>
          <w:rFonts w:ascii="Times New Roman" w:hAnsi="Times New Roman" w:cs="Times New Roman"/>
          <w:sz w:val="20"/>
          <w:szCs w:val="20"/>
        </w:rPr>
        <w:t>SHI</w:t>
      </w:r>
      <w:r>
        <w:rPr>
          <w:rFonts w:ascii="Times New Roman" w:hAnsi="Times New Roman" w:cs="Times New Roman" w:hint="eastAsia"/>
          <w:sz w:val="20"/>
          <w:szCs w:val="20"/>
        </w:rPr>
        <w:t>)</w:t>
      </w:r>
      <w:r w:rsidRPr="004E6799">
        <w:rPr>
          <w:rFonts w:ascii="Times New Roman" w:hAnsi="Times New Roman" w:cs="Times New Roman"/>
          <w:sz w:val="20"/>
          <w:szCs w:val="20"/>
        </w:rPr>
        <w:t xml:space="preserve"> scheme (e.g., Urban Employee Insurance). The specific SHI schemes linked to LTCI eligibility vary </w:t>
      </w:r>
      <w:r>
        <w:rPr>
          <w:rFonts w:ascii="Times New Roman" w:hAnsi="Times New Roman" w:cs="Times New Roman" w:hint="eastAsia"/>
          <w:sz w:val="20"/>
          <w:szCs w:val="20"/>
        </w:rPr>
        <w:t>by the pilot</w:t>
      </w:r>
      <w:r w:rsidRPr="004E6799">
        <w:rPr>
          <w:rFonts w:ascii="Times New Roman" w:hAnsi="Times New Roman" w:cs="Times New Roman"/>
          <w:sz w:val="20"/>
          <w:szCs w:val="20"/>
        </w:rPr>
        <w:t xml:space="preserve"> cit</w:t>
      </w:r>
      <w:r>
        <w:rPr>
          <w:rFonts w:ascii="Times New Roman" w:hAnsi="Times New Roman" w:cs="Times New Roman" w:hint="eastAsia"/>
          <w:sz w:val="20"/>
          <w:szCs w:val="20"/>
        </w:rPr>
        <w:t>y</w:t>
      </w:r>
      <w:r w:rsidRPr="004E6799">
        <w:rPr>
          <w:rFonts w:ascii="Times New Roman" w:hAnsi="Times New Roman" w:cs="Times New Roman"/>
          <w:sz w:val="20"/>
          <w:szCs w:val="20"/>
        </w:rPr>
        <w:t xml:space="preserve"> and are detailed in the third column of </w:t>
      </w:r>
      <w:r w:rsidRPr="004E6799">
        <w:rPr>
          <w:rFonts w:ascii="Times New Roman" w:hAnsi="Times New Roman" w:cs="Times New Roman" w:hint="eastAsia"/>
          <w:b/>
          <w:bCs/>
          <w:sz w:val="20"/>
          <w:szCs w:val="20"/>
        </w:rPr>
        <w:t>Table E.1</w:t>
      </w:r>
      <w:r w:rsidRPr="004E6799">
        <w:rPr>
          <w:rFonts w:ascii="Times New Roman" w:hAnsi="Times New Roman" w:cs="Times New Roman"/>
          <w:sz w:val="20"/>
          <w:szCs w:val="20"/>
        </w:rPr>
        <w:t>.</w:t>
      </w:r>
      <w:r w:rsidRPr="004E6799">
        <w:rPr>
          <w:sz w:val="20"/>
          <w:szCs w:val="20"/>
        </w:rPr>
        <w:t xml:space="preserve"> </w:t>
      </w:r>
      <w:r w:rsidRPr="004E6799">
        <w:rPr>
          <w:rFonts w:ascii="Times New Roman" w:hAnsi="Times New Roman" w:cs="Times New Roman"/>
          <w:sz w:val="20"/>
          <w:szCs w:val="20"/>
        </w:rPr>
        <w:t xml:space="preserve">In addition, </w:t>
      </w:r>
      <w:r w:rsidRPr="00806510">
        <w:rPr>
          <w:rFonts w:ascii="Times New Roman" w:hAnsi="Times New Roman" w:cs="Times New Roman"/>
          <w:sz w:val="20"/>
          <w:szCs w:val="20"/>
        </w:rPr>
        <w:t>some pilot cities restricted LTCI eligibility to individuals aged 60 years and older</w:t>
      </w:r>
      <w:r w:rsidRPr="00806510">
        <w:rPr>
          <w:rFonts w:ascii="Times New Roman" w:hAnsi="Times New Roman" w:cs="Times New Roman" w:hint="eastAsia"/>
          <w:sz w:val="20"/>
          <w:szCs w:val="20"/>
        </w:rPr>
        <w:t>. However,</w:t>
      </w:r>
      <w:r w:rsidRPr="00806510">
        <w:rPr>
          <w:rFonts w:ascii="Times New Roman" w:hAnsi="Times New Roman" w:cs="Times New Roman"/>
          <w:sz w:val="20"/>
          <w:szCs w:val="20"/>
        </w:rPr>
        <w:t xml:space="preserve"> </w:t>
      </w:r>
      <w:r w:rsidRPr="004E6799">
        <w:rPr>
          <w:rFonts w:ascii="Times New Roman" w:hAnsi="Times New Roman" w:cs="Times New Roman"/>
          <w:sz w:val="20"/>
          <w:szCs w:val="20"/>
        </w:rPr>
        <w:t xml:space="preserve">we did not list this age criterion in </w:t>
      </w:r>
      <w:r w:rsidRPr="004E6799">
        <w:rPr>
          <w:rFonts w:ascii="Times New Roman" w:hAnsi="Times New Roman" w:cs="Times New Roman"/>
          <w:b/>
          <w:bCs/>
          <w:sz w:val="20"/>
          <w:szCs w:val="20"/>
        </w:rPr>
        <w:t xml:space="preserve">Table </w:t>
      </w:r>
      <w:r w:rsidRPr="004E6799">
        <w:rPr>
          <w:rFonts w:ascii="Times New Roman" w:hAnsi="Times New Roman" w:cs="Times New Roman" w:hint="eastAsia"/>
          <w:b/>
          <w:bCs/>
          <w:sz w:val="20"/>
          <w:szCs w:val="20"/>
        </w:rPr>
        <w:t>E</w:t>
      </w:r>
      <w:r w:rsidRPr="004E6799">
        <w:rPr>
          <w:rFonts w:ascii="Times New Roman" w:hAnsi="Times New Roman" w:cs="Times New Roman"/>
          <w:b/>
          <w:bCs/>
          <w:sz w:val="20"/>
          <w:szCs w:val="20"/>
        </w:rPr>
        <w:t>.1</w:t>
      </w:r>
      <w:r w:rsidRPr="004E6799">
        <w:rPr>
          <w:rFonts w:ascii="Times New Roman" w:hAnsi="Times New Roman" w:cs="Times New Roman"/>
          <w:sz w:val="20"/>
          <w:szCs w:val="20"/>
        </w:rPr>
        <w:t>, as our study sample includes only older adults (aged 60 and above) with cognitive and/or physical limitations.</w:t>
      </w:r>
      <w:bookmarkStart w:id="23" w:name="_Hlk195201687"/>
      <w:bookmarkEnd w:id="22"/>
      <w:r>
        <w:rPr>
          <w:rFonts w:ascii="Times New Roman" w:hAnsi="Times New Roman" w:cs="Times New Roman" w:hint="eastAsia"/>
          <w:sz w:val="20"/>
          <w:szCs w:val="20"/>
        </w:rPr>
        <w:t xml:space="preserve"> </w:t>
      </w:r>
      <w:r w:rsidRPr="00583472">
        <w:rPr>
          <w:rFonts w:ascii="Times New Roman" w:hAnsi="Times New Roman" w:cs="Times New Roman"/>
          <w:sz w:val="20"/>
          <w:szCs w:val="20"/>
        </w:rPr>
        <w:t xml:space="preserve">In contrast, the control group comprises individuals </w:t>
      </w:r>
      <w:r>
        <w:rPr>
          <w:rFonts w:ascii="Times New Roman" w:hAnsi="Times New Roman" w:cs="Times New Roman" w:hint="eastAsia"/>
          <w:sz w:val="20"/>
          <w:szCs w:val="20"/>
        </w:rPr>
        <w:t xml:space="preserve">who </w:t>
      </w:r>
      <w:r w:rsidRPr="00583472">
        <w:rPr>
          <w:rFonts w:ascii="Times New Roman" w:hAnsi="Times New Roman" w:cs="Times New Roman"/>
          <w:sz w:val="20"/>
          <w:szCs w:val="20"/>
        </w:rPr>
        <w:t>resid</w:t>
      </w:r>
      <w:r>
        <w:rPr>
          <w:rFonts w:ascii="Times New Roman" w:hAnsi="Times New Roman" w:cs="Times New Roman" w:hint="eastAsia"/>
          <w:sz w:val="20"/>
          <w:szCs w:val="20"/>
        </w:rPr>
        <w:t>ed</w:t>
      </w:r>
      <w:r w:rsidRPr="00583472">
        <w:rPr>
          <w:rFonts w:ascii="Times New Roman" w:hAnsi="Times New Roman" w:cs="Times New Roman"/>
          <w:sz w:val="20"/>
          <w:szCs w:val="20"/>
        </w:rPr>
        <w:t xml:space="preserve"> in non-pilot citie</w:t>
      </w:r>
      <w:r w:rsidRPr="00836048">
        <w:rPr>
          <w:rFonts w:ascii="Times New Roman" w:hAnsi="Times New Roman" w:cs="Times New Roman"/>
          <w:color w:val="000000" w:themeColor="text1"/>
          <w:sz w:val="20"/>
          <w:szCs w:val="20"/>
        </w:rPr>
        <w:t>s</w:t>
      </w:r>
      <w:r w:rsidRPr="00836048">
        <w:rPr>
          <w:rFonts w:ascii="Times New Roman" w:hAnsi="Times New Roman" w:cs="Times New Roman" w:hint="eastAsia"/>
          <w:color w:val="000000" w:themeColor="text1"/>
          <w:sz w:val="20"/>
          <w:szCs w:val="20"/>
        </w:rPr>
        <w:t xml:space="preserve"> across all study waves</w:t>
      </w:r>
      <w:r>
        <w:rPr>
          <w:rFonts w:ascii="Times New Roman" w:hAnsi="Times New Roman" w:cs="Times New Roman" w:hint="eastAsia"/>
          <w:color w:val="000000" w:themeColor="text1"/>
          <w:sz w:val="20"/>
          <w:szCs w:val="20"/>
        </w:rPr>
        <w:t>, regardless of their SHI coverage status</w:t>
      </w:r>
      <w:r w:rsidRPr="00836048">
        <w:rPr>
          <w:rFonts w:ascii="Times New Roman" w:hAnsi="Times New Roman" w:cs="Times New Roman" w:hint="eastAsia"/>
          <w:color w:val="000000" w:themeColor="text1"/>
          <w:sz w:val="20"/>
          <w:szCs w:val="20"/>
        </w:rPr>
        <w:t xml:space="preserve"> </w:t>
      </w:r>
      <w:r>
        <w:rPr>
          <w:rFonts w:ascii="Times New Roman" w:hAnsi="Times New Roman" w:cs="Times New Roman"/>
          <w:noProof/>
          <w:sz w:val="20"/>
          <w:szCs w:val="20"/>
        </w:rPr>
        <w:t>(Pei et al., 2024)</w:t>
      </w:r>
      <w:r w:rsidRPr="00583472">
        <w:rPr>
          <w:rFonts w:ascii="Times New Roman" w:hAnsi="Times New Roman" w:cs="Times New Roman"/>
          <w:sz w:val="20"/>
          <w:szCs w:val="20"/>
        </w:rPr>
        <w:t>.</w:t>
      </w:r>
      <w:r w:rsidRPr="00BD6C7A">
        <w:rPr>
          <w:rFonts w:ascii="Times New Roman" w:hAnsi="Times New Roman" w:cs="Times New Roman"/>
          <w:strike/>
          <w:sz w:val="20"/>
          <w:szCs w:val="20"/>
        </w:rPr>
        <w:t xml:space="preserve"> </w:t>
      </w:r>
    </w:p>
    <w:bookmarkEnd w:id="23"/>
    <w:p w14:paraId="56CC70C4" w14:textId="77777777" w:rsidR="00923F07" w:rsidRPr="00267430" w:rsidRDefault="00923F07" w:rsidP="007B0D17">
      <w:pPr>
        <w:adjustRightInd w:val="0"/>
        <w:snapToGrid w:val="0"/>
        <w:spacing w:line="480" w:lineRule="auto"/>
        <w:rPr>
          <w:sz w:val="20"/>
          <w:szCs w:val="20"/>
        </w:rPr>
      </w:pPr>
    </w:p>
    <w:p w14:paraId="7C0EFE65" w14:textId="77777777" w:rsidR="00923F07" w:rsidRPr="001031F8" w:rsidRDefault="00923F07" w:rsidP="007B0D17">
      <w:pPr>
        <w:pStyle w:val="Heading2"/>
        <w:adjustRightInd w:val="0"/>
        <w:snapToGrid w:val="0"/>
        <w:spacing w:before="0" w:after="0" w:line="480" w:lineRule="auto"/>
        <w:rPr>
          <w:sz w:val="20"/>
          <w:szCs w:val="20"/>
        </w:rPr>
      </w:pPr>
      <w:bookmarkStart w:id="24" w:name="_Toc195209566"/>
      <w:r w:rsidRPr="001031F8">
        <w:rPr>
          <w:rStyle w:val="Heading1Char"/>
          <w:rFonts w:ascii="Times New Roman" w:hAnsi="Times New Roman" w:cs="Times New Roman"/>
          <w:b/>
          <w:bCs/>
          <w:sz w:val="20"/>
          <w:szCs w:val="20"/>
        </w:rPr>
        <w:t xml:space="preserve">Table </w:t>
      </w:r>
      <w:r>
        <w:rPr>
          <w:rStyle w:val="Heading1Char"/>
          <w:rFonts w:ascii="Times New Roman" w:hAnsi="Times New Roman" w:cs="Times New Roman" w:hint="eastAsia"/>
          <w:b/>
          <w:bCs/>
          <w:sz w:val="20"/>
          <w:szCs w:val="20"/>
        </w:rPr>
        <w:t>E</w:t>
      </w:r>
      <w:r w:rsidRPr="001031F8">
        <w:rPr>
          <w:rStyle w:val="Heading1Char"/>
          <w:rFonts w:ascii="Times New Roman" w:hAnsi="Times New Roman" w:cs="Times New Roman"/>
          <w:b/>
          <w:bCs/>
          <w:sz w:val="20"/>
          <w:szCs w:val="20"/>
        </w:rPr>
        <w:t>.1 The timing of policy implementation, population coverage, and copayment rates of 16 pilot cities in our study sample</w:t>
      </w:r>
      <w:bookmarkEnd w:id="21"/>
      <w:r w:rsidRPr="001031F8">
        <w:rPr>
          <w:rStyle w:val="Heading1Char"/>
          <w:rFonts w:ascii="Times New Roman" w:hAnsi="Times New Roman" w:cs="Times New Roman" w:hint="eastAsia"/>
          <w:b/>
          <w:bCs/>
          <w:sz w:val="20"/>
          <w:szCs w:val="20"/>
        </w:rPr>
        <w:t>.</w:t>
      </w:r>
      <w:bookmarkEnd w:id="24"/>
    </w:p>
    <w:tbl>
      <w:tblPr>
        <w:tblStyle w:val="TableGrid"/>
        <w:tblW w:w="935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5"/>
        <w:gridCol w:w="2269"/>
        <w:gridCol w:w="2977"/>
        <w:gridCol w:w="2835"/>
      </w:tblGrid>
      <w:tr w:rsidR="00923F07" w:rsidRPr="001031F8" w14:paraId="77EC94B9" w14:textId="77777777" w:rsidTr="003D19E1">
        <w:trPr>
          <w:jc w:val="center"/>
        </w:trPr>
        <w:tc>
          <w:tcPr>
            <w:tcW w:w="1275" w:type="dxa"/>
            <w:tcBorders>
              <w:top w:val="single" w:sz="4" w:space="0" w:color="auto"/>
              <w:bottom w:val="single" w:sz="4" w:space="0" w:color="auto"/>
            </w:tcBorders>
            <w:vAlign w:val="center"/>
          </w:tcPr>
          <w:p w14:paraId="664257CF" w14:textId="77777777" w:rsidR="00923F07" w:rsidRPr="001031F8" w:rsidRDefault="00923F07" w:rsidP="003D19E1">
            <w:pPr>
              <w:adjustRightInd w:val="0"/>
              <w:snapToGrid w:val="0"/>
              <w:spacing w:line="480" w:lineRule="auto"/>
              <w:rPr>
                <w:rFonts w:ascii="Times New Roman" w:hAnsi="Times New Roman" w:cs="Times New Roman"/>
                <w:b/>
                <w:bCs/>
                <w:sz w:val="20"/>
                <w:szCs w:val="20"/>
              </w:rPr>
            </w:pPr>
            <w:r w:rsidRPr="001031F8">
              <w:rPr>
                <w:rFonts w:ascii="Times New Roman" w:hAnsi="Times New Roman" w:cs="Times New Roman"/>
                <w:b/>
                <w:bCs/>
                <w:sz w:val="20"/>
                <w:szCs w:val="20"/>
              </w:rPr>
              <w:t>Pilot cities</w:t>
            </w:r>
          </w:p>
        </w:tc>
        <w:tc>
          <w:tcPr>
            <w:tcW w:w="2269" w:type="dxa"/>
            <w:tcBorders>
              <w:top w:val="single" w:sz="4" w:space="0" w:color="auto"/>
              <w:bottom w:val="single" w:sz="4" w:space="0" w:color="auto"/>
            </w:tcBorders>
            <w:vAlign w:val="center"/>
          </w:tcPr>
          <w:p w14:paraId="1A2F886D" w14:textId="77777777" w:rsidR="00923F07" w:rsidRPr="001031F8" w:rsidRDefault="00923F07" w:rsidP="003D19E1">
            <w:pPr>
              <w:adjustRightInd w:val="0"/>
              <w:snapToGrid w:val="0"/>
              <w:spacing w:line="480" w:lineRule="auto"/>
              <w:rPr>
                <w:rFonts w:ascii="Times New Roman" w:hAnsi="Times New Roman" w:cs="Times New Roman"/>
                <w:b/>
                <w:bCs/>
                <w:sz w:val="20"/>
                <w:szCs w:val="20"/>
              </w:rPr>
            </w:pPr>
            <w:r w:rsidRPr="001031F8">
              <w:rPr>
                <w:rFonts w:ascii="Times New Roman" w:hAnsi="Times New Roman" w:cs="Times New Roman"/>
                <w:b/>
                <w:bCs/>
                <w:sz w:val="20"/>
                <w:szCs w:val="20"/>
              </w:rPr>
              <w:t>Implementation timing</w:t>
            </w:r>
          </w:p>
        </w:tc>
        <w:tc>
          <w:tcPr>
            <w:tcW w:w="2977" w:type="dxa"/>
            <w:tcBorders>
              <w:top w:val="single" w:sz="4" w:space="0" w:color="auto"/>
              <w:bottom w:val="single" w:sz="4" w:space="0" w:color="auto"/>
            </w:tcBorders>
            <w:vAlign w:val="center"/>
          </w:tcPr>
          <w:p w14:paraId="2C918A7A" w14:textId="77777777" w:rsidR="00923F07" w:rsidRPr="001031F8" w:rsidRDefault="00923F07" w:rsidP="003D19E1">
            <w:pPr>
              <w:adjustRightInd w:val="0"/>
              <w:snapToGrid w:val="0"/>
              <w:spacing w:line="480" w:lineRule="auto"/>
              <w:rPr>
                <w:rFonts w:ascii="Times New Roman" w:hAnsi="Times New Roman" w:cs="Times New Roman"/>
                <w:b/>
                <w:bCs/>
                <w:sz w:val="20"/>
                <w:szCs w:val="20"/>
              </w:rPr>
            </w:pPr>
            <w:r w:rsidRPr="001031F8">
              <w:rPr>
                <w:rFonts w:ascii="Times New Roman" w:hAnsi="Times New Roman" w:cs="Times New Roman"/>
                <w:b/>
                <w:bCs/>
                <w:sz w:val="20"/>
                <w:szCs w:val="20"/>
              </w:rPr>
              <w:t>Eligibility/Population coverage</w:t>
            </w:r>
          </w:p>
        </w:tc>
        <w:tc>
          <w:tcPr>
            <w:tcW w:w="2835" w:type="dxa"/>
            <w:tcBorders>
              <w:top w:val="single" w:sz="4" w:space="0" w:color="auto"/>
              <w:bottom w:val="single" w:sz="4" w:space="0" w:color="auto"/>
            </w:tcBorders>
            <w:vAlign w:val="center"/>
          </w:tcPr>
          <w:p w14:paraId="667A2BBB" w14:textId="77777777" w:rsidR="00923F07" w:rsidRPr="001031F8" w:rsidRDefault="00923F07" w:rsidP="003D19E1">
            <w:pPr>
              <w:adjustRightInd w:val="0"/>
              <w:snapToGrid w:val="0"/>
              <w:spacing w:line="480" w:lineRule="auto"/>
              <w:rPr>
                <w:rFonts w:ascii="Times New Roman" w:hAnsi="Times New Roman" w:cs="Times New Roman"/>
                <w:b/>
                <w:bCs/>
                <w:sz w:val="20"/>
                <w:szCs w:val="20"/>
              </w:rPr>
            </w:pPr>
            <w:r w:rsidRPr="001031F8">
              <w:rPr>
                <w:rFonts w:ascii="Times New Roman" w:hAnsi="Times New Roman" w:cs="Times New Roman"/>
                <w:b/>
                <w:bCs/>
                <w:sz w:val="20"/>
                <w:szCs w:val="20"/>
              </w:rPr>
              <w:t>Copayment rate</w:t>
            </w:r>
          </w:p>
        </w:tc>
      </w:tr>
      <w:tr w:rsidR="00923F07" w:rsidRPr="001031F8" w14:paraId="61519E2C" w14:textId="77777777" w:rsidTr="003D19E1">
        <w:trPr>
          <w:jc w:val="center"/>
        </w:trPr>
        <w:tc>
          <w:tcPr>
            <w:tcW w:w="1275" w:type="dxa"/>
            <w:tcBorders>
              <w:top w:val="single" w:sz="4" w:space="0" w:color="auto"/>
              <w:bottom w:val="nil"/>
            </w:tcBorders>
            <w:vAlign w:val="center"/>
          </w:tcPr>
          <w:p w14:paraId="4A127DB5"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 xml:space="preserve">Shanghai </w:t>
            </w:r>
          </w:p>
        </w:tc>
        <w:tc>
          <w:tcPr>
            <w:tcW w:w="2269" w:type="dxa"/>
            <w:tcBorders>
              <w:top w:val="single" w:sz="4" w:space="0" w:color="auto"/>
              <w:bottom w:val="nil"/>
            </w:tcBorders>
            <w:vAlign w:val="center"/>
          </w:tcPr>
          <w:p w14:paraId="426D7660"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2017-1</w:t>
            </w:r>
          </w:p>
        </w:tc>
        <w:tc>
          <w:tcPr>
            <w:tcW w:w="2977" w:type="dxa"/>
            <w:tcBorders>
              <w:top w:val="single" w:sz="4" w:space="0" w:color="auto"/>
              <w:bottom w:val="nil"/>
            </w:tcBorders>
            <w:vAlign w:val="center"/>
          </w:tcPr>
          <w:p w14:paraId="7C6310BF" w14:textId="77777777" w:rsidR="00923F07" w:rsidRPr="001031F8" w:rsidRDefault="00923F07" w:rsidP="003D19E1">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Enrolled in the UEI or URRMI</w:t>
            </w:r>
          </w:p>
        </w:tc>
        <w:tc>
          <w:tcPr>
            <w:tcW w:w="2835" w:type="dxa"/>
            <w:tcBorders>
              <w:top w:val="single" w:sz="4" w:space="0" w:color="auto"/>
              <w:bottom w:val="nil"/>
            </w:tcBorders>
            <w:vAlign w:val="center"/>
          </w:tcPr>
          <w:p w14:paraId="7F866159"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15%</w:t>
            </w:r>
          </w:p>
        </w:tc>
      </w:tr>
      <w:tr w:rsidR="00923F07" w:rsidRPr="001031F8" w14:paraId="1DB21AEC" w14:textId="77777777" w:rsidTr="003D19E1">
        <w:trPr>
          <w:jc w:val="center"/>
        </w:trPr>
        <w:tc>
          <w:tcPr>
            <w:tcW w:w="1275" w:type="dxa"/>
            <w:tcBorders>
              <w:top w:val="nil"/>
              <w:bottom w:val="nil"/>
            </w:tcBorders>
            <w:vAlign w:val="center"/>
          </w:tcPr>
          <w:p w14:paraId="132DEE28"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Qingdao</w:t>
            </w:r>
          </w:p>
        </w:tc>
        <w:tc>
          <w:tcPr>
            <w:tcW w:w="2269" w:type="dxa"/>
            <w:tcBorders>
              <w:top w:val="nil"/>
              <w:bottom w:val="nil"/>
            </w:tcBorders>
            <w:vAlign w:val="center"/>
          </w:tcPr>
          <w:p w14:paraId="641624C8"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2012-7</w:t>
            </w:r>
          </w:p>
        </w:tc>
        <w:tc>
          <w:tcPr>
            <w:tcW w:w="2977" w:type="dxa"/>
            <w:tcBorders>
              <w:top w:val="nil"/>
              <w:bottom w:val="nil"/>
            </w:tcBorders>
            <w:vAlign w:val="center"/>
          </w:tcPr>
          <w:p w14:paraId="408E0BF6" w14:textId="77777777" w:rsidR="00923F07" w:rsidRPr="001031F8" w:rsidRDefault="00923F07" w:rsidP="003D19E1">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Enrolled in the UEI or URRMI</w:t>
            </w:r>
          </w:p>
        </w:tc>
        <w:tc>
          <w:tcPr>
            <w:tcW w:w="2835" w:type="dxa"/>
            <w:tcBorders>
              <w:top w:val="nil"/>
              <w:bottom w:val="nil"/>
            </w:tcBorders>
            <w:vAlign w:val="center"/>
          </w:tcPr>
          <w:p w14:paraId="246DA726"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10% for UEI enrollees and 20%-30% for URRMI enrollees.</w:t>
            </w:r>
          </w:p>
        </w:tc>
      </w:tr>
      <w:tr w:rsidR="00923F07" w:rsidRPr="001031F8" w14:paraId="20D30461" w14:textId="77777777" w:rsidTr="003D19E1">
        <w:trPr>
          <w:jc w:val="center"/>
        </w:trPr>
        <w:tc>
          <w:tcPr>
            <w:tcW w:w="1275" w:type="dxa"/>
            <w:tcBorders>
              <w:top w:val="nil"/>
              <w:bottom w:val="nil"/>
            </w:tcBorders>
            <w:vAlign w:val="center"/>
          </w:tcPr>
          <w:p w14:paraId="54BF9976" w14:textId="77777777" w:rsidR="00923F07" w:rsidRPr="001031F8" w:rsidRDefault="00923F07" w:rsidP="003D19E1">
            <w:pPr>
              <w:adjustRightInd w:val="0"/>
              <w:snapToGrid w:val="0"/>
              <w:spacing w:line="480" w:lineRule="auto"/>
              <w:rPr>
                <w:rFonts w:ascii="Times New Roman" w:hAnsi="Times New Roman" w:cs="Times New Roman"/>
                <w:sz w:val="20"/>
                <w:szCs w:val="20"/>
              </w:rPr>
            </w:pPr>
            <w:proofErr w:type="spellStart"/>
            <w:r w:rsidRPr="001031F8">
              <w:rPr>
                <w:rFonts w:ascii="Times New Roman" w:hAnsi="Times New Roman" w:cs="Times New Roman"/>
                <w:sz w:val="20"/>
                <w:szCs w:val="20"/>
              </w:rPr>
              <w:t>Jingmen</w:t>
            </w:r>
            <w:proofErr w:type="spellEnd"/>
          </w:p>
        </w:tc>
        <w:tc>
          <w:tcPr>
            <w:tcW w:w="2269" w:type="dxa"/>
            <w:tcBorders>
              <w:top w:val="nil"/>
              <w:bottom w:val="nil"/>
            </w:tcBorders>
            <w:vAlign w:val="center"/>
          </w:tcPr>
          <w:p w14:paraId="556F39E1"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2017-1</w:t>
            </w:r>
          </w:p>
        </w:tc>
        <w:tc>
          <w:tcPr>
            <w:tcW w:w="2977" w:type="dxa"/>
            <w:tcBorders>
              <w:top w:val="nil"/>
              <w:bottom w:val="nil"/>
            </w:tcBorders>
            <w:vAlign w:val="center"/>
          </w:tcPr>
          <w:p w14:paraId="270C49CD" w14:textId="77777777" w:rsidR="00923F07" w:rsidRPr="001031F8" w:rsidRDefault="00923F07" w:rsidP="003D19E1">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Enrolled in the UMI or URRMI</w:t>
            </w:r>
          </w:p>
        </w:tc>
        <w:tc>
          <w:tcPr>
            <w:tcW w:w="2835" w:type="dxa"/>
            <w:tcBorders>
              <w:top w:val="nil"/>
              <w:bottom w:val="nil"/>
            </w:tcBorders>
            <w:vAlign w:val="center"/>
          </w:tcPr>
          <w:p w14:paraId="1D7807E1"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25%</w:t>
            </w:r>
          </w:p>
        </w:tc>
      </w:tr>
      <w:tr w:rsidR="00923F07" w:rsidRPr="001031F8" w14:paraId="715BAF3D" w14:textId="77777777" w:rsidTr="003D19E1">
        <w:trPr>
          <w:jc w:val="center"/>
        </w:trPr>
        <w:tc>
          <w:tcPr>
            <w:tcW w:w="1275" w:type="dxa"/>
            <w:tcBorders>
              <w:top w:val="nil"/>
            </w:tcBorders>
            <w:vAlign w:val="center"/>
          </w:tcPr>
          <w:p w14:paraId="5A5BB535"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 xml:space="preserve">Guangzhou </w:t>
            </w:r>
          </w:p>
        </w:tc>
        <w:tc>
          <w:tcPr>
            <w:tcW w:w="2269" w:type="dxa"/>
            <w:tcBorders>
              <w:top w:val="nil"/>
            </w:tcBorders>
            <w:vAlign w:val="center"/>
          </w:tcPr>
          <w:p w14:paraId="0B43A665"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2017-8</w:t>
            </w:r>
          </w:p>
        </w:tc>
        <w:tc>
          <w:tcPr>
            <w:tcW w:w="2977" w:type="dxa"/>
            <w:tcBorders>
              <w:top w:val="nil"/>
            </w:tcBorders>
            <w:vAlign w:val="center"/>
          </w:tcPr>
          <w:p w14:paraId="3D5338FF"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Enrolled in the UEI</w:t>
            </w:r>
          </w:p>
        </w:tc>
        <w:tc>
          <w:tcPr>
            <w:tcW w:w="2835" w:type="dxa"/>
            <w:tcBorders>
              <w:top w:val="nil"/>
            </w:tcBorders>
            <w:vAlign w:val="center"/>
          </w:tcPr>
          <w:p w14:paraId="3CBE7357"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25%</w:t>
            </w:r>
          </w:p>
        </w:tc>
      </w:tr>
      <w:tr w:rsidR="00923F07" w:rsidRPr="001031F8" w14:paraId="0C0F92B5" w14:textId="77777777" w:rsidTr="003D19E1">
        <w:trPr>
          <w:jc w:val="center"/>
        </w:trPr>
        <w:tc>
          <w:tcPr>
            <w:tcW w:w="1275" w:type="dxa"/>
            <w:tcBorders>
              <w:top w:val="nil"/>
            </w:tcBorders>
            <w:vAlign w:val="center"/>
          </w:tcPr>
          <w:p w14:paraId="655EA0CF" w14:textId="77777777" w:rsidR="00923F07" w:rsidRPr="001031F8" w:rsidRDefault="00923F07" w:rsidP="003D19E1">
            <w:pPr>
              <w:adjustRightInd w:val="0"/>
              <w:snapToGrid w:val="0"/>
              <w:spacing w:line="480" w:lineRule="auto"/>
              <w:rPr>
                <w:rFonts w:ascii="Times New Roman" w:hAnsi="Times New Roman" w:cs="Times New Roman"/>
                <w:sz w:val="20"/>
                <w:szCs w:val="20"/>
              </w:rPr>
            </w:pPr>
            <w:proofErr w:type="spellStart"/>
            <w:r w:rsidRPr="001031F8">
              <w:rPr>
                <w:rFonts w:ascii="Times New Roman" w:hAnsi="Times New Roman" w:cs="Times New Roman"/>
                <w:sz w:val="20"/>
                <w:szCs w:val="20"/>
              </w:rPr>
              <w:t>Liaocheng</w:t>
            </w:r>
            <w:proofErr w:type="spellEnd"/>
          </w:p>
        </w:tc>
        <w:tc>
          <w:tcPr>
            <w:tcW w:w="2269" w:type="dxa"/>
            <w:tcBorders>
              <w:top w:val="nil"/>
            </w:tcBorders>
            <w:vAlign w:val="center"/>
          </w:tcPr>
          <w:p w14:paraId="7A4C0388"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2017-10</w:t>
            </w:r>
          </w:p>
        </w:tc>
        <w:tc>
          <w:tcPr>
            <w:tcW w:w="2977" w:type="dxa"/>
            <w:tcBorders>
              <w:top w:val="nil"/>
            </w:tcBorders>
            <w:vAlign w:val="center"/>
          </w:tcPr>
          <w:p w14:paraId="51306C8B"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Enrolled in the UEI</w:t>
            </w:r>
          </w:p>
        </w:tc>
        <w:tc>
          <w:tcPr>
            <w:tcW w:w="2835" w:type="dxa"/>
            <w:tcBorders>
              <w:top w:val="nil"/>
            </w:tcBorders>
            <w:vAlign w:val="center"/>
          </w:tcPr>
          <w:p w14:paraId="49C0FF51"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25%</w:t>
            </w:r>
          </w:p>
        </w:tc>
      </w:tr>
      <w:tr w:rsidR="00923F07" w:rsidRPr="001031F8" w14:paraId="036FF5E5" w14:textId="77777777" w:rsidTr="003D19E1">
        <w:trPr>
          <w:jc w:val="center"/>
        </w:trPr>
        <w:tc>
          <w:tcPr>
            <w:tcW w:w="1275" w:type="dxa"/>
            <w:tcBorders>
              <w:top w:val="nil"/>
            </w:tcBorders>
            <w:vAlign w:val="center"/>
          </w:tcPr>
          <w:p w14:paraId="4C7BD9C8"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Weifang</w:t>
            </w:r>
          </w:p>
        </w:tc>
        <w:tc>
          <w:tcPr>
            <w:tcW w:w="2269" w:type="dxa"/>
            <w:tcBorders>
              <w:top w:val="nil"/>
            </w:tcBorders>
            <w:vAlign w:val="center"/>
          </w:tcPr>
          <w:p w14:paraId="465EB80E"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2017-4</w:t>
            </w:r>
          </w:p>
        </w:tc>
        <w:tc>
          <w:tcPr>
            <w:tcW w:w="2977" w:type="dxa"/>
            <w:tcBorders>
              <w:top w:val="nil"/>
            </w:tcBorders>
            <w:vAlign w:val="center"/>
          </w:tcPr>
          <w:p w14:paraId="3AC7C83A"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Enrolled in the UEI</w:t>
            </w:r>
          </w:p>
        </w:tc>
        <w:tc>
          <w:tcPr>
            <w:tcW w:w="2835" w:type="dxa"/>
            <w:tcBorders>
              <w:top w:val="nil"/>
            </w:tcBorders>
            <w:vAlign w:val="center"/>
          </w:tcPr>
          <w:p w14:paraId="1D593C6D"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25%</w:t>
            </w:r>
          </w:p>
        </w:tc>
      </w:tr>
      <w:tr w:rsidR="00923F07" w:rsidRPr="001031F8" w14:paraId="1F850EA9" w14:textId="77777777" w:rsidTr="003D19E1">
        <w:trPr>
          <w:jc w:val="center"/>
        </w:trPr>
        <w:tc>
          <w:tcPr>
            <w:tcW w:w="1275" w:type="dxa"/>
            <w:tcBorders>
              <w:top w:val="nil"/>
            </w:tcBorders>
            <w:vAlign w:val="center"/>
          </w:tcPr>
          <w:p w14:paraId="793912ED" w14:textId="77777777" w:rsidR="00923F07" w:rsidRPr="001031F8" w:rsidRDefault="00923F07" w:rsidP="003D19E1">
            <w:pPr>
              <w:adjustRightInd w:val="0"/>
              <w:snapToGrid w:val="0"/>
              <w:spacing w:line="480" w:lineRule="auto"/>
              <w:rPr>
                <w:rFonts w:ascii="Times New Roman" w:hAnsi="Times New Roman" w:cs="Times New Roman"/>
                <w:sz w:val="20"/>
                <w:szCs w:val="20"/>
              </w:rPr>
            </w:pPr>
            <w:proofErr w:type="spellStart"/>
            <w:r w:rsidRPr="001031F8">
              <w:rPr>
                <w:rFonts w:ascii="Times New Roman" w:hAnsi="Times New Roman" w:cs="Times New Roman"/>
                <w:sz w:val="20"/>
                <w:szCs w:val="20"/>
              </w:rPr>
              <w:t>Linqi</w:t>
            </w:r>
            <w:proofErr w:type="spellEnd"/>
          </w:p>
        </w:tc>
        <w:tc>
          <w:tcPr>
            <w:tcW w:w="2269" w:type="dxa"/>
            <w:tcBorders>
              <w:top w:val="nil"/>
            </w:tcBorders>
            <w:vAlign w:val="center"/>
          </w:tcPr>
          <w:p w14:paraId="1D980BE8"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2017-8</w:t>
            </w:r>
          </w:p>
        </w:tc>
        <w:tc>
          <w:tcPr>
            <w:tcW w:w="2977" w:type="dxa"/>
            <w:tcBorders>
              <w:top w:val="nil"/>
            </w:tcBorders>
            <w:vAlign w:val="center"/>
          </w:tcPr>
          <w:p w14:paraId="6D0D75DB"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Enrolled in the UEI</w:t>
            </w:r>
          </w:p>
        </w:tc>
        <w:tc>
          <w:tcPr>
            <w:tcW w:w="2835" w:type="dxa"/>
            <w:tcBorders>
              <w:top w:val="nil"/>
            </w:tcBorders>
            <w:vAlign w:val="center"/>
          </w:tcPr>
          <w:p w14:paraId="386F43B3"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25%</w:t>
            </w:r>
          </w:p>
        </w:tc>
      </w:tr>
      <w:tr w:rsidR="00923F07" w:rsidRPr="001031F8" w14:paraId="72C1340E" w14:textId="77777777" w:rsidTr="003D19E1">
        <w:trPr>
          <w:jc w:val="center"/>
        </w:trPr>
        <w:tc>
          <w:tcPr>
            <w:tcW w:w="1275" w:type="dxa"/>
            <w:tcBorders>
              <w:top w:val="nil"/>
            </w:tcBorders>
            <w:vAlign w:val="center"/>
          </w:tcPr>
          <w:p w14:paraId="4E901AB2"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Chengdu</w:t>
            </w:r>
          </w:p>
        </w:tc>
        <w:tc>
          <w:tcPr>
            <w:tcW w:w="2269" w:type="dxa"/>
            <w:tcBorders>
              <w:top w:val="nil"/>
            </w:tcBorders>
            <w:vAlign w:val="center"/>
          </w:tcPr>
          <w:p w14:paraId="095D0C70"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2017-6</w:t>
            </w:r>
          </w:p>
        </w:tc>
        <w:tc>
          <w:tcPr>
            <w:tcW w:w="2977" w:type="dxa"/>
            <w:tcBorders>
              <w:top w:val="nil"/>
            </w:tcBorders>
            <w:vAlign w:val="center"/>
          </w:tcPr>
          <w:p w14:paraId="51B2DC22"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Enrolled in the UEI</w:t>
            </w:r>
          </w:p>
        </w:tc>
        <w:tc>
          <w:tcPr>
            <w:tcW w:w="2835" w:type="dxa"/>
            <w:tcBorders>
              <w:top w:val="nil"/>
            </w:tcBorders>
            <w:vAlign w:val="center"/>
          </w:tcPr>
          <w:p w14:paraId="55B3EE13"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30%</w:t>
            </w:r>
          </w:p>
        </w:tc>
      </w:tr>
      <w:tr w:rsidR="00923F07" w:rsidRPr="001031F8" w14:paraId="092265DF" w14:textId="77777777" w:rsidTr="003D19E1">
        <w:trPr>
          <w:jc w:val="center"/>
        </w:trPr>
        <w:tc>
          <w:tcPr>
            <w:tcW w:w="1275" w:type="dxa"/>
            <w:tcBorders>
              <w:top w:val="nil"/>
            </w:tcBorders>
            <w:vAlign w:val="center"/>
          </w:tcPr>
          <w:p w14:paraId="78F6DF2A"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Chengde</w:t>
            </w:r>
          </w:p>
        </w:tc>
        <w:tc>
          <w:tcPr>
            <w:tcW w:w="2269" w:type="dxa"/>
            <w:tcBorders>
              <w:top w:val="nil"/>
            </w:tcBorders>
            <w:vAlign w:val="center"/>
          </w:tcPr>
          <w:p w14:paraId="31DC459F"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2017-7</w:t>
            </w:r>
          </w:p>
        </w:tc>
        <w:tc>
          <w:tcPr>
            <w:tcW w:w="2977" w:type="dxa"/>
            <w:tcBorders>
              <w:top w:val="nil"/>
            </w:tcBorders>
            <w:vAlign w:val="center"/>
          </w:tcPr>
          <w:p w14:paraId="6A67A5DF"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Enrolled in the UEI</w:t>
            </w:r>
          </w:p>
        </w:tc>
        <w:tc>
          <w:tcPr>
            <w:tcW w:w="2835" w:type="dxa"/>
            <w:tcBorders>
              <w:top w:val="nil"/>
            </w:tcBorders>
            <w:vAlign w:val="center"/>
          </w:tcPr>
          <w:p w14:paraId="2553564C"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30%</w:t>
            </w:r>
          </w:p>
        </w:tc>
      </w:tr>
      <w:tr w:rsidR="00923F07" w:rsidRPr="001031F8" w14:paraId="4D0F6D6A" w14:textId="77777777" w:rsidTr="003D19E1">
        <w:trPr>
          <w:jc w:val="center"/>
        </w:trPr>
        <w:tc>
          <w:tcPr>
            <w:tcW w:w="1275" w:type="dxa"/>
            <w:vAlign w:val="center"/>
          </w:tcPr>
          <w:p w14:paraId="07AAE1B3"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lastRenderedPageBreak/>
              <w:t>Jilin</w:t>
            </w:r>
          </w:p>
        </w:tc>
        <w:tc>
          <w:tcPr>
            <w:tcW w:w="2269" w:type="dxa"/>
            <w:vAlign w:val="center"/>
          </w:tcPr>
          <w:p w14:paraId="41A140A8"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2016-12</w:t>
            </w:r>
          </w:p>
        </w:tc>
        <w:tc>
          <w:tcPr>
            <w:tcW w:w="2977" w:type="dxa"/>
            <w:vAlign w:val="center"/>
          </w:tcPr>
          <w:p w14:paraId="623A4273"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Enrolled in the UEI or URRMI</w:t>
            </w:r>
          </w:p>
        </w:tc>
        <w:tc>
          <w:tcPr>
            <w:tcW w:w="2835" w:type="dxa"/>
            <w:vAlign w:val="center"/>
          </w:tcPr>
          <w:p w14:paraId="70141250"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30%</w:t>
            </w:r>
          </w:p>
        </w:tc>
      </w:tr>
      <w:tr w:rsidR="00923F07" w:rsidRPr="001031F8" w14:paraId="4BBE82D8" w14:textId="77777777" w:rsidTr="003D19E1">
        <w:trPr>
          <w:jc w:val="center"/>
        </w:trPr>
        <w:tc>
          <w:tcPr>
            <w:tcW w:w="1275" w:type="dxa"/>
            <w:vAlign w:val="center"/>
          </w:tcPr>
          <w:p w14:paraId="63E55A24" w14:textId="77777777" w:rsidR="00923F07" w:rsidRPr="001031F8" w:rsidRDefault="00923F07" w:rsidP="003D19E1">
            <w:pPr>
              <w:adjustRightInd w:val="0"/>
              <w:snapToGrid w:val="0"/>
              <w:spacing w:line="480" w:lineRule="auto"/>
              <w:rPr>
                <w:rFonts w:ascii="Times New Roman" w:hAnsi="Times New Roman" w:cs="Times New Roman"/>
                <w:sz w:val="20"/>
                <w:szCs w:val="20"/>
              </w:rPr>
            </w:pPr>
            <w:proofErr w:type="spellStart"/>
            <w:r w:rsidRPr="001031F8">
              <w:rPr>
                <w:rFonts w:ascii="Times New Roman" w:hAnsi="Times New Roman" w:cs="Times New Roman"/>
                <w:sz w:val="20"/>
                <w:szCs w:val="20"/>
              </w:rPr>
              <w:t>Qiqihaer</w:t>
            </w:r>
            <w:proofErr w:type="spellEnd"/>
          </w:p>
        </w:tc>
        <w:tc>
          <w:tcPr>
            <w:tcW w:w="2269" w:type="dxa"/>
            <w:vAlign w:val="center"/>
          </w:tcPr>
          <w:p w14:paraId="70C000B9"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2017-10</w:t>
            </w:r>
          </w:p>
        </w:tc>
        <w:tc>
          <w:tcPr>
            <w:tcW w:w="2977" w:type="dxa"/>
            <w:vAlign w:val="center"/>
          </w:tcPr>
          <w:p w14:paraId="10E8BDC2"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Enrolled in the UEI</w:t>
            </w:r>
          </w:p>
        </w:tc>
        <w:tc>
          <w:tcPr>
            <w:tcW w:w="2835" w:type="dxa"/>
            <w:vAlign w:val="center"/>
          </w:tcPr>
          <w:p w14:paraId="4BC47B64"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45%</w:t>
            </w:r>
          </w:p>
        </w:tc>
      </w:tr>
      <w:tr w:rsidR="00923F07" w:rsidRPr="001031F8" w14:paraId="1060B7B7" w14:textId="77777777" w:rsidTr="003D19E1">
        <w:trPr>
          <w:jc w:val="center"/>
        </w:trPr>
        <w:tc>
          <w:tcPr>
            <w:tcW w:w="1275" w:type="dxa"/>
            <w:vAlign w:val="center"/>
          </w:tcPr>
          <w:p w14:paraId="66AE784D" w14:textId="77777777" w:rsidR="00923F07" w:rsidRPr="001031F8" w:rsidRDefault="00923F07" w:rsidP="003D19E1">
            <w:pPr>
              <w:adjustRightInd w:val="0"/>
              <w:snapToGrid w:val="0"/>
              <w:spacing w:line="480" w:lineRule="auto"/>
              <w:rPr>
                <w:rFonts w:ascii="Times New Roman" w:hAnsi="Times New Roman" w:cs="Times New Roman"/>
                <w:sz w:val="20"/>
                <w:szCs w:val="20"/>
              </w:rPr>
            </w:pPr>
            <w:proofErr w:type="spellStart"/>
            <w:r w:rsidRPr="001031F8">
              <w:rPr>
                <w:rFonts w:ascii="Times New Roman" w:hAnsi="Times New Roman" w:cs="Times New Roman"/>
                <w:sz w:val="20"/>
                <w:szCs w:val="20"/>
              </w:rPr>
              <w:t>Anqing</w:t>
            </w:r>
            <w:proofErr w:type="spellEnd"/>
          </w:p>
        </w:tc>
        <w:tc>
          <w:tcPr>
            <w:tcW w:w="2269" w:type="dxa"/>
            <w:vAlign w:val="center"/>
          </w:tcPr>
          <w:p w14:paraId="4E4A0806"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2017-1</w:t>
            </w:r>
          </w:p>
        </w:tc>
        <w:tc>
          <w:tcPr>
            <w:tcW w:w="2977" w:type="dxa"/>
            <w:vAlign w:val="center"/>
          </w:tcPr>
          <w:p w14:paraId="0922B728"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Enrolled in the UEI</w:t>
            </w:r>
          </w:p>
        </w:tc>
        <w:tc>
          <w:tcPr>
            <w:tcW w:w="2835" w:type="dxa"/>
            <w:vAlign w:val="center"/>
          </w:tcPr>
          <w:p w14:paraId="13D93F5E"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50%</w:t>
            </w:r>
          </w:p>
        </w:tc>
      </w:tr>
      <w:tr w:rsidR="00923F07" w:rsidRPr="001031F8" w14:paraId="557FF348" w14:textId="77777777" w:rsidTr="003D19E1">
        <w:trPr>
          <w:jc w:val="center"/>
        </w:trPr>
        <w:tc>
          <w:tcPr>
            <w:tcW w:w="1275" w:type="dxa"/>
            <w:vAlign w:val="center"/>
          </w:tcPr>
          <w:p w14:paraId="6974B4A8"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Ningbo</w:t>
            </w:r>
          </w:p>
        </w:tc>
        <w:tc>
          <w:tcPr>
            <w:tcW w:w="2269" w:type="dxa"/>
            <w:vAlign w:val="center"/>
          </w:tcPr>
          <w:p w14:paraId="3D436E51"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2017-12</w:t>
            </w:r>
          </w:p>
        </w:tc>
        <w:tc>
          <w:tcPr>
            <w:tcW w:w="2977" w:type="dxa"/>
            <w:vAlign w:val="center"/>
          </w:tcPr>
          <w:p w14:paraId="5EEBF8BC"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Enrolled in the UEI</w:t>
            </w:r>
          </w:p>
        </w:tc>
        <w:tc>
          <w:tcPr>
            <w:tcW w:w="2835" w:type="dxa"/>
            <w:vAlign w:val="center"/>
          </w:tcPr>
          <w:p w14:paraId="1DB21FF0" w14:textId="77777777" w:rsidR="00923F07" w:rsidRPr="001031F8" w:rsidRDefault="00923F07" w:rsidP="003D19E1">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N/A. Formal care recipients would be reimbursed 40 CNY per day*.</w:t>
            </w:r>
          </w:p>
        </w:tc>
      </w:tr>
      <w:tr w:rsidR="00923F07" w:rsidRPr="001031F8" w14:paraId="60D56D5E" w14:textId="77777777" w:rsidTr="003D19E1">
        <w:trPr>
          <w:jc w:val="center"/>
        </w:trPr>
        <w:tc>
          <w:tcPr>
            <w:tcW w:w="1275" w:type="dxa"/>
            <w:vAlign w:val="center"/>
          </w:tcPr>
          <w:p w14:paraId="28A4FABB"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Chongqing</w:t>
            </w:r>
          </w:p>
        </w:tc>
        <w:tc>
          <w:tcPr>
            <w:tcW w:w="2269" w:type="dxa"/>
            <w:vAlign w:val="center"/>
          </w:tcPr>
          <w:p w14:paraId="5C33AF26"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2017-12</w:t>
            </w:r>
          </w:p>
        </w:tc>
        <w:tc>
          <w:tcPr>
            <w:tcW w:w="2977" w:type="dxa"/>
            <w:vAlign w:val="center"/>
          </w:tcPr>
          <w:p w14:paraId="45D32F21"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Enrolled in the UEI</w:t>
            </w:r>
          </w:p>
        </w:tc>
        <w:tc>
          <w:tcPr>
            <w:tcW w:w="2835" w:type="dxa"/>
            <w:vAlign w:val="center"/>
          </w:tcPr>
          <w:p w14:paraId="51C3D529" w14:textId="77777777" w:rsidR="00923F07" w:rsidRPr="001031F8" w:rsidRDefault="00923F07" w:rsidP="003D19E1">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N/A. Formal care recipients would be reimbursed 50 CNY per day*.</w:t>
            </w:r>
          </w:p>
        </w:tc>
      </w:tr>
      <w:tr w:rsidR="00923F07" w:rsidRPr="001031F8" w14:paraId="69F5A110" w14:textId="77777777" w:rsidTr="003D19E1">
        <w:trPr>
          <w:jc w:val="center"/>
        </w:trPr>
        <w:tc>
          <w:tcPr>
            <w:tcW w:w="1275" w:type="dxa"/>
            <w:vAlign w:val="center"/>
          </w:tcPr>
          <w:p w14:paraId="76D1A96E" w14:textId="77777777" w:rsidR="00923F07" w:rsidRPr="001031F8" w:rsidRDefault="00923F07" w:rsidP="003D19E1">
            <w:pPr>
              <w:adjustRightInd w:val="0"/>
              <w:snapToGrid w:val="0"/>
              <w:spacing w:line="480" w:lineRule="auto"/>
              <w:rPr>
                <w:rFonts w:ascii="Times New Roman" w:hAnsi="Times New Roman" w:cs="Times New Roman"/>
                <w:sz w:val="20"/>
                <w:szCs w:val="20"/>
              </w:rPr>
            </w:pPr>
            <w:proofErr w:type="spellStart"/>
            <w:r w:rsidRPr="001031F8">
              <w:rPr>
                <w:rFonts w:ascii="Times New Roman" w:hAnsi="Times New Roman" w:cs="Times New Roman"/>
                <w:sz w:val="20"/>
                <w:szCs w:val="20"/>
              </w:rPr>
              <w:t>Shangrao</w:t>
            </w:r>
            <w:proofErr w:type="spellEnd"/>
          </w:p>
        </w:tc>
        <w:tc>
          <w:tcPr>
            <w:tcW w:w="2269" w:type="dxa"/>
            <w:vAlign w:val="center"/>
          </w:tcPr>
          <w:p w14:paraId="645DCB95"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2017-9</w:t>
            </w:r>
          </w:p>
        </w:tc>
        <w:tc>
          <w:tcPr>
            <w:tcW w:w="2977" w:type="dxa"/>
            <w:vAlign w:val="center"/>
          </w:tcPr>
          <w:p w14:paraId="7D57FF3F"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Enrolled in the UEI</w:t>
            </w:r>
          </w:p>
        </w:tc>
        <w:tc>
          <w:tcPr>
            <w:tcW w:w="2835" w:type="dxa"/>
            <w:vAlign w:val="center"/>
          </w:tcPr>
          <w:p w14:paraId="33E81836" w14:textId="77777777" w:rsidR="00923F07" w:rsidRPr="001031F8" w:rsidRDefault="00923F07" w:rsidP="003D19E1">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N/A. Formal care recipients would be reimbursed 1200 CNY per month*.</w:t>
            </w:r>
          </w:p>
        </w:tc>
      </w:tr>
      <w:tr w:rsidR="00923F07" w:rsidRPr="001031F8" w14:paraId="14047CCD" w14:textId="77777777" w:rsidTr="003D19E1">
        <w:trPr>
          <w:jc w:val="center"/>
        </w:trPr>
        <w:tc>
          <w:tcPr>
            <w:tcW w:w="1275" w:type="dxa"/>
            <w:vAlign w:val="center"/>
          </w:tcPr>
          <w:p w14:paraId="0F30CDAA"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Suzhou</w:t>
            </w:r>
          </w:p>
        </w:tc>
        <w:tc>
          <w:tcPr>
            <w:tcW w:w="2269" w:type="dxa"/>
            <w:vAlign w:val="center"/>
          </w:tcPr>
          <w:p w14:paraId="5E4EA6FB"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2017-6</w:t>
            </w:r>
          </w:p>
        </w:tc>
        <w:tc>
          <w:tcPr>
            <w:tcW w:w="2977" w:type="dxa"/>
            <w:vAlign w:val="center"/>
          </w:tcPr>
          <w:p w14:paraId="0A68DC2E" w14:textId="77777777" w:rsidR="00923F07" w:rsidRPr="001031F8" w:rsidRDefault="00923F07" w:rsidP="003D19E1">
            <w:pPr>
              <w:adjustRightInd w:val="0"/>
              <w:snapToGrid w:val="0"/>
              <w:spacing w:line="480" w:lineRule="auto"/>
              <w:rPr>
                <w:rFonts w:ascii="Times New Roman" w:hAnsi="Times New Roman" w:cs="Times New Roman"/>
                <w:sz w:val="20"/>
                <w:szCs w:val="20"/>
              </w:rPr>
            </w:pPr>
            <w:r w:rsidRPr="001031F8">
              <w:rPr>
                <w:rFonts w:ascii="Times New Roman" w:hAnsi="Times New Roman" w:cs="Times New Roman"/>
                <w:sz w:val="20"/>
                <w:szCs w:val="20"/>
              </w:rPr>
              <w:t>Enrolled in the UEI or URRMI</w:t>
            </w:r>
          </w:p>
        </w:tc>
        <w:tc>
          <w:tcPr>
            <w:tcW w:w="2835" w:type="dxa"/>
            <w:vAlign w:val="center"/>
          </w:tcPr>
          <w:p w14:paraId="73D380E3" w14:textId="77777777" w:rsidR="00923F07" w:rsidRPr="001031F8" w:rsidRDefault="00923F07" w:rsidP="003D19E1">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N/A. Formal care recipients would be reimbursed 26 CNY per day for those with severe disabilities and 20 CNY per day for those with moderate disabilities*.</w:t>
            </w:r>
          </w:p>
        </w:tc>
      </w:tr>
    </w:tbl>
    <w:p w14:paraId="0B349387" w14:textId="77777777" w:rsidR="00923F07" w:rsidRPr="0029506A" w:rsidRDefault="00923F07" w:rsidP="007B0D17">
      <w:pPr>
        <w:adjustRightInd w:val="0"/>
        <w:snapToGrid w:val="0"/>
        <w:spacing w:line="480" w:lineRule="auto"/>
        <w:jc w:val="left"/>
        <w:rPr>
          <w:rStyle w:val="Heading1Char"/>
          <w:rFonts w:ascii="Times New Roman" w:hAnsi="Times New Roman" w:cs="Times New Roman"/>
          <w:b w:val="0"/>
          <w:bCs w:val="0"/>
          <w:noProof/>
          <w:kern w:val="2"/>
          <w:sz w:val="20"/>
          <w:szCs w:val="20"/>
        </w:rPr>
      </w:pPr>
      <w:r w:rsidRPr="001031F8">
        <w:rPr>
          <w:rFonts w:ascii="Times New Roman" w:hAnsi="Times New Roman" w:cs="Times New Roman"/>
          <w:i/>
          <w:iCs/>
          <w:sz w:val="20"/>
          <w:szCs w:val="20"/>
        </w:rPr>
        <w:t>Notes</w:t>
      </w:r>
      <w:r w:rsidRPr="001031F8">
        <w:rPr>
          <w:rFonts w:ascii="Times New Roman" w:hAnsi="Times New Roman" w:cs="Times New Roman"/>
          <w:sz w:val="20"/>
          <w:szCs w:val="20"/>
        </w:rPr>
        <w:t xml:space="preserve">: Sources: </w:t>
      </w:r>
      <w:r>
        <w:rPr>
          <w:rFonts w:ascii="Times New Roman" w:hAnsi="Times New Roman" w:cs="Times New Roman"/>
          <w:noProof/>
          <w:sz w:val="20"/>
          <w:szCs w:val="20"/>
        </w:rPr>
        <w:t>(National Healthcare Security Administration of China &amp; Ministry of Finance of China, 2020; Pei et al., 2024; Yang et al., 2018; Zhou &amp; Dai, 2021)</w:t>
      </w:r>
      <w:r w:rsidRPr="001031F8">
        <w:rPr>
          <w:rFonts w:ascii="Times New Roman" w:hAnsi="Times New Roman" w:cs="Times New Roman"/>
          <w:sz w:val="20"/>
          <w:szCs w:val="20"/>
        </w:rPr>
        <w:t xml:space="preserve">. </w:t>
      </w:r>
      <w:r w:rsidRPr="001031F8">
        <w:rPr>
          <w:rFonts w:ascii="Times New Roman" w:eastAsia="Cambria" w:hAnsi="Times New Roman" w:cs="Times New Roman"/>
          <w:bCs/>
          <w:kern w:val="0"/>
          <w:sz w:val="20"/>
          <w:szCs w:val="20"/>
          <w:lang w:eastAsia="en-US"/>
        </w:rPr>
        <w:t>UEI is Urban Employee Insurance</w:t>
      </w:r>
      <w:r w:rsidRPr="001031F8">
        <w:rPr>
          <w:rFonts w:ascii="Times New Roman" w:hAnsi="Times New Roman" w:cs="Times New Roman"/>
          <w:bCs/>
          <w:kern w:val="0"/>
          <w:sz w:val="20"/>
          <w:szCs w:val="20"/>
        </w:rPr>
        <w:t>, which</w:t>
      </w:r>
      <w:r w:rsidRPr="001031F8">
        <w:rPr>
          <w:rFonts w:ascii="Times New Roman" w:eastAsia="Cambria" w:hAnsi="Times New Roman" w:cs="Times New Roman"/>
          <w:kern w:val="0"/>
          <w:sz w:val="20"/>
          <w:szCs w:val="20"/>
          <w:lang w:eastAsia="en-US"/>
        </w:rPr>
        <w:t xml:space="preserve"> covers urban employees in formal sectors</w:t>
      </w:r>
      <w:r w:rsidRPr="001031F8">
        <w:rPr>
          <w:rFonts w:ascii="Times New Roman" w:eastAsia="Cambria" w:hAnsi="Times New Roman" w:cs="Times New Roman"/>
          <w:bCs/>
          <w:kern w:val="0"/>
          <w:sz w:val="20"/>
          <w:szCs w:val="20"/>
          <w:lang w:eastAsia="en-US"/>
        </w:rPr>
        <w:t>. URRMI is Urban-Rural Resident Medical Insurance</w:t>
      </w:r>
      <w:r w:rsidRPr="001031F8">
        <w:rPr>
          <w:rFonts w:ascii="Times New Roman" w:hAnsi="Times New Roman" w:cs="Times New Roman"/>
          <w:bCs/>
          <w:kern w:val="0"/>
          <w:sz w:val="20"/>
          <w:szCs w:val="20"/>
        </w:rPr>
        <w:t>, which</w:t>
      </w:r>
      <w:r w:rsidRPr="001031F8">
        <w:rPr>
          <w:rFonts w:ascii="Times New Roman" w:eastAsia="Cambria" w:hAnsi="Times New Roman" w:cs="Times New Roman"/>
          <w:kern w:val="0"/>
          <w:sz w:val="20"/>
          <w:szCs w:val="20"/>
          <w:lang w:eastAsia="en-US"/>
        </w:rPr>
        <w:t xml:space="preserve"> covers rural residents </w:t>
      </w:r>
      <w:r w:rsidRPr="001031F8">
        <w:rPr>
          <w:rFonts w:ascii="Times New Roman" w:hAnsi="Times New Roman" w:cs="Times New Roman"/>
          <w:kern w:val="0"/>
          <w:sz w:val="20"/>
          <w:szCs w:val="20"/>
        </w:rPr>
        <w:t xml:space="preserve">and </w:t>
      </w:r>
      <w:r w:rsidRPr="001031F8">
        <w:rPr>
          <w:rFonts w:ascii="Times New Roman" w:eastAsia="Cambria" w:hAnsi="Times New Roman" w:cs="Times New Roman"/>
          <w:kern w:val="0"/>
          <w:sz w:val="20"/>
          <w:szCs w:val="20"/>
          <w:lang w:eastAsia="en-US"/>
        </w:rPr>
        <w:t>urban residents without employment in the formal sectors, including the self-employed, unemployed individuals, retirees, young children, and primary/secondary school students</w:t>
      </w:r>
      <w:r w:rsidRPr="001031F8">
        <w:rPr>
          <w:rFonts w:ascii="Times New Roman" w:hAnsi="Times New Roman" w:cs="Times New Roman"/>
          <w:kern w:val="0"/>
          <w:sz w:val="20"/>
          <w:szCs w:val="20"/>
        </w:rPr>
        <w:t>.</w:t>
      </w:r>
      <w:r w:rsidRPr="001031F8">
        <w:rPr>
          <w:rFonts w:ascii="Times New Roman" w:hAnsi="Times New Roman" w:cs="Times New Roman"/>
          <w:sz w:val="20"/>
          <w:szCs w:val="20"/>
        </w:rPr>
        <w:t xml:space="preserve"> The copayment rate here refers to the proportion of out-of-pocket f</w:t>
      </w:r>
      <w:bookmarkStart w:id="25" w:name="_Hlk178749673"/>
      <w:r w:rsidRPr="001031F8">
        <w:rPr>
          <w:rFonts w:ascii="Times New Roman" w:hAnsi="Times New Roman" w:cs="Times New Roman"/>
          <w:sz w:val="20"/>
          <w:szCs w:val="20"/>
        </w:rPr>
        <w:t xml:space="preserve">ormal </w:t>
      </w:r>
      <w:r>
        <w:rPr>
          <w:rFonts w:ascii="Times New Roman" w:hAnsi="Times New Roman" w:cs="Times New Roman" w:hint="eastAsia"/>
          <w:sz w:val="20"/>
          <w:szCs w:val="20"/>
        </w:rPr>
        <w:t>LTC</w:t>
      </w:r>
      <w:r w:rsidRPr="001031F8">
        <w:rPr>
          <w:rFonts w:ascii="Times New Roman" w:hAnsi="Times New Roman" w:cs="Times New Roman"/>
          <w:sz w:val="20"/>
          <w:szCs w:val="20"/>
        </w:rPr>
        <w:t xml:space="preserve"> expenditures, after government reimbursement by </w:t>
      </w:r>
      <w:r>
        <w:rPr>
          <w:rFonts w:ascii="Times New Roman" w:hAnsi="Times New Roman" w:cs="Times New Roman" w:hint="eastAsia"/>
          <w:sz w:val="20"/>
          <w:szCs w:val="20"/>
        </w:rPr>
        <w:t>LTCI</w:t>
      </w:r>
      <w:r w:rsidRPr="001031F8">
        <w:rPr>
          <w:rFonts w:ascii="Times New Roman" w:hAnsi="Times New Roman" w:cs="Times New Roman"/>
          <w:sz w:val="20"/>
          <w:szCs w:val="20"/>
        </w:rPr>
        <w:t>,</w:t>
      </w:r>
      <w:bookmarkEnd w:id="25"/>
      <w:r w:rsidRPr="001031F8">
        <w:rPr>
          <w:rFonts w:ascii="Times New Roman" w:hAnsi="Times New Roman" w:cs="Times New Roman"/>
          <w:sz w:val="20"/>
          <w:szCs w:val="20"/>
        </w:rPr>
        <w:t xml:space="preserve"> relative to the total LTC expenditures. </w:t>
      </w:r>
    </w:p>
    <w:p w14:paraId="7B0C475B" w14:textId="77777777" w:rsidR="00923F07" w:rsidRPr="001031F8" w:rsidRDefault="00923F07" w:rsidP="007B0D17">
      <w:pPr>
        <w:adjustRightInd w:val="0"/>
        <w:snapToGrid w:val="0"/>
        <w:spacing w:line="480" w:lineRule="auto"/>
        <w:rPr>
          <w:rStyle w:val="Heading1Char"/>
          <w:rFonts w:ascii="Times New Roman" w:hAnsi="Times New Roman" w:cs="Times New Roman"/>
          <w:sz w:val="20"/>
          <w:szCs w:val="20"/>
        </w:rPr>
      </w:pPr>
    </w:p>
    <w:p w14:paraId="211A596F" w14:textId="77777777" w:rsidR="00923F07" w:rsidRPr="001031F8" w:rsidRDefault="00923F07" w:rsidP="007B0D17">
      <w:pPr>
        <w:widowControl/>
        <w:adjustRightInd w:val="0"/>
        <w:snapToGrid w:val="0"/>
        <w:spacing w:line="480" w:lineRule="auto"/>
        <w:jc w:val="left"/>
        <w:rPr>
          <w:rStyle w:val="Heading1Char"/>
          <w:rFonts w:ascii="Times New Roman" w:hAnsi="Times New Roman" w:cs="Times New Roman"/>
          <w:sz w:val="20"/>
          <w:szCs w:val="20"/>
        </w:rPr>
      </w:pPr>
      <w:r w:rsidRPr="001031F8">
        <w:rPr>
          <w:rStyle w:val="Heading1Char"/>
          <w:rFonts w:ascii="Times New Roman" w:hAnsi="Times New Roman" w:cs="Times New Roman"/>
          <w:sz w:val="20"/>
          <w:szCs w:val="20"/>
        </w:rPr>
        <w:br w:type="page"/>
      </w:r>
    </w:p>
    <w:p w14:paraId="0AE5B60B" w14:textId="77777777" w:rsidR="00923F07" w:rsidRPr="001031F8" w:rsidRDefault="00923F07" w:rsidP="001031F8">
      <w:pPr>
        <w:pStyle w:val="Heading1"/>
        <w:adjustRightInd w:val="0"/>
        <w:snapToGrid w:val="0"/>
        <w:spacing w:before="0" w:after="0" w:line="480" w:lineRule="auto"/>
        <w:rPr>
          <w:b w:val="0"/>
          <w:bCs w:val="0"/>
          <w:sz w:val="20"/>
          <w:szCs w:val="20"/>
        </w:rPr>
      </w:pPr>
      <w:bookmarkStart w:id="26" w:name="_Toc195209567"/>
      <w:r w:rsidRPr="001031F8">
        <w:rPr>
          <w:rStyle w:val="Heading1Char"/>
          <w:rFonts w:ascii="Times New Roman" w:hAnsi="Times New Roman" w:cs="Times New Roman"/>
          <w:b/>
          <w:bCs/>
          <w:sz w:val="20"/>
          <w:szCs w:val="20"/>
        </w:rPr>
        <w:lastRenderedPageBreak/>
        <w:t xml:space="preserve">Section </w:t>
      </w:r>
      <w:r w:rsidRPr="001031F8">
        <w:rPr>
          <w:rStyle w:val="Heading1Char"/>
          <w:rFonts w:ascii="Times New Roman" w:hAnsi="Times New Roman" w:cs="Times New Roman" w:hint="eastAsia"/>
          <w:b/>
          <w:bCs/>
          <w:sz w:val="20"/>
          <w:szCs w:val="20"/>
        </w:rPr>
        <w:t>F</w:t>
      </w:r>
      <w:r w:rsidRPr="001031F8">
        <w:rPr>
          <w:rStyle w:val="Heading1Char"/>
          <w:rFonts w:ascii="Times New Roman" w:hAnsi="Times New Roman" w:cs="Times New Roman"/>
          <w:b/>
          <w:bCs/>
          <w:sz w:val="20"/>
          <w:szCs w:val="20"/>
        </w:rPr>
        <w:t xml:space="preserve">: Measurement of </w:t>
      </w:r>
      <w:r w:rsidRPr="001031F8">
        <w:rPr>
          <w:rStyle w:val="Heading1Char"/>
          <w:rFonts w:ascii="Times New Roman" w:hAnsi="Times New Roman" w:cs="Times New Roman" w:hint="eastAsia"/>
          <w:b/>
          <w:bCs/>
          <w:sz w:val="20"/>
          <w:szCs w:val="20"/>
        </w:rPr>
        <w:t>control variables</w:t>
      </w:r>
      <w:bookmarkEnd w:id="26"/>
    </w:p>
    <w:p w14:paraId="298578BF" w14:textId="77777777" w:rsidR="00923F07" w:rsidRPr="001031F8" w:rsidRDefault="00923F07" w:rsidP="001031F8">
      <w:pPr>
        <w:pStyle w:val="NormalWeb"/>
        <w:adjustRightInd w:val="0"/>
        <w:snapToGrid w:val="0"/>
        <w:spacing w:before="0" w:beforeAutospacing="0" w:after="0" w:afterAutospacing="0" w:line="480" w:lineRule="auto"/>
        <w:rPr>
          <w:rFonts w:ascii="Times New Roman" w:hAnsi="Times New Roman" w:cs="Times New Roman"/>
          <w:sz w:val="20"/>
          <w:szCs w:val="20"/>
          <w:lang w:val="en-US"/>
        </w:rPr>
      </w:pPr>
    </w:p>
    <w:p w14:paraId="00760C6F"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 xml:space="preserve">Age is a continuous variable measured by years. Gender is a binary variable with ‘male’ set as the reference category. Education is categorized as </w:t>
      </w:r>
      <w:proofErr w:type="gramStart"/>
      <w:r w:rsidRPr="001031F8">
        <w:rPr>
          <w:rFonts w:ascii="Times New Roman" w:hAnsi="Times New Roman" w:cs="Times New Roman"/>
          <w:sz w:val="20"/>
          <w:szCs w:val="20"/>
        </w:rPr>
        <w:t>follows: ‘</w:t>
      </w:r>
      <w:proofErr w:type="gramEnd"/>
      <w:r w:rsidRPr="001031F8">
        <w:rPr>
          <w:rFonts w:ascii="Times New Roman" w:hAnsi="Times New Roman" w:cs="Times New Roman"/>
          <w:sz w:val="20"/>
          <w:szCs w:val="20"/>
        </w:rPr>
        <w:t>no formal education’ (the reference group</w:t>
      </w:r>
      <w:proofErr w:type="gramStart"/>
      <w:r w:rsidRPr="001031F8">
        <w:rPr>
          <w:rFonts w:ascii="Times New Roman" w:hAnsi="Times New Roman" w:cs="Times New Roman"/>
          <w:sz w:val="20"/>
          <w:szCs w:val="20"/>
        </w:rPr>
        <w:t>), ‘</w:t>
      </w:r>
      <w:proofErr w:type="gramEnd"/>
      <w:r w:rsidRPr="001031F8">
        <w:rPr>
          <w:rFonts w:ascii="Times New Roman" w:hAnsi="Times New Roman" w:cs="Times New Roman"/>
          <w:sz w:val="20"/>
          <w:szCs w:val="20"/>
        </w:rPr>
        <w:t xml:space="preserve">elementary school’, and ‘middle school or above’. Marital status has two </w:t>
      </w:r>
      <w:proofErr w:type="gramStart"/>
      <w:r w:rsidRPr="001031F8">
        <w:rPr>
          <w:rFonts w:ascii="Times New Roman" w:hAnsi="Times New Roman" w:cs="Times New Roman"/>
          <w:sz w:val="20"/>
          <w:szCs w:val="20"/>
        </w:rPr>
        <w:t>categories: ‘</w:t>
      </w:r>
      <w:proofErr w:type="gramEnd"/>
      <w:r w:rsidRPr="001031F8">
        <w:rPr>
          <w:rFonts w:ascii="Times New Roman" w:hAnsi="Times New Roman" w:cs="Times New Roman"/>
          <w:sz w:val="20"/>
          <w:szCs w:val="20"/>
        </w:rPr>
        <w:t xml:space="preserve">married/cohabiting’ (the reference group) and ‘other’ (including being widowed, separated, divorced, or never married). </w:t>
      </w:r>
      <w:bookmarkStart w:id="27" w:name="_Hlk122356092"/>
      <w:r w:rsidRPr="001031F8">
        <w:rPr>
          <w:rFonts w:ascii="Times New Roman" w:hAnsi="Times New Roman" w:cs="Times New Roman"/>
          <w:sz w:val="20"/>
          <w:szCs w:val="20"/>
        </w:rPr>
        <w:t>Place of residence is a binary variable, distinguishing between ‘rural’ and ‘urban’ areas (with ‘urban’ as the reference group)</w:t>
      </w:r>
      <w:r w:rsidRPr="001031F8">
        <w:rPr>
          <w:rFonts w:ascii="Times New Roman" w:hAnsi="Times New Roman" w:cs="Times New Roman"/>
          <w:sz w:val="20"/>
          <w:szCs w:val="20"/>
          <w14:ligatures w14:val="none"/>
        </w:rPr>
        <w:t>.</w:t>
      </w:r>
      <w:r w:rsidRPr="001031F8">
        <w:rPr>
          <w:rFonts w:ascii="Times New Roman" w:hAnsi="Times New Roman" w:cs="Times New Roman" w:hint="eastAsia"/>
          <w:sz w:val="20"/>
          <w:szCs w:val="20"/>
          <w14:ligatures w14:val="none"/>
        </w:rPr>
        <w:t xml:space="preserve"> A</w:t>
      </w:r>
      <w:r w:rsidRPr="001031F8">
        <w:rPr>
          <w:rFonts w:ascii="Times New Roman" w:hAnsi="Times New Roman" w:cs="Times New Roman"/>
          <w:sz w:val="20"/>
          <w:szCs w:val="20"/>
        </w:rPr>
        <w:t>nnual household expenditure</w:t>
      </w:r>
      <w:r w:rsidRPr="001031F8">
        <w:rPr>
          <w:rFonts w:ascii="Times New Roman" w:hAnsi="Times New Roman" w:cs="Times New Roman"/>
          <w:color w:val="2E2E2E"/>
          <w:sz w:val="20"/>
          <w:szCs w:val="20"/>
        </w:rPr>
        <w:t xml:space="preserve"> w</w:t>
      </w:r>
      <w:r w:rsidRPr="001031F8">
        <w:rPr>
          <w:rFonts w:ascii="Times New Roman" w:hAnsi="Times New Roman" w:cs="Times New Roman" w:hint="eastAsia"/>
          <w:color w:val="2E2E2E"/>
          <w:sz w:val="20"/>
          <w:szCs w:val="20"/>
        </w:rPr>
        <w:t>as</w:t>
      </w:r>
      <w:r w:rsidRPr="001031F8">
        <w:rPr>
          <w:rFonts w:ascii="Times New Roman" w:hAnsi="Times New Roman" w:cs="Times New Roman"/>
          <w:color w:val="2E2E2E"/>
          <w:sz w:val="20"/>
          <w:szCs w:val="20"/>
        </w:rPr>
        <w:t xml:space="preserve"> adjusted for inflation, expressed in 2011 prices using the Consumer Price Index </w:t>
      </w:r>
      <w:r>
        <w:rPr>
          <w:rFonts w:ascii="Times New Roman" w:hAnsi="Times New Roman" w:cs="Times New Roman"/>
          <w:noProof/>
          <w:color w:val="2E2E2E"/>
          <w:sz w:val="20"/>
          <w:szCs w:val="20"/>
        </w:rPr>
        <w:t>(World Bank, 2022)</w:t>
      </w:r>
      <w:r w:rsidRPr="001031F8">
        <w:rPr>
          <w:rFonts w:ascii="Times New Roman" w:hAnsi="Times New Roman" w:cs="Times New Roman"/>
          <w:color w:val="2E2E2E"/>
          <w:sz w:val="20"/>
          <w:szCs w:val="20"/>
        </w:rPr>
        <w:t xml:space="preserve">, and trimmed at the </w:t>
      </w:r>
      <w:r w:rsidRPr="001031F8">
        <w:rPr>
          <w:rFonts w:ascii="Times New Roman" w:hAnsi="Times New Roman" w:cs="Times New Roman" w:hint="eastAsia"/>
          <w:color w:val="2E2E2E"/>
          <w:sz w:val="20"/>
          <w:szCs w:val="20"/>
        </w:rPr>
        <w:t>1</w:t>
      </w:r>
      <w:r w:rsidRPr="001031F8">
        <w:rPr>
          <w:rFonts w:ascii="Times New Roman" w:hAnsi="Times New Roman" w:cs="Times New Roman"/>
          <w:color w:val="2E2E2E"/>
          <w:sz w:val="20"/>
          <w:szCs w:val="20"/>
        </w:rPr>
        <w:t>% quantile on both ends</w:t>
      </w:r>
      <w:bookmarkStart w:id="28" w:name="_Hlk194950377"/>
      <w:r w:rsidRPr="001031F8">
        <w:rPr>
          <w:rFonts w:ascii="Times New Roman" w:hAnsi="Times New Roman" w:cs="Times New Roman" w:hint="eastAsia"/>
          <w:sz w:val="20"/>
          <w:szCs w:val="20"/>
        </w:rPr>
        <w:t xml:space="preserve"> </w:t>
      </w:r>
      <w:bookmarkEnd w:id="28"/>
      <w:r w:rsidRPr="001031F8">
        <w:rPr>
          <w:rFonts w:ascii="Times New Roman" w:hAnsi="Times New Roman" w:cs="Times New Roman"/>
          <w:noProof/>
          <w:sz w:val="20"/>
          <w:szCs w:val="20"/>
        </w:rPr>
        <w:t>(Leone et al., 2019)</w:t>
      </w:r>
      <w:r w:rsidRPr="001031F8">
        <w:rPr>
          <w:rFonts w:ascii="Times New Roman" w:hAnsi="Times New Roman" w:cs="Times New Roman"/>
          <w:color w:val="2E2E2E"/>
          <w:sz w:val="20"/>
          <w:szCs w:val="20"/>
        </w:rPr>
        <w:t>.</w:t>
      </w:r>
      <w:r w:rsidRPr="001031F8">
        <w:rPr>
          <w:rFonts w:ascii="Times New Roman" w:hAnsi="Times New Roman" w:cs="Times New Roman" w:hint="eastAsia"/>
          <w:color w:val="2E2E2E"/>
          <w:sz w:val="20"/>
          <w:szCs w:val="20"/>
        </w:rPr>
        <w:t xml:space="preserve"> </w:t>
      </w:r>
      <w:r w:rsidRPr="001031F8">
        <w:rPr>
          <w:rFonts w:ascii="Times New Roman" w:hAnsi="Times New Roman" w:cs="Times New Roman"/>
          <w:sz w:val="20"/>
          <w:szCs w:val="20"/>
        </w:rPr>
        <w:t>S</w:t>
      </w:r>
      <w:r w:rsidRPr="001031F8">
        <w:rPr>
          <w:rFonts w:ascii="Times New Roman" w:hAnsi="Times New Roman" w:cs="Times New Roman" w:hint="eastAsia"/>
          <w:sz w:val="20"/>
          <w:szCs w:val="20"/>
        </w:rPr>
        <w:t>ocial Health Insurance (S</w:t>
      </w:r>
      <w:r w:rsidRPr="001031F8">
        <w:rPr>
          <w:rFonts w:ascii="Times New Roman" w:hAnsi="Times New Roman" w:cs="Times New Roman"/>
          <w:sz w:val="20"/>
          <w:szCs w:val="20"/>
        </w:rPr>
        <w:t>HI</w:t>
      </w:r>
      <w:r w:rsidRPr="001031F8">
        <w:rPr>
          <w:rFonts w:ascii="Times New Roman" w:hAnsi="Times New Roman" w:cs="Times New Roman" w:hint="eastAsia"/>
          <w:sz w:val="20"/>
          <w:szCs w:val="20"/>
        </w:rPr>
        <w:t>)</w:t>
      </w:r>
      <w:r w:rsidRPr="001031F8">
        <w:rPr>
          <w:rFonts w:ascii="Times New Roman" w:hAnsi="Times New Roman" w:cs="Times New Roman"/>
          <w:sz w:val="20"/>
          <w:szCs w:val="20"/>
        </w:rPr>
        <w:t xml:space="preserve"> status is categorized as follows: ‘Urban Employee Basic Medical Insurance (UEBMI)’; ‘Urban Resident Basic Medical Insurance (URBMI)’, ‘New Rural Cooperative Medical Scheme (NCMS)’, ‘Urban and Rural Resident Basic Medical Insurance (URRMI), and ‘other’. Self-rated health has three </w:t>
      </w:r>
      <w:proofErr w:type="gramStart"/>
      <w:r w:rsidRPr="001031F8">
        <w:rPr>
          <w:rFonts w:ascii="Times New Roman" w:hAnsi="Times New Roman" w:cs="Times New Roman"/>
          <w:sz w:val="20"/>
          <w:szCs w:val="20"/>
        </w:rPr>
        <w:t>categories: ‘</w:t>
      </w:r>
      <w:proofErr w:type="gramEnd"/>
      <w:r w:rsidRPr="001031F8">
        <w:rPr>
          <w:rFonts w:ascii="Times New Roman" w:hAnsi="Times New Roman" w:cs="Times New Roman"/>
          <w:sz w:val="20"/>
          <w:szCs w:val="20"/>
        </w:rPr>
        <w:t>good’ (the reference group</w:t>
      </w:r>
      <w:proofErr w:type="gramStart"/>
      <w:r w:rsidRPr="001031F8">
        <w:rPr>
          <w:rFonts w:ascii="Times New Roman" w:hAnsi="Times New Roman" w:cs="Times New Roman"/>
          <w:sz w:val="20"/>
          <w:szCs w:val="20"/>
        </w:rPr>
        <w:t>), ‘</w:t>
      </w:r>
      <w:proofErr w:type="gramEnd"/>
      <w:r w:rsidRPr="001031F8">
        <w:rPr>
          <w:rFonts w:ascii="Times New Roman" w:hAnsi="Times New Roman" w:cs="Times New Roman"/>
          <w:sz w:val="20"/>
          <w:szCs w:val="20"/>
        </w:rPr>
        <w:t>fair’, and ‘bad’ status.</w:t>
      </w:r>
      <w:bookmarkStart w:id="29" w:name="_Hlk122356115"/>
      <w:bookmarkEnd w:id="27"/>
      <w:r w:rsidRPr="001031F8">
        <w:rPr>
          <w:rFonts w:ascii="Times New Roman" w:hAnsi="Times New Roman" w:cs="Times New Roman"/>
          <w:sz w:val="20"/>
          <w:szCs w:val="20"/>
        </w:rPr>
        <w:t xml:space="preserve"> The CHARLS questionnaire asked survey participants whether they need others' help or have difficulties performing six ADLs (eating, dressing, bathing, using the toilet, continence, and getting in and out of bed) and five IADLs (cooking, shopping, making phone calls, taking medication, and doing housework). We summed up the total number of reported ADL limitations and IADL limitations among participants,</w:t>
      </w:r>
      <w:r w:rsidRPr="001031F8">
        <w:rPr>
          <w:rFonts w:ascii="Times New Roman" w:eastAsia="微软雅黑" w:hAnsi="Times New Roman" w:cs="Times New Roman"/>
          <w:sz w:val="20"/>
          <w:szCs w:val="20"/>
        </w:rPr>
        <w:t xml:space="preserve"> ranging from 0 to 11, with a higher score suggesting greater limitations</w:t>
      </w:r>
      <w:bookmarkEnd w:id="29"/>
      <w:r w:rsidRPr="001031F8">
        <w:rPr>
          <w:rFonts w:ascii="Times New Roman" w:eastAsia="微软雅黑" w:hAnsi="Times New Roman" w:cs="Times New Roman"/>
          <w:sz w:val="20"/>
          <w:szCs w:val="20"/>
        </w:rPr>
        <w:t>. D</w:t>
      </w:r>
      <w:r w:rsidRPr="001031F8">
        <w:rPr>
          <w:rFonts w:ascii="Times New Roman" w:hAnsi="Times New Roman" w:cs="Times New Roman"/>
          <w:sz w:val="20"/>
          <w:szCs w:val="20"/>
        </w:rPr>
        <w:t>epressive symptoms were assessed using the 10-item Centre for Epidemiologic Studies—Depression (CES-D) scale</w:t>
      </w:r>
      <w:r w:rsidRPr="001031F8">
        <w:rPr>
          <w:rFonts w:ascii="Times New Roman" w:hAnsi="Times New Roman" w:cs="Times New Roman"/>
          <w:kern w:val="0"/>
          <w:sz w:val="20"/>
          <w:szCs w:val="20"/>
        </w:rPr>
        <w:t xml:space="preserve"> </w:t>
      </w:r>
      <w:r>
        <w:rPr>
          <w:rFonts w:ascii="Times New Roman" w:hAnsi="Times New Roman" w:cs="Times New Roman"/>
          <w:noProof/>
          <w:kern w:val="0"/>
          <w:sz w:val="20"/>
          <w:szCs w:val="20"/>
        </w:rPr>
        <w:t>(Yang &amp; Hu, 2022)</w:t>
      </w:r>
      <w:r w:rsidRPr="001031F8">
        <w:rPr>
          <w:rFonts w:ascii="Times New Roman" w:hAnsi="Times New Roman" w:cs="Times New Roman"/>
          <w:sz w:val="20"/>
          <w:szCs w:val="20"/>
        </w:rPr>
        <w:t>. Participants were required to evaluate eight negative statements (e.g., I felt fearful) and two positive statements (e.g., I felt hopeful) to reflect their mental health status over the past week. Each statement was rated on a 4-point scale: from 1 (less than one day), 2 (one to two days), 3 (three to four days), and 4 (five to seven days)</w:t>
      </w:r>
      <w:r w:rsidRPr="001031F8">
        <w:rPr>
          <w:rFonts w:ascii="Times New Roman" w:hAnsi="Times New Roman" w:cs="Times New Roman"/>
          <w:kern w:val="0"/>
          <w:sz w:val="20"/>
          <w:szCs w:val="20"/>
        </w:rPr>
        <w:t xml:space="preserve"> </w:t>
      </w:r>
      <w:r>
        <w:rPr>
          <w:rFonts w:ascii="Times New Roman" w:hAnsi="Times New Roman" w:cs="Times New Roman"/>
          <w:noProof/>
          <w:kern w:val="0"/>
          <w:sz w:val="20"/>
          <w:szCs w:val="20"/>
        </w:rPr>
        <w:t>(Yang &amp; Hu, 2022)</w:t>
      </w:r>
      <w:r w:rsidRPr="001031F8">
        <w:rPr>
          <w:rFonts w:ascii="Times New Roman" w:hAnsi="Times New Roman" w:cs="Times New Roman"/>
          <w:sz w:val="20"/>
          <w:szCs w:val="20"/>
        </w:rPr>
        <w:t xml:space="preserve">. The two positive statements were </w:t>
      </w:r>
      <w:proofErr w:type="gramStart"/>
      <w:r w:rsidRPr="001031F8">
        <w:rPr>
          <w:rFonts w:ascii="Times New Roman" w:hAnsi="Times New Roman" w:cs="Times New Roman"/>
          <w:sz w:val="20"/>
          <w:szCs w:val="20"/>
        </w:rPr>
        <w:t>reverse-scored</w:t>
      </w:r>
      <w:proofErr w:type="gramEnd"/>
      <w:r w:rsidRPr="001031F8">
        <w:rPr>
          <w:rFonts w:ascii="Times New Roman" w:hAnsi="Times New Roman" w:cs="Times New Roman"/>
          <w:sz w:val="20"/>
          <w:szCs w:val="20"/>
        </w:rPr>
        <w:t>; then, the scores of all 10 statements were aggregated. This resulted in a score capturing depressive symptoms ranging from 10 (no symptoms) to 40 (severe symptoms)</w:t>
      </w:r>
      <w:r w:rsidRPr="001031F8">
        <w:rPr>
          <w:rFonts w:ascii="Times New Roman" w:hAnsi="Times New Roman" w:cs="Times New Roman"/>
          <w:kern w:val="0"/>
          <w:sz w:val="20"/>
          <w:szCs w:val="20"/>
        </w:rPr>
        <w:t xml:space="preserve"> </w:t>
      </w:r>
      <w:r>
        <w:rPr>
          <w:rFonts w:ascii="Times New Roman" w:hAnsi="Times New Roman" w:cs="Times New Roman"/>
          <w:noProof/>
          <w:kern w:val="0"/>
          <w:sz w:val="20"/>
          <w:szCs w:val="20"/>
        </w:rPr>
        <w:t>(Yang &amp; Hu, 2022)</w:t>
      </w:r>
      <w:r w:rsidRPr="001031F8">
        <w:rPr>
          <w:rFonts w:ascii="Times New Roman" w:hAnsi="Times New Roman" w:cs="Times New Roman"/>
          <w:sz w:val="20"/>
          <w:szCs w:val="20"/>
        </w:rPr>
        <w:t>.</w:t>
      </w:r>
    </w:p>
    <w:p w14:paraId="4BC7B805" w14:textId="77777777" w:rsidR="00923F07" w:rsidRPr="001031F8" w:rsidRDefault="00923F07" w:rsidP="001031F8">
      <w:pPr>
        <w:pStyle w:val="NormalWeb"/>
        <w:adjustRightInd w:val="0"/>
        <w:snapToGrid w:val="0"/>
        <w:spacing w:before="0" w:beforeAutospacing="0" w:after="0" w:afterAutospacing="0" w:line="480" w:lineRule="auto"/>
        <w:rPr>
          <w:rFonts w:ascii="Times New Roman" w:hAnsi="Times New Roman" w:cs="Times New Roman"/>
          <w:sz w:val="20"/>
          <w:szCs w:val="20"/>
          <w:lang w:val="en-US"/>
        </w:rPr>
      </w:pPr>
    </w:p>
    <w:p w14:paraId="47EB6C69" w14:textId="77777777" w:rsidR="00923F07" w:rsidRPr="001031F8" w:rsidRDefault="00923F07" w:rsidP="001031F8">
      <w:pPr>
        <w:widowControl/>
        <w:adjustRightInd w:val="0"/>
        <w:snapToGrid w:val="0"/>
        <w:spacing w:line="480" w:lineRule="auto"/>
        <w:jc w:val="left"/>
        <w:rPr>
          <w:rStyle w:val="Heading1Char"/>
          <w:rFonts w:ascii="Times New Roman" w:hAnsi="Times New Roman" w:cs="Times New Roman"/>
          <w:sz w:val="20"/>
          <w:szCs w:val="20"/>
        </w:rPr>
      </w:pPr>
      <w:r w:rsidRPr="001031F8">
        <w:rPr>
          <w:rStyle w:val="Heading1Char"/>
          <w:rFonts w:ascii="Times New Roman" w:hAnsi="Times New Roman" w:cs="Times New Roman"/>
          <w:sz w:val="20"/>
          <w:szCs w:val="20"/>
        </w:rPr>
        <w:br w:type="page"/>
      </w:r>
    </w:p>
    <w:p w14:paraId="2DAAE039" w14:textId="77777777" w:rsidR="00923F07" w:rsidRPr="001031F8" w:rsidRDefault="00923F07" w:rsidP="001031F8">
      <w:pPr>
        <w:pStyle w:val="Heading1"/>
        <w:adjustRightInd w:val="0"/>
        <w:snapToGrid w:val="0"/>
        <w:spacing w:before="0" w:after="0" w:line="480" w:lineRule="auto"/>
        <w:rPr>
          <w:rStyle w:val="Heading1Char"/>
          <w:rFonts w:ascii="Times New Roman" w:hAnsi="Times New Roman" w:cs="Times New Roman"/>
          <w:b/>
          <w:bCs/>
          <w:sz w:val="20"/>
          <w:szCs w:val="20"/>
        </w:rPr>
      </w:pPr>
      <w:bookmarkStart w:id="30" w:name="_Toc195209568"/>
      <w:r w:rsidRPr="001031F8">
        <w:rPr>
          <w:rStyle w:val="Heading1Char"/>
          <w:rFonts w:ascii="Times New Roman" w:hAnsi="Times New Roman" w:cs="Times New Roman"/>
          <w:b/>
          <w:bCs/>
          <w:sz w:val="20"/>
          <w:szCs w:val="20"/>
        </w:rPr>
        <w:lastRenderedPageBreak/>
        <w:t xml:space="preserve">Section </w:t>
      </w:r>
      <w:r w:rsidRPr="001031F8">
        <w:rPr>
          <w:rStyle w:val="Heading1Char"/>
          <w:rFonts w:ascii="Times New Roman" w:hAnsi="Times New Roman" w:cs="Times New Roman" w:hint="eastAsia"/>
          <w:b/>
          <w:bCs/>
          <w:sz w:val="20"/>
          <w:szCs w:val="20"/>
        </w:rPr>
        <w:t>G</w:t>
      </w:r>
      <w:r w:rsidRPr="001031F8">
        <w:rPr>
          <w:rStyle w:val="Heading1Char"/>
          <w:rFonts w:ascii="Times New Roman" w:hAnsi="Times New Roman" w:cs="Times New Roman"/>
          <w:b/>
          <w:bCs/>
          <w:sz w:val="20"/>
          <w:szCs w:val="20"/>
        </w:rPr>
        <w:t>: Identification</w:t>
      </w:r>
      <w:r w:rsidRPr="001031F8">
        <w:rPr>
          <w:rStyle w:val="Heading1Char"/>
          <w:rFonts w:ascii="Times New Roman" w:hAnsi="Times New Roman" w:cs="Times New Roman" w:hint="eastAsia"/>
          <w:b/>
          <w:bCs/>
          <w:sz w:val="20"/>
          <w:szCs w:val="20"/>
        </w:rPr>
        <w:t xml:space="preserve"> strategy</w:t>
      </w:r>
      <w:bookmarkEnd w:id="30"/>
      <w:r w:rsidRPr="001031F8">
        <w:rPr>
          <w:rStyle w:val="Heading1Char"/>
          <w:rFonts w:ascii="Times New Roman" w:hAnsi="Times New Roman" w:cs="Times New Roman" w:hint="eastAsia"/>
          <w:b/>
          <w:bCs/>
          <w:sz w:val="20"/>
          <w:szCs w:val="20"/>
        </w:rPr>
        <w:t xml:space="preserve"> </w:t>
      </w:r>
    </w:p>
    <w:p w14:paraId="0F68A9A6" w14:textId="77777777" w:rsidR="00923F07" w:rsidRPr="001031F8" w:rsidRDefault="00923F07" w:rsidP="001031F8">
      <w:pPr>
        <w:adjustRightInd w:val="0"/>
        <w:snapToGrid w:val="0"/>
        <w:spacing w:line="480" w:lineRule="auto"/>
        <w:jc w:val="left"/>
        <w:rPr>
          <w:rFonts w:ascii="Times New Roman" w:hAnsi="Times New Roman" w:cs="Times New Roman"/>
          <w:iCs/>
          <w:sz w:val="20"/>
          <w:szCs w:val="20"/>
          <w:lang w:eastAsia="ko-KR"/>
        </w:rPr>
      </w:pPr>
    </w:p>
    <w:p w14:paraId="3D410EF6" w14:textId="77777777" w:rsidR="00923F07" w:rsidRPr="001031F8" w:rsidRDefault="00923F07" w:rsidP="001031F8">
      <w:pPr>
        <w:adjustRightInd w:val="0"/>
        <w:snapToGrid w:val="0"/>
        <w:spacing w:line="480" w:lineRule="auto"/>
        <w:jc w:val="left"/>
        <w:rPr>
          <w:rFonts w:ascii="Times New Roman" w:hAnsi="Times New Roman" w:cs="Times New Roman"/>
          <w:iCs/>
          <w:sz w:val="20"/>
          <w:szCs w:val="20"/>
        </w:rPr>
      </w:pPr>
      <w:r w:rsidRPr="001031F8">
        <w:rPr>
          <w:rFonts w:ascii="Times New Roman" w:hAnsi="Times New Roman" w:cs="Times New Roman"/>
          <w:iCs/>
          <w:sz w:val="20"/>
          <w:szCs w:val="20"/>
          <w:lang w:eastAsia="ko-KR"/>
        </w:rPr>
        <w:t>The analyses in our study consist of three steps. First, w</w:t>
      </w:r>
      <w:bookmarkStart w:id="31" w:name="_Hlk176866955"/>
      <w:r w:rsidRPr="001031F8">
        <w:rPr>
          <w:rFonts w:ascii="Times New Roman" w:hAnsi="Times New Roman" w:cs="Times New Roman"/>
          <w:iCs/>
          <w:sz w:val="20"/>
          <w:szCs w:val="20"/>
          <w:lang w:eastAsia="ko-KR"/>
        </w:rPr>
        <w:t>e</w:t>
      </w:r>
      <w:r w:rsidRPr="001031F8">
        <w:rPr>
          <w:rFonts w:ascii="Times New Roman" w:hAnsi="Times New Roman" w:cs="Times New Roman" w:hint="eastAsia"/>
          <w:iCs/>
          <w:sz w:val="20"/>
          <w:szCs w:val="20"/>
        </w:rPr>
        <w:t xml:space="preserve"> </w:t>
      </w:r>
      <w:r w:rsidRPr="001031F8">
        <w:rPr>
          <w:rFonts w:ascii="Times New Roman" w:hAnsi="Times New Roman" w:cs="Times New Roman"/>
          <w:sz w:val="20"/>
          <w:szCs w:val="20"/>
        </w:rPr>
        <w:t>compared health-related expenditures and</w:t>
      </w:r>
      <w:r w:rsidRPr="001031F8">
        <w:rPr>
          <w:rFonts w:ascii="Times New Roman" w:hAnsi="Times New Roman" w:cs="Times New Roman" w:hint="eastAsia"/>
          <w:sz w:val="20"/>
          <w:szCs w:val="20"/>
        </w:rPr>
        <w:t xml:space="preserve"> the likelihood of experiencing</w:t>
      </w:r>
      <w:r w:rsidRPr="001031F8">
        <w:rPr>
          <w:rFonts w:ascii="Times New Roman" w:hAnsi="Times New Roman" w:cs="Times New Roman"/>
          <w:sz w:val="20"/>
          <w:szCs w:val="20"/>
        </w:rPr>
        <w:t xml:space="preserve"> CHLTCE using two measures: one solely considering </w:t>
      </w:r>
      <w:r w:rsidRPr="001031F8">
        <w:rPr>
          <w:rFonts w:ascii="Times New Roman" w:hAnsi="Times New Roman" w:cs="Times New Roman" w:hint="eastAsia"/>
          <w:sz w:val="20"/>
          <w:szCs w:val="20"/>
        </w:rPr>
        <w:t>out-of-</w:t>
      </w:r>
      <w:r w:rsidRPr="001031F8">
        <w:rPr>
          <w:rFonts w:ascii="Times New Roman" w:hAnsi="Times New Roman" w:cs="Times New Roman"/>
          <w:sz w:val="20"/>
          <w:szCs w:val="20"/>
        </w:rPr>
        <w:t>pocket</w:t>
      </w:r>
      <w:r w:rsidRPr="001031F8">
        <w:rPr>
          <w:rFonts w:ascii="Times New Roman" w:hAnsi="Times New Roman" w:cs="Times New Roman" w:hint="eastAsia"/>
          <w:sz w:val="20"/>
          <w:szCs w:val="20"/>
        </w:rPr>
        <w:t xml:space="preserve"> </w:t>
      </w:r>
      <w:r w:rsidRPr="001031F8">
        <w:rPr>
          <w:rFonts w:ascii="Times New Roman" w:hAnsi="Times New Roman" w:cs="Times New Roman"/>
          <w:sz w:val="20"/>
          <w:szCs w:val="20"/>
        </w:rPr>
        <w:t>healthcare expenditures and the other also including formal and informal</w:t>
      </w:r>
      <w:r w:rsidRPr="001031F8">
        <w:rPr>
          <w:rFonts w:ascii="Times New Roman" w:hAnsi="Times New Roman" w:cs="Times New Roman" w:hint="eastAsia"/>
          <w:sz w:val="20"/>
          <w:szCs w:val="20"/>
        </w:rPr>
        <w:t xml:space="preserve"> </w:t>
      </w:r>
      <w:r>
        <w:rPr>
          <w:rFonts w:ascii="Times New Roman" w:hAnsi="Times New Roman" w:cs="Times New Roman" w:hint="eastAsia"/>
          <w:sz w:val="20"/>
          <w:szCs w:val="20"/>
        </w:rPr>
        <w:t>LTC</w:t>
      </w:r>
      <w:r w:rsidRPr="001031F8">
        <w:rPr>
          <w:rFonts w:ascii="Times New Roman" w:hAnsi="Times New Roman" w:cs="Times New Roman" w:hint="eastAsia"/>
          <w:sz w:val="20"/>
          <w:szCs w:val="20"/>
        </w:rPr>
        <w:t xml:space="preserve"> </w:t>
      </w:r>
      <w:r w:rsidRPr="001031F8">
        <w:rPr>
          <w:rFonts w:ascii="Times New Roman" w:hAnsi="Times New Roman" w:cs="Times New Roman"/>
          <w:sz w:val="20"/>
          <w:szCs w:val="20"/>
        </w:rPr>
        <w:t>costs</w:t>
      </w:r>
      <w:r w:rsidRPr="001031F8">
        <w:rPr>
          <w:rFonts w:ascii="Times New Roman" w:hAnsi="Times New Roman" w:cs="Times New Roman"/>
          <w:iCs/>
          <w:sz w:val="20"/>
          <w:szCs w:val="20"/>
          <w:lang w:eastAsia="ko-KR"/>
        </w:rPr>
        <w:t>. Individual longitudinal weights with household and individual response adjustments w</w:t>
      </w:r>
      <w:r w:rsidRPr="001031F8">
        <w:rPr>
          <w:rFonts w:ascii="Times New Roman" w:hAnsi="Times New Roman" w:cs="Times New Roman"/>
          <w:sz w:val="20"/>
          <w:szCs w:val="20"/>
        </w:rPr>
        <w:t xml:space="preserve">ere applied to the summary statistics. </w:t>
      </w:r>
      <w:bookmarkEnd w:id="31"/>
    </w:p>
    <w:p w14:paraId="03E7BC0D"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p>
    <w:p w14:paraId="6C25F98A" w14:textId="77777777" w:rsidR="00923F07" w:rsidRPr="001031F8" w:rsidRDefault="00923F07" w:rsidP="001031F8">
      <w:pPr>
        <w:adjustRightInd w:val="0"/>
        <w:snapToGrid w:val="0"/>
        <w:spacing w:line="480" w:lineRule="auto"/>
        <w:jc w:val="left"/>
        <w:rPr>
          <w:rFonts w:ascii="Times New Roman" w:hAnsi="Times New Roman" w:cs="Times New Roman"/>
          <w:iCs/>
          <w:sz w:val="20"/>
          <w:szCs w:val="20"/>
        </w:rPr>
      </w:pPr>
      <w:r w:rsidRPr="001031F8">
        <w:rPr>
          <w:rFonts w:ascii="Times New Roman" w:hAnsi="Times New Roman" w:cs="Times New Roman"/>
          <w:sz w:val="20"/>
          <w:szCs w:val="20"/>
        </w:rPr>
        <w:t>Second, to answer the first research questio</w:t>
      </w:r>
      <w:r w:rsidRPr="001031F8">
        <w:rPr>
          <w:rFonts w:ascii="Times New Roman" w:hAnsi="Times New Roman" w:cs="Times New Roman"/>
          <w:iCs/>
          <w:sz w:val="20"/>
          <w:szCs w:val="20"/>
        </w:rPr>
        <w:t xml:space="preserve">n (RQ1), we conducted staggered difference-in-differences (DID) analyses with individual </w:t>
      </w:r>
      <w:hyperlink r:id="rId8" w:tooltip="Learn more about fixed effects from ScienceDirect's AI-generated Topic Pages" w:history="1">
        <w:r w:rsidRPr="001031F8">
          <w:rPr>
            <w:rFonts w:ascii="Times New Roman" w:hAnsi="Times New Roman" w:cs="Times New Roman"/>
            <w:iCs/>
            <w:sz w:val="20"/>
            <w:szCs w:val="20"/>
          </w:rPr>
          <w:t>fixed effects</w:t>
        </w:r>
      </w:hyperlink>
      <w:r w:rsidRPr="001031F8">
        <w:rPr>
          <w:rFonts w:ascii="Times New Roman" w:hAnsi="Times New Roman" w:cs="Times New Roman"/>
          <w:iCs/>
          <w:sz w:val="20"/>
          <w:szCs w:val="20"/>
        </w:rPr>
        <w:t xml:space="preserve"> to analyze the impact of LTCI on CHLTCE. The settings were DID with staggered adoption because the timing of policy implementation varied across the pilots</w:t>
      </w:r>
      <w:r w:rsidRPr="001031F8">
        <w:rPr>
          <w:rFonts w:ascii="Times New Roman" w:hAnsi="Times New Roman" w:cs="Times New Roman"/>
          <w:bCs/>
          <w:iCs/>
          <w:sz w:val="20"/>
          <w:szCs w:val="20"/>
        </w:rPr>
        <w:t xml:space="preserve"> </w:t>
      </w:r>
      <w:r w:rsidRPr="001031F8">
        <w:rPr>
          <w:rFonts w:ascii="Times New Roman" w:hAnsi="Times New Roman" w:cs="Times New Roman"/>
          <w:noProof/>
          <w:sz w:val="20"/>
          <w:szCs w:val="20"/>
        </w:rPr>
        <w:t>(Pei et al., 2024)</w:t>
      </w:r>
      <w:r w:rsidRPr="001031F8">
        <w:rPr>
          <w:rFonts w:ascii="Times New Roman" w:hAnsi="Times New Roman" w:cs="Times New Roman"/>
          <w:iCs/>
          <w:sz w:val="20"/>
          <w:szCs w:val="20"/>
        </w:rPr>
        <w:t xml:space="preserve">. As noted in the independent variable section, enrollers of the LTCI in pilot cities are included in the treatment group and the control group consists of the observations in non-pilot cities. We adopted the staggered DID developed by </w:t>
      </w:r>
      <w:r w:rsidRPr="001031F8">
        <w:rPr>
          <w:rFonts w:ascii="Times New Roman" w:hAnsi="Times New Roman" w:cs="Times New Roman"/>
          <w:iCs/>
          <w:noProof/>
          <w:sz w:val="20"/>
          <w:szCs w:val="20"/>
        </w:rPr>
        <w:t>Sun and Abraham (2021)</w:t>
      </w:r>
      <w:r w:rsidRPr="001031F8">
        <w:rPr>
          <w:rFonts w:ascii="Times New Roman" w:hAnsi="Times New Roman" w:cs="Times New Roman"/>
          <w:iCs/>
          <w:sz w:val="20"/>
          <w:szCs w:val="20"/>
        </w:rPr>
        <w:t xml:space="preserve"> as follows:</w:t>
      </w:r>
    </w:p>
    <w:p w14:paraId="07E31387" w14:textId="77777777" w:rsidR="00923F07" w:rsidRPr="001031F8" w:rsidRDefault="00923F07" w:rsidP="001031F8">
      <w:pPr>
        <w:adjustRightInd w:val="0"/>
        <w:snapToGrid w:val="0"/>
        <w:spacing w:line="480" w:lineRule="auto"/>
        <w:rPr>
          <w:rStyle w:val="mjxassistivemathml"/>
          <w:rFonts w:ascii="Times New Roman" w:hAnsi="Times New Roman" w:cs="Times New Roman"/>
          <w:color w:val="1F1F1F"/>
          <w:sz w:val="20"/>
          <w:szCs w:val="20"/>
          <w:bdr w:val="none" w:sz="0" w:space="0" w:color="auto" w:frame="1"/>
        </w:rPr>
      </w:pPr>
    </w:p>
    <w:p w14:paraId="2D70E734" w14:textId="77777777" w:rsidR="00923F07" w:rsidRPr="001031F8" w:rsidRDefault="00923F07" w:rsidP="001031F8">
      <w:pPr>
        <w:adjustRightInd w:val="0"/>
        <w:snapToGrid w:val="0"/>
        <w:spacing w:line="480" w:lineRule="auto"/>
        <w:jc w:val="left"/>
        <w:rPr>
          <w:rStyle w:val="label"/>
          <w:rFonts w:ascii="Times New Roman" w:hAnsi="Times New Roman" w:cs="Times New Roman"/>
          <w:color w:val="1F1F1F"/>
          <w:sz w:val="20"/>
          <w:szCs w:val="20"/>
        </w:rPr>
      </w:pPr>
      <w:proofErr w:type="spellStart"/>
      <w:r w:rsidRPr="001031F8">
        <w:rPr>
          <w:rStyle w:val="mjxassistivemathml"/>
          <w:rFonts w:ascii="Times New Roman" w:hAnsi="Times New Roman" w:cs="Times New Roman"/>
          <w:color w:val="1F1F1F"/>
          <w:sz w:val="20"/>
          <w:szCs w:val="20"/>
          <w:bdr w:val="none" w:sz="0" w:space="0" w:color="auto" w:frame="1"/>
        </w:rPr>
        <w:t>y</w:t>
      </w:r>
      <w:r w:rsidRPr="001031F8">
        <w:rPr>
          <w:rStyle w:val="mjxassistivemathml"/>
          <w:rFonts w:ascii="Times New Roman" w:hAnsi="Times New Roman" w:cs="Times New Roman"/>
          <w:color w:val="1F1F1F"/>
          <w:sz w:val="20"/>
          <w:szCs w:val="20"/>
          <w:bdr w:val="none" w:sz="0" w:space="0" w:color="auto" w:frame="1"/>
          <w:vertAlign w:val="subscript"/>
        </w:rPr>
        <w:t>ct</w:t>
      </w:r>
      <w:proofErr w:type="spellEnd"/>
      <w:r w:rsidRPr="001031F8">
        <w:rPr>
          <w:rStyle w:val="mjxassistivemathml"/>
          <w:rFonts w:ascii="Times New Roman" w:hAnsi="Times New Roman" w:cs="Times New Roman"/>
          <w:color w:val="1F1F1F"/>
          <w:sz w:val="20"/>
          <w:szCs w:val="20"/>
          <w:bdr w:val="none" w:sz="0" w:space="0" w:color="auto" w:frame="1"/>
        </w:rPr>
        <w:t xml:space="preserve"> = </w:t>
      </w:r>
      <w:r w:rsidRPr="001031F8">
        <w:rPr>
          <w:rFonts w:ascii="Times New Roman" w:hAnsi="Times New Roman" w:cs="Times New Roman"/>
          <w:color w:val="333333"/>
          <w:sz w:val="20"/>
          <w:szCs w:val="20"/>
        </w:rPr>
        <w:t>α</w:t>
      </w:r>
      <w:proofErr w:type="spellStart"/>
      <w:r w:rsidRPr="001031F8">
        <w:rPr>
          <w:rStyle w:val="mjxassistivemathml"/>
          <w:rFonts w:ascii="Times New Roman" w:hAnsi="Times New Roman" w:cs="Times New Roman"/>
          <w:color w:val="1F1F1F"/>
          <w:sz w:val="20"/>
          <w:szCs w:val="20"/>
          <w:bdr w:val="none" w:sz="0" w:space="0" w:color="auto" w:frame="1"/>
          <w:vertAlign w:val="subscript"/>
        </w:rPr>
        <w:t>i</w:t>
      </w:r>
      <w:proofErr w:type="spellEnd"/>
      <w:r w:rsidRPr="001031F8">
        <w:rPr>
          <w:rStyle w:val="mjxassistivemathml"/>
          <w:rFonts w:ascii="Times New Roman" w:hAnsi="Times New Roman" w:cs="Times New Roman"/>
          <w:color w:val="1F1F1F"/>
          <w:sz w:val="20"/>
          <w:szCs w:val="20"/>
          <w:bdr w:val="none" w:sz="0" w:space="0" w:color="auto" w:frame="1"/>
          <w:vertAlign w:val="subscript"/>
        </w:rPr>
        <w:t xml:space="preserve"> </w:t>
      </w:r>
      <w:r w:rsidRPr="001031F8">
        <w:rPr>
          <w:rStyle w:val="mjxassistivemathml"/>
          <w:rFonts w:ascii="Times New Roman" w:hAnsi="Times New Roman" w:cs="Times New Roman"/>
          <w:color w:val="1F1F1F"/>
          <w:sz w:val="20"/>
          <w:szCs w:val="20"/>
          <w:bdr w:val="none" w:sz="0" w:space="0" w:color="auto" w:frame="1"/>
        </w:rPr>
        <w:t xml:space="preserve">+ </w:t>
      </w:r>
      <w:proofErr w:type="spellStart"/>
      <w:r w:rsidRPr="001031F8">
        <w:rPr>
          <w:rStyle w:val="mjxassistivemathml"/>
          <w:rFonts w:ascii="Times New Roman" w:hAnsi="Times New Roman" w:cs="Times New Roman"/>
          <w:color w:val="1F1F1F"/>
          <w:sz w:val="20"/>
          <w:szCs w:val="20"/>
          <w:bdr w:val="none" w:sz="0" w:space="0" w:color="auto" w:frame="1"/>
        </w:rPr>
        <w:t>λ</w:t>
      </w:r>
      <w:r w:rsidRPr="001031F8">
        <w:rPr>
          <w:rStyle w:val="mjxassistivemathml"/>
          <w:rFonts w:ascii="Times New Roman" w:hAnsi="Times New Roman" w:cs="Times New Roman"/>
          <w:color w:val="1F1F1F"/>
          <w:sz w:val="20"/>
          <w:szCs w:val="20"/>
          <w:bdr w:val="none" w:sz="0" w:space="0" w:color="auto" w:frame="1"/>
          <w:vertAlign w:val="subscript"/>
        </w:rPr>
        <w:t>t</w:t>
      </w:r>
      <w:proofErr w:type="spellEnd"/>
      <w:r w:rsidRPr="001031F8">
        <w:rPr>
          <w:rStyle w:val="mjxassistivemathml"/>
          <w:rFonts w:ascii="Times New Roman" w:hAnsi="Times New Roman" w:cs="Times New Roman"/>
          <w:color w:val="1F1F1F"/>
          <w:sz w:val="20"/>
          <w:szCs w:val="20"/>
          <w:bdr w:val="none" w:sz="0" w:space="0" w:color="auto" w:frame="1"/>
          <w:vertAlign w:val="subscript"/>
        </w:rPr>
        <w:t xml:space="preserve"> </w:t>
      </w:r>
      <w:r w:rsidRPr="001031F8">
        <w:rPr>
          <w:rStyle w:val="mjxassistivemathml"/>
          <w:rFonts w:ascii="Times New Roman" w:hAnsi="Times New Roman" w:cs="Times New Roman"/>
          <w:color w:val="1F1F1F"/>
          <w:sz w:val="20"/>
          <w:szCs w:val="20"/>
          <w:bdr w:val="none" w:sz="0" w:space="0" w:color="auto" w:frame="1"/>
        </w:rPr>
        <w:t>+</w:t>
      </w:r>
      <w:r w:rsidRPr="001031F8">
        <w:rPr>
          <w:rFonts w:ascii="Times New Roman" w:hAnsi="Times New Roman" w:cs="Times New Roman"/>
          <w:color w:val="333333"/>
          <w:sz w:val="20"/>
          <w:szCs w:val="20"/>
        </w:rPr>
        <w:t>∑</w:t>
      </w:r>
      <w:proofErr w:type="spellStart"/>
      <w:r w:rsidRPr="001031F8">
        <w:rPr>
          <w:rFonts w:ascii="Times New Roman" w:hAnsi="Times New Roman" w:cs="Times New Roman"/>
          <w:color w:val="333333"/>
          <w:sz w:val="20"/>
          <w:szCs w:val="20"/>
          <w:vertAlign w:val="subscript"/>
        </w:rPr>
        <w:t>g</w:t>
      </w:r>
      <w:r w:rsidRPr="001031F8">
        <w:rPr>
          <w:rFonts w:ascii="Cambria Math" w:eastAsia="MS Mincho" w:hAnsi="Cambria Math" w:cs="Cambria Math"/>
          <w:color w:val="333333"/>
          <w:sz w:val="20"/>
          <w:szCs w:val="20"/>
          <w:vertAlign w:val="subscript"/>
        </w:rPr>
        <w:t>∉</w:t>
      </w:r>
      <w:r w:rsidRPr="001031F8">
        <w:rPr>
          <w:rFonts w:ascii="Times New Roman" w:hAnsi="Times New Roman" w:cs="Times New Roman"/>
          <w:color w:val="333333"/>
          <w:sz w:val="20"/>
          <w:szCs w:val="20"/>
          <w:vertAlign w:val="subscript"/>
        </w:rPr>
        <w:t>C</w:t>
      </w:r>
      <w:proofErr w:type="spellEnd"/>
      <w:r w:rsidRPr="001031F8">
        <w:rPr>
          <w:rFonts w:ascii="Times New Roman" w:hAnsi="Times New Roman" w:cs="Times New Roman"/>
          <w:color w:val="333333"/>
          <w:sz w:val="20"/>
          <w:szCs w:val="20"/>
          <w:vertAlign w:val="subscript"/>
        </w:rPr>
        <w:t xml:space="preserve"> </w:t>
      </w:r>
      <w:r w:rsidRPr="001031F8">
        <w:rPr>
          <w:rFonts w:ascii="Times New Roman" w:hAnsi="Times New Roman" w:cs="Times New Roman"/>
          <w:color w:val="333333"/>
          <w:sz w:val="20"/>
          <w:szCs w:val="20"/>
        </w:rPr>
        <w:t>∑</w:t>
      </w:r>
      <w:r w:rsidRPr="001031F8">
        <w:rPr>
          <w:rFonts w:ascii="Times New Roman" w:hAnsi="Times New Roman" w:cs="Times New Roman"/>
          <w:color w:val="333333"/>
          <w:sz w:val="20"/>
          <w:szCs w:val="20"/>
          <w:vertAlign w:val="subscript"/>
        </w:rPr>
        <w:t xml:space="preserve">d≠-1 </w:t>
      </w:r>
      <w:r w:rsidRPr="001031F8">
        <w:rPr>
          <w:rStyle w:val="mjxassistivemathml"/>
          <w:rFonts w:ascii="Times New Roman" w:hAnsi="Times New Roman" w:cs="Times New Roman"/>
          <w:color w:val="1F1F1F"/>
          <w:sz w:val="20"/>
          <w:szCs w:val="20"/>
          <w:bdr w:val="none" w:sz="0" w:space="0" w:color="auto" w:frame="1"/>
        </w:rPr>
        <w:t>β</w:t>
      </w:r>
      <w:proofErr w:type="spellStart"/>
      <w:proofErr w:type="gramStart"/>
      <w:r w:rsidRPr="001031F8">
        <w:rPr>
          <w:rFonts w:ascii="Times New Roman" w:hAnsi="Times New Roman" w:cs="Times New Roman"/>
          <w:color w:val="333333"/>
          <w:sz w:val="20"/>
          <w:szCs w:val="20"/>
          <w:shd w:val="clear" w:color="auto" w:fill="FFFFFF"/>
          <w:vertAlign w:val="subscript"/>
        </w:rPr>
        <w:t>g,d</w:t>
      </w:r>
      <w:proofErr w:type="spellEnd"/>
      <w:proofErr w:type="gramEnd"/>
      <w:r w:rsidRPr="001031F8">
        <w:rPr>
          <w:rFonts w:ascii="Times New Roman" w:hAnsi="Times New Roman" w:cs="Times New Roman"/>
          <w:color w:val="333333"/>
          <w:sz w:val="20"/>
          <w:szCs w:val="20"/>
          <w:shd w:val="clear" w:color="auto" w:fill="FFFFFF"/>
        </w:rPr>
        <w:t>(1{E</w:t>
      </w:r>
      <w:r w:rsidRPr="001031F8">
        <w:rPr>
          <w:rFonts w:ascii="Times New Roman" w:hAnsi="Times New Roman" w:cs="Times New Roman"/>
          <w:color w:val="333333"/>
          <w:sz w:val="20"/>
          <w:szCs w:val="20"/>
          <w:shd w:val="clear" w:color="auto" w:fill="FFFFFF"/>
          <w:vertAlign w:val="subscript"/>
        </w:rPr>
        <w:t>i</w:t>
      </w:r>
      <w:r w:rsidRPr="001031F8">
        <w:rPr>
          <w:rFonts w:ascii="Times New Roman" w:hAnsi="Times New Roman" w:cs="Times New Roman"/>
          <w:color w:val="333333"/>
          <w:sz w:val="20"/>
          <w:szCs w:val="20"/>
          <w:shd w:val="clear" w:color="auto" w:fill="FFFFFF"/>
        </w:rPr>
        <w:t>=</w:t>
      </w:r>
      <w:proofErr w:type="gramStart"/>
      <w:r w:rsidRPr="001031F8">
        <w:rPr>
          <w:rFonts w:ascii="Times New Roman" w:hAnsi="Times New Roman" w:cs="Times New Roman"/>
          <w:color w:val="333333"/>
          <w:sz w:val="20"/>
          <w:szCs w:val="20"/>
          <w:shd w:val="clear" w:color="auto" w:fill="FFFFFF"/>
        </w:rPr>
        <w:t>g}*</w:t>
      </w:r>
      <w:proofErr w:type="gramEnd"/>
      <m:oMath>
        <m:sSubSup>
          <m:sSubSupPr>
            <m:ctrlPr>
              <w:rPr>
                <w:rFonts w:ascii="Cambria Math" w:hAnsi="Cambria Math" w:cs="Times New Roman"/>
                <w:i/>
                <w:color w:val="333333"/>
                <w:sz w:val="20"/>
                <w:szCs w:val="20"/>
                <w:shd w:val="clear" w:color="auto" w:fill="FFFFFF"/>
              </w:rPr>
            </m:ctrlPr>
          </m:sSubSupPr>
          <m:e>
            <m:r>
              <w:rPr>
                <w:rFonts w:ascii="Cambria Math" w:hAnsi="Cambria Math" w:cs="Times New Roman"/>
                <w:color w:val="333333"/>
                <w:sz w:val="20"/>
                <w:szCs w:val="20"/>
                <w:shd w:val="clear" w:color="auto" w:fill="FFFFFF"/>
              </w:rPr>
              <m:t>D</m:t>
            </m:r>
          </m:e>
          <m:sub>
            <m:r>
              <w:rPr>
                <w:rFonts w:ascii="Cambria Math" w:hAnsi="Cambria Math" w:cs="Times New Roman"/>
                <w:color w:val="333333"/>
                <w:sz w:val="20"/>
                <w:szCs w:val="20"/>
                <w:shd w:val="clear" w:color="auto" w:fill="FFFFFF"/>
              </w:rPr>
              <m:t>it</m:t>
            </m:r>
          </m:sub>
          <m:sup>
            <m:r>
              <w:rPr>
                <w:rFonts w:ascii="Cambria Math" w:hAnsi="Cambria Math" w:cs="Times New Roman"/>
                <w:color w:val="333333"/>
                <w:sz w:val="20"/>
                <w:szCs w:val="20"/>
                <w:shd w:val="clear" w:color="auto" w:fill="FFFFFF"/>
              </w:rPr>
              <m:t>d</m:t>
            </m:r>
          </m:sup>
        </m:sSubSup>
      </m:oMath>
      <w:r w:rsidRPr="001031F8">
        <w:rPr>
          <w:rFonts w:ascii="Times New Roman" w:hAnsi="Times New Roman" w:cs="Times New Roman"/>
          <w:color w:val="333333"/>
          <w:sz w:val="20"/>
          <w:szCs w:val="20"/>
          <w:shd w:val="clear" w:color="auto" w:fill="FFFFFF"/>
        </w:rPr>
        <w:t>) + ε</w:t>
      </w:r>
      <w:r w:rsidRPr="001031F8">
        <w:rPr>
          <w:rFonts w:ascii="Times New Roman" w:hAnsi="Times New Roman" w:cs="Times New Roman"/>
          <w:color w:val="333333"/>
          <w:sz w:val="20"/>
          <w:szCs w:val="20"/>
          <w:shd w:val="clear" w:color="auto" w:fill="FFFFFF"/>
          <w:vertAlign w:val="subscript"/>
        </w:rPr>
        <w:t>it</w:t>
      </w:r>
    </w:p>
    <w:p w14:paraId="5F628277" w14:textId="77777777" w:rsidR="00923F07" w:rsidRPr="001031F8" w:rsidRDefault="00923F07" w:rsidP="001031F8">
      <w:pPr>
        <w:adjustRightInd w:val="0"/>
        <w:snapToGrid w:val="0"/>
        <w:spacing w:line="480" w:lineRule="auto"/>
        <w:jc w:val="left"/>
        <w:rPr>
          <w:rStyle w:val="label"/>
          <w:rFonts w:ascii="Times New Roman" w:hAnsi="Times New Roman" w:cs="Times New Roman"/>
          <w:b/>
          <w:bCs/>
          <w:color w:val="1F1F1F"/>
          <w:sz w:val="20"/>
          <w:szCs w:val="20"/>
        </w:rPr>
      </w:pPr>
    </w:p>
    <w:p w14:paraId="6134017F" w14:textId="77777777" w:rsidR="00923F07" w:rsidRPr="001031F8" w:rsidRDefault="00923F07" w:rsidP="001031F8">
      <w:pPr>
        <w:adjustRightInd w:val="0"/>
        <w:snapToGrid w:val="0"/>
        <w:spacing w:line="480" w:lineRule="auto"/>
        <w:jc w:val="left"/>
        <w:rPr>
          <w:rFonts w:ascii="Times New Roman" w:hAnsi="Times New Roman" w:cs="Times New Roman"/>
          <w:color w:val="1F1F1F"/>
          <w:sz w:val="20"/>
          <w:szCs w:val="20"/>
          <w:bdr w:val="none" w:sz="0" w:space="0" w:color="auto" w:frame="1"/>
        </w:rPr>
      </w:pPr>
      <w:bookmarkStart w:id="32" w:name="_Hlk176950066"/>
      <w:r w:rsidRPr="001031F8">
        <w:rPr>
          <w:rFonts w:ascii="Times New Roman" w:hAnsi="Times New Roman" w:cs="Times New Roman"/>
          <w:color w:val="1F1F1F"/>
          <w:sz w:val="20"/>
          <w:szCs w:val="20"/>
        </w:rPr>
        <w:t xml:space="preserve">where </w:t>
      </w:r>
      <w:proofErr w:type="spellStart"/>
      <w:r w:rsidRPr="001031F8">
        <w:rPr>
          <w:rStyle w:val="mjxassistivemathml"/>
          <w:rFonts w:ascii="Times New Roman" w:hAnsi="Times New Roman" w:cs="Times New Roman"/>
          <w:color w:val="1F1F1F"/>
          <w:sz w:val="20"/>
          <w:szCs w:val="20"/>
          <w:bdr w:val="none" w:sz="0" w:space="0" w:color="auto" w:frame="1"/>
        </w:rPr>
        <w:t>y</w:t>
      </w:r>
      <w:r w:rsidRPr="001031F8">
        <w:rPr>
          <w:rStyle w:val="mjxassistivemathml"/>
          <w:rFonts w:ascii="Times New Roman" w:hAnsi="Times New Roman" w:cs="Times New Roman"/>
          <w:color w:val="1F1F1F"/>
          <w:sz w:val="20"/>
          <w:szCs w:val="20"/>
          <w:bdr w:val="none" w:sz="0" w:space="0" w:color="auto" w:frame="1"/>
          <w:vertAlign w:val="subscript"/>
        </w:rPr>
        <w:t>ct</w:t>
      </w:r>
      <w:proofErr w:type="spellEnd"/>
      <w:r w:rsidRPr="001031F8">
        <w:rPr>
          <w:rFonts w:ascii="Times New Roman" w:hAnsi="Times New Roman" w:cs="Times New Roman"/>
          <w:color w:val="1F1F1F"/>
          <w:sz w:val="20"/>
          <w:szCs w:val="20"/>
        </w:rPr>
        <w:t xml:space="preserve"> denotes the outcome variable</w:t>
      </w:r>
      <w:r w:rsidRPr="001031F8">
        <w:rPr>
          <w:rFonts w:ascii="Times New Roman" w:hAnsi="Times New Roman" w:cs="Times New Roman" w:hint="eastAsia"/>
          <w:color w:val="1F1F1F"/>
          <w:sz w:val="20"/>
          <w:szCs w:val="20"/>
        </w:rPr>
        <w:t xml:space="preserve">: the likelihood of experiencing </w:t>
      </w:r>
      <w:r w:rsidRPr="001031F8">
        <w:rPr>
          <w:rFonts w:ascii="Times New Roman" w:hAnsi="Times New Roman" w:cs="Times New Roman"/>
          <w:color w:val="1F1F1F"/>
          <w:sz w:val="20"/>
          <w:szCs w:val="20"/>
        </w:rPr>
        <w:t xml:space="preserve">CHLTCE, </w:t>
      </w:r>
      <w:r w:rsidRPr="001031F8">
        <w:rPr>
          <w:rStyle w:val="mjxassistivemathml"/>
          <w:rFonts w:ascii="Times New Roman" w:hAnsi="Times New Roman" w:cs="Times New Roman"/>
          <w:color w:val="1F1F1F"/>
          <w:sz w:val="20"/>
          <w:szCs w:val="20"/>
          <w:bdr w:val="none" w:sz="0" w:space="0" w:color="auto" w:frame="1"/>
        </w:rPr>
        <w:t xml:space="preserve">for individual </w:t>
      </w:r>
      <w:proofErr w:type="spellStart"/>
      <w:r w:rsidRPr="001031F8">
        <w:rPr>
          <w:rStyle w:val="mjxassistivemathml"/>
          <w:rFonts w:ascii="Times New Roman" w:hAnsi="Times New Roman" w:cs="Times New Roman"/>
          <w:color w:val="1F1F1F"/>
          <w:sz w:val="20"/>
          <w:szCs w:val="20"/>
          <w:bdr w:val="none" w:sz="0" w:space="0" w:color="auto" w:frame="1"/>
          <w:vertAlign w:val="subscript"/>
        </w:rPr>
        <w:t>i</w:t>
      </w:r>
      <w:proofErr w:type="spellEnd"/>
      <w:r w:rsidRPr="001031F8">
        <w:rPr>
          <w:rStyle w:val="mjxassistivemathml"/>
          <w:rFonts w:ascii="Times New Roman" w:hAnsi="Times New Roman" w:cs="Times New Roman"/>
          <w:color w:val="1F1F1F"/>
          <w:sz w:val="20"/>
          <w:szCs w:val="20"/>
          <w:bdr w:val="none" w:sz="0" w:space="0" w:color="auto" w:frame="1"/>
        </w:rPr>
        <w:t xml:space="preserve"> at time </w:t>
      </w:r>
      <w:r w:rsidRPr="001031F8">
        <w:rPr>
          <w:rStyle w:val="mjxassistivemathml"/>
          <w:rFonts w:ascii="Times New Roman" w:hAnsi="Times New Roman" w:cs="Times New Roman"/>
          <w:color w:val="1F1F1F"/>
          <w:sz w:val="20"/>
          <w:szCs w:val="20"/>
          <w:bdr w:val="none" w:sz="0" w:space="0" w:color="auto" w:frame="1"/>
          <w:vertAlign w:val="subscript"/>
        </w:rPr>
        <w:t>t</w:t>
      </w:r>
      <w:r w:rsidRPr="001031F8">
        <w:rPr>
          <w:rStyle w:val="mjxassistivemathml"/>
          <w:rFonts w:ascii="Times New Roman" w:hAnsi="Times New Roman" w:cs="Times New Roman"/>
          <w:color w:val="1F1F1F"/>
          <w:sz w:val="20"/>
          <w:szCs w:val="20"/>
          <w:bdr w:val="none" w:sz="0" w:space="0" w:color="auto" w:frame="1"/>
        </w:rPr>
        <w:t>. E</w:t>
      </w:r>
      <w:r w:rsidRPr="001031F8">
        <w:rPr>
          <w:rStyle w:val="mjxassistivemathml"/>
          <w:rFonts w:ascii="Times New Roman" w:hAnsi="Times New Roman" w:cs="Times New Roman"/>
          <w:color w:val="1F1F1F"/>
          <w:sz w:val="20"/>
          <w:szCs w:val="20"/>
          <w:bdr w:val="none" w:sz="0" w:space="0" w:color="auto" w:frame="1"/>
          <w:vertAlign w:val="subscript"/>
        </w:rPr>
        <w:t>i</w:t>
      </w:r>
      <w:r w:rsidRPr="001031F8">
        <w:rPr>
          <w:rStyle w:val="mjxassistivemathml"/>
          <w:rFonts w:ascii="Times New Roman" w:hAnsi="Times New Roman" w:cs="Times New Roman"/>
          <w:color w:val="1F1F1F"/>
          <w:sz w:val="20"/>
          <w:szCs w:val="20"/>
          <w:bdr w:val="none" w:sz="0" w:space="0" w:color="auto" w:frame="1"/>
        </w:rPr>
        <w:t xml:space="preserve"> is the time when individual </w:t>
      </w:r>
      <w:proofErr w:type="spellStart"/>
      <w:r w:rsidRPr="001031F8">
        <w:rPr>
          <w:rStyle w:val="mjxassistivemathml"/>
          <w:rFonts w:ascii="Times New Roman" w:hAnsi="Times New Roman" w:cs="Times New Roman"/>
          <w:color w:val="1F1F1F"/>
          <w:sz w:val="20"/>
          <w:szCs w:val="20"/>
          <w:bdr w:val="none" w:sz="0" w:space="0" w:color="auto" w:frame="1"/>
          <w:vertAlign w:val="subscript"/>
        </w:rPr>
        <w:t>i</w:t>
      </w:r>
      <w:proofErr w:type="spellEnd"/>
      <w:r w:rsidRPr="001031F8">
        <w:rPr>
          <w:rStyle w:val="mjxassistivemathml"/>
          <w:rFonts w:ascii="Times New Roman" w:hAnsi="Times New Roman" w:cs="Times New Roman"/>
          <w:color w:val="1F1F1F"/>
          <w:sz w:val="20"/>
          <w:szCs w:val="20"/>
          <w:bdr w:val="none" w:sz="0" w:space="0" w:color="auto" w:frame="1"/>
        </w:rPr>
        <w:t xml:space="preserve"> is initially covered by the LTCI, which is equal to “∞” for never-treated individuals. Whether an individual is covered by the LTCI or not can be determined by their eligibility rule (refer to Independent variable section for detailed information). g </w:t>
      </w:r>
      <w:proofErr w:type="gramStart"/>
      <w:r w:rsidRPr="001031F8">
        <w:rPr>
          <w:rStyle w:val="mjxassistivemathml"/>
          <w:rFonts w:ascii="Cambria Math" w:eastAsia="宋体" w:hAnsi="Cambria Math" w:cs="Cambria Math"/>
          <w:color w:val="1F1F1F"/>
          <w:sz w:val="20"/>
          <w:szCs w:val="20"/>
          <w:bdr w:val="none" w:sz="0" w:space="0" w:color="auto" w:frame="1"/>
        </w:rPr>
        <w:t>∈</w:t>
      </w:r>
      <w:r w:rsidRPr="001031F8">
        <w:rPr>
          <w:rStyle w:val="mjxassistivemathml"/>
          <w:rFonts w:ascii="Times New Roman" w:hAnsi="Times New Roman" w:cs="Times New Roman"/>
          <w:color w:val="1F1F1F"/>
          <w:sz w:val="20"/>
          <w:szCs w:val="20"/>
          <w:bdr w:val="none" w:sz="0" w:space="0" w:color="auto" w:frame="1"/>
        </w:rPr>
        <w:t>{</w:t>
      </w:r>
      <w:proofErr w:type="gramEnd"/>
      <w:r w:rsidRPr="001031F8">
        <w:rPr>
          <w:rStyle w:val="mjxassistivemathml"/>
          <w:rFonts w:ascii="Times New Roman" w:hAnsi="Times New Roman" w:cs="Times New Roman"/>
          <w:color w:val="1F1F1F"/>
          <w:sz w:val="20"/>
          <w:szCs w:val="20"/>
          <w:bdr w:val="none" w:sz="0" w:space="0" w:color="auto" w:frame="1"/>
        </w:rPr>
        <w:t xml:space="preserve">2012, 2015, 2017, ∞}, indicating disjoint cohorts. We set C = {∞} because there is a never-treated </w:t>
      </w:r>
      <w:proofErr w:type="gramStart"/>
      <w:r w:rsidRPr="001031F8">
        <w:rPr>
          <w:rStyle w:val="mjxassistivemathml"/>
          <w:rFonts w:ascii="Times New Roman" w:hAnsi="Times New Roman" w:cs="Times New Roman"/>
          <w:color w:val="1F1F1F"/>
          <w:sz w:val="20"/>
          <w:szCs w:val="20"/>
          <w:bdr w:val="none" w:sz="0" w:space="0" w:color="auto" w:frame="1"/>
        </w:rPr>
        <w:t>cohort</w:t>
      </w:r>
      <w:proofErr w:type="gramEnd"/>
      <w:r w:rsidRPr="001031F8">
        <w:rPr>
          <w:rStyle w:val="mjxassistivemathml"/>
          <w:rFonts w:ascii="Times New Roman" w:hAnsi="Times New Roman" w:cs="Times New Roman"/>
          <w:color w:val="1F1F1F"/>
          <w:sz w:val="20"/>
          <w:szCs w:val="20"/>
          <w:bdr w:val="none" w:sz="0" w:space="0" w:color="auto" w:frame="1"/>
        </w:rPr>
        <w:t>. d denotes the relative time between E</w:t>
      </w:r>
      <w:r w:rsidRPr="001031F8">
        <w:rPr>
          <w:rStyle w:val="mjxassistivemathml"/>
          <w:rFonts w:ascii="Times New Roman" w:hAnsi="Times New Roman" w:cs="Times New Roman"/>
          <w:color w:val="1F1F1F"/>
          <w:sz w:val="20"/>
          <w:szCs w:val="20"/>
          <w:bdr w:val="none" w:sz="0" w:space="0" w:color="auto" w:frame="1"/>
          <w:vertAlign w:val="subscript"/>
        </w:rPr>
        <w:t>i</w:t>
      </w:r>
      <w:r w:rsidRPr="001031F8">
        <w:rPr>
          <w:rStyle w:val="mjxassistivemathml"/>
          <w:rFonts w:ascii="Times New Roman" w:hAnsi="Times New Roman" w:cs="Times New Roman"/>
          <w:color w:val="1F1F1F"/>
          <w:sz w:val="20"/>
          <w:szCs w:val="20"/>
          <w:bdr w:val="none" w:sz="0" w:space="0" w:color="auto" w:frame="1"/>
        </w:rPr>
        <w:t xml:space="preserve"> and </w:t>
      </w:r>
      <w:r w:rsidRPr="001031F8">
        <w:rPr>
          <w:rStyle w:val="mjxassistivemathml"/>
          <w:rFonts w:ascii="Times New Roman" w:hAnsi="Times New Roman" w:cs="Times New Roman"/>
          <w:color w:val="1F1F1F"/>
          <w:sz w:val="20"/>
          <w:szCs w:val="20"/>
          <w:bdr w:val="none" w:sz="0" w:space="0" w:color="auto" w:frame="1"/>
          <w:vertAlign w:val="subscript"/>
        </w:rPr>
        <w:t>t</w:t>
      </w:r>
      <w:r w:rsidRPr="001031F8">
        <w:rPr>
          <w:rStyle w:val="mjxassistivemathml"/>
          <w:rFonts w:ascii="Times New Roman" w:hAnsi="Times New Roman" w:cs="Times New Roman"/>
          <w:color w:val="1F1F1F"/>
          <w:sz w:val="20"/>
          <w:szCs w:val="20"/>
          <w:bdr w:val="none" w:sz="0" w:space="0" w:color="auto" w:frame="1"/>
        </w:rPr>
        <w:t xml:space="preserve">. </w:t>
      </w:r>
      <m:oMath>
        <m:sSubSup>
          <m:sSubSupPr>
            <m:ctrlPr>
              <w:rPr>
                <w:rFonts w:ascii="Cambria Math" w:eastAsiaTheme="majorEastAsia" w:hAnsi="Cambria Math" w:cs="Times New Roman"/>
                <w:i/>
                <w:color w:val="333333"/>
                <w:sz w:val="20"/>
                <w:szCs w:val="20"/>
                <w:shd w:val="clear" w:color="auto" w:fill="FFFFFF"/>
              </w:rPr>
            </m:ctrlPr>
          </m:sSubSupPr>
          <m:e>
            <m:r>
              <w:rPr>
                <w:rFonts w:ascii="Cambria Math" w:hAnsi="Cambria Math" w:cs="Times New Roman"/>
                <w:color w:val="333333"/>
                <w:sz w:val="20"/>
                <w:szCs w:val="20"/>
                <w:shd w:val="clear" w:color="auto" w:fill="FFFFFF"/>
              </w:rPr>
              <m:t>D</m:t>
            </m:r>
          </m:e>
          <m:sub>
            <m:r>
              <w:rPr>
                <w:rFonts w:ascii="Cambria Math" w:hAnsi="Cambria Math" w:cs="Times New Roman"/>
                <w:color w:val="333333"/>
                <w:sz w:val="20"/>
                <w:szCs w:val="20"/>
                <w:shd w:val="clear" w:color="auto" w:fill="FFFFFF"/>
              </w:rPr>
              <m:t>it</m:t>
            </m:r>
          </m:sub>
          <m:sup>
            <m:r>
              <w:rPr>
                <w:rFonts w:ascii="Cambria Math" w:hAnsi="Cambria Math" w:cs="Times New Roman"/>
                <w:color w:val="333333"/>
                <w:sz w:val="20"/>
                <w:szCs w:val="20"/>
                <w:shd w:val="clear" w:color="auto" w:fill="FFFFFF"/>
              </w:rPr>
              <m:t>d</m:t>
            </m:r>
          </m:sup>
        </m:sSubSup>
      </m:oMath>
      <w:r w:rsidRPr="001031F8">
        <w:rPr>
          <w:rStyle w:val="mjxassistivemathml"/>
          <w:rFonts w:ascii="Times New Roman" w:hAnsi="Times New Roman" w:cs="Times New Roman"/>
          <w:color w:val="1F1F1F"/>
          <w:sz w:val="20"/>
          <w:szCs w:val="20"/>
          <w:bdr w:val="none" w:sz="0" w:space="0" w:color="auto" w:frame="1"/>
        </w:rPr>
        <w:t xml:space="preserve"> is an indicator for individual i </w:t>
      </w:r>
      <w:proofErr w:type="gramStart"/>
      <w:r w:rsidRPr="001031F8">
        <w:rPr>
          <w:rStyle w:val="mjxassistivemathml"/>
          <w:rFonts w:ascii="Times New Roman" w:hAnsi="Times New Roman" w:cs="Times New Roman"/>
          <w:color w:val="1F1F1F"/>
          <w:sz w:val="20"/>
          <w:szCs w:val="20"/>
          <w:bdr w:val="none" w:sz="0" w:space="0" w:color="auto" w:frame="1"/>
        </w:rPr>
        <w:t>being d</w:t>
      </w:r>
      <w:proofErr w:type="gramEnd"/>
      <w:r w:rsidRPr="001031F8">
        <w:rPr>
          <w:rStyle w:val="mjxassistivemathml"/>
          <w:rFonts w:ascii="Times New Roman" w:hAnsi="Times New Roman" w:cs="Times New Roman"/>
          <w:color w:val="1F1F1F"/>
          <w:sz w:val="20"/>
          <w:szCs w:val="20"/>
          <w:bdr w:val="none" w:sz="0" w:space="0" w:color="auto" w:frame="1"/>
        </w:rPr>
        <w:t xml:space="preserve"> periods away from the initial treatment at time </w:t>
      </w:r>
      <w:r w:rsidRPr="001031F8">
        <w:rPr>
          <w:rStyle w:val="mjxassistivemathml"/>
          <w:rFonts w:ascii="Times New Roman" w:hAnsi="Times New Roman" w:cs="Times New Roman"/>
          <w:color w:val="1F1F1F"/>
          <w:sz w:val="20"/>
          <w:szCs w:val="20"/>
          <w:bdr w:val="none" w:sz="0" w:space="0" w:color="auto" w:frame="1"/>
          <w:vertAlign w:val="subscript"/>
        </w:rPr>
        <w:t>t</w:t>
      </w:r>
      <w:r w:rsidRPr="001031F8">
        <w:rPr>
          <w:rStyle w:val="mjxassistivemathml"/>
          <w:rFonts w:ascii="Times New Roman" w:hAnsi="Times New Roman" w:cs="Times New Roman"/>
          <w:color w:val="1F1F1F"/>
          <w:sz w:val="20"/>
          <w:szCs w:val="20"/>
          <w:bdr w:val="none" w:sz="0" w:space="0" w:color="auto" w:frame="1"/>
        </w:rPr>
        <w:t xml:space="preserve">. For the treatment groups, </w:t>
      </w:r>
      <m:oMath>
        <m:sSubSup>
          <m:sSubSupPr>
            <m:ctrlPr>
              <w:rPr>
                <w:rFonts w:ascii="Cambria Math" w:eastAsiaTheme="majorEastAsia" w:hAnsi="Cambria Math" w:cs="Times New Roman"/>
                <w:i/>
                <w:color w:val="333333"/>
                <w:sz w:val="20"/>
                <w:szCs w:val="20"/>
                <w:shd w:val="clear" w:color="auto" w:fill="FFFFFF"/>
              </w:rPr>
            </m:ctrlPr>
          </m:sSubSupPr>
          <m:e>
            <m:r>
              <w:rPr>
                <w:rFonts w:ascii="Cambria Math" w:hAnsi="Cambria Math" w:cs="Times New Roman"/>
                <w:color w:val="333333"/>
                <w:sz w:val="20"/>
                <w:szCs w:val="20"/>
                <w:shd w:val="clear" w:color="auto" w:fill="FFFFFF"/>
              </w:rPr>
              <m:t>D</m:t>
            </m:r>
          </m:e>
          <m:sub>
            <m:r>
              <w:rPr>
                <w:rFonts w:ascii="Cambria Math" w:hAnsi="Cambria Math" w:cs="Times New Roman"/>
                <w:color w:val="333333"/>
                <w:sz w:val="20"/>
                <w:szCs w:val="20"/>
                <w:shd w:val="clear" w:color="auto" w:fill="FFFFFF"/>
              </w:rPr>
              <m:t>it</m:t>
            </m:r>
          </m:sub>
          <m:sup>
            <m:r>
              <w:rPr>
                <w:rFonts w:ascii="Cambria Math" w:hAnsi="Cambria Math" w:cs="Times New Roman"/>
                <w:color w:val="333333"/>
                <w:sz w:val="20"/>
                <w:szCs w:val="20"/>
                <w:shd w:val="clear" w:color="auto" w:fill="FFFFFF"/>
              </w:rPr>
              <m:t>d</m:t>
            </m:r>
          </m:sup>
        </m:sSubSup>
      </m:oMath>
      <w:r w:rsidRPr="001031F8">
        <w:rPr>
          <w:rStyle w:val="mjxassistivemathml"/>
          <w:rFonts w:ascii="Times New Roman" w:hAnsi="Times New Roman" w:cs="Times New Roman"/>
          <w:color w:val="1F1F1F"/>
          <w:sz w:val="20"/>
          <w:szCs w:val="20"/>
          <w:bdr w:val="none" w:sz="0" w:space="0" w:color="auto" w:frame="1"/>
        </w:rPr>
        <w:t xml:space="preserve">=1 and individual i is in d periods away from the initial treatment at time </w:t>
      </w:r>
      <w:r w:rsidRPr="001031F8">
        <w:rPr>
          <w:rStyle w:val="mjxassistivemathml"/>
          <w:rFonts w:ascii="Times New Roman" w:hAnsi="Times New Roman" w:cs="Times New Roman"/>
          <w:color w:val="1F1F1F"/>
          <w:sz w:val="20"/>
          <w:szCs w:val="20"/>
          <w:bdr w:val="none" w:sz="0" w:space="0" w:color="auto" w:frame="1"/>
          <w:vertAlign w:val="subscript"/>
        </w:rPr>
        <w:t>t</w:t>
      </w:r>
      <w:r w:rsidRPr="001031F8">
        <w:rPr>
          <w:rStyle w:val="mjxassistivemathml"/>
          <w:rFonts w:ascii="Times New Roman" w:hAnsi="Times New Roman" w:cs="Times New Roman"/>
          <w:color w:val="1F1F1F"/>
          <w:sz w:val="20"/>
          <w:szCs w:val="20"/>
          <w:bdr w:val="none" w:sz="0" w:space="0" w:color="auto" w:frame="1"/>
        </w:rPr>
        <w:t xml:space="preserve">. For never-treated individuals, </w:t>
      </w:r>
      <m:oMath>
        <m:sSubSup>
          <m:sSubSupPr>
            <m:ctrlPr>
              <w:rPr>
                <w:rFonts w:ascii="Cambria Math" w:eastAsiaTheme="majorEastAsia" w:hAnsi="Cambria Math" w:cs="Times New Roman"/>
                <w:i/>
                <w:color w:val="333333"/>
                <w:sz w:val="20"/>
                <w:szCs w:val="20"/>
                <w:shd w:val="clear" w:color="auto" w:fill="FFFFFF"/>
              </w:rPr>
            </m:ctrlPr>
          </m:sSubSupPr>
          <m:e>
            <m:r>
              <w:rPr>
                <w:rFonts w:ascii="Cambria Math" w:hAnsi="Cambria Math" w:cs="Times New Roman"/>
                <w:color w:val="333333"/>
                <w:sz w:val="20"/>
                <w:szCs w:val="20"/>
                <w:shd w:val="clear" w:color="auto" w:fill="FFFFFF"/>
              </w:rPr>
              <m:t>D</m:t>
            </m:r>
          </m:e>
          <m:sub>
            <m:r>
              <w:rPr>
                <w:rFonts w:ascii="Cambria Math" w:hAnsi="Cambria Math" w:cs="Times New Roman"/>
                <w:color w:val="333333"/>
                <w:sz w:val="20"/>
                <w:szCs w:val="20"/>
                <w:shd w:val="clear" w:color="auto" w:fill="FFFFFF"/>
              </w:rPr>
              <m:t>it</m:t>
            </m:r>
          </m:sub>
          <m:sup>
            <m:r>
              <w:rPr>
                <w:rFonts w:ascii="Cambria Math" w:hAnsi="Cambria Math" w:cs="Times New Roman"/>
                <w:color w:val="333333"/>
                <w:sz w:val="20"/>
                <w:szCs w:val="20"/>
                <w:shd w:val="clear" w:color="auto" w:fill="FFFFFF"/>
              </w:rPr>
              <m:t>d</m:t>
            </m:r>
          </m:sup>
        </m:sSubSup>
      </m:oMath>
      <w:r w:rsidRPr="001031F8">
        <w:rPr>
          <w:rStyle w:val="mjxassistivemathml"/>
          <w:rFonts w:ascii="Times New Roman" w:hAnsi="Times New Roman" w:cs="Times New Roman"/>
          <w:color w:val="1F1F1F"/>
          <w:sz w:val="20"/>
          <w:szCs w:val="20"/>
          <w:bdr w:val="none" w:sz="0" w:space="0" w:color="auto" w:frame="1"/>
        </w:rPr>
        <w:t>=0. β is</w:t>
      </w:r>
      <w:r w:rsidRPr="001031F8">
        <w:rPr>
          <w:rFonts w:ascii="Times New Roman" w:hAnsi="Times New Roman" w:cs="Times New Roman"/>
          <w:color w:val="1F1F1F"/>
          <w:sz w:val="20"/>
          <w:szCs w:val="20"/>
        </w:rPr>
        <w:t xml:space="preserve"> the estimation of the net impact of expanding LTCI coverage</w:t>
      </w:r>
      <w:r w:rsidRPr="001031F8">
        <w:rPr>
          <w:rStyle w:val="mjxassistivemathml"/>
          <w:rFonts w:ascii="Times New Roman" w:hAnsi="Times New Roman" w:cs="Times New Roman"/>
          <w:color w:val="1F1F1F"/>
          <w:sz w:val="20"/>
          <w:szCs w:val="20"/>
          <w:bdr w:val="none" w:sz="0" w:space="0" w:color="auto" w:frame="1"/>
        </w:rPr>
        <w:t xml:space="preserve">. α controls for the individual effects and λ is the year fixed effects. </w:t>
      </w:r>
      <w:proofErr w:type="spellStart"/>
      <w:r w:rsidRPr="001031F8">
        <w:rPr>
          <w:rStyle w:val="mjxassistivemathml"/>
          <w:rFonts w:ascii="Times New Roman" w:hAnsi="Times New Roman" w:cs="Times New Roman"/>
          <w:color w:val="1F1F1F"/>
          <w:sz w:val="20"/>
          <w:szCs w:val="20"/>
          <w:bdr w:val="none" w:sz="0" w:space="0" w:color="auto" w:frame="1"/>
        </w:rPr>
        <w:t>ε</w:t>
      </w:r>
      <w:r w:rsidRPr="001031F8">
        <w:rPr>
          <w:rStyle w:val="mjxassistivemathml"/>
          <w:rFonts w:ascii="Times New Roman" w:hAnsi="Times New Roman" w:cs="Times New Roman"/>
          <w:color w:val="1F1F1F"/>
          <w:sz w:val="20"/>
          <w:szCs w:val="20"/>
          <w:bdr w:val="none" w:sz="0" w:space="0" w:color="auto" w:frame="1"/>
          <w:vertAlign w:val="subscript"/>
        </w:rPr>
        <w:t>ct</w:t>
      </w:r>
      <w:proofErr w:type="spellEnd"/>
      <w:r w:rsidRPr="001031F8">
        <w:rPr>
          <w:rFonts w:ascii="Times New Roman" w:hAnsi="Times New Roman" w:cs="Times New Roman"/>
          <w:color w:val="1F1F1F"/>
          <w:sz w:val="20"/>
          <w:szCs w:val="20"/>
        </w:rPr>
        <w:t xml:space="preserve"> is a random error term. Standard errors are clustered at the individual level to account for possible correlations in outcomes between individuals. Our results show that the potential trends in the outcome variables in both the treated and control groups were parallel without the implementation of LTCI</w:t>
      </w:r>
      <w:r w:rsidRPr="001031F8">
        <w:rPr>
          <w:rFonts w:ascii="Times New Roman" w:hAnsi="Times New Roman" w:cs="Times New Roman"/>
          <w:sz w:val="20"/>
          <w:szCs w:val="20"/>
        </w:rPr>
        <w:t xml:space="preserve">. </w:t>
      </w:r>
      <w:bookmarkStart w:id="33" w:name="_Hlk194951057"/>
      <w:bookmarkEnd w:id="32"/>
      <w:r w:rsidRPr="001031F8">
        <w:rPr>
          <w:rFonts w:ascii="Times New Roman" w:hAnsi="Times New Roman" w:cs="Times New Roman"/>
          <w:sz w:val="20"/>
          <w:szCs w:val="20"/>
        </w:rPr>
        <w:t xml:space="preserve">P-values </w:t>
      </w:r>
      <w:r w:rsidRPr="001031F8">
        <w:rPr>
          <w:rFonts w:ascii="Times New Roman" w:hAnsi="Times New Roman" w:cs="Times New Roman" w:hint="eastAsia"/>
          <w:sz w:val="20"/>
          <w:szCs w:val="20"/>
        </w:rPr>
        <w:t>&lt;</w:t>
      </w:r>
      <w:r w:rsidRPr="001031F8">
        <w:rPr>
          <w:rFonts w:ascii="Times New Roman" w:hAnsi="Times New Roman" w:cs="Times New Roman"/>
          <w:sz w:val="20"/>
          <w:szCs w:val="20"/>
        </w:rPr>
        <w:t xml:space="preserve"> 0.05 were considered statistically significant</w:t>
      </w:r>
      <w:r w:rsidRPr="001031F8">
        <w:rPr>
          <w:rFonts w:ascii="Times New Roman" w:hAnsi="Times New Roman" w:cs="Times New Roman" w:hint="eastAsia"/>
          <w:sz w:val="20"/>
          <w:szCs w:val="20"/>
        </w:rPr>
        <w:t>.</w:t>
      </w:r>
    </w:p>
    <w:bookmarkEnd w:id="33"/>
    <w:p w14:paraId="232A3F0E"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p>
    <w:p w14:paraId="26C1AE5D"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color w:val="1F1F1F"/>
          <w:sz w:val="20"/>
          <w:szCs w:val="20"/>
        </w:rPr>
        <w:t>Third, we examined the impact of LTCI on CHLTCE among subgroups with different health conditions (</w:t>
      </w:r>
      <w:r w:rsidRPr="001031F8">
        <w:rPr>
          <w:rFonts w:ascii="Times New Roman" w:hAnsi="Times New Roman" w:cs="Times New Roman"/>
          <w:iCs/>
          <w:color w:val="1F1F1F"/>
          <w:sz w:val="20"/>
          <w:szCs w:val="20"/>
        </w:rPr>
        <w:t>RQ2</w:t>
      </w:r>
      <w:r w:rsidRPr="001031F8">
        <w:rPr>
          <w:rFonts w:ascii="Times New Roman" w:hAnsi="Times New Roman" w:cs="Times New Roman"/>
          <w:color w:val="1F1F1F"/>
          <w:sz w:val="20"/>
          <w:szCs w:val="20"/>
        </w:rPr>
        <w:t xml:space="preserve">). As noted in the section ‘Impact of Long-term Care Insurance on reducing health and long-term care costs’, LTCI offers different benefits for LTC services based on the cognitive and physical conditions of beneficiaries. Consequently, the relationship between LTCI and CHLTCE may differ depending on the level of CI, physical limitations, and chronic diseases. We compared the coefficient (the impact of LTCI) for these subgroups </w:t>
      </w:r>
      <w:r w:rsidRPr="001031F8">
        <w:rPr>
          <w:rFonts w:ascii="Times New Roman" w:hAnsi="Times New Roman" w:cs="Times New Roman"/>
          <w:sz w:val="20"/>
          <w:szCs w:val="20"/>
        </w:rPr>
        <w:t>to investigate the differential role of LTCI in CHLTCE based on the level of CI, physical limitations, and chronic diseases.</w:t>
      </w:r>
    </w:p>
    <w:p w14:paraId="6F4AFB0D" w14:textId="77777777" w:rsidR="00923F07" w:rsidRPr="001031F8" w:rsidRDefault="00923F07" w:rsidP="001031F8">
      <w:pPr>
        <w:adjustRightInd w:val="0"/>
        <w:snapToGrid w:val="0"/>
        <w:spacing w:line="480" w:lineRule="auto"/>
        <w:jc w:val="left"/>
        <w:rPr>
          <w:rFonts w:ascii="Times New Roman" w:eastAsia="宋体" w:hAnsi="Times New Roman" w:cs="Times New Roman"/>
          <w:kern w:val="0"/>
          <w:sz w:val="20"/>
          <w:szCs w:val="20"/>
        </w:rPr>
      </w:pPr>
    </w:p>
    <w:p w14:paraId="2A8E16B0" w14:textId="77777777" w:rsidR="00923F07" w:rsidRPr="001031F8" w:rsidRDefault="00923F07" w:rsidP="001031F8">
      <w:pPr>
        <w:adjustRightInd w:val="0"/>
        <w:snapToGrid w:val="0"/>
        <w:spacing w:line="480" w:lineRule="auto"/>
        <w:jc w:val="left"/>
        <w:rPr>
          <w:rFonts w:ascii="Times New Roman" w:eastAsia="宋体" w:hAnsi="Times New Roman" w:cs="Times New Roman"/>
          <w:kern w:val="0"/>
          <w:sz w:val="20"/>
          <w:szCs w:val="20"/>
        </w:rPr>
      </w:pPr>
      <w:bookmarkStart w:id="34" w:name="_Hlk194951085"/>
      <w:r w:rsidRPr="001031F8">
        <w:rPr>
          <w:rFonts w:ascii="Times New Roman" w:hAnsi="Times New Roman" w:cs="Times New Roman"/>
          <w:color w:val="1F1F1F"/>
          <w:sz w:val="20"/>
          <w:szCs w:val="20"/>
        </w:rPr>
        <w:t>We conducted t</w:t>
      </w:r>
      <w:r w:rsidRPr="001031F8">
        <w:rPr>
          <w:rFonts w:ascii="Times New Roman" w:hAnsi="Times New Roman" w:cs="Times New Roman" w:hint="eastAsia"/>
          <w:color w:val="1F1F1F"/>
          <w:sz w:val="20"/>
          <w:szCs w:val="20"/>
        </w:rPr>
        <w:t>wo</w:t>
      </w:r>
      <w:r w:rsidRPr="001031F8">
        <w:rPr>
          <w:rFonts w:ascii="Times New Roman" w:hAnsi="Times New Roman" w:cs="Times New Roman"/>
          <w:color w:val="1F1F1F"/>
          <w:sz w:val="20"/>
          <w:szCs w:val="20"/>
        </w:rPr>
        <w:t xml:space="preserve"> sets of robustness checks. </w:t>
      </w:r>
      <w:r w:rsidRPr="001031F8">
        <w:rPr>
          <w:rFonts w:ascii="Times New Roman" w:hAnsi="Times New Roman" w:cs="Times New Roman"/>
          <w:kern w:val="0"/>
          <w:sz w:val="20"/>
          <w:szCs w:val="20"/>
        </w:rPr>
        <w:t xml:space="preserve">First, </w:t>
      </w:r>
      <w:r w:rsidRPr="001031F8">
        <w:rPr>
          <w:rFonts w:ascii="Times New Roman" w:hAnsi="Times New Roman" w:cs="Times New Roman" w:hint="eastAsia"/>
          <w:kern w:val="0"/>
          <w:sz w:val="20"/>
          <w:szCs w:val="20"/>
        </w:rPr>
        <w:t xml:space="preserve">we applied an alternative </w:t>
      </w:r>
      <w:r w:rsidRPr="001031F8">
        <w:rPr>
          <w:rFonts w:ascii="Times New Roman" w:hAnsi="Times New Roman" w:cs="Times New Roman"/>
          <w:kern w:val="0"/>
          <w:sz w:val="20"/>
          <w:szCs w:val="20"/>
        </w:rPr>
        <w:t xml:space="preserve">cutoff along the 0-11 scale to </w:t>
      </w:r>
      <w:r w:rsidRPr="001031F8">
        <w:rPr>
          <w:rFonts w:ascii="Times New Roman" w:hAnsi="Times New Roman" w:cs="Times New Roman" w:hint="eastAsia"/>
          <w:kern w:val="0"/>
          <w:sz w:val="20"/>
          <w:szCs w:val="20"/>
        </w:rPr>
        <w:t>assess whether</w:t>
      </w:r>
      <w:r w:rsidRPr="001031F8">
        <w:rPr>
          <w:rFonts w:ascii="Times New Roman" w:hAnsi="Times New Roman" w:cs="Times New Roman"/>
          <w:kern w:val="0"/>
          <w:sz w:val="20"/>
          <w:szCs w:val="20"/>
        </w:rPr>
        <w:t xml:space="preserve"> the findings var</w:t>
      </w:r>
      <w:r w:rsidRPr="001031F8">
        <w:rPr>
          <w:rFonts w:ascii="Times New Roman" w:hAnsi="Times New Roman" w:cs="Times New Roman" w:hint="eastAsia"/>
          <w:kern w:val="0"/>
          <w:sz w:val="20"/>
          <w:szCs w:val="20"/>
        </w:rPr>
        <w:t>ied</w:t>
      </w:r>
      <w:r w:rsidRPr="001031F8">
        <w:rPr>
          <w:rFonts w:ascii="Times New Roman" w:hAnsi="Times New Roman" w:cs="Times New Roman"/>
          <w:kern w:val="0"/>
          <w:sz w:val="20"/>
          <w:szCs w:val="20"/>
        </w:rPr>
        <w:t xml:space="preserve"> across </w:t>
      </w:r>
      <w:r w:rsidRPr="001031F8">
        <w:rPr>
          <w:rFonts w:ascii="Times New Roman" w:hAnsi="Times New Roman" w:cs="Times New Roman" w:hint="eastAsia"/>
          <w:kern w:val="0"/>
          <w:sz w:val="20"/>
          <w:szCs w:val="20"/>
        </w:rPr>
        <w:t xml:space="preserve">different </w:t>
      </w:r>
      <w:r w:rsidRPr="001031F8">
        <w:rPr>
          <w:rFonts w:ascii="Times New Roman" w:hAnsi="Times New Roman" w:cs="Times New Roman"/>
          <w:kern w:val="0"/>
          <w:sz w:val="20"/>
          <w:szCs w:val="20"/>
        </w:rPr>
        <w:t>definitions</w:t>
      </w:r>
      <w:r w:rsidRPr="001031F8">
        <w:rPr>
          <w:rFonts w:ascii="Times New Roman" w:hAnsi="Times New Roman" w:cs="Times New Roman" w:hint="eastAsia"/>
          <w:kern w:val="0"/>
          <w:sz w:val="20"/>
          <w:szCs w:val="20"/>
        </w:rPr>
        <w:t xml:space="preserve"> of </w:t>
      </w:r>
      <w:r w:rsidRPr="001031F8">
        <w:rPr>
          <w:rFonts w:ascii="Times New Roman" w:hAnsi="Times New Roman" w:cs="Times New Roman"/>
          <w:kern w:val="0"/>
          <w:sz w:val="20"/>
          <w:szCs w:val="20"/>
        </w:rPr>
        <w:t>cognitive</w:t>
      </w:r>
      <w:r w:rsidRPr="001031F8">
        <w:rPr>
          <w:rFonts w:ascii="Times New Roman" w:hAnsi="Times New Roman" w:cs="Times New Roman" w:hint="eastAsia"/>
          <w:kern w:val="0"/>
          <w:sz w:val="20"/>
          <w:szCs w:val="20"/>
        </w:rPr>
        <w:t xml:space="preserve"> impairments</w:t>
      </w:r>
      <w:r w:rsidRPr="001031F8">
        <w:rPr>
          <w:rFonts w:ascii="Times New Roman" w:hAnsi="Times New Roman" w:cs="Times New Roman"/>
          <w:kern w:val="0"/>
          <w:sz w:val="20"/>
          <w:szCs w:val="20"/>
        </w:rPr>
        <w:t xml:space="preserve">. </w:t>
      </w:r>
      <w:r w:rsidRPr="001031F8">
        <w:rPr>
          <w:rFonts w:ascii="Times New Roman" w:hAnsi="Times New Roman" w:cs="Times New Roman" w:hint="eastAsia"/>
          <w:kern w:val="0"/>
          <w:sz w:val="20"/>
          <w:szCs w:val="20"/>
        </w:rPr>
        <w:t xml:space="preserve">Following prior studies </w:t>
      </w:r>
      <w:r>
        <w:rPr>
          <w:rFonts w:ascii="Times New Roman" w:hAnsi="Times New Roman" w:cs="Times New Roman"/>
          <w:noProof/>
          <w:kern w:val="0"/>
          <w:sz w:val="20"/>
          <w:szCs w:val="20"/>
        </w:rPr>
        <w:t>(Lee et al., 2018; Lin et al., 2025)</w:t>
      </w:r>
      <w:r w:rsidRPr="001031F8">
        <w:rPr>
          <w:rFonts w:ascii="Times New Roman" w:hAnsi="Times New Roman" w:cs="Times New Roman" w:hint="eastAsia"/>
          <w:kern w:val="0"/>
          <w:sz w:val="20"/>
          <w:szCs w:val="20"/>
        </w:rPr>
        <w:t xml:space="preserve">, </w:t>
      </w:r>
      <w:r w:rsidRPr="001031F8">
        <w:rPr>
          <w:rFonts w:ascii="Times New Roman" w:hAnsi="Times New Roman" w:cs="Times New Roman"/>
          <w:kern w:val="0"/>
          <w:sz w:val="20"/>
          <w:szCs w:val="20"/>
        </w:rPr>
        <w:t>individuals</w:t>
      </w:r>
      <w:r w:rsidRPr="001031F8">
        <w:rPr>
          <w:rFonts w:ascii="Times New Roman" w:hAnsi="Times New Roman" w:cs="Times New Roman" w:hint="eastAsia"/>
          <w:kern w:val="0"/>
          <w:sz w:val="20"/>
          <w:szCs w:val="20"/>
        </w:rPr>
        <w:t xml:space="preserve"> with a</w:t>
      </w:r>
      <w:r w:rsidRPr="001031F8">
        <w:rPr>
          <w:rFonts w:ascii="Times New Roman" w:hAnsi="Times New Roman" w:cs="Times New Roman"/>
          <w:kern w:val="0"/>
          <w:sz w:val="20"/>
          <w:szCs w:val="20"/>
        </w:rPr>
        <w:t xml:space="preserve"> cognition summary score</w:t>
      </w:r>
      <w:r w:rsidRPr="001031F8">
        <w:rPr>
          <w:rFonts w:ascii="Times New Roman" w:hAnsi="Times New Roman" w:cs="Times New Roman" w:hint="eastAsia"/>
          <w:kern w:val="0"/>
          <w:sz w:val="20"/>
          <w:szCs w:val="20"/>
        </w:rPr>
        <w:t xml:space="preserve"> less than </w:t>
      </w:r>
      <w:r w:rsidRPr="001031F8">
        <w:rPr>
          <w:rFonts w:ascii="Times New Roman" w:hAnsi="Times New Roman" w:cs="Times New Roman"/>
          <w:kern w:val="0"/>
          <w:sz w:val="20"/>
          <w:szCs w:val="20"/>
        </w:rPr>
        <w:t>1.5 standard deviations below the population</w:t>
      </w:r>
      <w:r w:rsidRPr="001031F8">
        <w:rPr>
          <w:rFonts w:ascii="Times New Roman" w:hAnsi="Times New Roman" w:cs="Times New Roman" w:hint="eastAsia"/>
          <w:kern w:val="0"/>
          <w:sz w:val="20"/>
          <w:szCs w:val="20"/>
        </w:rPr>
        <w:t xml:space="preserve"> </w:t>
      </w:r>
      <w:r w:rsidRPr="001031F8">
        <w:rPr>
          <w:rFonts w:ascii="Times New Roman" w:hAnsi="Times New Roman" w:cs="Times New Roman"/>
          <w:kern w:val="0"/>
          <w:sz w:val="20"/>
          <w:szCs w:val="20"/>
        </w:rPr>
        <w:t>mean</w:t>
      </w:r>
      <w:r w:rsidRPr="001031F8">
        <w:rPr>
          <w:rFonts w:ascii="Times New Roman" w:hAnsi="Times New Roman" w:cs="Times New Roman" w:hint="eastAsia"/>
          <w:kern w:val="0"/>
          <w:sz w:val="20"/>
          <w:szCs w:val="20"/>
        </w:rPr>
        <w:t>,</w:t>
      </w:r>
      <w:r w:rsidRPr="001031F8">
        <w:rPr>
          <w:rFonts w:ascii="Times New Roman" w:hAnsi="Times New Roman" w:cs="Times New Roman"/>
          <w:kern w:val="0"/>
          <w:sz w:val="20"/>
          <w:szCs w:val="20"/>
        </w:rPr>
        <w:t xml:space="preserve"> stratified by education levels</w:t>
      </w:r>
      <w:r w:rsidRPr="001031F8">
        <w:rPr>
          <w:rFonts w:ascii="Times New Roman" w:hAnsi="Times New Roman" w:cs="Times New Roman" w:hint="eastAsia"/>
          <w:kern w:val="0"/>
          <w:sz w:val="20"/>
          <w:szCs w:val="20"/>
        </w:rPr>
        <w:t xml:space="preserve">, were classified as having cognitive </w:t>
      </w:r>
      <w:r w:rsidRPr="001031F8">
        <w:rPr>
          <w:rFonts w:ascii="Times New Roman" w:hAnsi="Times New Roman" w:cs="Times New Roman"/>
          <w:kern w:val="0"/>
          <w:sz w:val="20"/>
          <w:szCs w:val="20"/>
        </w:rPr>
        <w:t>impairment</w:t>
      </w:r>
      <w:r w:rsidRPr="001031F8">
        <w:rPr>
          <w:rFonts w:ascii="Times New Roman" w:hAnsi="Times New Roman" w:cs="Times New Roman" w:hint="eastAsia"/>
          <w:kern w:val="0"/>
          <w:sz w:val="20"/>
          <w:szCs w:val="20"/>
        </w:rPr>
        <w:t xml:space="preserve">. The staggered Differences-in-Difference regression analysis was then </w:t>
      </w:r>
      <w:r w:rsidRPr="001031F8">
        <w:rPr>
          <w:rFonts w:ascii="Times New Roman" w:hAnsi="Times New Roman" w:cs="Times New Roman"/>
          <w:kern w:val="0"/>
          <w:sz w:val="20"/>
          <w:szCs w:val="20"/>
        </w:rPr>
        <w:t>repeat</w:t>
      </w:r>
      <w:r w:rsidRPr="001031F8">
        <w:rPr>
          <w:rFonts w:ascii="Times New Roman" w:hAnsi="Times New Roman" w:cs="Times New Roman" w:hint="eastAsia"/>
          <w:kern w:val="0"/>
          <w:sz w:val="20"/>
          <w:szCs w:val="20"/>
        </w:rPr>
        <w:t>ed</w:t>
      </w:r>
      <w:r w:rsidRPr="001031F8">
        <w:rPr>
          <w:rFonts w:ascii="Times New Roman" w:eastAsia="宋体" w:hAnsi="Times New Roman" w:cs="Times New Roman"/>
          <w:kern w:val="0"/>
          <w:sz w:val="20"/>
          <w:szCs w:val="20"/>
        </w:rPr>
        <w:t xml:space="preserve">. </w:t>
      </w:r>
      <w:r w:rsidRPr="001031F8">
        <w:rPr>
          <w:rFonts w:ascii="Times New Roman" w:eastAsia="宋体" w:hAnsi="Times New Roman" w:cs="Times New Roman" w:hint="eastAsia"/>
          <w:kern w:val="0"/>
          <w:sz w:val="20"/>
          <w:szCs w:val="20"/>
        </w:rPr>
        <w:t>Second</w:t>
      </w:r>
      <w:r w:rsidRPr="001031F8">
        <w:rPr>
          <w:rFonts w:ascii="Times New Roman" w:eastAsia="宋体" w:hAnsi="Times New Roman" w:cs="Times New Roman"/>
          <w:kern w:val="0"/>
          <w:sz w:val="20"/>
          <w:szCs w:val="20"/>
        </w:rPr>
        <w:t xml:space="preserve">, </w:t>
      </w:r>
      <w:r w:rsidRPr="001031F8">
        <w:rPr>
          <w:rFonts w:ascii="Times New Roman" w:eastAsia="宋体" w:hAnsi="Times New Roman" w:cs="Times New Roman" w:hint="eastAsia"/>
          <w:kern w:val="0"/>
          <w:sz w:val="20"/>
          <w:szCs w:val="20"/>
        </w:rPr>
        <w:t>the</w:t>
      </w:r>
      <w:r w:rsidRPr="001031F8">
        <w:rPr>
          <w:rFonts w:ascii="Times New Roman" w:eastAsia="宋体" w:hAnsi="Times New Roman" w:cs="Times New Roman"/>
          <w:kern w:val="0"/>
          <w:sz w:val="20"/>
          <w:szCs w:val="20"/>
        </w:rPr>
        <w:t xml:space="preserve"> </w:t>
      </w:r>
      <w:r w:rsidRPr="001031F8">
        <w:rPr>
          <w:rFonts w:ascii="Times New Roman" w:eastAsia="宋体" w:hAnsi="Times New Roman" w:cs="Times New Roman" w:hint="eastAsia"/>
          <w:kern w:val="0"/>
          <w:sz w:val="20"/>
          <w:szCs w:val="20"/>
        </w:rPr>
        <w:t>1</w:t>
      </w:r>
      <w:r w:rsidRPr="001031F8">
        <w:rPr>
          <w:rFonts w:ascii="Times New Roman" w:eastAsia="宋体" w:hAnsi="Times New Roman" w:cs="Times New Roman"/>
          <w:kern w:val="0"/>
          <w:sz w:val="20"/>
          <w:szCs w:val="20"/>
        </w:rPr>
        <w:t xml:space="preserve">0% </w:t>
      </w:r>
      <w:r w:rsidRPr="001031F8">
        <w:rPr>
          <w:rFonts w:ascii="Times New Roman" w:eastAsia="宋体" w:hAnsi="Times New Roman" w:cs="Times New Roman" w:hint="eastAsia"/>
          <w:kern w:val="0"/>
          <w:sz w:val="20"/>
          <w:szCs w:val="20"/>
        </w:rPr>
        <w:t xml:space="preserve">threshold </w:t>
      </w:r>
      <w:r w:rsidRPr="001031F8">
        <w:rPr>
          <w:rFonts w:ascii="Times New Roman" w:eastAsia="宋体" w:hAnsi="Times New Roman" w:cs="Times New Roman"/>
          <w:kern w:val="0"/>
          <w:sz w:val="20"/>
          <w:szCs w:val="20"/>
        </w:rPr>
        <w:t xml:space="preserve">of </w:t>
      </w:r>
      <w:r w:rsidRPr="001031F8">
        <w:rPr>
          <w:rFonts w:ascii="Times New Roman" w:eastAsia="宋体" w:hAnsi="Times New Roman" w:cs="Times New Roman" w:hint="eastAsia"/>
          <w:kern w:val="0"/>
          <w:sz w:val="20"/>
          <w:szCs w:val="20"/>
        </w:rPr>
        <w:t xml:space="preserve">total </w:t>
      </w:r>
      <w:r w:rsidRPr="001031F8">
        <w:rPr>
          <w:rFonts w:ascii="Times New Roman" w:eastAsia="宋体" w:hAnsi="Times New Roman" w:cs="Times New Roman"/>
          <w:kern w:val="0"/>
          <w:sz w:val="20"/>
          <w:szCs w:val="20"/>
        </w:rPr>
        <w:t xml:space="preserve">household </w:t>
      </w:r>
      <w:r w:rsidRPr="001031F8">
        <w:rPr>
          <w:rFonts w:ascii="Times New Roman" w:eastAsia="宋体" w:hAnsi="Times New Roman" w:cs="Times New Roman" w:hint="eastAsia"/>
          <w:kern w:val="0"/>
          <w:sz w:val="20"/>
          <w:szCs w:val="20"/>
        </w:rPr>
        <w:t xml:space="preserve">expenditures </w:t>
      </w:r>
      <w:proofErr w:type="gramStart"/>
      <w:r w:rsidRPr="001031F8">
        <w:rPr>
          <w:rFonts w:ascii="Times New Roman" w:eastAsia="宋体" w:hAnsi="Times New Roman" w:cs="Times New Roman"/>
          <w:kern w:val="0"/>
          <w:sz w:val="20"/>
          <w:szCs w:val="20"/>
        </w:rPr>
        <w:t>as</w:t>
      </w:r>
      <w:proofErr w:type="gramEnd"/>
      <w:r w:rsidRPr="001031F8">
        <w:rPr>
          <w:rFonts w:ascii="Times New Roman" w:eastAsia="宋体" w:hAnsi="Times New Roman" w:cs="Times New Roman"/>
          <w:kern w:val="0"/>
          <w:sz w:val="20"/>
          <w:szCs w:val="20"/>
        </w:rPr>
        <w:t xml:space="preserve"> an additional </w:t>
      </w:r>
      <w:r w:rsidRPr="001031F8">
        <w:rPr>
          <w:rFonts w:ascii="Times New Roman" w:eastAsia="宋体" w:hAnsi="Times New Roman" w:cs="Times New Roman" w:hint="eastAsia"/>
          <w:kern w:val="0"/>
          <w:sz w:val="20"/>
          <w:szCs w:val="20"/>
        </w:rPr>
        <w:t xml:space="preserve">criterion for </w:t>
      </w:r>
      <w:r w:rsidRPr="001031F8">
        <w:rPr>
          <w:rFonts w:ascii="Times New Roman" w:eastAsia="宋体" w:hAnsi="Times New Roman" w:cs="Times New Roman"/>
          <w:kern w:val="0"/>
          <w:sz w:val="20"/>
          <w:szCs w:val="20"/>
        </w:rPr>
        <w:t>catastrophic expenditures</w:t>
      </w:r>
      <w:r w:rsidRPr="001031F8">
        <w:rPr>
          <w:rFonts w:ascii="Times New Roman" w:eastAsia="宋体" w:hAnsi="Times New Roman" w:cs="Times New Roman" w:hint="eastAsia"/>
          <w:kern w:val="0"/>
          <w:sz w:val="20"/>
          <w:szCs w:val="20"/>
        </w:rPr>
        <w:t>. Subsequently,</w:t>
      </w:r>
      <w:r w:rsidRPr="001031F8">
        <w:rPr>
          <w:rFonts w:ascii="Times New Roman" w:eastAsia="宋体" w:hAnsi="Times New Roman" w:cs="Times New Roman"/>
          <w:kern w:val="0"/>
          <w:sz w:val="20"/>
          <w:szCs w:val="20"/>
        </w:rPr>
        <w:t xml:space="preserve"> </w:t>
      </w:r>
      <w:r w:rsidRPr="001031F8">
        <w:rPr>
          <w:rFonts w:ascii="Times New Roman" w:hAnsi="Times New Roman" w:cs="Times New Roman"/>
          <w:iCs/>
          <w:sz w:val="20"/>
          <w:szCs w:val="20"/>
        </w:rPr>
        <w:t>staggered DID analyses</w:t>
      </w:r>
      <w:r w:rsidRPr="001031F8">
        <w:rPr>
          <w:rFonts w:ascii="Times New Roman" w:hAnsi="Times New Roman" w:cs="Times New Roman" w:hint="eastAsia"/>
          <w:iCs/>
          <w:sz w:val="20"/>
          <w:szCs w:val="20"/>
        </w:rPr>
        <w:t xml:space="preserve"> were conducted</w:t>
      </w:r>
      <w:r w:rsidRPr="001031F8">
        <w:rPr>
          <w:rFonts w:ascii="Times New Roman" w:eastAsia="宋体" w:hAnsi="Times New Roman" w:cs="Times New Roman"/>
          <w:kern w:val="0"/>
          <w:sz w:val="20"/>
          <w:szCs w:val="20"/>
        </w:rPr>
        <w:t>.</w:t>
      </w:r>
    </w:p>
    <w:bookmarkEnd w:id="34"/>
    <w:p w14:paraId="2809263F"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p>
    <w:p w14:paraId="020CFD3B" w14:textId="77777777" w:rsidR="00923F07" w:rsidRPr="001031F8" w:rsidRDefault="00923F07" w:rsidP="001031F8">
      <w:pPr>
        <w:widowControl/>
        <w:adjustRightInd w:val="0"/>
        <w:snapToGrid w:val="0"/>
        <w:spacing w:line="480" w:lineRule="auto"/>
        <w:jc w:val="left"/>
        <w:rPr>
          <w:rStyle w:val="Heading1Char"/>
          <w:rFonts w:ascii="Times New Roman" w:hAnsi="Times New Roman" w:cs="Times New Roman"/>
          <w:sz w:val="20"/>
          <w:szCs w:val="20"/>
        </w:rPr>
      </w:pPr>
      <w:r w:rsidRPr="001031F8">
        <w:rPr>
          <w:rStyle w:val="Heading1Char"/>
          <w:rFonts w:ascii="Times New Roman" w:hAnsi="Times New Roman" w:cs="Times New Roman"/>
          <w:sz w:val="20"/>
          <w:szCs w:val="20"/>
        </w:rPr>
        <w:br w:type="page"/>
      </w:r>
    </w:p>
    <w:p w14:paraId="475B78B4" w14:textId="77777777" w:rsidR="00923F07" w:rsidRPr="001031F8" w:rsidRDefault="00923F07" w:rsidP="001031F8">
      <w:pPr>
        <w:pStyle w:val="Heading1"/>
        <w:adjustRightInd w:val="0"/>
        <w:snapToGrid w:val="0"/>
        <w:spacing w:before="0" w:after="0" w:line="480" w:lineRule="auto"/>
        <w:rPr>
          <w:b w:val="0"/>
          <w:bCs w:val="0"/>
          <w:sz w:val="20"/>
          <w:szCs w:val="20"/>
        </w:rPr>
      </w:pPr>
      <w:bookmarkStart w:id="35" w:name="_Toc195209569"/>
      <w:r w:rsidRPr="001031F8">
        <w:rPr>
          <w:rStyle w:val="Heading1Char"/>
          <w:rFonts w:ascii="Times New Roman" w:hAnsi="Times New Roman" w:cs="Times New Roman"/>
          <w:b/>
          <w:bCs/>
          <w:sz w:val="20"/>
          <w:szCs w:val="20"/>
        </w:rPr>
        <w:lastRenderedPageBreak/>
        <w:t xml:space="preserve">Section H: Full results of </w:t>
      </w:r>
      <w:r w:rsidRPr="001031F8">
        <w:rPr>
          <w:rStyle w:val="Heading1Char"/>
          <w:rFonts w:ascii="Times New Roman" w:hAnsi="Times New Roman" w:cs="Times New Roman" w:hint="eastAsia"/>
          <w:b/>
          <w:bCs/>
          <w:sz w:val="20"/>
          <w:szCs w:val="20"/>
        </w:rPr>
        <w:t xml:space="preserve">the </w:t>
      </w:r>
      <w:r w:rsidRPr="001031F8">
        <w:rPr>
          <w:rStyle w:val="Heading1Char"/>
          <w:rFonts w:ascii="Times New Roman" w:hAnsi="Times New Roman" w:cs="Times New Roman"/>
          <w:b/>
          <w:bCs/>
          <w:sz w:val="20"/>
          <w:szCs w:val="20"/>
        </w:rPr>
        <w:t>main models</w:t>
      </w:r>
      <w:bookmarkEnd w:id="35"/>
    </w:p>
    <w:p w14:paraId="1B327B0B" w14:textId="77777777" w:rsidR="00923F07" w:rsidRPr="001031F8" w:rsidRDefault="00923F07" w:rsidP="001031F8">
      <w:pPr>
        <w:adjustRightInd w:val="0"/>
        <w:snapToGrid w:val="0"/>
        <w:spacing w:line="480" w:lineRule="auto"/>
        <w:rPr>
          <w:rStyle w:val="Heading1Char"/>
          <w:rFonts w:ascii="Times New Roman" w:hAnsi="Times New Roman" w:cs="Times New Roman"/>
          <w:sz w:val="20"/>
          <w:szCs w:val="20"/>
        </w:rPr>
      </w:pPr>
    </w:p>
    <w:p w14:paraId="7AA723D1" w14:textId="77777777" w:rsidR="00923F07" w:rsidRPr="001031F8" w:rsidRDefault="00923F07" w:rsidP="001031F8">
      <w:pPr>
        <w:pStyle w:val="Heading2"/>
        <w:adjustRightInd w:val="0"/>
        <w:snapToGrid w:val="0"/>
        <w:spacing w:before="0" w:after="0" w:line="480" w:lineRule="auto"/>
        <w:rPr>
          <w:rFonts w:ascii="Times New Roman" w:hAnsi="Times New Roman" w:cs="Times New Roman"/>
          <w:sz w:val="20"/>
          <w:szCs w:val="20"/>
        </w:rPr>
      </w:pPr>
      <w:bookmarkStart w:id="36" w:name="_Toc195209570"/>
      <w:r w:rsidRPr="001031F8">
        <w:rPr>
          <w:rFonts w:ascii="Times New Roman" w:hAnsi="Times New Roman" w:cs="Times New Roman"/>
          <w:sz w:val="20"/>
          <w:szCs w:val="20"/>
        </w:rPr>
        <w:t xml:space="preserve">Table H.1: Effect of long-term care insurance on the likelihood of </w:t>
      </w:r>
      <w:proofErr w:type="gramStart"/>
      <w:r w:rsidRPr="001031F8">
        <w:rPr>
          <w:rFonts w:ascii="Times New Roman" w:hAnsi="Times New Roman" w:cs="Times New Roman"/>
          <w:sz w:val="20"/>
          <w:szCs w:val="20"/>
        </w:rPr>
        <w:t>experiencing of</w:t>
      </w:r>
      <w:proofErr w:type="gramEnd"/>
      <w:r w:rsidRPr="001031F8">
        <w:rPr>
          <w:rFonts w:ascii="Times New Roman" w:hAnsi="Times New Roman" w:cs="Times New Roman"/>
          <w:sz w:val="20"/>
          <w:szCs w:val="20"/>
        </w:rPr>
        <w:t xml:space="preserve"> catastrophic health and long-term care expenditure.</w:t>
      </w:r>
      <w:bookmarkEnd w:id="36"/>
    </w:p>
    <w:tbl>
      <w:tblPr>
        <w:tblStyle w:val="TableGrid"/>
        <w:tblW w:w="0" w:type="auto"/>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4"/>
        <w:gridCol w:w="1845"/>
        <w:gridCol w:w="1843"/>
        <w:gridCol w:w="1843"/>
      </w:tblGrid>
      <w:tr w:rsidR="00923F07" w:rsidRPr="001031F8" w14:paraId="3AD5C7F8" w14:textId="77777777" w:rsidTr="00CF485E">
        <w:tc>
          <w:tcPr>
            <w:tcW w:w="2554" w:type="dxa"/>
            <w:tcBorders>
              <w:bottom w:val="nil"/>
            </w:tcBorders>
          </w:tcPr>
          <w:p w14:paraId="79160C6C" w14:textId="77777777" w:rsidR="00923F07" w:rsidRPr="001031F8" w:rsidRDefault="00923F07" w:rsidP="001031F8">
            <w:pPr>
              <w:autoSpaceDE w:val="0"/>
              <w:autoSpaceDN w:val="0"/>
              <w:adjustRightInd w:val="0"/>
              <w:snapToGrid w:val="0"/>
              <w:spacing w:line="480" w:lineRule="auto"/>
              <w:rPr>
                <w:rFonts w:ascii="Times New Roman" w:hAnsi="Times New Roman" w:cs="Times New Roman"/>
                <w:kern w:val="0"/>
                <w:sz w:val="20"/>
                <w:szCs w:val="20"/>
              </w:rPr>
            </w:pPr>
          </w:p>
        </w:tc>
        <w:tc>
          <w:tcPr>
            <w:tcW w:w="1845" w:type="dxa"/>
            <w:tcBorders>
              <w:top w:val="single" w:sz="4" w:space="0" w:color="auto"/>
              <w:bottom w:val="single" w:sz="4" w:space="0" w:color="auto"/>
            </w:tcBorders>
          </w:tcPr>
          <w:p w14:paraId="5DE7830B"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b/>
                <w:bCs/>
                <w:kern w:val="0"/>
                <w:sz w:val="20"/>
                <w:szCs w:val="20"/>
              </w:rPr>
            </w:pPr>
            <w:r w:rsidRPr="001031F8">
              <w:rPr>
                <w:rFonts w:ascii="Times New Roman" w:hAnsi="Times New Roman" w:cs="Times New Roman"/>
                <w:b/>
                <w:bCs/>
                <w:sz w:val="20"/>
                <w:szCs w:val="20"/>
              </w:rPr>
              <w:t>20% of total expenditures</w:t>
            </w:r>
          </w:p>
        </w:tc>
        <w:tc>
          <w:tcPr>
            <w:tcW w:w="1843" w:type="dxa"/>
            <w:tcBorders>
              <w:top w:val="single" w:sz="4" w:space="0" w:color="auto"/>
              <w:bottom w:val="single" w:sz="4" w:space="0" w:color="auto"/>
            </w:tcBorders>
            <w:vAlign w:val="center"/>
          </w:tcPr>
          <w:p w14:paraId="159B27EC"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b/>
                <w:bCs/>
                <w:kern w:val="0"/>
                <w:sz w:val="20"/>
                <w:szCs w:val="20"/>
              </w:rPr>
            </w:pPr>
            <w:r w:rsidRPr="001031F8">
              <w:rPr>
                <w:rFonts w:ascii="Times New Roman" w:hAnsi="Times New Roman" w:cs="Times New Roman"/>
                <w:b/>
                <w:bCs/>
                <w:sz w:val="20"/>
                <w:szCs w:val="20"/>
              </w:rPr>
              <w:t>25% of total expenditures</w:t>
            </w:r>
          </w:p>
        </w:tc>
        <w:tc>
          <w:tcPr>
            <w:tcW w:w="1843" w:type="dxa"/>
            <w:tcBorders>
              <w:top w:val="single" w:sz="4" w:space="0" w:color="auto"/>
              <w:bottom w:val="single" w:sz="4" w:space="0" w:color="auto"/>
            </w:tcBorders>
            <w:vAlign w:val="center"/>
          </w:tcPr>
          <w:p w14:paraId="7C5743ED"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b/>
                <w:bCs/>
                <w:kern w:val="0"/>
                <w:sz w:val="20"/>
                <w:szCs w:val="20"/>
              </w:rPr>
            </w:pPr>
            <w:r w:rsidRPr="001031F8">
              <w:rPr>
                <w:rFonts w:ascii="Times New Roman" w:hAnsi="Times New Roman" w:cs="Times New Roman"/>
                <w:b/>
                <w:bCs/>
                <w:sz w:val="20"/>
                <w:szCs w:val="20"/>
              </w:rPr>
              <w:t>40% of non-food expenditures</w:t>
            </w:r>
          </w:p>
        </w:tc>
      </w:tr>
      <w:tr w:rsidR="00923F07" w:rsidRPr="001031F8" w14:paraId="517B9690" w14:textId="77777777" w:rsidTr="00CF485E">
        <w:tc>
          <w:tcPr>
            <w:tcW w:w="2554" w:type="dxa"/>
            <w:tcBorders>
              <w:top w:val="nil"/>
              <w:bottom w:val="single" w:sz="4" w:space="0" w:color="auto"/>
            </w:tcBorders>
          </w:tcPr>
          <w:p w14:paraId="36654C16" w14:textId="77777777" w:rsidR="00923F07" w:rsidRPr="001031F8" w:rsidRDefault="00923F07" w:rsidP="001031F8">
            <w:pPr>
              <w:autoSpaceDE w:val="0"/>
              <w:autoSpaceDN w:val="0"/>
              <w:adjustRightInd w:val="0"/>
              <w:snapToGrid w:val="0"/>
              <w:spacing w:line="480" w:lineRule="auto"/>
              <w:rPr>
                <w:rFonts w:ascii="Times New Roman" w:hAnsi="Times New Roman" w:cs="Times New Roman"/>
                <w:b/>
                <w:kern w:val="0"/>
                <w:sz w:val="20"/>
                <w:szCs w:val="20"/>
              </w:rPr>
            </w:pPr>
            <w:r w:rsidRPr="001031F8">
              <w:rPr>
                <w:rFonts w:ascii="Times New Roman" w:hAnsi="Times New Roman" w:cs="Times New Roman"/>
                <w:b/>
                <w:kern w:val="0"/>
                <w:sz w:val="20"/>
                <w:szCs w:val="20"/>
              </w:rPr>
              <w:t>Variables</w:t>
            </w:r>
          </w:p>
        </w:tc>
        <w:tc>
          <w:tcPr>
            <w:tcW w:w="3688" w:type="dxa"/>
            <w:gridSpan w:val="2"/>
            <w:tcBorders>
              <w:top w:val="single" w:sz="4" w:space="0" w:color="auto"/>
              <w:bottom w:val="single" w:sz="4" w:space="0" w:color="auto"/>
            </w:tcBorders>
          </w:tcPr>
          <w:p w14:paraId="6724BD69"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roofErr w:type="gramStart"/>
            <w:r w:rsidRPr="001031F8">
              <w:rPr>
                <w:rFonts w:ascii="Times New Roman" w:hAnsi="Times New Roman" w:cs="Times New Roman"/>
                <w:b/>
                <w:color w:val="2A2A2A"/>
                <w:sz w:val="20"/>
                <w:szCs w:val="20"/>
                <w:shd w:val="clear" w:color="auto" w:fill="FFFFFF"/>
              </w:rPr>
              <w:t xml:space="preserve">β </w:t>
            </w:r>
            <w:r w:rsidRPr="001031F8">
              <w:rPr>
                <w:rFonts w:ascii="Times New Roman" w:hAnsi="Times New Roman" w:cs="Times New Roman"/>
                <w:b/>
                <w:sz w:val="20"/>
                <w:szCs w:val="20"/>
                <w:vertAlign w:val="superscript"/>
              </w:rPr>
              <w:t>P</w:t>
            </w:r>
            <w:r w:rsidRPr="001031F8">
              <w:rPr>
                <w:rFonts w:ascii="Times New Roman" w:hAnsi="Times New Roman" w:cs="Times New Roman"/>
                <w:b/>
                <w:sz w:val="20"/>
                <w:szCs w:val="20"/>
              </w:rPr>
              <w:t xml:space="preserve"> (</w:t>
            </w:r>
            <w:proofErr w:type="gramEnd"/>
            <w:r w:rsidRPr="001031F8">
              <w:rPr>
                <w:rFonts w:ascii="Times New Roman" w:hAnsi="Times New Roman" w:cs="Times New Roman"/>
                <w:b/>
                <w:sz w:val="20"/>
                <w:szCs w:val="20"/>
              </w:rPr>
              <w:t>robust S.E.)</w:t>
            </w:r>
          </w:p>
        </w:tc>
        <w:tc>
          <w:tcPr>
            <w:tcW w:w="1843" w:type="dxa"/>
            <w:tcBorders>
              <w:top w:val="single" w:sz="4" w:space="0" w:color="auto"/>
              <w:bottom w:val="single" w:sz="4" w:space="0" w:color="auto"/>
            </w:tcBorders>
            <w:vAlign w:val="center"/>
          </w:tcPr>
          <w:p w14:paraId="078341AF"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r>
      <w:tr w:rsidR="00923F07" w:rsidRPr="001031F8" w14:paraId="65EF173E" w14:textId="77777777" w:rsidTr="00CF485E">
        <w:tc>
          <w:tcPr>
            <w:tcW w:w="2554" w:type="dxa"/>
            <w:tcBorders>
              <w:top w:val="single" w:sz="4" w:space="0" w:color="auto"/>
            </w:tcBorders>
          </w:tcPr>
          <w:p w14:paraId="0D4BF0CD"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The net impact of long-term care insurance</w:t>
            </w:r>
          </w:p>
        </w:tc>
        <w:tc>
          <w:tcPr>
            <w:tcW w:w="1845" w:type="dxa"/>
            <w:tcBorders>
              <w:top w:val="single" w:sz="4" w:space="0" w:color="auto"/>
            </w:tcBorders>
          </w:tcPr>
          <w:p w14:paraId="35619DD3" w14:textId="77777777" w:rsidR="00923F07" w:rsidRPr="001031F8" w:rsidRDefault="00923F07" w:rsidP="001031F8">
            <w:pPr>
              <w:adjustRightInd w:val="0"/>
              <w:snapToGrid w:val="0"/>
              <w:spacing w:line="480" w:lineRule="auto"/>
              <w:jc w:val="center"/>
              <w:textAlignment w:val="baseline"/>
              <w:rPr>
                <w:rFonts w:ascii="Times New Roman" w:hAnsi="Times New Roman" w:cs="Times New Roman"/>
                <w:sz w:val="20"/>
                <w:szCs w:val="20"/>
              </w:rPr>
            </w:pPr>
            <w:r w:rsidRPr="001031F8">
              <w:rPr>
                <w:rFonts w:ascii="Times New Roman" w:hAnsi="Times New Roman" w:cs="Times New Roman"/>
                <w:sz w:val="20"/>
                <w:szCs w:val="20"/>
              </w:rPr>
              <w:t>-0.10*</w:t>
            </w:r>
          </w:p>
          <w:p w14:paraId="7CF067B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(0.04)</w:t>
            </w:r>
          </w:p>
        </w:tc>
        <w:tc>
          <w:tcPr>
            <w:tcW w:w="1843" w:type="dxa"/>
            <w:tcBorders>
              <w:top w:val="single" w:sz="4" w:space="0" w:color="auto"/>
            </w:tcBorders>
          </w:tcPr>
          <w:p w14:paraId="2DC7BCEF" w14:textId="77777777" w:rsidR="00923F07" w:rsidRPr="001031F8" w:rsidRDefault="00923F07" w:rsidP="001031F8">
            <w:pPr>
              <w:adjustRightInd w:val="0"/>
              <w:snapToGrid w:val="0"/>
              <w:spacing w:line="480" w:lineRule="auto"/>
              <w:jc w:val="center"/>
              <w:textAlignment w:val="baseline"/>
              <w:rPr>
                <w:rFonts w:ascii="Times New Roman" w:hAnsi="Times New Roman" w:cs="Times New Roman"/>
                <w:sz w:val="20"/>
                <w:szCs w:val="20"/>
              </w:rPr>
            </w:pPr>
            <w:r w:rsidRPr="001031F8">
              <w:rPr>
                <w:rFonts w:ascii="Times New Roman" w:hAnsi="Times New Roman" w:cs="Times New Roman"/>
                <w:sz w:val="20"/>
                <w:szCs w:val="20"/>
              </w:rPr>
              <w:t>-0.09*</w:t>
            </w:r>
          </w:p>
          <w:p w14:paraId="62A7F490"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(0.04)</w:t>
            </w:r>
          </w:p>
        </w:tc>
        <w:tc>
          <w:tcPr>
            <w:tcW w:w="1843" w:type="dxa"/>
            <w:tcBorders>
              <w:top w:val="single" w:sz="4" w:space="0" w:color="auto"/>
            </w:tcBorders>
          </w:tcPr>
          <w:p w14:paraId="605E2D0D" w14:textId="77777777" w:rsidR="00923F07" w:rsidRPr="001031F8" w:rsidRDefault="00923F07" w:rsidP="001031F8">
            <w:pPr>
              <w:adjustRightInd w:val="0"/>
              <w:snapToGrid w:val="0"/>
              <w:spacing w:line="480" w:lineRule="auto"/>
              <w:jc w:val="center"/>
              <w:textAlignment w:val="baseline"/>
              <w:rPr>
                <w:rFonts w:ascii="Times New Roman" w:hAnsi="Times New Roman" w:cs="Times New Roman"/>
                <w:sz w:val="20"/>
                <w:szCs w:val="20"/>
              </w:rPr>
            </w:pPr>
            <w:r w:rsidRPr="001031F8">
              <w:rPr>
                <w:rFonts w:ascii="Times New Roman" w:hAnsi="Times New Roman" w:cs="Times New Roman"/>
                <w:sz w:val="20"/>
                <w:szCs w:val="20"/>
              </w:rPr>
              <w:t>-0.18***</w:t>
            </w:r>
          </w:p>
          <w:p w14:paraId="17F3256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(0.04)</w:t>
            </w:r>
          </w:p>
        </w:tc>
      </w:tr>
      <w:tr w:rsidR="00923F07" w:rsidRPr="001031F8" w14:paraId="5EC012F1" w14:textId="77777777" w:rsidTr="00CF485E">
        <w:tc>
          <w:tcPr>
            <w:tcW w:w="2554" w:type="dxa"/>
          </w:tcPr>
          <w:p w14:paraId="205B8728"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Age (years)</w:t>
            </w:r>
          </w:p>
        </w:tc>
        <w:tc>
          <w:tcPr>
            <w:tcW w:w="1845" w:type="dxa"/>
          </w:tcPr>
          <w:p w14:paraId="725CD70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6EB13A85"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201EF595"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56EFD197" w14:textId="77777777" w:rsidTr="00CF485E">
        <w:tc>
          <w:tcPr>
            <w:tcW w:w="2554" w:type="dxa"/>
          </w:tcPr>
          <w:p w14:paraId="09A3A223"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658FD27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c>
          <w:tcPr>
            <w:tcW w:w="1843" w:type="dxa"/>
          </w:tcPr>
          <w:p w14:paraId="598ABA9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c>
          <w:tcPr>
            <w:tcW w:w="1843" w:type="dxa"/>
          </w:tcPr>
          <w:p w14:paraId="3A25CB2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r>
      <w:tr w:rsidR="00923F07" w:rsidRPr="001031F8" w14:paraId="0C4ACE35" w14:textId="77777777" w:rsidTr="00CF485E">
        <w:tc>
          <w:tcPr>
            <w:tcW w:w="2554" w:type="dxa"/>
          </w:tcPr>
          <w:p w14:paraId="494864B2"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Gender (Ref: male)</w:t>
            </w:r>
          </w:p>
        </w:tc>
        <w:tc>
          <w:tcPr>
            <w:tcW w:w="1845" w:type="dxa"/>
          </w:tcPr>
          <w:p w14:paraId="794BEE8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c>
          <w:tcPr>
            <w:tcW w:w="1843" w:type="dxa"/>
          </w:tcPr>
          <w:p w14:paraId="7109D60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c>
          <w:tcPr>
            <w:tcW w:w="1843" w:type="dxa"/>
          </w:tcPr>
          <w:p w14:paraId="2163CA0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r>
      <w:tr w:rsidR="00923F07" w:rsidRPr="001031F8" w14:paraId="7953B6A2" w14:textId="77777777" w:rsidTr="00CF485E">
        <w:tc>
          <w:tcPr>
            <w:tcW w:w="2554" w:type="dxa"/>
          </w:tcPr>
          <w:p w14:paraId="2CD5824D"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female</w:t>
            </w:r>
          </w:p>
        </w:tc>
        <w:tc>
          <w:tcPr>
            <w:tcW w:w="1845" w:type="dxa"/>
          </w:tcPr>
          <w:p w14:paraId="15F47C8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c>
          <w:tcPr>
            <w:tcW w:w="1843" w:type="dxa"/>
          </w:tcPr>
          <w:p w14:paraId="5F5ABFA7"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c>
          <w:tcPr>
            <w:tcW w:w="1843" w:type="dxa"/>
          </w:tcPr>
          <w:p w14:paraId="37775DB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r>
      <w:tr w:rsidR="00923F07" w:rsidRPr="001031F8" w14:paraId="1ACACF81" w14:textId="77777777" w:rsidTr="00CF485E">
        <w:tc>
          <w:tcPr>
            <w:tcW w:w="4399" w:type="dxa"/>
            <w:gridSpan w:val="2"/>
          </w:tcPr>
          <w:p w14:paraId="1B924DAE"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Education (Ref:</w:t>
            </w:r>
            <w:r w:rsidRPr="001031F8">
              <w:rPr>
                <w:rFonts w:ascii="Times New Roman" w:hAnsi="Times New Roman" w:cs="Times New Roman"/>
                <w:sz w:val="20"/>
                <w:szCs w:val="20"/>
              </w:rPr>
              <w:t xml:space="preserve"> </w:t>
            </w:r>
            <w:r w:rsidRPr="001031F8">
              <w:rPr>
                <w:rFonts w:ascii="Times New Roman" w:hAnsi="Times New Roman" w:cs="Times New Roman"/>
                <w:kern w:val="0"/>
                <w:sz w:val="20"/>
                <w:szCs w:val="20"/>
              </w:rPr>
              <w:t>no formal education)</w:t>
            </w:r>
          </w:p>
        </w:tc>
        <w:tc>
          <w:tcPr>
            <w:tcW w:w="1843" w:type="dxa"/>
          </w:tcPr>
          <w:p w14:paraId="56BAC42E"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c>
          <w:tcPr>
            <w:tcW w:w="1843" w:type="dxa"/>
          </w:tcPr>
          <w:p w14:paraId="56050CD9"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r>
      <w:tr w:rsidR="00923F07" w:rsidRPr="001031F8" w14:paraId="265F07FE" w14:textId="77777777" w:rsidTr="00CF485E">
        <w:tc>
          <w:tcPr>
            <w:tcW w:w="2554" w:type="dxa"/>
          </w:tcPr>
          <w:p w14:paraId="71874633"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elementary school</w:t>
            </w:r>
          </w:p>
        </w:tc>
        <w:tc>
          <w:tcPr>
            <w:tcW w:w="1845" w:type="dxa"/>
          </w:tcPr>
          <w:p w14:paraId="6D9D178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c>
          <w:tcPr>
            <w:tcW w:w="1843" w:type="dxa"/>
          </w:tcPr>
          <w:p w14:paraId="3E9C5967"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c>
          <w:tcPr>
            <w:tcW w:w="1843" w:type="dxa"/>
          </w:tcPr>
          <w:p w14:paraId="0F1EA9A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r>
      <w:tr w:rsidR="00923F07" w:rsidRPr="001031F8" w14:paraId="6B02342B" w14:textId="77777777" w:rsidTr="00CF485E">
        <w:tc>
          <w:tcPr>
            <w:tcW w:w="2554" w:type="dxa"/>
          </w:tcPr>
          <w:p w14:paraId="26C26814"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middle school or above</w:t>
            </w:r>
          </w:p>
        </w:tc>
        <w:tc>
          <w:tcPr>
            <w:tcW w:w="1845" w:type="dxa"/>
          </w:tcPr>
          <w:p w14:paraId="0B1F81B7"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c>
          <w:tcPr>
            <w:tcW w:w="1843" w:type="dxa"/>
          </w:tcPr>
          <w:p w14:paraId="52BFF0A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c>
          <w:tcPr>
            <w:tcW w:w="1843" w:type="dxa"/>
          </w:tcPr>
          <w:p w14:paraId="2880A9E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r>
      <w:tr w:rsidR="00923F07" w:rsidRPr="001031F8" w14:paraId="0C17B2D8" w14:textId="77777777" w:rsidTr="00CF485E">
        <w:tc>
          <w:tcPr>
            <w:tcW w:w="4399" w:type="dxa"/>
            <w:gridSpan w:val="2"/>
          </w:tcPr>
          <w:p w14:paraId="4E983322"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kern w:val="0"/>
                <w:sz w:val="20"/>
                <w:szCs w:val="20"/>
              </w:rPr>
              <w:t>Place of residence (Ref: urban areas)</w:t>
            </w:r>
          </w:p>
        </w:tc>
        <w:tc>
          <w:tcPr>
            <w:tcW w:w="1843" w:type="dxa"/>
          </w:tcPr>
          <w:p w14:paraId="3FEE6D3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p>
        </w:tc>
        <w:tc>
          <w:tcPr>
            <w:tcW w:w="1843" w:type="dxa"/>
          </w:tcPr>
          <w:p w14:paraId="38E0332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p>
        </w:tc>
      </w:tr>
      <w:tr w:rsidR="00923F07" w:rsidRPr="001031F8" w14:paraId="379FE979" w14:textId="77777777" w:rsidTr="00CF485E">
        <w:tc>
          <w:tcPr>
            <w:tcW w:w="2554" w:type="dxa"/>
          </w:tcPr>
          <w:p w14:paraId="0434C11E"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rural areas</w:t>
            </w:r>
          </w:p>
        </w:tc>
        <w:tc>
          <w:tcPr>
            <w:tcW w:w="1845" w:type="dxa"/>
          </w:tcPr>
          <w:p w14:paraId="76E15BA9"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sz w:val="20"/>
                <w:szCs w:val="20"/>
              </w:rPr>
              <w:t>N.A.</w:t>
            </w:r>
          </w:p>
        </w:tc>
        <w:tc>
          <w:tcPr>
            <w:tcW w:w="1843" w:type="dxa"/>
          </w:tcPr>
          <w:p w14:paraId="3E86525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sz w:val="20"/>
                <w:szCs w:val="20"/>
              </w:rPr>
              <w:t>N.A.</w:t>
            </w:r>
          </w:p>
        </w:tc>
        <w:tc>
          <w:tcPr>
            <w:tcW w:w="1843" w:type="dxa"/>
          </w:tcPr>
          <w:p w14:paraId="42119578"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sz w:val="20"/>
                <w:szCs w:val="20"/>
              </w:rPr>
              <w:t>N.A.</w:t>
            </w:r>
          </w:p>
        </w:tc>
      </w:tr>
      <w:tr w:rsidR="00923F07" w:rsidRPr="001031F8" w14:paraId="16C3671B" w14:textId="77777777" w:rsidTr="00CF485E">
        <w:tc>
          <w:tcPr>
            <w:tcW w:w="2554" w:type="dxa"/>
          </w:tcPr>
          <w:p w14:paraId="0CCC885F"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1D986DF2"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sz w:val="20"/>
                <w:szCs w:val="20"/>
              </w:rPr>
              <w:t>N.A.</w:t>
            </w:r>
          </w:p>
        </w:tc>
        <w:tc>
          <w:tcPr>
            <w:tcW w:w="1843" w:type="dxa"/>
          </w:tcPr>
          <w:p w14:paraId="7BBE90B0"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sz w:val="20"/>
                <w:szCs w:val="20"/>
              </w:rPr>
              <w:t>N.A.</w:t>
            </w:r>
          </w:p>
        </w:tc>
        <w:tc>
          <w:tcPr>
            <w:tcW w:w="1843" w:type="dxa"/>
          </w:tcPr>
          <w:p w14:paraId="58C19D7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sz w:val="20"/>
                <w:szCs w:val="20"/>
              </w:rPr>
              <w:t>N.A.</w:t>
            </w:r>
          </w:p>
        </w:tc>
      </w:tr>
      <w:tr w:rsidR="00923F07" w:rsidRPr="001031F8" w14:paraId="422C1B1D" w14:textId="77777777" w:rsidTr="00CF485E">
        <w:tc>
          <w:tcPr>
            <w:tcW w:w="2554" w:type="dxa"/>
          </w:tcPr>
          <w:p w14:paraId="61572E1B"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Household expenditures</w:t>
            </w:r>
          </w:p>
        </w:tc>
        <w:tc>
          <w:tcPr>
            <w:tcW w:w="1845" w:type="dxa"/>
          </w:tcPr>
          <w:p w14:paraId="68909D98"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kern w:val="0"/>
                <w:sz w:val="20"/>
                <w:szCs w:val="20"/>
              </w:rPr>
              <w:t>-0.01**</w:t>
            </w:r>
          </w:p>
        </w:tc>
        <w:tc>
          <w:tcPr>
            <w:tcW w:w="1843" w:type="dxa"/>
          </w:tcPr>
          <w:p w14:paraId="0EFABD9E"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kern w:val="0"/>
                <w:sz w:val="20"/>
                <w:szCs w:val="20"/>
              </w:rPr>
              <w:t>-0.01***</w:t>
            </w:r>
          </w:p>
        </w:tc>
        <w:tc>
          <w:tcPr>
            <w:tcW w:w="1843" w:type="dxa"/>
          </w:tcPr>
          <w:p w14:paraId="4449115E"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kern w:val="0"/>
                <w:sz w:val="20"/>
                <w:szCs w:val="20"/>
              </w:rPr>
              <w:t>-0.01*</w:t>
            </w:r>
          </w:p>
        </w:tc>
      </w:tr>
      <w:tr w:rsidR="00923F07" w:rsidRPr="001031F8" w14:paraId="64760E90" w14:textId="77777777" w:rsidTr="00CF485E">
        <w:tc>
          <w:tcPr>
            <w:tcW w:w="2554" w:type="dxa"/>
          </w:tcPr>
          <w:p w14:paraId="31190AD1"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28C0C14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kern w:val="0"/>
                <w:sz w:val="20"/>
                <w:szCs w:val="20"/>
              </w:rPr>
              <w:t>(&lt;0.01)</w:t>
            </w:r>
          </w:p>
        </w:tc>
        <w:tc>
          <w:tcPr>
            <w:tcW w:w="1843" w:type="dxa"/>
          </w:tcPr>
          <w:p w14:paraId="05C29F7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kern w:val="0"/>
                <w:sz w:val="20"/>
                <w:szCs w:val="20"/>
              </w:rPr>
              <w:t>(&lt;0.01)</w:t>
            </w:r>
          </w:p>
        </w:tc>
        <w:tc>
          <w:tcPr>
            <w:tcW w:w="1843" w:type="dxa"/>
          </w:tcPr>
          <w:p w14:paraId="166CBC07"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kern w:val="0"/>
                <w:sz w:val="20"/>
                <w:szCs w:val="20"/>
              </w:rPr>
              <w:t>(&lt;0.01)</w:t>
            </w:r>
          </w:p>
        </w:tc>
      </w:tr>
      <w:tr w:rsidR="00923F07" w:rsidRPr="001031F8" w14:paraId="1A210698" w14:textId="77777777" w:rsidTr="00CF485E">
        <w:tc>
          <w:tcPr>
            <w:tcW w:w="6242" w:type="dxa"/>
            <w:gridSpan w:val="3"/>
          </w:tcPr>
          <w:p w14:paraId="2019A918"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Marital status (Ref: married or cohabiting)</w:t>
            </w:r>
          </w:p>
        </w:tc>
        <w:tc>
          <w:tcPr>
            <w:tcW w:w="1843" w:type="dxa"/>
          </w:tcPr>
          <w:p w14:paraId="1378BE1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r>
      <w:tr w:rsidR="00923F07" w:rsidRPr="001031F8" w14:paraId="3D8B3928" w14:textId="77777777" w:rsidTr="00CF485E">
        <w:tc>
          <w:tcPr>
            <w:tcW w:w="2554" w:type="dxa"/>
          </w:tcPr>
          <w:p w14:paraId="0006BC54"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other</w:t>
            </w:r>
          </w:p>
        </w:tc>
        <w:tc>
          <w:tcPr>
            <w:tcW w:w="1845" w:type="dxa"/>
          </w:tcPr>
          <w:p w14:paraId="1D73A47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7878C9F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4CE9B9D7"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40624442" w14:textId="77777777" w:rsidTr="00CF485E">
        <w:tc>
          <w:tcPr>
            <w:tcW w:w="2554" w:type="dxa"/>
          </w:tcPr>
          <w:p w14:paraId="211C9B62"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6181CEFF"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4BEF090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2C39CC60"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4B2AB15D" w14:textId="77777777" w:rsidTr="00CF485E">
        <w:tc>
          <w:tcPr>
            <w:tcW w:w="4399" w:type="dxa"/>
            <w:gridSpan w:val="2"/>
          </w:tcPr>
          <w:p w14:paraId="14E17976"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Self-rated health (Ref: good)</w:t>
            </w:r>
          </w:p>
        </w:tc>
        <w:tc>
          <w:tcPr>
            <w:tcW w:w="1843" w:type="dxa"/>
          </w:tcPr>
          <w:p w14:paraId="28FD6368"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c>
          <w:tcPr>
            <w:tcW w:w="1843" w:type="dxa"/>
          </w:tcPr>
          <w:p w14:paraId="1BDB67D2"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r>
      <w:tr w:rsidR="00923F07" w:rsidRPr="001031F8" w14:paraId="5D88403E" w14:textId="77777777" w:rsidTr="00CF485E">
        <w:tc>
          <w:tcPr>
            <w:tcW w:w="2554" w:type="dxa"/>
          </w:tcPr>
          <w:p w14:paraId="3FE320F7"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rPr>
              <w:t>fair</w:t>
            </w:r>
          </w:p>
        </w:tc>
        <w:tc>
          <w:tcPr>
            <w:tcW w:w="1845" w:type="dxa"/>
          </w:tcPr>
          <w:p w14:paraId="077477F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1A2A856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6C4CE8B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r>
      <w:tr w:rsidR="00923F07" w:rsidRPr="001031F8" w14:paraId="216C71C8" w14:textId="77777777" w:rsidTr="00CF485E">
        <w:tc>
          <w:tcPr>
            <w:tcW w:w="2554" w:type="dxa"/>
          </w:tcPr>
          <w:p w14:paraId="4F15784B"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05B4B30F"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004609D0"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19F32F5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r>
      <w:tr w:rsidR="00923F07" w:rsidRPr="001031F8" w14:paraId="64184978" w14:textId="77777777" w:rsidTr="00CF485E">
        <w:tc>
          <w:tcPr>
            <w:tcW w:w="2554" w:type="dxa"/>
          </w:tcPr>
          <w:p w14:paraId="5855BE95"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bad</w:t>
            </w:r>
          </w:p>
        </w:tc>
        <w:tc>
          <w:tcPr>
            <w:tcW w:w="1845" w:type="dxa"/>
          </w:tcPr>
          <w:p w14:paraId="6C7D3DA2"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0.05**</w:t>
            </w:r>
          </w:p>
        </w:tc>
        <w:tc>
          <w:tcPr>
            <w:tcW w:w="1843" w:type="dxa"/>
          </w:tcPr>
          <w:p w14:paraId="1BB2521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0.04**</w:t>
            </w:r>
          </w:p>
        </w:tc>
        <w:tc>
          <w:tcPr>
            <w:tcW w:w="1843" w:type="dxa"/>
          </w:tcPr>
          <w:p w14:paraId="2303CE9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0.05**</w:t>
            </w:r>
          </w:p>
        </w:tc>
      </w:tr>
      <w:tr w:rsidR="00923F07" w:rsidRPr="001031F8" w14:paraId="27BE3F78" w14:textId="77777777" w:rsidTr="00CF485E">
        <w:tc>
          <w:tcPr>
            <w:tcW w:w="2554" w:type="dxa"/>
          </w:tcPr>
          <w:p w14:paraId="12C774A9"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08D338B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2A3446C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328B5EBD"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2AADF345" w14:textId="77777777" w:rsidTr="00CF485E">
        <w:tc>
          <w:tcPr>
            <w:tcW w:w="2554" w:type="dxa"/>
            <w:vMerge w:val="restart"/>
          </w:tcPr>
          <w:p w14:paraId="4895AB05"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Number of ADL/IADL </w:t>
            </w:r>
            <w:r w:rsidRPr="001031F8">
              <w:rPr>
                <w:rFonts w:ascii="Times New Roman" w:hAnsi="Times New Roman" w:cs="Times New Roman"/>
                <w:kern w:val="0"/>
                <w:sz w:val="20"/>
                <w:szCs w:val="20"/>
              </w:rPr>
              <w:lastRenderedPageBreak/>
              <w:t>limitations</w:t>
            </w:r>
          </w:p>
        </w:tc>
        <w:tc>
          <w:tcPr>
            <w:tcW w:w="1845" w:type="dxa"/>
          </w:tcPr>
          <w:p w14:paraId="30CEC32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lastRenderedPageBreak/>
              <w:t>0.12**</w:t>
            </w:r>
          </w:p>
        </w:tc>
        <w:tc>
          <w:tcPr>
            <w:tcW w:w="1843" w:type="dxa"/>
          </w:tcPr>
          <w:p w14:paraId="0721449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0.12***</w:t>
            </w:r>
          </w:p>
        </w:tc>
        <w:tc>
          <w:tcPr>
            <w:tcW w:w="1843" w:type="dxa"/>
          </w:tcPr>
          <w:p w14:paraId="2251797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0.12***</w:t>
            </w:r>
          </w:p>
        </w:tc>
      </w:tr>
      <w:tr w:rsidR="00923F07" w:rsidRPr="001031F8" w14:paraId="459D258F" w14:textId="77777777" w:rsidTr="00CF485E">
        <w:tc>
          <w:tcPr>
            <w:tcW w:w="2554" w:type="dxa"/>
            <w:vMerge/>
          </w:tcPr>
          <w:p w14:paraId="6E5A6F83"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1E74DF7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04ACA66E"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6E797C29"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r>
      <w:tr w:rsidR="00923F07" w:rsidRPr="001031F8" w14:paraId="4295347C" w14:textId="77777777" w:rsidTr="00CF485E">
        <w:tc>
          <w:tcPr>
            <w:tcW w:w="4399" w:type="dxa"/>
            <w:gridSpan w:val="2"/>
          </w:tcPr>
          <w:p w14:paraId="38B6B1BF"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Type of Social Health Insurance</w:t>
            </w:r>
          </w:p>
        </w:tc>
        <w:tc>
          <w:tcPr>
            <w:tcW w:w="1843" w:type="dxa"/>
          </w:tcPr>
          <w:p w14:paraId="53CDBB3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c>
          <w:tcPr>
            <w:tcW w:w="1843" w:type="dxa"/>
          </w:tcPr>
          <w:p w14:paraId="1693E3C2"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r>
      <w:tr w:rsidR="00923F07" w:rsidRPr="001031F8" w14:paraId="06FD0A9F" w14:textId="77777777" w:rsidTr="00CF485E">
        <w:tc>
          <w:tcPr>
            <w:tcW w:w="2554" w:type="dxa"/>
          </w:tcPr>
          <w:p w14:paraId="710B5CEC"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UEI</w:t>
            </w:r>
          </w:p>
        </w:tc>
        <w:tc>
          <w:tcPr>
            <w:tcW w:w="1845" w:type="dxa"/>
          </w:tcPr>
          <w:p w14:paraId="5BF8CECE"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0.04</w:t>
            </w:r>
          </w:p>
        </w:tc>
        <w:tc>
          <w:tcPr>
            <w:tcW w:w="1843" w:type="dxa"/>
          </w:tcPr>
          <w:p w14:paraId="7322A57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13322D35"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0.04</w:t>
            </w:r>
          </w:p>
        </w:tc>
      </w:tr>
      <w:tr w:rsidR="00923F07" w:rsidRPr="001031F8" w14:paraId="34B72309" w14:textId="77777777" w:rsidTr="00CF485E">
        <w:tc>
          <w:tcPr>
            <w:tcW w:w="2554" w:type="dxa"/>
          </w:tcPr>
          <w:p w14:paraId="348D2A5D"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269EF8E5"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3BBF2B2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2FE664D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r>
      <w:tr w:rsidR="00923F07" w:rsidRPr="001031F8" w14:paraId="09C7AA99" w14:textId="77777777" w:rsidTr="00CF485E">
        <w:tc>
          <w:tcPr>
            <w:tcW w:w="2554" w:type="dxa"/>
          </w:tcPr>
          <w:p w14:paraId="70C7DA12"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rPr>
              <w:t>URI</w:t>
            </w:r>
          </w:p>
        </w:tc>
        <w:tc>
          <w:tcPr>
            <w:tcW w:w="1845" w:type="dxa"/>
          </w:tcPr>
          <w:p w14:paraId="3E05E185"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02A9844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3C43A2C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r>
      <w:tr w:rsidR="00923F07" w:rsidRPr="001031F8" w14:paraId="4C159CE4" w14:textId="77777777" w:rsidTr="00CF485E">
        <w:tc>
          <w:tcPr>
            <w:tcW w:w="2554" w:type="dxa"/>
          </w:tcPr>
          <w:p w14:paraId="4BE869F3"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2E357C39"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54EB7497"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67E4B58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(0.04)</w:t>
            </w:r>
          </w:p>
        </w:tc>
      </w:tr>
      <w:tr w:rsidR="00923F07" w:rsidRPr="001031F8" w14:paraId="6E9080A0" w14:textId="77777777" w:rsidTr="00CF485E">
        <w:tc>
          <w:tcPr>
            <w:tcW w:w="2554" w:type="dxa"/>
          </w:tcPr>
          <w:p w14:paraId="7430B948"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14:ligatures w14:val="none"/>
              </w:rPr>
              <w:t>NCMS</w:t>
            </w:r>
          </w:p>
        </w:tc>
        <w:tc>
          <w:tcPr>
            <w:tcW w:w="1845" w:type="dxa"/>
          </w:tcPr>
          <w:p w14:paraId="0C40F2ED"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0.04</w:t>
            </w:r>
          </w:p>
        </w:tc>
        <w:tc>
          <w:tcPr>
            <w:tcW w:w="1843" w:type="dxa"/>
          </w:tcPr>
          <w:p w14:paraId="32B413A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41622E2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0.05*</w:t>
            </w:r>
          </w:p>
        </w:tc>
      </w:tr>
      <w:tr w:rsidR="00923F07" w:rsidRPr="001031F8" w14:paraId="6ACE07E9" w14:textId="77777777" w:rsidTr="00CF485E">
        <w:tc>
          <w:tcPr>
            <w:tcW w:w="2554" w:type="dxa"/>
          </w:tcPr>
          <w:p w14:paraId="38A375C2"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71E96239"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216A213D"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7F89F6CD"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3586EB6E" w14:textId="77777777" w:rsidTr="00CF485E">
        <w:tc>
          <w:tcPr>
            <w:tcW w:w="2554" w:type="dxa"/>
          </w:tcPr>
          <w:p w14:paraId="7D127625"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w:t>
            </w:r>
            <w:r w:rsidRPr="001031F8">
              <w:rPr>
                <w:rFonts w:ascii="Times New Roman" w:hAnsi="Times New Roman" w:cs="Times New Roman"/>
                <w:kern w:val="0"/>
                <w:sz w:val="20"/>
                <w:szCs w:val="20"/>
                <w14:ligatures w14:val="none"/>
              </w:rPr>
              <w:t>URRMI</w:t>
            </w:r>
          </w:p>
        </w:tc>
        <w:tc>
          <w:tcPr>
            <w:tcW w:w="1845" w:type="dxa"/>
          </w:tcPr>
          <w:p w14:paraId="484B5710"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0D57D0C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7CF09B68"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r>
      <w:tr w:rsidR="00923F07" w:rsidRPr="001031F8" w14:paraId="73AA539F" w14:textId="77777777" w:rsidTr="00CF485E">
        <w:tc>
          <w:tcPr>
            <w:tcW w:w="2554" w:type="dxa"/>
          </w:tcPr>
          <w:p w14:paraId="14029E2D"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437AD53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5A51EFD9"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146B4E5F"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(0.04)</w:t>
            </w:r>
          </w:p>
        </w:tc>
      </w:tr>
      <w:tr w:rsidR="00923F07" w:rsidRPr="001031F8" w14:paraId="4513DCF1" w14:textId="77777777" w:rsidTr="00CF485E">
        <w:tc>
          <w:tcPr>
            <w:tcW w:w="2554" w:type="dxa"/>
          </w:tcPr>
          <w:p w14:paraId="6856F50B"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other</w:t>
            </w:r>
          </w:p>
        </w:tc>
        <w:tc>
          <w:tcPr>
            <w:tcW w:w="1845" w:type="dxa"/>
          </w:tcPr>
          <w:p w14:paraId="6B03919E"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02F6467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3CF95A8E"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r>
      <w:tr w:rsidR="00923F07" w:rsidRPr="001031F8" w14:paraId="1EAE3464" w14:textId="77777777" w:rsidTr="00CF485E">
        <w:tc>
          <w:tcPr>
            <w:tcW w:w="2554" w:type="dxa"/>
          </w:tcPr>
          <w:p w14:paraId="260FF4DA"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4D3106DE"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6CE14AE9"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1A03CBCD"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r>
      <w:tr w:rsidR="00923F07" w:rsidRPr="001031F8" w14:paraId="32A31A42" w14:textId="77777777" w:rsidTr="00CF485E">
        <w:tc>
          <w:tcPr>
            <w:tcW w:w="2554" w:type="dxa"/>
            <w:vMerge w:val="restart"/>
          </w:tcPr>
          <w:p w14:paraId="1C1CADA8"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Depressive symptoms score</w:t>
            </w:r>
          </w:p>
        </w:tc>
        <w:tc>
          <w:tcPr>
            <w:tcW w:w="1845" w:type="dxa"/>
          </w:tcPr>
          <w:p w14:paraId="133ECAE5"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c>
          <w:tcPr>
            <w:tcW w:w="1843" w:type="dxa"/>
          </w:tcPr>
          <w:p w14:paraId="6AFA63E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c>
          <w:tcPr>
            <w:tcW w:w="1843" w:type="dxa"/>
          </w:tcPr>
          <w:p w14:paraId="22D72495"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r>
      <w:tr w:rsidR="00923F07" w:rsidRPr="001031F8" w14:paraId="0DCBA330" w14:textId="77777777" w:rsidTr="00CF485E">
        <w:tc>
          <w:tcPr>
            <w:tcW w:w="2554" w:type="dxa"/>
            <w:vMerge/>
          </w:tcPr>
          <w:p w14:paraId="36331D4F"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61F8368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c>
          <w:tcPr>
            <w:tcW w:w="1843" w:type="dxa"/>
          </w:tcPr>
          <w:p w14:paraId="0A5139F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c>
          <w:tcPr>
            <w:tcW w:w="1843" w:type="dxa"/>
          </w:tcPr>
          <w:p w14:paraId="692A1099"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r>
      <w:tr w:rsidR="00923F07" w:rsidRPr="001031F8" w14:paraId="219B76CE" w14:textId="77777777" w:rsidTr="00CF485E">
        <w:tc>
          <w:tcPr>
            <w:tcW w:w="4399" w:type="dxa"/>
            <w:gridSpan w:val="2"/>
          </w:tcPr>
          <w:p w14:paraId="5840279A"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Year </w:t>
            </w:r>
            <w:r w:rsidRPr="001031F8">
              <w:rPr>
                <w:rFonts w:ascii="Times New Roman" w:hAnsi="Times New Roman" w:cs="Times New Roman"/>
                <w:kern w:val="0"/>
                <w:sz w:val="20"/>
                <w:szCs w:val="20"/>
                <w14:ligatures w14:val="none"/>
              </w:rPr>
              <w:t>f</w:t>
            </w:r>
            <w:r w:rsidRPr="001031F8">
              <w:rPr>
                <w:rFonts w:ascii="Times New Roman" w:hAnsi="Times New Roman" w:cs="Times New Roman"/>
                <w:sz w:val="20"/>
                <w:szCs w:val="20"/>
              </w:rPr>
              <w:t xml:space="preserve">ixed effects </w:t>
            </w:r>
          </w:p>
        </w:tc>
        <w:tc>
          <w:tcPr>
            <w:tcW w:w="1843" w:type="dxa"/>
          </w:tcPr>
          <w:p w14:paraId="303C1D82"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c>
          <w:tcPr>
            <w:tcW w:w="1843" w:type="dxa"/>
          </w:tcPr>
          <w:p w14:paraId="0D44C08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r>
      <w:tr w:rsidR="00923F07" w:rsidRPr="001031F8" w14:paraId="68DFCB0C" w14:textId="77777777" w:rsidTr="00CF485E">
        <w:tc>
          <w:tcPr>
            <w:tcW w:w="2554" w:type="dxa"/>
          </w:tcPr>
          <w:p w14:paraId="64297C4C"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rPr>
              <w:t>2013</w:t>
            </w:r>
          </w:p>
        </w:tc>
        <w:tc>
          <w:tcPr>
            <w:tcW w:w="1845" w:type="dxa"/>
          </w:tcPr>
          <w:p w14:paraId="26926A0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-0.09***</w:t>
            </w:r>
          </w:p>
        </w:tc>
        <w:tc>
          <w:tcPr>
            <w:tcW w:w="1843" w:type="dxa"/>
          </w:tcPr>
          <w:p w14:paraId="59FAFA3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-0.09***</w:t>
            </w:r>
          </w:p>
        </w:tc>
        <w:tc>
          <w:tcPr>
            <w:tcW w:w="1843" w:type="dxa"/>
          </w:tcPr>
          <w:p w14:paraId="0C5D0D9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-0.09***</w:t>
            </w:r>
          </w:p>
        </w:tc>
      </w:tr>
      <w:tr w:rsidR="00923F07" w:rsidRPr="001031F8" w14:paraId="681FE1B1" w14:textId="77777777" w:rsidTr="00CF485E">
        <w:tc>
          <w:tcPr>
            <w:tcW w:w="2554" w:type="dxa"/>
          </w:tcPr>
          <w:p w14:paraId="6C7D8018"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25A818C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3CCB27BE"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58C06642"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r>
      <w:tr w:rsidR="00923F07" w:rsidRPr="001031F8" w14:paraId="4A2B722C" w14:textId="77777777" w:rsidTr="00CF485E">
        <w:tc>
          <w:tcPr>
            <w:tcW w:w="2554" w:type="dxa"/>
          </w:tcPr>
          <w:p w14:paraId="2A223CD6"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rPr>
              <w:t>2015</w:t>
            </w:r>
          </w:p>
        </w:tc>
        <w:tc>
          <w:tcPr>
            <w:tcW w:w="1845" w:type="dxa"/>
          </w:tcPr>
          <w:p w14:paraId="7E84A90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4255F9E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77607312"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r>
      <w:tr w:rsidR="00923F07" w:rsidRPr="001031F8" w14:paraId="4B9D4EDF" w14:textId="77777777" w:rsidTr="00CF485E">
        <w:tc>
          <w:tcPr>
            <w:tcW w:w="2554" w:type="dxa"/>
          </w:tcPr>
          <w:p w14:paraId="7FC7ECE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33D861D7"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0F2E3BC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7BB78CB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r>
      <w:tr w:rsidR="00923F07" w:rsidRPr="001031F8" w14:paraId="150D4051" w14:textId="77777777" w:rsidTr="00CF485E">
        <w:tc>
          <w:tcPr>
            <w:tcW w:w="2554" w:type="dxa"/>
          </w:tcPr>
          <w:p w14:paraId="6CE7A27E"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rPr>
              <w:t>2018</w:t>
            </w:r>
          </w:p>
        </w:tc>
        <w:tc>
          <w:tcPr>
            <w:tcW w:w="1845" w:type="dxa"/>
          </w:tcPr>
          <w:p w14:paraId="0D51A1AE"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N.A.</w:t>
            </w:r>
          </w:p>
        </w:tc>
        <w:tc>
          <w:tcPr>
            <w:tcW w:w="1843" w:type="dxa"/>
          </w:tcPr>
          <w:p w14:paraId="0FB444E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N.A.</w:t>
            </w:r>
          </w:p>
        </w:tc>
        <w:tc>
          <w:tcPr>
            <w:tcW w:w="1843" w:type="dxa"/>
          </w:tcPr>
          <w:p w14:paraId="11C3868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N.A.</w:t>
            </w:r>
          </w:p>
        </w:tc>
      </w:tr>
      <w:tr w:rsidR="00923F07" w:rsidRPr="001031F8" w14:paraId="7D97D99C" w14:textId="77777777" w:rsidTr="00CF485E">
        <w:tc>
          <w:tcPr>
            <w:tcW w:w="2554" w:type="dxa"/>
            <w:tcBorders>
              <w:bottom w:val="nil"/>
            </w:tcBorders>
          </w:tcPr>
          <w:p w14:paraId="38691148"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Constant</w:t>
            </w:r>
          </w:p>
        </w:tc>
        <w:tc>
          <w:tcPr>
            <w:tcW w:w="1845" w:type="dxa"/>
            <w:tcBorders>
              <w:bottom w:val="nil"/>
            </w:tcBorders>
          </w:tcPr>
          <w:p w14:paraId="31C8D74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-1.18***</w:t>
            </w:r>
          </w:p>
        </w:tc>
        <w:tc>
          <w:tcPr>
            <w:tcW w:w="1843" w:type="dxa"/>
            <w:tcBorders>
              <w:bottom w:val="nil"/>
            </w:tcBorders>
          </w:tcPr>
          <w:p w14:paraId="00F80D7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-1.14***</w:t>
            </w:r>
          </w:p>
        </w:tc>
        <w:tc>
          <w:tcPr>
            <w:tcW w:w="1843" w:type="dxa"/>
            <w:tcBorders>
              <w:bottom w:val="nil"/>
            </w:tcBorders>
          </w:tcPr>
          <w:p w14:paraId="4728A6E7"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-1.53***</w:t>
            </w:r>
          </w:p>
        </w:tc>
      </w:tr>
      <w:tr w:rsidR="00923F07" w:rsidRPr="001031F8" w14:paraId="2BF63B03" w14:textId="77777777" w:rsidTr="00CF485E">
        <w:tc>
          <w:tcPr>
            <w:tcW w:w="2554" w:type="dxa"/>
            <w:tcBorders>
              <w:top w:val="nil"/>
              <w:bottom w:val="single" w:sz="4" w:space="0" w:color="auto"/>
            </w:tcBorders>
          </w:tcPr>
          <w:p w14:paraId="45843E5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Borders>
              <w:top w:val="nil"/>
              <w:bottom w:val="single" w:sz="4" w:space="0" w:color="auto"/>
            </w:tcBorders>
          </w:tcPr>
          <w:p w14:paraId="7D58756E"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(0.11)</w:t>
            </w:r>
          </w:p>
        </w:tc>
        <w:tc>
          <w:tcPr>
            <w:tcW w:w="1843" w:type="dxa"/>
            <w:tcBorders>
              <w:top w:val="nil"/>
              <w:bottom w:val="single" w:sz="4" w:space="0" w:color="auto"/>
            </w:tcBorders>
          </w:tcPr>
          <w:p w14:paraId="459DF765"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(0.11)</w:t>
            </w:r>
          </w:p>
        </w:tc>
        <w:tc>
          <w:tcPr>
            <w:tcW w:w="1843" w:type="dxa"/>
            <w:tcBorders>
              <w:top w:val="nil"/>
              <w:bottom w:val="single" w:sz="4" w:space="0" w:color="auto"/>
            </w:tcBorders>
          </w:tcPr>
          <w:p w14:paraId="5828B009"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(0.12)</w:t>
            </w:r>
          </w:p>
        </w:tc>
      </w:tr>
      <w:tr w:rsidR="00923F07" w:rsidRPr="001031F8" w14:paraId="02786516" w14:textId="77777777" w:rsidTr="00CF485E">
        <w:tblPrEx>
          <w:jc w:val="center"/>
          <w:tblInd w:w="0" w:type="dxa"/>
        </w:tblPrEx>
        <w:trPr>
          <w:jc w:val="center"/>
        </w:trPr>
        <w:tc>
          <w:tcPr>
            <w:tcW w:w="2554" w:type="dxa"/>
            <w:tcBorders>
              <w:top w:val="single" w:sz="4" w:space="0" w:color="auto"/>
            </w:tcBorders>
            <w:hideMark/>
          </w:tcPr>
          <w:p w14:paraId="2042B197" w14:textId="77777777" w:rsidR="00923F07" w:rsidRPr="001031F8" w:rsidRDefault="00923F07" w:rsidP="001031F8">
            <w:pPr>
              <w:adjustRightInd w:val="0"/>
              <w:snapToGrid w:val="0"/>
              <w:spacing w:line="480" w:lineRule="auto"/>
              <w:jc w:val="left"/>
              <w:textAlignment w:val="baseline"/>
              <w:rPr>
                <w:rFonts w:ascii="Times New Roman" w:hAnsi="Times New Roman" w:cs="Times New Roman"/>
                <w:sz w:val="20"/>
                <w:szCs w:val="20"/>
              </w:rPr>
            </w:pPr>
            <w:r w:rsidRPr="001031F8">
              <w:rPr>
                <w:rFonts w:ascii="Times New Roman" w:hAnsi="Times New Roman" w:cs="Times New Roman"/>
                <w:sz w:val="20"/>
                <w:szCs w:val="20"/>
              </w:rPr>
              <w:t>Individuals fixed effects</w:t>
            </w:r>
          </w:p>
        </w:tc>
        <w:tc>
          <w:tcPr>
            <w:tcW w:w="1845" w:type="dxa"/>
            <w:tcBorders>
              <w:top w:val="single" w:sz="4" w:space="0" w:color="auto"/>
            </w:tcBorders>
            <w:hideMark/>
          </w:tcPr>
          <w:p w14:paraId="39A3BCFB" w14:textId="77777777" w:rsidR="00923F07" w:rsidRPr="001031F8" w:rsidRDefault="00923F07" w:rsidP="001031F8">
            <w:pPr>
              <w:adjustRightInd w:val="0"/>
              <w:snapToGrid w:val="0"/>
              <w:spacing w:line="480" w:lineRule="auto"/>
              <w:jc w:val="center"/>
              <w:textAlignment w:val="baseline"/>
              <w:rPr>
                <w:rFonts w:ascii="Times New Roman" w:hAnsi="Times New Roman" w:cs="Times New Roman"/>
                <w:sz w:val="20"/>
                <w:szCs w:val="20"/>
              </w:rPr>
            </w:pPr>
            <w:r w:rsidRPr="001031F8">
              <w:rPr>
                <w:rFonts w:ascii="Times New Roman" w:hAnsi="Times New Roman" w:cs="Times New Roman"/>
                <w:sz w:val="20"/>
                <w:szCs w:val="20"/>
              </w:rPr>
              <w:t>Yes</w:t>
            </w:r>
          </w:p>
        </w:tc>
        <w:tc>
          <w:tcPr>
            <w:tcW w:w="1843" w:type="dxa"/>
            <w:tcBorders>
              <w:top w:val="single" w:sz="4" w:space="0" w:color="auto"/>
            </w:tcBorders>
            <w:hideMark/>
          </w:tcPr>
          <w:p w14:paraId="5995BBD4" w14:textId="77777777" w:rsidR="00923F07" w:rsidRPr="001031F8" w:rsidRDefault="00923F07" w:rsidP="001031F8">
            <w:pPr>
              <w:adjustRightInd w:val="0"/>
              <w:snapToGrid w:val="0"/>
              <w:spacing w:line="480" w:lineRule="auto"/>
              <w:jc w:val="center"/>
              <w:textAlignment w:val="baseline"/>
              <w:rPr>
                <w:rFonts w:ascii="Times New Roman" w:hAnsi="Times New Roman" w:cs="Times New Roman"/>
                <w:sz w:val="20"/>
                <w:szCs w:val="20"/>
              </w:rPr>
            </w:pPr>
            <w:r w:rsidRPr="001031F8">
              <w:rPr>
                <w:rFonts w:ascii="Times New Roman" w:hAnsi="Times New Roman" w:cs="Times New Roman"/>
                <w:sz w:val="20"/>
                <w:szCs w:val="20"/>
              </w:rPr>
              <w:t>Yes</w:t>
            </w:r>
          </w:p>
        </w:tc>
        <w:tc>
          <w:tcPr>
            <w:tcW w:w="1843" w:type="dxa"/>
            <w:tcBorders>
              <w:top w:val="single" w:sz="4" w:space="0" w:color="auto"/>
            </w:tcBorders>
            <w:hideMark/>
          </w:tcPr>
          <w:p w14:paraId="60539B44" w14:textId="77777777" w:rsidR="00923F07" w:rsidRPr="001031F8" w:rsidRDefault="00923F07" w:rsidP="001031F8">
            <w:pPr>
              <w:adjustRightInd w:val="0"/>
              <w:snapToGrid w:val="0"/>
              <w:spacing w:line="480" w:lineRule="auto"/>
              <w:jc w:val="center"/>
              <w:textAlignment w:val="baseline"/>
              <w:rPr>
                <w:rFonts w:ascii="Times New Roman" w:hAnsi="Times New Roman" w:cs="Times New Roman"/>
                <w:sz w:val="20"/>
                <w:szCs w:val="20"/>
              </w:rPr>
            </w:pPr>
            <w:r w:rsidRPr="001031F8">
              <w:rPr>
                <w:rFonts w:ascii="Times New Roman" w:hAnsi="Times New Roman" w:cs="Times New Roman"/>
                <w:sz w:val="20"/>
                <w:szCs w:val="20"/>
              </w:rPr>
              <w:t>Yes</w:t>
            </w:r>
          </w:p>
        </w:tc>
      </w:tr>
    </w:tbl>
    <w:p w14:paraId="5FCAA740" w14:textId="77777777" w:rsidR="00923F07" w:rsidRPr="0027559B" w:rsidRDefault="00923F07" w:rsidP="0027559B">
      <w:pPr>
        <w:shd w:val="clear" w:color="auto" w:fill="FFFFFF"/>
        <w:adjustRightInd w:val="0"/>
        <w:snapToGrid w:val="0"/>
        <w:spacing w:line="480" w:lineRule="auto"/>
        <w:jc w:val="left"/>
        <w:textAlignment w:val="baseline"/>
        <w:rPr>
          <w:rFonts w:ascii="Times New Roman" w:hAnsi="Times New Roman" w:cs="Times New Roman"/>
          <w:sz w:val="20"/>
          <w:szCs w:val="20"/>
        </w:rPr>
      </w:pPr>
      <w:r w:rsidRPr="001031F8">
        <w:rPr>
          <w:rFonts w:ascii="Times New Roman" w:hAnsi="Times New Roman" w:cs="Times New Roman"/>
          <w:sz w:val="20"/>
          <w:szCs w:val="20"/>
        </w:rPr>
        <w:t xml:space="preserve">Notes: 20% and 25% </w:t>
      </w:r>
      <w:proofErr w:type="gramStart"/>
      <w:r w:rsidRPr="001031F8">
        <w:rPr>
          <w:rFonts w:ascii="Times New Roman" w:hAnsi="Times New Roman" w:cs="Times New Roman"/>
          <w:sz w:val="20"/>
          <w:szCs w:val="20"/>
        </w:rPr>
        <w:t>refers</w:t>
      </w:r>
      <w:proofErr w:type="gramEnd"/>
      <w:r w:rsidRPr="001031F8">
        <w:rPr>
          <w:rFonts w:ascii="Times New Roman" w:hAnsi="Times New Roman" w:cs="Times New Roman"/>
          <w:sz w:val="20"/>
          <w:szCs w:val="20"/>
        </w:rPr>
        <w:t xml:space="preserve"> to the 20% threshold and the 25% threshold of total household expenditures. 40% refers to the 40% threshold of non-food household expenditures. S.E. is the standard error. Other marital status refers to being separated, widowed, divorced, or never married. ADL is activities of daily living. IADL is </w:t>
      </w:r>
      <w:proofErr w:type="gramStart"/>
      <w:r w:rsidRPr="001031F8">
        <w:rPr>
          <w:rFonts w:ascii="Times New Roman" w:hAnsi="Times New Roman" w:cs="Times New Roman"/>
          <w:sz w:val="20"/>
          <w:szCs w:val="20"/>
        </w:rPr>
        <w:t>instrumental activities</w:t>
      </w:r>
      <w:proofErr w:type="gramEnd"/>
      <w:r w:rsidRPr="001031F8">
        <w:rPr>
          <w:rFonts w:ascii="Times New Roman" w:hAnsi="Times New Roman" w:cs="Times New Roman"/>
          <w:sz w:val="20"/>
          <w:szCs w:val="20"/>
        </w:rPr>
        <w:t xml:space="preserve"> of daily living. </w:t>
      </w:r>
      <w:r w:rsidRPr="001031F8">
        <w:rPr>
          <w:rFonts w:ascii="Times New Roman" w:hAnsi="Times New Roman" w:cs="Times New Roman"/>
          <w:kern w:val="0"/>
          <w:sz w:val="20"/>
          <w:szCs w:val="20"/>
          <w14:ligatures w14:val="none"/>
        </w:rPr>
        <w:t xml:space="preserve">UEI is Urban Employee Insurance. URI is Urban Resident Insurance. NCMS is </w:t>
      </w:r>
      <w:proofErr w:type="gramStart"/>
      <w:r w:rsidRPr="001031F8">
        <w:rPr>
          <w:rFonts w:ascii="Times New Roman" w:hAnsi="Times New Roman" w:cs="Times New Roman"/>
          <w:kern w:val="0"/>
          <w:sz w:val="20"/>
          <w:szCs w:val="20"/>
          <w14:ligatures w14:val="none"/>
        </w:rPr>
        <w:t>New</w:t>
      </w:r>
      <w:proofErr w:type="gramEnd"/>
      <w:r w:rsidRPr="001031F8">
        <w:rPr>
          <w:rFonts w:ascii="Times New Roman" w:hAnsi="Times New Roman" w:cs="Times New Roman"/>
          <w:kern w:val="0"/>
          <w:sz w:val="20"/>
          <w:szCs w:val="20"/>
          <w14:ligatures w14:val="none"/>
        </w:rPr>
        <w:t xml:space="preserve"> Rural Cooperative Medical Scheme. URRMI is Urban-Rural Resident Medical Insurance. CI is cognitive </w:t>
      </w:r>
      <w:proofErr w:type="gramStart"/>
      <w:r w:rsidRPr="001031F8">
        <w:rPr>
          <w:rFonts w:ascii="Times New Roman" w:hAnsi="Times New Roman" w:cs="Times New Roman"/>
          <w:kern w:val="0"/>
          <w:sz w:val="20"/>
          <w:szCs w:val="20"/>
          <w14:ligatures w14:val="none"/>
        </w:rPr>
        <w:t>impairments</w:t>
      </w:r>
      <w:proofErr w:type="gramEnd"/>
      <w:r w:rsidRPr="001031F8">
        <w:rPr>
          <w:rFonts w:ascii="Times New Roman" w:hAnsi="Times New Roman" w:cs="Times New Roman"/>
          <w:kern w:val="0"/>
          <w:sz w:val="20"/>
          <w:szCs w:val="20"/>
          <w14:ligatures w14:val="none"/>
        </w:rPr>
        <w:t xml:space="preserve">. </w:t>
      </w:r>
      <w:r w:rsidRPr="001031F8">
        <w:rPr>
          <w:rFonts w:ascii="Times New Roman" w:hAnsi="Times New Roman" w:cs="Times New Roman"/>
          <w:sz w:val="20"/>
          <w:szCs w:val="20"/>
        </w:rPr>
        <w:t xml:space="preserve">FE </w:t>
      </w:r>
      <w:proofErr w:type="gramStart"/>
      <w:r w:rsidRPr="001031F8">
        <w:rPr>
          <w:rFonts w:ascii="Times New Roman" w:hAnsi="Times New Roman" w:cs="Times New Roman"/>
          <w:sz w:val="20"/>
          <w:szCs w:val="20"/>
        </w:rPr>
        <w:t>is</w:t>
      </w:r>
      <w:proofErr w:type="gramEnd"/>
      <w:r w:rsidRPr="001031F8">
        <w:rPr>
          <w:rFonts w:ascii="Times New Roman" w:hAnsi="Times New Roman" w:cs="Times New Roman"/>
          <w:sz w:val="20"/>
          <w:szCs w:val="20"/>
        </w:rPr>
        <w:t xml:space="preserve"> fixed effects. </w:t>
      </w:r>
      <w:r w:rsidRPr="001031F8">
        <w:rPr>
          <w:rFonts w:ascii="Times New Roman" w:hAnsi="Times New Roman" w:cs="Times New Roman"/>
          <w:kern w:val="0"/>
          <w:sz w:val="20"/>
          <w:szCs w:val="20"/>
          <w14:ligatures w14:val="none"/>
        </w:rPr>
        <w:t xml:space="preserve">N.A. means not applicable. </w:t>
      </w:r>
      <w:r w:rsidRPr="001031F8">
        <w:rPr>
          <w:rFonts w:ascii="Times New Roman" w:hAnsi="Times New Roman" w:cs="Times New Roman"/>
          <w:sz w:val="20"/>
          <w:szCs w:val="20"/>
        </w:rPr>
        <w:t>N=31,076. *** p&lt;0.001, ** p&lt;0.01, * p&lt;0.05.</w:t>
      </w:r>
      <w:r w:rsidRPr="001031F8">
        <w:rPr>
          <w:rFonts w:ascii="Times New Roman" w:hAnsi="Times New Roman" w:cs="Times New Roman"/>
          <w:kern w:val="0"/>
          <w:sz w:val="20"/>
          <w:szCs w:val="20"/>
          <w14:ligatures w14:val="none"/>
        </w:rPr>
        <w:t xml:space="preserve"> </w:t>
      </w:r>
      <w:r w:rsidRPr="001031F8">
        <w:rPr>
          <w:rFonts w:ascii="Times New Roman" w:hAnsi="Times New Roman" w:cs="Times New Roman"/>
          <w:b/>
          <w:sz w:val="20"/>
          <w:szCs w:val="20"/>
        </w:rPr>
        <w:br w:type="page"/>
      </w:r>
    </w:p>
    <w:p w14:paraId="7C7F2D2C" w14:textId="77777777" w:rsidR="00923F07" w:rsidRPr="001031F8" w:rsidRDefault="00923F07" w:rsidP="001031F8">
      <w:pPr>
        <w:pStyle w:val="Heading1"/>
        <w:adjustRightInd w:val="0"/>
        <w:snapToGrid w:val="0"/>
        <w:spacing w:before="0" w:after="0" w:line="480" w:lineRule="auto"/>
        <w:rPr>
          <w:rStyle w:val="Heading1Char"/>
          <w:sz w:val="20"/>
          <w:szCs w:val="20"/>
        </w:rPr>
      </w:pPr>
      <w:bookmarkStart w:id="37" w:name="_Toc195209571"/>
      <w:r w:rsidRPr="001031F8">
        <w:rPr>
          <w:rStyle w:val="Heading1Char"/>
          <w:rFonts w:ascii="Times New Roman" w:hAnsi="Times New Roman" w:cs="Times New Roman" w:hint="eastAsia"/>
          <w:b/>
          <w:bCs/>
          <w:sz w:val="20"/>
          <w:szCs w:val="20"/>
        </w:rPr>
        <w:lastRenderedPageBreak/>
        <w:t>Section I</w:t>
      </w:r>
      <w:r w:rsidRPr="001031F8">
        <w:rPr>
          <w:rStyle w:val="Heading1Char"/>
          <w:rFonts w:ascii="Times New Roman" w:hAnsi="Times New Roman" w:cs="Times New Roman"/>
          <w:b/>
          <w:bCs/>
          <w:sz w:val="20"/>
          <w:szCs w:val="20"/>
        </w:rPr>
        <w:t>: Robustness check</w:t>
      </w:r>
      <w:bookmarkEnd w:id="37"/>
    </w:p>
    <w:p w14:paraId="35F4E98C" w14:textId="77777777" w:rsidR="00923F07" w:rsidRPr="001031F8" w:rsidRDefault="00923F07" w:rsidP="001031F8">
      <w:pPr>
        <w:adjustRightInd w:val="0"/>
        <w:snapToGrid w:val="0"/>
        <w:spacing w:line="480" w:lineRule="auto"/>
        <w:jc w:val="left"/>
        <w:rPr>
          <w:rFonts w:ascii="Times New Roman" w:hAnsi="Times New Roman" w:cs="Times New Roman"/>
          <w:b/>
          <w:bCs/>
          <w:sz w:val="20"/>
          <w:szCs w:val="20"/>
        </w:rPr>
      </w:pPr>
    </w:p>
    <w:p w14:paraId="0FB05D61"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bookmarkStart w:id="38" w:name="_Hlk178242198"/>
      <w:r w:rsidRPr="001031F8">
        <w:rPr>
          <w:rFonts w:ascii="Times New Roman" w:hAnsi="Times New Roman" w:cs="Times New Roman" w:hint="eastAsia"/>
          <w:b/>
          <w:bCs/>
          <w:sz w:val="20"/>
          <w:szCs w:val="20"/>
        </w:rPr>
        <w:t xml:space="preserve">Figure I.1 and </w:t>
      </w:r>
      <w:r w:rsidRPr="001031F8">
        <w:rPr>
          <w:rFonts w:ascii="Times New Roman" w:hAnsi="Times New Roman" w:cs="Times New Roman"/>
          <w:b/>
          <w:bCs/>
          <w:sz w:val="20"/>
          <w:szCs w:val="20"/>
        </w:rPr>
        <w:t xml:space="preserve">Table </w:t>
      </w:r>
      <w:r w:rsidRPr="001031F8">
        <w:rPr>
          <w:rFonts w:ascii="Times New Roman" w:hAnsi="Times New Roman" w:cs="Times New Roman" w:hint="eastAsia"/>
          <w:b/>
          <w:bCs/>
          <w:sz w:val="20"/>
          <w:szCs w:val="20"/>
        </w:rPr>
        <w:t>I</w:t>
      </w:r>
      <w:r w:rsidRPr="001031F8">
        <w:rPr>
          <w:rFonts w:ascii="Times New Roman" w:hAnsi="Times New Roman" w:cs="Times New Roman"/>
          <w:b/>
          <w:bCs/>
          <w:sz w:val="20"/>
          <w:szCs w:val="20"/>
        </w:rPr>
        <w:t>.</w:t>
      </w:r>
      <w:r w:rsidRPr="001031F8">
        <w:rPr>
          <w:rFonts w:ascii="Times New Roman" w:hAnsi="Times New Roman" w:cs="Times New Roman" w:hint="eastAsia"/>
          <w:b/>
          <w:bCs/>
          <w:sz w:val="20"/>
          <w:szCs w:val="20"/>
        </w:rPr>
        <w:t>1</w:t>
      </w:r>
      <w:r w:rsidRPr="001031F8">
        <w:rPr>
          <w:rFonts w:ascii="Times New Roman" w:hAnsi="Times New Roman" w:cs="Times New Roman"/>
          <w:sz w:val="20"/>
          <w:szCs w:val="20"/>
        </w:rPr>
        <w:t xml:space="preserve"> show the results of the first set of robustness checks, where cognitive impairment is defined as having a cognition summary score less than 1.5 standard deviations below the </w:t>
      </w:r>
      <w:proofErr w:type="gramStart"/>
      <w:r w:rsidRPr="001031F8">
        <w:rPr>
          <w:rFonts w:ascii="Times New Roman" w:hAnsi="Times New Roman" w:cs="Times New Roman"/>
          <w:sz w:val="20"/>
          <w:szCs w:val="20"/>
        </w:rPr>
        <w:t>mean</w:t>
      </w:r>
      <w:proofErr w:type="gramEnd"/>
      <w:r w:rsidRPr="001031F8">
        <w:rPr>
          <w:rFonts w:ascii="Times New Roman" w:hAnsi="Times New Roman" w:cs="Times New Roman"/>
          <w:sz w:val="20"/>
          <w:szCs w:val="20"/>
        </w:rPr>
        <w:t xml:space="preserve"> of the population, stratified by education levels </w:t>
      </w:r>
      <w:r>
        <w:rPr>
          <w:rFonts w:ascii="Times New Roman" w:hAnsi="Times New Roman" w:cs="Times New Roman"/>
          <w:noProof/>
          <w:kern w:val="0"/>
          <w:sz w:val="20"/>
          <w:szCs w:val="20"/>
        </w:rPr>
        <w:t>(Lee et al., 2018; Lin et al., 2025)</w:t>
      </w:r>
      <w:r w:rsidRPr="001031F8">
        <w:rPr>
          <w:rFonts w:ascii="Times New Roman" w:hAnsi="Times New Roman" w:cs="Times New Roman"/>
          <w:sz w:val="20"/>
          <w:szCs w:val="20"/>
        </w:rPr>
        <w:t xml:space="preserve">. The findings in </w:t>
      </w:r>
      <w:r w:rsidRPr="001031F8">
        <w:rPr>
          <w:rFonts w:ascii="Times New Roman" w:hAnsi="Times New Roman" w:cs="Times New Roman"/>
          <w:b/>
          <w:bCs/>
          <w:sz w:val="20"/>
          <w:szCs w:val="20"/>
        </w:rPr>
        <w:t>Figure</w:t>
      </w:r>
      <w:r w:rsidRPr="001031F8">
        <w:rPr>
          <w:rFonts w:ascii="Times New Roman" w:hAnsi="Times New Roman" w:cs="Times New Roman" w:hint="eastAsia"/>
          <w:b/>
          <w:bCs/>
          <w:sz w:val="20"/>
          <w:szCs w:val="20"/>
        </w:rPr>
        <w:t xml:space="preserve"> I.1</w:t>
      </w:r>
      <w:r w:rsidRPr="001031F8">
        <w:rPr>
          <w:rFonts w:ascii="Times New Roman" w:hAnsi="Times New Roman" w:cs="Times New Roman"/>
          <w:b/>
          <w:bCs/>
          <w:sz w:val="20"/>
          <w:szCs w:val="20"/>
        </w:rPr>
        <w:t xml:space="preserve"> </w:t>
      </w:r>
      <w:r w:rsidRPr="001031F8">
        <w:rPr>
          <w:rFonts w:ascii="Times New Roman" w:hAnsi="Times New Roman" w:cs="Times New Roman"/>
          <w:sz w:val="20"/>
          <w:szCs w:val="20"/>
        </w:rPr>
        <w:t xml:space="preserve">are consistent with the main results: (1) incorporating </w:t>
      </w:r>
      <w:r>
        <w:rPr>
          <w:rFonts w:ascii="Times New Roman" w:hAnsi="Times New Roman" w:cs="Times New Roman" w:hint="eastAsia"/>
          <w:sz w:val="20"/>
          <w:szCs w:val="20"/>
        </w:rPr>
        <w:t>LTC</w:t>
      </w:r>
      <w:r w:rsidRPr="001031F8">
        <w:rPr>
          <w:rFonts w:ascii="Times New Roman" w:hAnsi="Times New Roman" w:cs="Times New Roman"/>
          <w:sz w:val="20"/>
          <w:szCs w:val="20"/>
        </w:rPr>
        <w:t xml:space="preserve"> costs led to an increased likelihood of experiencing CHLTCE across all groups; and (2) after accounting for these costs, the treated group exhibited a lower likelihood of experiencing catastrophic expenditures across all thresholds compared to the control group. </w:t>
      </w:r>
    </w:p>
    <w:p w14:paraId="7BFB0A95"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p>
    <w:p w14:paraId="68D1E6BE" w14:textId="77777777" w:rsidR="00923F07" w:rsidRPr="001031F8" w:rsidRDefault="00923F07" w:rsidP="001031F8">
      <w:pPr>
        <w:pStyle w:val="Heading2"/>
        <w:adjustRightInd w:val="0"/>
        <w:snapToGrid w:val="0"/>
        <w:spacing w:before="0" w:after="0" w:line="480" w:lineRule="auto"/>
        <w:jc w:val="left"/>
        <w:rPr>
          <w:rFonts w:ascii="Times New Roman" w:hAnsi="Times New Roman" w:cs="Times New Roman"/>
          <w:sz w:val="20"/>
          <w:szCs w:val="20"/>
        </w:rPr>
      </w:pPr>
      <w:bookmarkStart w:id="39" w:name="_Toc195209572"/>
      <w:r w:rsidRPr="001031F8">
        <w:rPr>
          <w:rFonts w:ascii="Times New Roman" w:hAnsi="Times New Roman" w:cs="Times New Roman"/>
          <w:sz w:val="20"/>
          <w:szCs w:val="20"/>
        </w:rPr>
        <w:t xml:space="preserve">Figure </w:t>
      </w:r>
      <w:r w:rsidRPr="001031F8">
        <w:rPr>
          <w:rFonts w:ascii="Times New Roman" w:hAnsi="Times New Roman" w:cs="Times New Roman" w:hint="eastAsia"/>
          <w:sz w:val="20"/>
          <w:szCs w:val="20"/>
        </w:rPr>
        <w:t>I.1</w:t>
      </w:r>
      <w:r w:rsidRPr="001031F8">
        <w:rPr>
          <w:rFonts w:ascii="Times New Roman" w:hAnsi="Times New Roman" w:cs="Times New Roman"/>
          <w:sz w:val="20"/>
          <w:szCs w:val="20"/>
        </w:rPr>
        <w:t xml:space="preserve">. Robustness </w:t>
      </w:r>
      <w:proofErr w:type="gramStart"/>
      <w:r w:rsidRPr="001031F8">
        <w:rPr>
          <w:rFonts w:ascii="Times New Roman" w:hAnsi="Times New Roman" w:cs="Times New Roman"/>
          <w:sz w:val="20"/>
          <w:szCs w:val="20"/>
        </w:rPr>
        <w:t>check</w:t>
      </w:r>
      <w:proofErr w:type="gramEnd"/>
      <w:r w:rsidRPr="001031F8">
        <w:rPr>
          <w:rFonts w:ascii="Times New Roman" w:hAnsi="Times New Roman" w:cs="Times New Roman"/>
          <w:sz w:val="20"/>
          <w:szCs w:val="20"/>
        </w:rPr>
        <w:t xml:space="preserve"> 1: Weighted likelihood of experiencing catastrophic health and long-term care expenditure (CHLTCE) after accounting for long-term care costs</w:t>
      </w:r>
      <w:r w:rsidRPr="001031F8">
        <w:rPr>
          <w:rFonts w:ascii="Times New Roman" w:hAnsi="Times New Roman" w:cs="Times New Roman" w:hint="eastAsia"/>
          <w:sz w:val="20"/>
          <w:szCs w:val="20"/>
        </w:rPr>
        <w:t>.</w:t>
      </w:r>
      <w:bookmarkEnd w:id="39"/>
    </w:p>
    <w:p w14:paraId="578E0786" w14:textId="77777777" w:rsidR="00923F07" w:rsidRPr="00D02AF8" w:rsidRDefault="00923F07" w:rsidP="001031F8">
      <w:pPr>
        <w:adjustRightInd w:val="0"/>
        <w:snapToGrid w:val="0"/>
        <w:spacing w:line="480" w:lineRule="auto"/>
        <w:jc w:val="left"/>
        <w:rPr>
          <w:rFonts w:ascii="Times New Roman" w:hAnsi="Times New Roman" w:cs="Times New Roman"/>
          <w:sz w:val="20"/>
          <w:szCs w:val="20"/>
        </w:rPr>
      </w:pPr>
    </w:p>
    <w:p w14:paraId="7EC38D39"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 xml:space="preserve">Then, the </w:t>
      </w:r>
      <w:r>
        <w:rPr>
          <w:rFonts w:ascii="Times New Roman" w:hAnsi="Times New Roman" w:cs="Times New Roman" w:hint="eastAsia"/>
          <w:sz w:val="20"/>
          <w:szCs w:val="20"/>
        </w:rPr>
        <w:t>s</w:t>
      </w:r>
      <w:r w:rsidRPr="001031F8">
        <w:rPr>
          <w:rFonts w:ascii="Times New Roman" w:hAnsi="Times New Roman" w:cs="Times New Roman"/>
          <w:sz w:val="20"/>
          <w:szCs w:val="20"/>
        </w:rPr>
        <w:t xml:space="preserve">taggered Differences-in-Differences regression analysis was repeated, as shown in </w:t>
      </w:r>
      <w:r w:rsidRPr="001031F8">
        <w:rPr>
          <w:rFonts w:ascii="Times New Roman" w:hAnsi="Times New Roman" w:cs="Times New Roman"/>
          <w:b/>
          <w:bCs/>
          <w:sz w:val="20"/>
          <w:szCs w:val="20"/>
        </w:rPr>
        <w:t xml:space="preserve">Table </w:t>
      </w:r>
      <w:r w:rsidRPr="001031F8">
        <w:rPr>
          <w:rFonts w:ascii="Times New Roman" w:hAnsi="Times New Roman" w:cs="Times New Roman" w:hint="eastAsia"/>
          <w:b/>
          <w:bCs/>
          <w:sz w:val="20"/>
          <w:szCs w:val="20"/>
        </w:rPr>
        <w:t>I.1</w:t>
      </w:r>
      <w:r w:rsidRPr="001031F8">
        <w:rPr>
          <w:rFonts w:ascii="Times New Roman" w:hAnsi="Times New Roman" w:cs="Times New Roman"/>
          <w:sz w:val="20"/>
          <w:szCs w:val="20"/>
        </w:rPr>
        <w:t>. The results aligned with the main models</w:t>
      </w:r>
      <w:r w:rsidRPr="001031F8">
        <w:rPr>
          <w:rFonts w:ascii="Times New Roman" w:hAnsi="Times New Roman" w:cs="Times New Roman" w:hint="eastAsia"/>
          <w:sz w:val="20"/>
          <w:szCs w:val="20"/>
        </w:rPr>
        <w:t>:</w:t>
      </w:r>
      <w:r w:rsidRPr="001031F8">
        <w:rPr>
          <w:rFonts w:ascii="Times New Roman" w:hAnsi="Times New Roman" w:cs="Times New Roman"/>
          <w:sz w:val="20"/>
          <w:szCs w:val="20"/>
        </w:rPr>
        <w:t xml:space="preserve"> </w:t>
      </w:r>
      <w:r>
        <w:rPr>
          <w:rFonts w:ascii="Times New Roman" w:hAnsi="Times New Roman" w:cs="Times New Roman" w:hint="eastAsia"/>
          <w:sz w:val="20"/>
          <w:szCs w:val="20"/>
        </w:rPr>
        <w:t>LTCI</w:t>
      </w:r>
      <w:r w:rsidRPr="001031F8">
        <w:rPr>
          <w:rFonts w:ascii="Times New Roman" w:hAnsi="Times New Roman" w:cs="Times New Roman"/>
          <w:sz w:val="20"/>
          <w:szCs w:val="20"/>
        </w:rPr>
        <w:t xml:space="preserve"> coverage was associated with a significant reduction in the likelihood of experiencing CHLTCE across all estimated thresholds. This suggests that our findings remain robust when applying an alternative definition of cognitive impairments.</w:t>
      </w:r>
    </w:p>
    <w:bookmarkEnd w:id="38"/>
    <w:p w14:paraId="2F0DB2FA"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p>
    <w:p w14:paraId="3B97F09F" w14:textId="77777777" w:rsidR="00923F07" w:rsidRPr="001031F8" w:rsidRDefault="00923F07" w:rsidP="001031F8">
      <w:pPr>
        <w:pStyle w:val="Heading2"/>
        <w:adjustRightInd w:val="0"/>
        <w:snapToGrid w:val="0"/>
        <w:spacing w:before="0" w:after="0" w:line="480" w:lineRule="auto"/>
        <w:jc w:val="left"/>
        <w:rPr>
          <w:rFonts w:ascii="Times New Roman" w:hAnsi="Times New Roman" w:cs="Times New Roman"/>
          <w:sz w:val="20"/>
          <w:szCs w:val="20"/>
        </w:rPr>
      </w:pPr>
      <w:bookmarkStart w:id="40" w:name="_Toc195209573"/>
      <w:r w:rsidRPr="001031F8">
        <w:rPr>
          <w:rFonts w:ascii="Times New Roman" w:hAnsi="Times New Roman" w:cs="Times New Roman"/>
          <w:sz w:val="20"/>
          <w:szCs w:val="20"/>
        </w:rPr>
        <w:t>Table I.</w:t>
      </w:r>
      <w:r w:rsidRPr="001031F8">
        <w:rPr>
          <w:rFonts w:ascii="Times New Roman" w:hAnsi="Times New Roman" w:cs="Times New Roman" w:hint="eastAsia"/>
          <w:sz w:val="20"/>
          <w:szCs w:val="20"/>
        </w:rPr>
        <w:t>1</w:t>
      </w:r>
      <w:r w:rsidRPr="001031F8">
        <w:rPr>
          <w:rFonts w:ascii="Times New Roman" w:hAnsi="Times New Roman" w:cs="Times New Roman"/>
          <w:sz w:val="20"/>
          <w:szCs w:val="20"/>
        </w:rPr>
        <w:t xml:space="preserve">: Robustness check 1: Effect of long-term care insurance on the likelihood of </w:t>
      </w:r>
      <w:proofErr w:type="gramStart"/>
      <w:r w:rsidRPr="001031F8">
        <w:rPr>
          <w:rFonts w:ascii="Times New Roman" w:hAnsi="Times New Roman" w:cs="Times New Roman"/>
          <w:sz w:val="20"/>
          <w:szCs w:val="20"/>
        </w:rPr>
        <w:t>experiencing of</w:t>
      </w:r>
      <w:proofErr w:type="gramEnd"/>
      <w:r w:rsidRPr="001031F8">
        <w:rPr>
          <w:rFonts w:ascii="Times New Roman" w:hAnsi="Times New Roman" w:cs="Times New Roman"/>
          <w:sz w:val="20"/>
          <w:szCs w:val="20"/>
        </w:rPr>
        <w:t xml:space="preserve"> catastrophic health and long-term care expenditure.</w:t>
      </w:r>
      <w:bookmarkEnd w:id="40"/>
      <w:r w:rsidRPr="001031F8">
        <w:rPr>
          <w:rFonts w:ascii="Times New Roman" w:hAnsi="Times New Roman" w:cs="Times New Roman"/>
          <w:spacing w:val="-1"/>
          <w:sz w:val="20"/>
          <w:szCs w:val="20"/>
        </w:rPr>
        <w:t xml:space="preserve"> </w:t>
      </w:r>
    </w:p>
    <w:tbl>
      <w:tblPr>
        <w:tblStyle w:val="TableGrid"/>
        <w:tblW w:w="0" w:type="auto"/>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4"/>
        <w:gridCol w:w="1845"/>
        <w:gridCol w:w="1843"/>
        <w:gridCol w:w="1843"/>
      </w:tblGrid>
      <w:tr w:rsidR="00923F07" w:rsidRPr="001031F8" w14:paraId="077FD9BE" w14:textId="77777777" w:rsidTr="00CF485E">
        <w:tc>
          <w:tcPr>
            <w:tcW w:w="2554" w:type="dxa"/>
            <w:tcBorders>
              <w:bottom w:val="nil"/>
            </w:tcBorders>
          </w:tcPr>
          <w:p w14:paraId="4EF6C865" w14:textId="77777777" w:rsidR="00923F07" w:rsidRPr="001031F8" w:rsidRDefault="00923F07" w:rsidP="001031F8">
            <w:pPr>
              <w:autoSpaceDE w:val="0"/>
              <w:autoSpaceDN w:val="0"/>
              <w:adjustRightInd w:val="0"/>
              <w:snapToGrid w:val="0"/>
              <w:spacing w:line="480" w:lineRule="auto"/>
              <w:rPr>
                <w:rFonts w:ascii="Times New Roman" w:hAnsi="Times New Roman" w:cs="Times New Roman"/>
                <w:kern w:val="0"/>
                <w:sz w:val="20"/>
                <w:szCs w:val="20"/>
              </w:rPr>
            </w:pPr>
          </w:p>
        </w:tc>
        <w:tc>
          <w:tcPr>
            <w:tcW w:w="1845" w:type="dxa"/>
            <w:tcBorders>
              <w:top w:val="single" w:sz="4" w:space="0" w:color="auto"/>
              <w:bottom w:val="single" w:sz="4" w:space="0" w:color="auto"/>
            </w:tcBorders>
          </w:tcPr>
          <w:p w14:paraId="6C72B33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b/>
                <w:bCs/>
                <w:kern w:val="0"/>
                <w:sz w:val="20"/>
                <w:szCs w:val="20"/>
              </w:rPr>
            </w:pPr>
            <w:r w:rsidRPr="001031F8">
              <w:rPr>
                <w:rFonts w:ascii="Times New Roman" w:hAnsi="Times New Roman" w:cs="Times New Roman"/>
                <w:b/>
                <w:bCs/>
                <w:sz w:val="20"/>
                <w:szCs w:val="20"/>
              </w:rPr>
              <w:t>20% of total expenditures</w:t>
            </w:r>
          </w:p>
        </w:tc>
        <w:tc>
          <w:tcPr>
            <w:tcW w:w="1843" w:type="dxa"/>
            <w:tcBorders>
              <w:top w:val="single" w:sz="4" w:space="0" w:color="auto"/>
              <w:bottom w:val="single" w:sz="4" w:space="0" w:color="auto"/>
            </w:tcBorders>
            <w:vAlign w:val="center"/>
          </w:tcPr>
          <w:p w14:paraId="07522DBC"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b/>
                <w:bCs/>
                <w:kern w:val="0"/>
                <w:sz w:val="20"/>
                <w:szCs w:val="20"/>
              </w:rPr>
            </w:pPr>
            <w:r w:rsidRPr="001031F8">
              <w:rPr>
                <w:rFonts w:ascii="Times New Roman" w:hAnsi="Times New Roman" w:cs="Times New Roman"/>
                <w:b/>
                <w:bCs/>
                <w:sz w:val="20"/>
                <w:szCs w:val="20"/>
              </w:rPr>
              <w:t>25% of total expenditures</w:t>
            </w:r>
          </w:p>
        </w:tc>
        <w:tc>
          <w:tcPr>
            <w:tcW w:w="1843" w:type="dxa"/>
            <w:tcBorders>
              <w:top w:val="single" w:sz="4" w:space="0" w:color="auto"/>
              <w:bottom w:val="single" w:sz="4" w:space="0" w:color="auto"/>
            </w:tcBorders>
            <w:vAlign w:val="center"/>
          </w:tcPr>
          <w:p w14:paraId="76B1365F"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b/>
                <w:bCs/>
                <w:kern w:val="0"/>
                <w:sz w:val="20"/>
                <w:szCs w:val="20"/>
              </w:rPr>
            </w:pPr>
            <w:r w:rsidRPr="001031F8">
              <w:rPr>
                <w:rFonts w:ascii="Times New Roman" w:hAnsi="Times New Roman" w:cs="Times New Roman"/>
                <w:b/>
                <w:bCs/>
                <w:sz w:val="20"/>
                <w:szCs w:val="20"/>
              </w:rPr>
              <w:t>40% of non-food expenditures</w:t>
            </w:r>
          </w:p>
        </w:tc>
      </w:tr>
      <w:tr w:rsidR="00923F07" w:rsidRPr="001031F8" w14:paraId="3B832FB6" w14:textId="77777777" w:rsidTr="00CF485E">
        <w:tc>
          <w:tcPr>
            <w:tcW w:w="2554" w:type="dxa"/>
            <w:tcBorders>
              <w:top w:val="nil"/>
              <w:bottom w:val="single" w:sz="4" w:space="0" w:color="auto"/>
            </w:tcBorders>
          </w:tcPr>
          <w:p w14:paraId="4ED111FC" w14:textId="77777777" w:rsidR="00923F07" w:rsidRPr="001031F8" w:rsidRDefault="00923F07" w:rsidP="001031F8">
            <w:pPr>
              <w:autoSpaceDE w:val="0"/>
              <w:autoSpaceDN w:val="0"/>
              <w:adjustRightInd w:val="0"/>
              <w:snapToGrid w:val="0"/>
              <w:spacing w:line="480" w:lineRule="auto"/>
              <w:rPr>
                <w:rFonts w:ascii="Times New Roman" w:hAnsi="Times New Roman" w:cs="Times New Roman"/>
                <w:b/>
                <w:kern w:val="0"/>
                <w:sz w:val="20"/>
                <w:szCs w:val="20"/>
              </w:rPr>
            </w:pPr>
            <w:r w:rsidRPr="001031F8">
              <w:rPr>
                <w:rFonts w:ascii="Times New Roman" w:hAnsi="Times New Roman" w:cs="Times New Roman"/>
                <w:b/>
                <w:kern w:val="0"/>
                <w:sz w:val="20"/>
                <w:szCs w:val="20"/>
              </w:rPr>
              <w:t>Variables</w:t>
            </w:r>
          </w:p>
        </w:tc>
        <w:tc>
          <w:tcPr>
            <w:tcW w:w="3688" w:type="dxa"/>
            <w:gridSpan w:val="2"/>
            <w:tcBorders>
              <w:top w:val="single" w:sz="4" w:space="0" w:color="auto"/>
              <w:bottom w:val="single" w:sz="4" w:space="0" w:color="auto"/>
            </w:tcBorders>
          </w:tcPr>
          <w:p w14:paraId="45ABC0B8"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roofErr w:type="gramStart"/>
            <w:r w:rsidRPr="001031F8">
              <w:rPr>
                <w:rFonts w:ascii="Times New Roman" w:hAnsi="Times New Roman" w:cs="Times New Roman"/>
                <w:b/>
                <w:color w:val="2A2A2A"/>
                <w:sz w:val="20"/>
                <w:szCs w:val="20"/>
                <w:shd w:val="clear" w:color="auto" w:fill="FFFFFF"/>
              </w:rPr>
              <w:t xml:space="preserve">β </w:t>
            </w:r>
            <w:r w:rsidRPr="001031F8">
              <w:rPr>
                <w:rFonts w:ascii="Times New Roman" w:hAnsi="Times New Roman" w:cs="Times New Roman"/>
                <w:b/>
                <w:sz w:val="20"/>
                <w:szCs w:val="20"/>
                <w:vertAlign w:val="superscript"/>
              </w:rPr>
              <w:t>P</w:t>
            </w:r>
            <w:r w:rsidRPr="001031F8">
              <w:rPr>
                <w:rFonts w:ascii="Times New Roman" w:hAnsi="Times New Roman" w:cs="Times New Roman"/>
                <w:b/>
                <w:sz w:val="20"/>
                <w:szCs w:val="20"/>
              </w:rPr>
              <w:t xml:space="preserve"> (</w:t>
            </w:r>
            <w:proofErr w:type="gramEnd"/>
            <w:r w:rsidRPr="001031F8">
              <w:rPr>
                <w:rFonts w:ascii="Times New Roman" w:hAnsi="Times New Roman" w:cs="Times New Roman"/>
                <w:b/>
                <w:sz w:val="20"/>
                <w:szCs w:val="20"/>
              </w:rPr>
              <w:t>robust S.E.)</w:t>
            </w:r>
          </w:p>
        </w:tc>
        <w:tc>
          <w:tcPr>
            <w:tcW w:w="1843" w:type="dxa"/>
            <w:tcBorders>
              <w:top w:val="single" w:sz="4" w:space="0" w:color="auto"/>
              <w:bottom w:val="single" w:sz="4" w:space="0" w:color="auto"/>
            </w:tcBorders>
            <w:vAlign w:val="center"/>
          </w:tcPr>
          <w:p w14:paraId="690D3A5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r>
      <w:tr w:rsidR="00923F07" w:rsidRPr="001031F8" w14:paraId="301D6CA7" w14:textId="77777777" w:rsidTr="00CF485E">
        <w:tc>
          <w:tcPr>
            <w:tcW w:w="2554" w:type="dxa"/>
            <w:tcBorders>
              <w:top w:val="single" w:sz="4" w:space="0" w:color="auto"/>
            </w:tcBorders>
          </w:tcPr>
          <w:p w14:paraId="32CA1D61"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The net impact of long-term care insurance</w:t>
            </w:r>
          </w:p>
        </w:tc>
        <w:tc>
          <w:tcPr>
            <w:tcW w:w="1845" w:type="dxa"/>
            <w:tcBorders>
              <w:top w:val="single" w:sz="4" w:space="0" w:color="auto"/>
            </w:tcBorders>
          </w:tcPr>
          <w:p w14:paraId="0ED5D7ED" w14:textId="77777777" w:rsidR="00923F07" w:rsidRPr="001031F8" w:rsidRDefault="00923F07" w:rsidP="001031F8">
            <w:pPr>
              <w:adjustRightInd w:val="0"/>
              <w:snapToGrid w:val="0"/>
              <w:spacing w:line="480" w:lineRule="auto"/>
              <w:jc w:val="center"/>
              <w:textAlignment w:val="baseline"/>
              <w:rPr>
                <w:rFonts w:ascii="Times New Roman" w:hAnsi="Times New Roman" w:cs="Times New Roman"/>
                <w:sz w:val="20"/>
                <w:szCs w:val="20"/>
              </w:rPr>
            </w:pPr>
            <w:r w:rsidRPr="001031F8">
              <w:rPr>
                <w:rFonts w:ascii="Times New Roman" w:hAnsi="Times New Roman" w:cs="Times New Roman"/>
                <w:sz w:val="20"/>
                <w:szCs w:val="20"/>
              </w:rPr>
              <w:t>-0.10*</w:t>
            </w:r>
          </w:p>
          <w:p w14:paraId="3CC94FB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(0.04)</w:t>
            </w:r>
          </w:p>
        </w:tc>
        <w:tc>
          <w:tcPr>
            <w:tcW w:w="1843" w:type="dxa"/>
            <w:tcBorders>
              <w:top w:val="single" w:sz="4" w:space="0" w:color="auto"/>
            </w:tcBorders>
          </w:tcPr>
          <w:p w14:paraId="120467FE" w14:textId="77777777" w:rsidR="00923F07" w:rsidRPr="001031F8" w:rsidRDefault="00923F07" w:rsidP="001031F8">
            <w:pPr>
              <w:adjustRightInd w:val="0"/>
              <w:snapToGrid w:val="0"/>
              <w:spacing w:line="480" w:lineRule="auto"/>
              <w:jc w:val="center"/>
              <w:textAlignment w:val="baseline"/>
              <w:rPr>
                <w:rFonts w:ascii="Times New Roman" w:hAnsi="Times New Roman" w:cs="Times New Roman"/>
                <w:sz w:val="20"/>
                <w:szCs w:val="20"/>
              </w:rPr>
            </w:pPr>
            <w:r w:rsidRPr="001031F8">
              <w:rPr>
                <w:rFonts w:ascii="Times New Roman" w:hAnsi="Times New Roman" w:cs="Times New Roman"/>
                <w:sz w:val="20"/>
                <w:szCs w:val="20"/>
              </w:rPr>
              <w:t>-0.09*</w:t>
            </w:r>
          </w:p>
          <w:p w14:paraId="4E163172"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(0.04)</w:t>
            </w:r>
          </w:p>
        </w:tc>
        <w:tc>
          <w:tcPr>
            <w:tcW w:w="1843" w:type="dxa"/>
            <w:tcBorders>
              <w:top w:val="single" w:sz="4" w:space="0" w:color="auto"/>
            </w:tcBorders>
          </w:tcPr>
          <w:p w14:paraId="4473C8C4" w14:textId="77777777" w:rsidR="00923F07" w:rsidRPr="001031F8" w:rsidRDefault="00923F07" w:rsidP="001031F8">
            <w:pPr>
              <w:adjustRightInd w:val="0"/>
              <w:snapToGrid w:val="0"/>
              <w:spacing w:line="480" w:lineRule="auto"/>
              <w:jc w:val="center"/>
              <w:textAlignment w:val="baseline"/>
              <w:rPr>
                <w:rFonts w:ascii="Times New Roman" w:hAnsi="Times New Roman" w:cs="Times New Roman"/>
                <w:sz w:val="20"/>
                <w:szCs w:val="20"/>
              </w:rPr>
            </w:pPr>
            <w:r w:rsidRPr="001031F8">
              <w:rPr>
                <w:rFonts w:ascii="Times New Roman" w:hAnsi="Times New Roman" w:cs="Times New Roman"/>
                <w:sz w:val="20"/>
                <w:szCs w:val="20"/>
              </w:rPr>
              <w:t>-0.18***</w:t>
            </w:r>
          </w:p>
          <w:p w14:paraId="28E9E5B0"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(0.04)</w:t>
            </w:r>
          </w:p>
        </w:tc>
      </w:tr>
      <w:tr w:rsidR="00923F07" w:rsidRPr="001031F8" w14:paraId="0BCD4FAE" w14:textId="77777777" w:rsidTr="00CF485E">
        <w:tc>
          <w:tcPr>
            <w:tcW w:w="2554" w:type="dxa"/>
          </w:tcPr>
          <w:p w14:paraId="73DE02BB"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Age (years)</w:t>
            </w:r>
          </w:p>
        </w:tc>
        <w:tc>
          <w:tcPr>
            <w:tcW w:w="1845" w:type="dxa"/>
          </w:tcPr>
          <w:p w14:paraId="271BA56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6AA49EB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4869542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165A0676" w14:textId="77777777" w:rsidTr="00CF485E">
        <w:tc>
          <w:tcPr>
            <w:tcW w:w="2554" w:type="dxa"/>
          </w:tcPr>
          <w:p w14:paraId="5E7689F2"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0496EA8D"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c>
          <w:tcPr>
            <w:tcW w:w="1843" w:type="dxa"/>
          </w:tcPr>
          <w:p w14:paraId="2CB0CA5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c>
          <w:tcPr>
            <w:tcW w:w="1843" w:type="dxa"/>
          </w:tcPr>
          <w:p w14:paraId="154F180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r>
      <w:tr w:rsidR="00923F07" w:rsidRPr="001031F8" w14:paraId="3A1B72A6" w14:textId="77777777" w:rsidTr="00CF485E">
        <w:tc>
          <w:tcPr>
            <w:tcW w:w="2554" w:type="dxa"/>
          </w:tcPr>
          <w:p w14:paraId="16B693A5"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Gender (Ref: male)</w:t>
            </w:r>
          </w:p>
        </w:tc>
        <w:tc>
          <w:tcPr>
            <w:tcW w:w="1845" w:type="dxa"/>
          </w:tcPr>
          <w:p w14:paraId="754ACBF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c>
          <w:tcPr>
            <w:tcW w:w="1843" w:type="dxa"/>
          </w:tcPr>
          <w:p w14:paraId="517F0D28"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c>
          <w:tcPr>
            <w:tcW w:w="1843" w:type="dxa"/>
          </w:tcPr>
          <w:p w14:paraId="12289652"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r>
      <w:tr w:rsidR="00923F07" w:rsidRPr="001031F8" w14:paraId="5D9B002E" w14:textId="77777777" w:rsidTr="00CF485E">
        <w:tc>
          <w:tcPr>
            <w:tcW w:w="2554" w:type="dxa"/>
          </w:tcPr>
          <w:p w14:paraId="4A0A203F"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female</w:t>
            </w:r>
          </w:p>
        </w:tc>
        <w:tc>
          <w:tcPr>
            <w:tcW w:w="1845" w:type="dxa"/>
          </w:tcPr>
          <w:p w14:paraId="0183F7D8"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c>
          <w:tcPr>
            <w:tcW w:w="1843" w:type="dxa"/>
          </w:tcPr>
          <w:p w14:paraId="3EC7BC9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c>
          <w:tcPr>
            <w:tcW w:w="1843" w:type="dxa"/>
          </w:tcPr>
          <w:p w14:paraId="0F9B8DC9"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r>
      <w:tr w:rsidR="00923F07" w:rsidRPr="001031F8" w14:paraId="1C09C1AA" w14:textId="77777777" w:rsidTr="00CF485E">
        <w:tc>
          <w:tcPr>
            <w:tcW w:w="4399" w:type="dxa"/>
            <w:gridSpan w:val="2"/>
          </w:tcPr>
          <w:p w14:paraId="1E62CC5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Education (Ref:</w:t>
            </w:r>
            <w:r w:rsidRPr="001031F8">
              <w:rPr>
                <w:rFonts w:ascii="Times New Roman" w:hAnsi="Times New Roman" w:cs="Times New Roman"/>
                <w:sz w:val="20"/>
                <w:szCs w:val="20"/>
              </w:rPr>
              <w:t xml:space="preserve"> </w:t>
            </w:r>
            <w:r w:rsidRPr="001031F8">
              <w:rPr>
                <w:rFonts w:ascii="Times New Roman" w:hAnsi="Times New Roman" w:cs="Times New Roman"/>
                <w:kern w:val="0"/>
                <w:sz w:val="20"/>
                <w:szCs w:val="20"/>
              </w:rPr>
              <w:t>no formal education)</w:t>
            </w:r>
          </w:p>
        </w:tc>
        <w:tc>
          <w:tcPr>
            <w:tcW w:w="1843" w:type="dxa"/>
          </w:tcPr>
          <w:p w14:paraId="4F45E119"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c>
          <w:tcPr>
            <w:tcW w:w="1843" w:type="dxa"/>
          </w:tcPr>
          <w:p w14:paraId="46D95E7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r>
      <w:tr w:rsidR="00923F07" w:rsidRPr="001031F8" w14:paraId="2FB5BDE7" w14:textId="77777777" w:rsidTr="00CF485E">
        <w:tc>
          <w:tcPr>
            <w:tcW w:w="2554" w:type="dxa"/>
          </w:tcPr>
          <w:p w14:paraId="3D5766B5"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lastRenderedPageBreak/>
              <w:t xml:space="preserve">  elementary school</w:t>
            </w:r>
          </w:p>
        </w:tc>
        <w:tc>
          <w:tcPr>
            <w:tcW w:w="1845" w:type="dxa"/>
          </w:tcPr>
          <w:p w14:paraId="5D0C005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c>
          <w:tcPr>
            <w:tcW w:w="1843" w:type="dxa"/>
          </w:tcPr>
          <w:p w14:paraId="30755070"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c>
          <w:tcPr>
            <w:tcW w:w="1843" w:type="dxa"/>
          </w:tcPr>
          <w:p w14:paraId="1F9B9BD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r>
      <w:tr w:rsidR="00923F07" w:rsidRPr="001031F8" w14:paraId="69A8B8B4" w14:textId="77777777" w:rsidTr="00CF485E">
        <w:tc>
          <w:tcPr>
            <w:tcW w:w="2554" w:type="dxa"/>
          </w:tcPr>
          <w:p w14:paraId="6A430EFF"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middle school or above</w:t>
            </w:r>
          </w:p>
        </w:tc>
        <w:tc>
          <w:tcPr>
            <w:tcW w:w="1845" w:type="dxa"/>
          </w:tcPr>
          <w:p w14:paraId="29A342CD"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c>
          <w:tcPr>
            <w:tcW w:w="1843" w:type="dxa"/>
          </w:tcPr>
          <w:p w14:paraId="7746771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c>
          <w:tcPr>
            <w:tcW w:w="1843" w:type="dxa"/>
          </w:tcPr>
          <w:p w14:paraId="65542F55"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sz w:val="20"/>
                <w:szCs w:val="20"/>
              </w:rPr>
              <w:t>N.A.</w:t>
            </w:r>
          </w:p>
        </w:tc>
      </w:tr>
      <w:tr w:rsidR="00923F07" w:rsidRPr="001031F8" w14:paraId="3FF827B7" w14:textId="77777777" w:rsidTr="00CF485E">
        <w:tc>
          <w:tcPr>
            <w:tcW w:w="4399" w:type="dxa"/>
            <w:gridSpan w:val="2"/>
          </w:tcPr>
          <w:p w14:paraId="08C2AFA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kern w:val="0"/>
                <w:sz w:val="20"/>
                <w:szCs w:val="20"/>
              </w:rPr>
              <w:t>Place of residence (Ref: urban areas)</w:t>
            </w:r>
          </w:p>
        </w:tc>
        <w:tc>
          <w:tcPr>
            <w:tcW w:w="1843" w:type="dxa"/>
          </w:tcPr>
          <w:p w14:paraId="2FD9607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p>
        </w:tc>
        <w:tc>
          <w:tcPr>
            <w:tcW w:w="1843" w:type="dxa"/>
          </w:tcPr>
          <w:p w14:paraId="4156F4BF"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p>
        </w:tc>
      </w:tr>
      <w:tr w:rsidR="00923F07" w:rsidRPr="001031F8" w14:paraId="7ADE3299" w14:textId="77777777" w:rsidTr="00CF485E">
        <w:tc>
          <w:tcPr>
            <w:tcW w:w="2554" w:type="dxa"/>
          </w:tcPr>
          <w:p w14:paraId="2E1879A3"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rural areas</w:t>
            </w:r>
          </w:p>
        </w:tc>
        <w:tc>
          <w:tcPr>
            <w:tcW w:w="1845" w:type="dxa"/>
          </w:tcPr>
          <w:p w14:paraId="7BFF3A1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sz w:val="20"/>
                <w:szCs w:val="20"/>
              </w:rPr>
              <w:t>N.A.</w:t>
            </w:r>
          </w:p>
        </w:tc>
        <w:tc>
          <w:tcPr>
            <w:tcW w:w="1843" w:type="dxa"/>
          </w:tcPr>
          <w:p w14:paraId="0964FA20"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sz w:val="20"/>
                <w:szCs w:val="20"/>
              </w:rPr>
              <w:t>N.A.</w:t>
            </w:r>
          </w:p>
        </w:tc>
        <w:tc>
          <w:tcPr>
            <w:tcW w:w="1843" w:type="dxa"/>
          </w:tcPr>
          <w:p w14:paraId="01DC48B7"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sz w:val="20"/>
                <w:szCs w:val="20"/>
              </w:rPr>
              <w:t>N.A.</w:t>
            </w:r>
          </w:p>
        </w:tc>
      </w:tr>
      <w:tr w:rsidR="00923F07" w:rsidRPr="001031F8" w14:paraId="522E30BC" w14:textId="77777777" w:rsidTr="00CF485E">
        <w:tc>
          <w:tcPr>
            <w:tcW w:w="2554" w:type="dxa"/>
          </w:tcPr>
          <w:p w14:paraId="39481889"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1DE22167"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sz w:val="20"/>
                <w:szCs w:val="20"/>
              </w:rPr>
              <w:t>N.A.</w:t>
            </w:r>
          </w:p>
        </w:tc>
        <w:tc>
          <w:tcPr>
            <w:tcW w:w="1843" w:type="dxa"/>
          </w:tcPr>
          <w:p w14:paraId="072839E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sz w:val="20"/>
                <w:szCs w:val="20"/>
              </w:rPr>
              <w:t>N.A.</w:t>
            </w:r>
          </w:p>
        </w:tc>
        <w:tc>
          <w:tcPr>
            <w:tcW w:w="1843" w:type="dxa"/>
          </w:tcPr>
          <w:p w14:paraId="2D41D8FD"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sz w:val="20"/>
                <w:szCs w:val="20"/>
              </w:rPr>
              <w:t>N.A.</w:t>
            </w:r>
          </w:p>
        </w:tc>
      </w:tr>
      <w:tr w:rsidR="00923F07" w:rsidRPr="001031F8" w14:paraId="2FD1E825" w14:textId="77777777" w:rsidTr="00CF485E">
        <w:tc>
          <w:tcPr>
            <w:tcW w:w="2554" w:type="dxa"/>
          </w:tcPr>
          <w:p w14:paraId="5110796F"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Household expenditures</w:t>
            </w:r>
          </w:p>
        </w:tc>
        <w:tc>
          <w:tcPr>
            <w:tcW w:w="1845" w:type="dxa"/>
          </w:tcPr>
          <w:p w14:paraId="000F68B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kern w:val="0"/>
                <w:sz w:val="20"/>
                <w:szCs w:val="20"/>
              </w:rPr>
              <w:t>-0.01**</w:t>
            </w:r>
          </w:p>
        </w:tc>
        <w:tc>
          <w:tcPr>
            <w:tcW w:w="1843" w:type="dxa"/>
          </w:tcPr>
          <w:p w14:paraId="6A30588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kern w:val="0"/>
                <w:sz w:val="20"/>
                <w:szCs w:val="20"/>
              </w:rPr>
              <w:t>-0.01***</w:t>
            </w:r>
          </w:p>
        </w:tc>
        <w:tc>
          <w:tcPr>
            <w:tcW w:w="1843" w:type="dxa"/>
          </w:tcPr>
          <w:p w14:paraId="5BC1AB35"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kern w:val="0"/>
                <w:sz w:val="20"/>
                <w:szCs w:val="20"/>
              </w:rPr>
              <w:t>-0.01</w:t>
            </w:r>
          </w:p>
        </w:tc>
      </w:tr>
      <w:tr w:rsidR="00923F07" w:rsidRPr="001031F8" w14:paraId="248881A9" w14:textId="77777777" w:rsidTr="00CF485E">
        <w:tc>
          <w:tcPr>
            <w:tcW w:w="2554" w:type="dxa"/>
          </w:tcPr>
          <w:p w14:paraId="22C3AFC1"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483A508F"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kern w:val="0"/>
                <w:sz w:val="20"/>
                <w:szCs w:val="20"/>
              </w:rPr>
              <w:t>(&lt;0.01)</w:t>
            </w:r>
          </w:p>
        </w:tc>
        <w:tc>
          <w:tcPr>
            <w:tcW w:w="1843" w:type="dxa"/>
          </w:tcPr>
          <w:p w14:paraId="003168CD"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kern w:val="0"/>
                <w:sz w:val="20"/>
                <w:szCs w:val="20"/>
              </w:rPr>
              <w:t>(&lt;0.01)</w:t>
            </w:r>
          </w:p>
        </w:tc>
        <w:tc>
          <w:tcPr>
            <w:tcW w:w="1843" w:type="dxa"/>
          </w:tcPr>
          <w:p w14:paraId="028E34B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sz w:val="20"/>
                <w:szCs w:val="20"/>
              </w:rPr>
            </w:pPr>
            <w:r w:rsidRPr="001031F8">
              <w:rPr>
                <w:rFonts w:ascii="Times New Roman" w:hAnsi="Times New Roman" w:cs="Times New Roman"/>
                <w:kern w:val="0"/>
                <w:sz w:val="20"/>
                <w:szCs w:val="20"/>
              </w:rPr>
              <w:t>(&lt;0.01)</w:t>
            </w:r>
          </w:p>
        </w:tc>
      </w:tr>
      <w:tr w:rsidR="00923F07" w:rsidRPr="001031F8" w14:paraId="1310683C" w14:textId="77777777" w:rsidTr="00CF485E">
        <w:tc>
          <w:tcPr>
            <w:tcW w:w="6242" w:type="dxa"/>
            <w:gridSpan w:val="3"/>
          </w:tcPr>
          <w:p w14:paraId="23E2EEF3"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Marital status (Ref: married or cohabiting)</w:t>
            </w:r>
          </w:p>
        </w:tc>
        <w:tc>
          <w:tcPr>
            <w:tcW w:w="1843" w:type="dxa"/>
          </w:tcPr>
          <w:p w14:paraId="53F5AD9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r>
      <w:tr w:rsidR="00923F07" w:rsidRPr="001031F8" w14:paraId="0923B0E2" w14:textId="77777777" w:rsidTr="00CF485E">
        <w:tc>
          <w:tcPr>
            <w:tcW w:w="2554" w:type="dxa"/>
          </w:tcPr>
          <w:p w14:paraId="777B8BC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other</w:t>
            </w:r>
          </w:p>
        </w:tc>
        <w:tc>
          <w:tcPr>
            <w:tcW w:w="1845" w:type="dxa"/>
          </w:tcPr>
          <w:p w14:paraId="59AE4428"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0D799DE8"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0DAB8BED"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r>
      <w:tr w:rsidR="00923F07" w:rsidRPr="001031F8" w14:paraId="7A0E1234" w14:textId="77777777" w:rsidTr="00CF485E">
        <w:tc>
          <w:tcPr>
            <w:tcW w:w="2554" w:type="dxa"/>
          </w:tcPr>
          <w:p w14:paraId="394580E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3A6EFD9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4F03D50F"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611191A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r>
      <w:tr w:rsidR="00923F07" w:rsidRPr="001031F8" w14:paraId="238C7837" w14:textId="77777777" w:rsidTr="00CF485E">
        <w:tc>
          <w:tcPr>
            <w:tcW w:w="4399" w:type="dxa"/>
            <w:gridSpan w:val="2"/>
          </w:tcPr>
          <w:p w14:paraId="08DD40DE"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Self-rated health (Ref: good)</w:t>
            </w:r>
          </w:p>
        </w:tc>
        <w:tc>
          <w:tcPr>
            <w:tcW w:w="1843" w:type="dxa"/>
          </w:tcPr>
          <w:p w14:paraId="2B0E2E6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c>
          <w:tcPr>
            <w:tcW w:w="1843" w:type="dxa"/>
          </w:tcPr>
          <w:p w14:paraId="5A16461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r>
      <w:tr w:rsidR="00923F07" w:rsidRPr="001031F8" w14:paraId="5776D807" w14:textId="77777777" w:rsidTr="00CF485E">
        <w:tc>
          <w:tcPr>
            <w:tcW w:w="2554" w:type="dxa"/>
          </w:tcPr>
          <w:p w14:paraId="5EEC99DD"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rPr>
              <w:t>fair</w:t>
            </w:r>
          </w:p>
        </w:tc>
        <w:tc>
          <w:tcPr>
            <w:tcW w:w="1845" w:type="dxa"/>
          </w:tcPr>
          <w:p w14:paraId="35D7A2D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2C8F70C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15E6EF4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3309D6EC" w14:textId="77777777" w:rsidTr="00CF485E">
        <w:tc>
          <w:tcPr>
            <w:tcW w:w="2554" w:type="dxa"/>
          </w:tcPr>
          <w:p w14:paraId="054A5ED6"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1124E680"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4FAB7D2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00ED84B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r>
      <w:tr w:rsidR="00923F07" w:rsidRPr="001031F8" w14:paraId="26977C8B" w14:textId="77777777" w:rsidTr="00CF485E">
        <w:tc>
          <w:tcPr>
            <w:tcW w:w="2554" w:type="dxa"/>
          </w:tcPr>
          <w:p w14:paraId="1B86DF2C"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bad</w:t>
            </w:r>
          </w:p>
        </w:tc>
        <w:tc>
          <w:tcPr>
            <w:tcW w:w="1845" w:type="dxa"/>
          </w:tcPr>
          <w:p w14:paraId="202C6C3F"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0.05**</w:t>
            </w:r>
          </w:p>
        </w:tc>
        <w:tc>
          <w:tcPr>
            <w:tcW w:w="1843" w:type="dxa"/>
          </w:tcPr>
          <w:p w14:paraId="6341732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0.05**</w:t>
            </w:r>
          </w:p>
        </w:tc>
        <w:tc>
          <w:tcPr>
            <w:tcW w:w="1843" w:type="dxa"/>
          </w:tcPr>
          <w:p w14:paraId="60EAB10F"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0.06**</w:t>
            </w:r>
          </w:p>
        </w:tc>
      </w:tr>
      <w:tr w:rsidR="00923F07" w:rsidRPr="001031F8" w14:paraId="15939EBA" w14:textId="77777777" w:rsidTr="00CF485E">
        <w:tc>
          <w:tcPr>
            <w:tcW w:w="2554" w:type="dxa"/>
          </w:tcPr>
          <w:p w14:paraId="1C91B026"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1C1F588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7993174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1AF073B5"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0356C004" w14:textId="77777777" w:rsidTr="00CF485E">
        <w:tc>
          <w:tcPr>
            <w:tcW w:w="2554" w:type="dxa"/>
            <w:vMerge w:val="restart"/>
          </w:tcPr>
          <w:p w14:paraId="5B3D1358"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Number of ADL/IADL limitations</w:t>
            </w:r>
          </w:p>
        </w:tc>
        <w:tc>
          <w:tcPr>
            <w:tcW w:w="1845" w:type="dxa"/>
          </w:tcPr>
          <w:p w14:paraId="511C05A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0.12***</w:t>
            </w:r>
          </w:p>
        </w:tc>
        <w:tc>
          <w:tcPr>
            <w:tcW w:w="1843" w:type="dxa"/>
          </w:tcPr>
          <w:p w14:paraId="3B1122E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0.12***</w:t>
            </w:r>
          </w:p>
        </w:tc>
        <w:tc>
          <w:tcPr>
            <w:tcW w:w="1843" w:type="dxa"/>
          </w:tcPr>
          <w:p w14:paraId="1B757002"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0.12***</w:t>
            </w:r>
          </w:p>
        </w:tc>
      </w:tr>
      <w:tr w:rsidR="00923F07" w:rsidRPr="001031F8" w14:paraId="41A46A68" w14:textId="77777777" w:rsidTr="00CF485E">
        <w:tc>
          <w:tcPr>
            <w:tcW w:w="2554" w:type="dxa"/>
            <w:vMerge/>
          </w:tcPr>
          <w:p w14:paraId="3211114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53D090A2"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03496767"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3210980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r>
      <w:tr w:rsidR="00923F07" w:rsidRPr="001031F8" w14:paraId="17FAF4A1" w14:textId="77777777" w:rsidTr="00CF485E">
        <w:tc>
          <w:tcPr>
            <w:tcW w:w="4399" w:type="dxa"/>
            <w:gridSpan w:val="2"/>
          </w:tcPr>
          <w:p w14:paraId="5B92F4EA"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Type of Social Health Insurance</w:t>
            </w:r>
          </w:p>
        </w:tc>
        <w:tc>
          <w:tcPr>
            <w:tcW w:w="1843" w:type="dxa"/>
          </w:tcPr>
          <w:p w14:paraId="2FCAACBF"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c>
          <w:tcPr>
            <w:tcW w:w="1843" w:type="dxa"/>
          </w:tcPr>
          <w:p w14:paraId="0D51D8E8"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r>
      <w:tr w:rsidR="00923F07" w:rsidRPr="001031F8" w14:paraId="72916086" w14:textId="77777777" w:rsidTr="00CF485E">
        <w:tc>
          <w:tcPr>
            <w:tcW w:w="2554" w:type="dxa"/>
          </w:tcPr>
          <w:p w14:paraId="11878EBF"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UEI</w:t>
            </w:r>
          </w:p>
        </w:tc>
        <w:tc>
          <w:tcPr>
            <w:tcW w:w="1845" w:type="dxa"/>
          </w:tcPr>
          <w:p w14:paraId="187BE917"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0.04</w:t>
            </w:r>
          </w:p>
        </w:tc>
        <w:tc>
          <w:tcPr>
            <w:tcW w:w="1843" w:type="dxa"/>
          </w:tcPr>
          <w:p w14:paraId="64A9D79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62BFC910"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r>
      <w:tr w:rsidR="00923F07" w:rsidRPr="001031F8" w14:paraId="67F70136" w14:textId="77777777" w:rsidTr="00CF485E">
        <w:tc>
          <w:tcPr>
            <w:tcW w:w="2554" w:type="dxa"/>
          </w:tcPr>
          <w:p w14:paraId="4E30DC3B"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437D9E79"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45355608"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2A32551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r>
      <w:tr w:rsidR="00923F07" w:rsidRPr="001031F8" w14:paraId="09E21A38" w14:textId="77777777" w:rsidTr="00CF485E">
        <w:tc>
          <w:tcPr>
            <w:tcW w:w="2554" w:type="dxa"/>
          </w:tcPr>
          <w:p w14:paraId="09F654C1"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rPr>
              <w:t>URI</w:t>
            </w:r>
          </w:p>
        </w:tc>
        <w:tc>
          <w:tcPr>
            <w:tcW w:w="1845" w:type="dxa"/>
          </w:tcPr>
          <w:p w14:paraId="4A1E2550"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018A468F"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-0.04</w:t>
            </w:r>
          </w:p>
        </w:tc>
        <w:tc>
          <w:tcPr>
            <w:tcW w:w="1843" w:type="dxa"/>
          </w:tcPr>
          <w:p w14:paraId="30C17CE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-0.04</w:t>
            </w:r>
          </w:p>
        </w:tc>
      </w:tr>
      <w:tr w:rsidR="00923F07" w:rsidRPr="001031F8" w14:paraId="02728BD4" w14:textId="77777777" w:rsidTr="00CF485E">
        <w:tc>
          <w:tcPr>
            <w:tcW w:w="2554" w:type="dxa"/>
          </w:tcPr>
          <w:p w14:paraId="421482F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27F10AC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6537F3C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2E90C21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(0.04)</w:t>
            </w:r>
          </w:p>
        </w:tc>
      </w:tr>
      <w:tr w:rsidR="00923F07" w:rsidRPr="001031F8" w14:paraId="30AFF780" w14:textId="77777777" w:rsidTr="00CF485E">
        <w:tc>
          <w:tcPr>
            <w:tcW w:w="2554" w:type="dxa"/>
          </w:tcPr>
          <w:p w14:paraId="7F6B0294"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14:ligatures w14:val="none"/>
              </w:rPr>
              <w:t>NCMS</w:t>
            </w:r>
          </w:p>
        </w:tc>
        <w:tc>
          <w:tcPr>
            <w:tcW w:w="1845" w:type="dxa"/>
          </w:tcPr>
          <w:p w14:paraId="474EDB4F"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0.04</w:t>
            </w:r>
          </w:p>
        </w:tc>
        <w:tc>
          <w:tcPr>
            <w:tcW w:w="1843" w:type="dxa"/>
          </w:tcPr>
          <w:p w14:paraId="374033B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350C373D"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0.05*</w:t>
            </w:r>
          </w:p>
        </w:tc>
      </w:tr>
      <w:tr w:rsidR="00923F07" w:rsidRPr="001031F8" w14:paraId="41243FE0" w14:textId="77777777" w:rsidTr="00CF485E">
        <w:tc>
          <w:tcPr>
            <w:tcW w:w="2554" w:type="dxa"/>
          </w:tcPr>
          <w:p w14:paraId="69B6C942"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2453C810"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3D2ED48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489CC451"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262877B7" w14:textId="77777777" w:rsidTr="00CF485E">
        <w:tc>
          <w:tcPr>
            <w:tcW w:w="2554" w:type="dxa"/>
          </w:tcPr>
          <w:p w14:paraId="26B35629"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w:t>
            </w:r>
            <w:r w:rsidRPr="001031F8">
              <w:rPr>
                <w:rFonts w:ascii="Times New Roman" w:hAnsi="Times New Roman" w:cs="Times New Roman"/>
                <w:kern w:val="0"/>
                <w:sz w:val="20"/>
                <w:szCs w:val="20"/>
                <w14:ligatures w14:val="none"/>
              </w:rPr>
              <w:t>URRMI</w:t>
            </w:r>
          </w:p>
        </w:tc>
        <w:tc>
          <w:tcPr>
            <w:tcW w:w="1845" w:type="dxa"/>
          </w:tcPr>
          <w:p w14:paraId="48FD17F2"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308C6978"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0.00</w:t>
            </w:r>
          </w:p>
        </w:tc>
        <w:tc>
          <w:tcPr>
            <w:tcW w:w="1843" w:type="dxa"/>
          </w:tcPr>
          <w:p w14:paraId="15B6F02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160241D1" w14:textId="77777777" w:rsidTr="00CF485E">
        <w:tc>
          <w:tcPr>
            <w:tcW w:w="2554" w:type="dxa"/>
          </w:tcPr>
          <w:p w14:paraId="79857601"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100CEBFE"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5AC62AD7"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7F66637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(0.04)</w:t>
            </w:r>
          </w:p>
        </w:tc>
      </w:tr>
      <w:tr w:rsidR="00923F07" w:rsidRPr="001031F8" w14:paraId="422AF217" w14:textId="77777777" w:rsidTr="00CF485E">
        <w:tc>
          <w:tcPr>
            <w:tcW w:w="2554" w:type="dxa"/>
          </w:tcPr>
          <w:p w14:paraId="6FA3BF52"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other</w:t>
            </w:r>
          </w:p>
        </w:tc>
        <w:tc>
          <w:tcPr>
            <w:tcW w:w="1845" w:type="dxa"/>
          </w:tcPr>
          <w:p w14:paraId="77EFA92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4039C48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0335CDF5"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0.00</w:t>
            </w:r>
          </w:p>
        </w:tc>
      </w:tr>
      <w:tr w:rsidR="00923F07" w:rsidRPr="001031F8" w14:paraId="112206F6" w14:textId="77777777" w:rsidTr="00CF485E">
        <w:tc>
          <w:tcPr>
            <w:tcW w:w="2554" w:type="dxa"/>
          </w:tcPr>
          <w:p w14:paraId="04963E25"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12DAB722"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6BB054D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c>
          <w:tcPr>
            <w:tcW w:w="1843" w:type="dxa"/>
          </w:tcPr>
          <w:p w14:paraId="66B38C80"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(0.04)</w:t>
            </w:r>
          </w:p>
        </w:tc>
      </w:tr>
      <w:tr w:rsidR="00923F07" w:rsidRPr="001031F8" w14:paraId="101AFC54" w14:textId="77777777" w:rsidTr="00CF485E">
        <w:tc>
          <w:tcPr>
            <w:tcW w:w="2554" w:type="dxa"/>
            <w:vMerge w:val="restart"/>
          </w:tcPr>
          <w:p w14:paraId="6171B38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Depressive symptoms score</w:t>
            </w:r>
          </w:p>
        </w:tc>
        <w:tc>
          <w:tcPr>
            <w:tcW w:w="1845" w:type="dxa"/>
          </w:tcPr>
          <w:p w14:paraId="620129A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0.00***</w:t>
            </w:r>
          </w:p>
        </w:tc>
        <w:tc>
          <w:tcPr>
            <w:tcW w:w="1843" w:type="dxa"/>
          </w:tcPr>
          <w:p w14:paraId="61A866FA"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0.00***</w:t>
            </w:r>
          </w:p>
        </w:tc>
        <w:tc>
          <w:tcPr>
            <w:tcW w:w="1843" w:type="dxa"/>
          </w:tcPr>
          <w:p w14:paraId="1483673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0.00***</w:t>
            </w:r>
          </w:p>
        </w:tc>
      </w:tr>
      <w:tr w:rsidR="00923F07" w:rsidRPr="001031F8" w14:paraId="6F27FC23" w14:textId="77777777" w:rsidTr="00CF485E">
        <w:tc>
          <w:tcPr>
            <w:tcW w:w="2554" w:type="dxa"/>
            <w:vMerge/>
          </w:tcPr>
          <w:p w14:paraId="764ECC19"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47F8D40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(0.00)</w:t>
            </w:r>
          </w:p>
        </w:tc>
        <w:tc>
          <w:tcPr>
            <w:tcW w:w="1843" w:type="dxa"/>
          </w:tcPr>
          <w:p w14:paraId="2FEA7DE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(0.00)</w:t>
            </w:r>
          </w:p>
        </w:tc>
        <w:tc>
          <w:tcPr>
            <w:tcW w:w="1843" w:type="dxa"/>
          </w:tcPr>
          <w:p w14:paraId="51EC3E89"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(0.00)</w:t>
            </w:r>
          </w:p>
        </w:tc>
      </w:tr>
      <w:tr w:rsidR="00923F07" w:rsidRPr="001031F8" w14:paraId="67C18C1B" w14:textId="77777777" w:rsidTr="00CF485E">
        <w:tc>
          <w:tcPr>
            <w:tcW w:w="4399" w:type="dxa"/>
            <w:gridSpan w:val="2"/>
          </w:tcPr>
          <w:p w14:paraId="6C00B9E8"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lastRenderedPageBreak/>
              <w:t xml:space="preserve">Year </w:t>
            </w:r>
            <w:r w:rsidRPr="001031F8">
              <w:rPr>
                <w:rFonts w:ascii="Times New Roman" w:hAnsi="Times New Roman" w:cs="Times New Roman"/>
                <w:kern w:val="0"/>
                <w:sz w:val="20"/>
                <w:szCs w:val="20"/>
                <w14:ligatures w14:val="none"/>
              </w:rPr>
              <w:t>f</w:t>
            </w:r>
            <w:r w:rsidRPr="001031F8">
              <w:rPr>
                <w:rFonts w:ascii="Times New Roman" w:hAnsi="Times New Roman" w:cs="Times New Roman"/>
                <w:sz w:val="20"/>
                <w:szCs w:val="20"/>
              </w:rPr>
              <w:t xml:space="preserve">ixed effects </w:t>
            </w:r>
          </w:p>
        </w:tc>
        <w:tc>
          <w:tcPr>
            <w:tcW w:w="1843" w:type="dxa"/>
          </w:tcPr>
          <w:p w14:paraId="72E8E86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c>
          <w:tcPr>
            <w:tcW w:w="1843" w:type="dxa"/>
          </w:tcPr>
          <w:p w14:paraId="6C287947"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p>
        </w:tc>
      </w:tr>
      <w:tr w:rsidR="00923F07" w:rsidRPr="001031F8" w14:paraId="362FC08A" w14:textId="77777777" w:rsidTr="00CF485E">
        <w:tc>
          <w:tcPr>
            <w:tcW w:w="2554" w:type="dxa"/>
          </w:tcPr>
          <w:p w14:paraId="0728D6A2"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rPr>
              <w:t>2013</w:t>
            </w:r>
          </w:p>
        </w:tc>
        <w:tc>
          <w:tcPr>
            <w:tcW w:w="1845" w:type="dxa"/>
          </w:tcPr>
          <w:p w14:paraId="44BEAAC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-0.09***</w:t>
            </w:r>
          </w:p>
        </w:tc>
        <w:tc>
          <w:tcPr>
            <w:tcW w:w="1843" w:type="dxa"/>
          </w:tcPr>
          <w:p w14:paraId="61A9F798"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-0.09***</w:t>
            </w:r>
          </w:p>
        </w:tc>
        <w:tc>
          <w:tcPr>
            <w:tcW w:w="1843" w:type="dxa"/>
          </w:tcPr>
          <w:p w14:paraId="508C6C9E"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-0.09***</w:t>
            </w:r>
          </w:p>
        </w:tc>
      </w:tr>
      <w:tr w:rsidR="00923F07" w:rsidRPr="001031F8" w14:paraId="1D0917D9" w14:textId="77777777" w:rsidTr="00CF485E">
        <w:tc>
          <w:tcPr>
            <w:tcW w:w="2554" w:type="dxa"/>
          </w:tcPr>
          <w:p w14:paraId="60FA517C"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7E14FCB3"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062F6C7F"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6461F53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r>
      <w:tr w:rsidR="00923F07" w:rsidRPr="001031F8" w14:paraId="72448DD8" w14:textId="77777777" w:rsidTr="00CF485E">
        <w:tc>
          <w:tcPr>
            <w:tcW w:w="2554" w:type="dxa"/>
          </w:tcPr>
          <w:p w14:paraId="00E4A3A5"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rPr>
              <w:t>2015</w:t>
            </w:r>
          </w:p>
        </w:tc>
        <w:tc>
          <w:tcPr>
            <w:tcW w:w="1845" w:type="dxa"/>
          </w:tcPr>
          <w:p w14:paraId="5E66B32D"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c>
          <w:tcPr>
            <w:tcW w:w="1843" w:type="dxa"/>
          </w:tcPr>
          <w:p w14:paraId="24F4B512"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5AD32BCF"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57B571B9" w14:textId="77777777" w:rsidTr="00CF485E">
        <w:tc>
          <w:tcPr>
            <w:tcW w:w="2554" w:type="dxa"/>
          </w:tcPr>
          <w:p w14:paraId="4B029C04"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Pr>
          <w:p w14:paraId="3E282BB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26227C74"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c>
          <w:tcPr>
            <w:tcW w:w="1843" w:type="dxa"/>
          </w:tcPr>
          <w:p w14:paraId="140D279D"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r>
      <w:tr w:rsidR="00923F07" w:rsidRPr="001031F8" w14:paraId="21FDBD09" w14:textId="77777777" w:rsidTr="00CF485E">
        <w:tc>
          <w:tcPr>
            <w:tcW w:w="2554" w:type="dxa"/>
          </w:tcPr>
          <w:p w14:paraId="66D8AF2E"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rPr>
              <w:t>2018</w:t>
            </w:r>
          </w:p>
        </w:tc>
        <w:tc>
          <w:tcPr>
            <w:tcW w:w="1845" w:type="dxa"/>
          </w:tcPr>
          <w:p w14:paraId="21C563E9"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N.A.</w:t>
            </w:r>
          </w:p>
        </w:tc>
        <w:tc>
          <w:tcPr>
            <w:tcW w:w="1843" w:type="dxa"/>
          </w:tcPr>
          <w:p w14:paraId="2C96A036"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N.A.</w:t>
            </w:r>
          </w:p>
        </w:tc>
        <w:tc>
          <w:tcPr>
            <w:tcW w:w="1843" w:type="dxa"/>
          </w:tcPr>
          <w:p w14:paraId="298D04C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N.A.</w:t>
            </w:r>
          </w:p>
        </w:tc>
      </w:tr>
      <w:tr w:rsidR="00923F07" w:rsidRPr="001031F8" w14:paraId="65DEF291" w14:textId="77777777" w:rsidTr="00CF485E">
        <w:tc>
          <w:tcPr>
            <w:tcW w:w="2554" w:type="dxa"/>
            <w:tcBorders>
              <w:bottom w:val="nil"/>
            </w:tcBorders>
          </w:tcPr>
          <w:p w14:paraId="1E49BB38"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Constant</w:t>
            </w:r>
          </w:p>
        </w:tc>
        <w:tc>
          <w:tcPr>
            <w:tcW w:w="1845" w:type="dxa"/>
            <w:tcBorders>
              <w:bottom w:val="nil"/>
            </w:tcBorders>
          </w:tcPr>
          <w:p w14:paraId="0DA0089F"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-1.16***</w:t>
            </w:r>
          </w:p>
        </w:tc>
        <w:tc>
          <w:tcPr>
            <w:tcW w:w="1843" w:type="dxa"/>
            <w:tcBorders>
              <w:bottom w:val="nil"/>
            </w:tcBorders>
          </w:tcPr>
          <w:p w14:paraId="4F7774DB"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-1.12***</w:t>
            </w:r>
          </w:p>
        </w:tc>
        <w:tc>
          <w:tcPr>
            <w:tcW w:w="1843" w:type="dxa"/>
            <w:tcBorders>
              <w:bottom w:val="nil"/>
            </w:tcBorders>
          </w:tcPr>
          <w:p w14:paraId="34CADF22"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-1.54***</w:t>
            </w:r>
          </w:p>
        </w:tc>
      </w:tr>
      <w:tr w:rsidR="00923F07" w:rsidRPr="001031F8" w14:paraId="1B27C9A5" w14:textId="77777777" w:rsidTr="00CF485E">
        <w:tc>
          <w:tcPr>
            <w:tcW w:w="2554" w:type="dxa"/>
            <w:tcBorders>
              <w:top w:val="nil"/>
              <w:bottom w:val="single" w:sz="4" w:space="0" w:color="auto"/>
            </w:tcBorders>
          </w:tcPr>
          <w:p w14:paraId="350C8F00"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1845" w:type="dxa"/>
            <w:tcBorders>
              <w:top w:val="nil"/>
              <w:bottom w:val="single" w:sz="4" w:space="0" w:color="auto"/>
            </w:tcBorders>
          </w:tcPr>
          <w:p w14:paraId="3DD6C32C"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(0.12)</w:t>
            </w:r>
          </w:p>
        </w:tc>
        <w:tc>
          <w:tcPr>
            <w:tcW w:w="1843" w:type="dxa"/>
            <w:tcBorders>
              <w:top w:val="nil"/>
              <w:bottom w:val="single" w:sz="4" w:space="0" w:color="auto"/>
            </w:tcBorders>
          </w:tcPr>
          <w:p w14:paraId="730A5675"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(0.12)</w:t>
            </w:r>
          </w:p>
        </w:tc>
        <w:tc>
          <w:tcPr>
            <w:tcW w:w="1843" w:type="dxa"/>
            <w:tcBorders>
              <w:top w:val="nil"/>
              <w:bottom w:val="single" w:sz="4" w:space="0" w:color="auto"/>
            </w:tcBorders>
          </w:tcPr>
          <w:p w14:paraId="6EA3C0C9" w14:textId="77777777" w:rsidR="00923F07" w:rsidRPr="001031F8" w:rsidRDefault="00923F07" w:rsidP="001031F8">
            <w:pPr>
              <w:autoSpaceDE w:val="0"/>
              <w:autoSpaceDN w:val="0"/>
              <w:adjustRightInd w:val="0"/>
              <w:snapToGrid w:val="0"/>
              <w:spacing w:line="480" w:lineRule="auto"/>
              <w:jc w:val="center"/>
              <w:rPr>
                <w:rFonts w:ascii="Times New Roman" w:hAnsi="Times New Roman" w:cs="Times New Roman"/>
                <w:kern w:val="0"/>
                <w:sz w:val="20"/>
                <w:szCs w:val="20"/>
              </w:rPr>
            </w:pPr>
            <w:r w:rsidRPr="001031F8">
              <w:rPr>
                <w:rFonts w:ascii="Times New Roman" w:hAnsi="Times New Roman" w:cs="Times New Roman"/>
                <w:kern w:val="0"/>
                <w:sz w:val="20"/>
                <w:szCs w:val="20"/>
              </w:rPr>
              <w:t>(0.13)</w:t>
            </w:r>
          </w:p>
        </w:tc>
      </w:tr>
      <w:tr w:rsidR="00923F07" w:rsidRPr="001031F8" w14:paraId="0E870B17" w14:textId="77777777" w:rsidTr="00CF485E">
        <w:tblPrEx>
          <w:jc w:val="center"/>
          <w:tblInd w:w="0" w:type="dxa"/>
        </w:tblPrEx>
        <w:trPr>
          <w:jc w:val="center"/>
        </w:trPr>
        <w:tc>
          <w:tcPr>
            <w:tcW w:w="2554" w:type="dxa"/>
            <w:tcBorders>
              <w:top w:val="single" w:sz="4" w:space="0" w:color="auto"/>
              <w:bottom w:val="single" w:sz="4" w:space="0" w:color="auto"/>
            </w:tcBorders>
            <w:hideMark/>
          </w:tcPr>
          <w:p w14:paraId="606F84B3" w14:textId="77777777" w:rsidR="00923F07" w:rsidRPr="001031F8" w:rsidRDefault="00923F07" w:rsidP="001031F8">
            <w:pPr>
              <w:adjustRightInd w:val="0"/>
              <w:snapToGrid w:val="0"/>
              <w:spacing w:line="480" w:lineRule="auto"/>
              <w:jc w:val="left"/>
              <w:textAlignment w:val="baseline"/>
              <w:rPr>
                <w:rFonts w:ascii="Times New Roman" w:hAnsi="Times New Roman" w:cs="Times New Roman"/>
                <w:sz w:val="20"/>
                <w:szCs w:val="20"/>
              </w:rPr>
            </w:pPr>
            <w:r w:rsidRPr="001031F8">
              <w:rPr>
                <w:rFonts w:ascii="Times New Roman" w:hAnsi="Times New Roman" w:cs="Times New Roman"/>
                <w:sz w:val="20"/>
                <w:szCs w:val="20"/>
              </w:rPr>
              <w:t>Individuals fixed effects</w:t>
            </w:r>
          </w:p>
        </w:tc>
        <w:tc>
          <w:tcPr>
            <w:tcW w:w="1845" w:type="dxa"/>
            <w:tcBorders>
              <w:top w:val="single" w:sz="4" w:space="0" w:color="auto"/>
              <w:bottom w:val="single" w:sz="4" w:space="0" w:color="auto"/>
            </w:tcBorders>
            <w:hideMark/>
          </w:tcPr>
          <w:p w14:paraId="3142A4FD" w14:textId="77777777" w:rsidR="00923F07" w:rsidRPr="001031F8" w:rsidRDefault="00923F07" w:rsidP="001031F8">
            <w:pPr>
              <w:adjustRightInd w:val="0"/>
              <w:snapToGrid w:val="0"/>
              <w:spacing w:line="480" w:lineRule="auto"/>
              <w:jc w:val="center"/>
              <w:textAlignment w:val="baseline"/>
              <w:rPr>
                <w:rFonts w:ascii="Times New Roman" w:hAnsi="Times New Roman" w:cs="Times New Roman"/>
                <w:sz w:val="20"/>
                <w:szCs w:val="20"/>
              </w:rPr>
            </w:pPr>
            <w:r w:rsidRPr="001031F8">
              <w:rPr>
                <w:rFonts w:ascii="Times New Roman" w:hAnsi="Times New Roman" w:cs="Times New Roman"/>
                <w:sz w:val="20"/>
                <w:szCs w:val="20"/>
              </w:rPr>
              <w:t>Yes</w:t>
            </w:r>
          </w:p>
        </w:tc>
        <w:tc>
          <w:tcPr>
            <w:tcW w:w="1843" w:type="dxa"/>
            <w:tcBorders>
              <w:top w:val="single" w:sz="4" w:space="0" w:color="auto"/>
              <w:bottom w:val="single" w:sz="4" w:space="0" w:color="auto"/>
            </w:tcBorders>
            <w:hideMark/>
          </w:tcPr>
          <w:p w14:paraId="64C04F35" w14:textId="77777777" w:rsidR="00923F07" w:rsidRPr="001031F8" w:rsidRDefault="00923F07" w:rsidP="001031F8">
            <w:pPr>
              <w:adjustRightInd w:val="0"/>
              <w:snapToGrid w:val="0"/>
              <w:spacing w:line="480" w:lineRule="auto"/>
              <w:jc w:val="center"/>
              <w:textAlignment w:val="baseline"/>
              <w:rPr>
                <w:rFonts w:ascii="Times New Roman" w:hAnsi="Times New Roman" w:cs="Times New Roman"/>
                <w:sz w:val="20"/>
                <w:szCs w:val="20"/>
              </w:rPr>
            </w:pPr>
            <w:r w:rsidRPr="001031F8">
              <w:rPr>
                <w:rFonts w:ascii="Times New Roman" w:hAnsi="Times New Roman" w:cs="Times New Roman"/>
                <w:sz w:val="20"/>
                <w:szCs w:val="20"/>
              </w:rPr>
              <w:t>Yes</w:t>
            </w:r>
          </w:p>
        </w:tc>
        <w:tc>
          <w:tcPr>
            <w:tcW w:w="1843" w:type="dxa"/>
            <w:tcBorders>
              <w:top w:val="single" w:sz="4" w:space="0" w:color="auto"/>
              <w:bottom w:val="single" w:sz="4" w:space="0" w:color="auto"/>
            </w:tcBorders>
            <w:hideMark/>
          </w:tcPr>
          <w:p w14:paraId="40AB812A" w14:textId="77777777" w:rsidR="00923F07" w:rsidRPr="001031F8" w:rsidRDefault="00923F07" w:rsidP="001031F8">
            <w:pPr>
              <w:adjustRightInd w:val="0"/>
              <w:snapToGrid w:val="0"/>
              <w:spacing w:line="480" w:lineRule="auto"/>
              <w:jc w:val="center"/>
              <w:textAlignment w:val="baseline"/>
              <w:rPr>
                <w:rFonts w:ascii="Times New Roman" w:hAnsi="Times New Roman" w:cs="Times New Roman"/>
                <w:sz w:val="20"/>
                <w:szCs w:val="20"/>
              </w:rPr>
            </w:pPr>
            <w:r w:rsidRPr="001031F8">
              <w:rPr>
                <w:rFonts w:ascii="Times New Roman" w:hAnsi="Times New Roman" w:cs="Times New Roman"/>
                <w:sz w:val="20"/>
                <w:szCs w:val="20"/>
              </w:rPr>
              <w:t>Yes</w:t>
            </w:r>
          </w:p>
        </w:tc>
      </w:tr>
    </w:tbl>
    <w:p w14:paraId="6DC13B3B" w14:textId="77777777" w:rsidR="00923F07" w:rsidRPr="001031F8" w:rsidRDefault="00923F07" w:rsidP="001031F8">
      <w:pPr>
        <w:shd w:val="clear" w:color="auto" w:fill="FFFFFF"/>
        <w:adjustRightInd w:val="0"/>
        <w:snapToGrid w:val="0"/>
        <w:spacing w:line="480" w:lineRule="auto"/>
        <w:jc w:val="left"/>
        <w:textAlignment w:val="baseline"/>
        <w:rPr>
          <w:rFonts w:ascii="Times New Roman" w:hAnsi="Times New Roman" w:cs="Times New Roman"/>
          <w:sz w:val="20"/>
          <w:szCs w:val="20"/>
        </w:rPr>
      </w:pPr>
      <w:r w:rsidRPr="001031F8">
        <w:rPr>
          <w:rFonts w:ascii="Times New Roman" w:hAnsi="Times New Roman" w:cs="Times New Roman"/>
          <w:sz w:val="20"/>
          <w:szCs w:val="20"/>
        </w:rPr>
        <w:t xml:space="preserve">Notes: 20% and 25% </w:t>
      </w:r>
      <w:proofErr w:type="gramStart"/>
      <w:r w:rsidRPr="001031F8">
        <w:rPr>
          <w:rFonts w:ascii="Times New Roman" w:hAnsi="Times New Roman" w:cs="Times New Roman"/>
          <w:sz w:val="20"/>
          <w:szCs w:val="20"/>
        </w:rPr>
        <w:t>refers</w:t>
      </w:r>
      <w:proofErr w:type="gramEnd"/>
      <w:r w:rsidRPr="001031F8">
        <w:rPr>
          <w:rFonts w:ascii="Times New Roman" w:hAnsi="Times New Roman" w:cs="Times New Roman"/>
          <w:sz w:val="20"/>
          <w:szCs w:val="20"/>
        </w:rPr>
        <w:t xml:space="preserve"> to the 20% threshold and the 25% threshold of total household expenditures. 40% refers to the 40% threshold of non-food household expenditures. S.E. is the standard error. Other marital status refers to being separated, widowed, divorced, or never married. ADL is activities of daily living. IADL is </w:t>
      </w:r>
      <w:proofErr w:type="gramStart"/>
      <w:r w:rsidRPr="001031F8">
        <w:rPr>
          <w:rFonts w:ascii="Times New Roman" w:hAnsi="Times New Roman" w:cs="Times New Roman"/>
          <w:sz w:val="20"/>
          <w:szCs w:val="20"/>
        </w:rPr>
        <w:t>instrumental activities</w:t>
      </w:r>
      <w:proofErr w:type="gramEnd"/>
      <w:r w:rsidRPr="001031F8">
        <w:rPr>
          <w:rFonts w:ascii="Times New Roman" w:hAnsi="Times New Roman" w:cs="Times New Roman"/>
          <w:sz w:val="20"/>
          <w:szCs w:val="20"/>
        </w:rPr>
        <w:t xml:space="preserve"> of daily living. </w:t>
      </w:r>
      <w:r w:rsidRPr="001031F8">
        <w:rPr>
          <w:rFonts w:ascii="Times New Roman" w:hAnsi="Times New Roman" w:cs="Times New Roman"/>
          <w:kern w:val="0"/>
          <w:sz w:val="20"/>
          <w:szCs w:val="20"/>
          <w14:ligatures w14:val="none"/>
        </w:rPr>
        <w:t xml:space="preserve">UEI is Urban Employee Insurance. URI is Urban Resident Insurance. NCMS is </w:t>
      </w:r>
      <w:proofErr w:type="gramStart"/>
      <w:r w:rsidRPr="001031F8">
        <w:rPr>
          <w:rFonts w:ascii="Times New Roman" w:hAnsi="Times New Roman" w:cs="Times New Roman"/>
          <w:kern w:val="0"/>
          <w:sz w:val="20"/>
          <w:szCs w:val="20"/>
          <w14:ligatures w14:val="none"/>
        </w:rPr>
        <w:t>New</w:t>
      </w:r>
      <w:proofErr w:type="gramEnd"/>
      <w:r w:rsidRPr="001031F8">
        <w:rPr>
          <w:rFonts w:ascii="Times New Roman" w:hAnsi="Times New Roman" w:cs="Times New Roman"/>
          <w:kern w:val="0"/>
          <w:sz w:val="20"/>
          <w:szCs w:val="20"/>
          <w14:ligatures w14:val="none"/>
        </w:rPr>
        <w:t xml:space="preserve"> Rural Cooperative Medical Scheme. URRMI is Urban-Rural Resident Medical Insurance.</w:t>
      </w:r>
      <w:r w:rsidRPr="001031F8">
        <w:rPr>
          <w:rFonts w:ascii="Times New Roman" w:hAnsi="Times New Roman" w:cs="Times New Roman"/>
          <w:sz w:val="20"/>
          <w:szCs w:val="20"/>
        </w:rPr>
        <w:t xml:space="preserve"> </w:t>
      </w:r>
      <w:r w:rsidRPr="001031F8">
        <w:rPr>
          <w:rFonts w:ascii="Times New Roman" w:hAnsi="Times New Roman" w:cs="Times New Roman"/>
          <w:kern w:val="0"/>
          <w:sz w:val="20"/>
          <w:szCs w:val="20"/>
          <w14:ligatures w14:val="none"/>
        </w:rPr>
        <w:t xml:space="preserve">N.A. means not applicable. </w:t>
      </w:r>
      <w:r w:rsidRPr="001031F8">
        <w:rPr>
          <w:rFonts w:ascii="Times New Roman" w:hAnsi="Times New Roman" w:cs="Times New Roman"/>
          <w:sz w:val="20"/>
          <w:szCs w:val="20"/>
        </w:rPr>
        <w:t>N=31,076. *** p&lt;0.001, ** p&lt;0.01, * p&lt;0.05.</w:t>
      </w:r>
    </w:p>
    <w:p w14:paraId="290A4A62" w14:textId="77777777" w:rsidR="00923F07" w:rsidRPr="001031F8" w:rsidRDefault="00923F07" w:rsidP="001031F8">
      <w:pPr>
        <w:widowControl/>
        <w:adjustRightInd w:val="0"/>
        <w:snapToGrid w:val="0"/>
        <w:spacing w:line="480" w:lineRule="auto"/>
        <w:jc w:val="left"/>
        <w:rPr>
          <w:rFonts w:ascii="Times New Roman" w:hAnsi="Times New Roman" w:cs="Times New Roman"/>
          <w:b/>
          <w:sz w:val="20"/>
          <w:szCs w:val="20"/>
        </w:rPr>
      </w:pPr>
      <w:r w:rsidRPr="001031F8">
        <w:rPr>
          <w:rFonts w:ascii="Times New Roman" w:hAnsi="Times New Roman" w:cs="Times New Roman"/>
          <w:b/>
          <w:sz w:val="20"/>
          <w:szCs w:val="20"/>
        </w:rPr>
        <w:br w:type="page"/>
      </w:r>
    </w:p>
    <w:p w14:paraId="0AD46680" w14:textId="77777777" w:rsidR="00923F07" w:rsidRPr="001031F8" w:rsidRDefault="00923F07" w:rsidP="001031F8">
      <w:pPr>
        <w:adjustRightInd w:val="0"/>
        <w:snapToGrid w:val="0"/>
        <w:spacing w:line="480" w:lineRule="auto"/>
        <w:jc w:val="left"/>
        <w:rPr>
          <w:rFonts w:ascii="Times New Roman" w:hAnsi="Times New Roman" w:cs="Times New Roman"/>
          <w:color w:val="1F1F1F"/>
          <w:sz w:val="20"/>
          <w:szCs w:val="20"/>
        </w:rPr>
      </w:pPr>
      <w:r w:rsidRPr="001031F8">
        <w:rPr>
          <w:rFonts w:ascii="Times New Roman" w:hAnsi="Times New Roman" w:cs="Times New Roman"/>
          <w:b/>
          <w:bCs/>
          <w:sz w:val="20"/>
          <w:szCs w:val="20"/>
        </w:rPr>
        <w:lastRenderedPageBreak/>
        <w:t xml:space="preserve">Figure </w:t>
      </w:r>
      <w:r w:rsidRPr="001031F8">
        <w:rPr>
          <w:rFonts w:ascii="Times New Roman" w:hAnsi="Times New Roman" w:cs="Times New Roman" w:hint="eastAsia"/>
          <w:b/>
          <w:bCs/>
          <w:sz w:val="20"/>
          <w:szCs w:val="20"/>
        </w:rPr>
        <w:t>I.2</w:t>
      </w:r>
      <w:r w:rsidRPr="001031F8">
        <w:rPr>
          <w:rFonts w:ascii="Times New Roman" w:hAnsi="Times New Roman" w:cs="Times New Roman"/>
          <w:b/>
          <w:bCs/>
          <w:sz w:val="20"/>
          <w:szCs w:val="20"/>
        </w:rPr>
        <w:t xml:space="preserve"> and Table </w:t>
      </w:r>
      <w:r w:rsidRPr="001031F8">
        <w:rPr>
          <w:rFonts w:ascii="Times New Roman" w:hAnsi="Times New Roman" w:cs="Times New Roman" w:hint="eastAsia"/>
          <w:b/>
          <w:bCs/>
          <w:sz w:val="20"/>
          <w:szCs w:val="20"/>
        </w:rPr>
        <w:t>I.2</w:t>
      </w:r>
      <w:r w:rsidRPr="001031F8">
        <w:rPr>
          <w:rFonts w:ascii="Times New Roman" w:hAnsi="Times New Roman" w:cs="Times New Roman"/>
          <w:sz w:val="20"/>
          <w:szCs w:val="20"/>
        </w:rPr>
        <w:t xml:space="preserve"> present the results of the second set of robustness checks, where a 10% threshold of total household </w:t>
      </w:r>
      <w:proofErr w:type="gramStart"/>
      <w:r w:rsidRPr="001031F8">
        <w:rPr>
          <w:rFonts w:ascii="Times New Roman" w:hAnsi="Times New Roman" w:cs="Times New Roman"/>
          <w:sz w:val="20"/>
          <w:szCs w:val="20"/>
        </w:rPr>
        <w:t>expenditures</w:t>
      </w:r>
      <w:proofErr w:type="gramEnd"/>
      <w:r w:rsidRPr="001031F8">
        <w:rPr>
          <w:rFonts w:ascii="Times New Roman" w:hAnsi="Times New Roman" w:cs="Times New Roman"/>
          <w:sz w:val="20"/>
          <w:szCs w:val="20"/>
        </w:rPr>
        <w:t xml:space="preserve"> was used as an additional criterion for catastrophic expenditures. The findings in </w:t>
      </w:r>
      <w:r w:rsidRPr="001031F8">
        <w:rPr>
          <w:rFonts w:ascii="Times New Roman" w:hAnsi="Times New Roman" w:cs="Times New Roman"/>
          <w:b/>
          <w:bCs/>
          <w:sz w:val="20"/>
          <w:szCs w:val="20"/>
        </w:rPr>
        <w:t xml:space="preserve">Figure </w:t>
      </w:r>
      <w:r w:rsidRPr="001031F8">
        <w:rPr>
          <w:rFonts w:ascii="Times New Roman" w:hAnsi="Times New Roman" w:cs="Times New Roman" w:hint="eastAsia"/>
          <w:b/>
          <w:bCs/>
          <w:sz w:val="20"/>
          <w:szCs w:val="20"/>
        </w:rPr>
        <w:t>I.2</w:t>
      </w:r>
      <w:r w:rsidRPr="001031F8">
        <w:rPr>
          <w:rFonts w:ascii="Times New Roman" w:hAnsi="Times New Roman" w:cs="Times New Roman"/>
          <w:b/>
          <w:bCs/>
          <w:sz w:val="20"/>
          <w:szCs w:val="20"/>
        </w:rPr>
        <w:t xml:space="preserve"> </w:t>
      </w:r>
      <w:r w:rsidRPr="001031F8">
        <w:rPr>
          <w:rFonts w:ascii="Times New Roman" w:hAnsi="Times New Roman" w:cs="Times New Roman"/>
          <w:sz w:val="20"/>
          <w:szCs w:val="20"/>
        </w:rPr>
        <w:t xml:space="preserve">align with the main results: (1) the likelihood of experiencing CHLTCE increased across all groups when </w:t>
      </w:r>
      <w:r>
        <w:rPr>
          <w:rFonts w:ascii="Times New Roman" w:hAnsi="Times New Roman" w:cs="Times New Roman" w:hint="eastAsia"/>
          <w:sz w:val="20"/>
          <w:szCs w:val="20"/>
        </w:rPr>
        <w:t>LTC</w:t>
      </w:r>
      <w:r w:rsidRPr="001031F8">
        <w:rPr>
          <w:rFonts w:ascii="Times New Roman" w:hAnsi="Times New Roman" w:cs="Times New Roman"/>
          <w:sz w:val="20"/>
          <w:szCs w:val="20"/>
        </w:rPr>
        <w:t xml:space="preserve"> costs were included; and (2) after including </w:t>
      </w:r>
      <w:r>
        <w:rPr>
          <w:rFonts w:ascii="Times New Roman" w:hAnsi="Times New Roman" w:cs="Times New Roman" w:hint="eastAsia"/>
          <w:sz w:val="20"/>
          <w:szCs w:val="20"/>
        </w:rPr>
        <w:t>LTC</w:t>
      </w:r>
      <w:r w:rsidRPr="001031F8">
        <w:rPr>
          <w:rFonts w:ascii="Times New Roman" w:hAnsi="Times New Roman" w:cs="Times New Roman"/>
          <w:sz w:val="20"/>
          <w:szCs w:val="20"/>
        </w:rPr>
        <w:t xml:space="preserve"> costs, the treated group had a lower likelihood of experiencing catastrophic expenditures compared to the control group.</w:t>
      </w:r>
    </w:p>
    <w:p w14:paraId="116CE843" w14:textId="77777777" w:rsidR="00923F07" w:rsidRDefault="00923F07" w:rsidP="001031F8">
      <w:pPr>
        <w:adjustRightInd w:val="0"/>
        <w:snapToGrid w:val="0"/>
        <w:spacing w:line="480" w:lineRule="auto"/>
        <w:jc w:val="left"/>
        <w:rPr>
          <w:rFonts w:ascii="Times New Roman" w:hAnsi="Times New Roman" w:cs="Times New Roman"/>
          <w:sz w:val="20"/>
          <w:szCs w:val="20"/>
        </w:rPr>
      </w:pPr>
    </w:p>
    <w:p w14:paraId="1A1708D1" w14:textId="77777777" w:rsidR="00923F07" w:rsidRPr="001031F8" w:rsidRDefault="00923F07" w:rsidP="001031F8">
      <w:pPr>
        <w:pStyle w:val="Heading2"/>
        <w:adjustRightInd w:val="0"/>
        <w:snapToGrid w:val="0"/>
        <w:spacing w:before="0" w:after="0" w:line="480" w:lineRule="auto"/>
        <w:jc w:val="left"/>
        <w:rPr>
          <w:rFonts w:ascii="Times New Roman" w:hAnsi="Times New Roman" w:cs="Times New Roman"/>
          <w:sz w:val="20"/>
          <w:szCs w:val="20"/>
        </w:rPr>
      </w:pPr>
      <w:bookmarkStart w:id="41" w:name="_Toc195209574"/>
      <w:r w:rsidRPr="001031F8">
        <w:rPr>
          <w:rFonts w:ascii="Times New Roman" w:hAnsi="Times New Roman" w:cs="Times New Roman"/>
          <w:sz w:val="20"/>
          <w:szCs w:val="20"/>
        </w:rPr>
        <w:t xml:space="preserve">Figure I.2. Robustness </w:t>
      </w:r>
      <w:proofErr w:type="gramStart"/>
      <w:r w:rsidRPr="001031F8">
        <w:rPr>
          <w:rFonts w:ascii="Times New Roman" w:hAnsi="Times New Roman" w:cs="Times New Roman"/>
          <w:sz w:val="20"/>
          <w:szCs w:val="20"/>
        </w:rPr>
        <w:t>check</w:t>
      </w:r>
      <w:proofErr w:type="gramEnd"/>
      <w:r w:rsidRPr="001031F8">
        <w:rPr>
          <w:rFonts w:ascii="Times New Roman" w:hAnsi="Times New Roman" w:cs="Times New Roman"/>
          <w:sz w:val="20"/>
          <w:szCs w:val="20"/>
        </w:rPr>
        <w:t xml:space="preserve"> 2: Weighted likelihood of experiencing catastrophic health and long-term care expenditure (CHLTCE) after accounting for long-term care costs.</w:t>
      </w:r>
      <w:bookmarkEnd w:id="41"/>
    </w:p>
    <w:p w14:paraId="00B9EF6E" w14:textId="77777777" w:rsidR="00923F07" w:rsidRPr="001031F8" w:rsidRDefault="00923F07" w:rsidP="001031F8">
      <w:pPr>
        <w:adjustRightInd w:val="0"/>
        <w:snapToGrid w:val="0"/>
        <w:spacing w:line="480" w:lineRule="auto"/>
        <w:jc w:val="left"/>
        <w:rPr>
          <w:rFonts w:ascii="Times New Roman" w:hAnsi="Times New Roman" w:cs="Times New Roman"/>
          <w:color w:val="1F1F1F"/>
          <w:sz w:val="20"/>
          <w:szCs w:val="20"/>
        </w:rPr>
      </w:pPr>
      <w:r w:rsidRPr="001031F8">
        <w:rPr>
          <w:rFonts w:ascii="Times New Roman" w:hAnsi="Times New Roman" w:cs="Times New Roman"/>
          <w:noProof/>
          <w:color w:val="1F1F1F"/>
          <w:sz w:val="20"/>
          <w:szCs w:val="20"/>
        </w:rPr>
        <w:drawing>
          <wp:inline distT="0" distB="0" distL="0" distR="0" wp14:anchorId="34792017" wp14:editId="25D0EAD9">
            <wp:extent cx="3776472" cy="2404872"/>
            <wp:effectExtent l="0" t="0" r="0" b="0"/>
            <wp:docPr id="88095236" name="Picture 2"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95236" name="Picture 2" descr="A graph of different colored bar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76472" cy="2404872"/>
                    </a:xfrm>
                    <a:prstGeom prst="rect">
                      <a:avLst/>
                    </a:prstGeom>
                  </pic:spPr>
                </pic:pic>
              </a:graphicData>
            </a:graphic>
          </wp:inline>
        </w:drawing>
      </w:r>
    </w:p>
    <w:p w14:paraId="7822F698"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p>
    <w:p w14:paraId="705B28CB"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 xml:space="preserve">In addition, the results of </w:t>
      </w:r>
      <w:r>
        <w:rPr>
          <w:rFonts w:ascii="Times New Roman" w:hAnsi="Times New Roman" w:cs="Times New Roman" w:hint="eastAsia"/>
          <w:sz w:val="20"/>
          <w:szCs w:val="20"/>
        </w:rPr>
        <w:t>s</w:t>
      </w:r>
      <w:r w:rsidRPr="001031F8">
        <w:rPr>
          <w:rFonts w:ascii="Times New Roman" w:hAnsi="Times New Roman" w:cs="Times New Roman"/>
          <w:sz w:val="20"/>
          <w:szCs w:val="20"/>
        </w:rPr>
        <w:t>taggered Differences-in-Differences regression (</w:t>
      </w:r>
      <w:r w:rsidRPr="001031F8">
        <w:rPr>
          <w:rFonts w:ascii="Times New Roman" w:hAnsi="Times New Roman" w:cs="Times New Roman"/>
          <w:b/>
          <w:bCs/>
          <w:sz w:val="20"/>
          <w:szCs w:val="20"/>
        </w:rPr>
        <w:t>Table</w:t>
      </w:r>
      <w:r w:rsidRPr="001031F8">
        <w:rPr>
          <w:rFonts w:ascii="Times New Roman" w:hAnsi="Times New Roman" w:cs="Times New Roman" w:hint="eastAsia"/>
          <w:b/>
          <w:bCs/>
          <w:sz w:val="20"/>
          <w:szCs w:val="20"/>
        </w:rPr>
        <w:t xml:space="preserve"> I.2</w:t>
      </w:r>
      <w:r w:rsidRPr="001031F8">
        <w:rPr>
          <w:rFonts w:ascii="Times New Roman" w:hAnsi="Times New Roman" w:cs="Times New Roman"/>
          <w:sz w:val="20"/>
          <w:szCs w:val="20"/>
        </w:rPr>
        <w:t xml:space="preserve">) were consistent with the main models, showing that </w:t>
      </w:r>
      <w:r>
        <w:rPr>
          <w:rFonts w:ascii="Times New Roman" w:hAnsi="Times New Roman" w:cs="Times New Roman" w:hint="eastAsia"/>
          <w:sz w:val="20"/>
          <w:szCs w:val="20"/>
        </w:rPr>
        <w:t>LTCI</w:t>
      </w:r>
      <w:r w:rsidRPr="001031F8">
        <w:rPr>
          <w:rFonts w:ascii="Times New Roman" w:hAnsi="Times New Roman" w:cs="Times New Roman"/>
          <w:sz w:val="20"/>
          <w:szCs w:val="20"/>
        </w:rPr>
        <w:t xml:space="preserve"> coverage was associated with a significant reduction in the likelihood of experiencing CHLTCE. </w:t>
      </w:r>
    </w:p>
    <w:p w14:paraId="7438D79F"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p>
    <w:p w14:paraId="43B4F3E9" w14:textId="77777777" w:rsidR="00923F07" w:rsidRPr="001031F8" w:rsidRDefault="00923F07" w:rsidP="001031F8">
      <w:pPr>
        <w:pStyle w:val="Heading2"/>
        <w:adjustRightInd w:val="0"/>
        <w:snapToGrid w:val="0"/>
        <w:spacing w:before="0" w:after="0" w:line="480" w:lineRule="auto"/>
        <w:jc w:val="left"/>
        <w:rPr>
          <w:rFonts w:ascii="Times New Roman" w:hAnsi="Times New Roman" w:cs="Times New Roman"/>
          <w:sz w:val="20"/>
          <w:szCs w:val="20"/>
        </w:rPr>
      </w:pPr>
      <w:bookmarkStart w:id="42" w:name="_Toc195209575"/>
      <w:r w:rsidRPr="001031F8">
        <w:rPr>
          <w:rFonts w:ascii="Times New Roman" w:hAnsi="Times New Roman" w:cs="Times New Roman"/>
          <w:sz w:val="20"/>
          <w:szCs w:val="20"/>
        </w:rPr>
        <w:t xml:space="preserve">Table I.2: Robustness check </w:t>
      </w:r>
      <w:r w:rsidRPr="001031F8">
        <w:rPr>
          <w:rFonts w:ascii="Times New Roman" w:hAnsi="Times New Roman" w:cs="Times New Roman" w:hint="eastAsia"/>
          <w:sz w:val="20"/>
          <w:szCs w:val="20"/>
        </w:rPr>
        <w:t>2</w:t>
      </w:r>
      <w:r w:rsidRPr="001031F8">
        <w:rPr>
          <w:rFonts w:ascii="Times New Roman" w:hAnsi="Times New Roman" w:cs="Times New Roman"/>
          <w:sz w:val="20"/>
          <w:szCs w:val="20"/>
        </w:rPr>
        <w:t xml:space="preserve">: Effect of long-term care insurance on the likelihood of </w:t>
      </w:r>
      <w:proofErr w:type="gramStart"/>
      <w:r w:rsidRPr="001031F8">
        <w:rPr>
          <w:rFonts w:ascii="Times New Roman" w:hAnsi="Times New Roman" w:cs="Times New Roman"/>
          <w:sz w:val="20"/>
          <w:szCs w:val="20"/>
        </w:rPr>
        <w:t>experiencing of</w:t>
      </w:r>
      <w:proofErr w:type="gramEnd"/>
      <w:r w:rsidRPr="001031F8">
        <w:rPr>
          <w:rFonts w:ascii="Times New Roman" w:hAnsi="Times New Roman" w:cs="Times New Roman"/>
          <w:sz w:val="20"/>
          <w:szCs w:val="20"/>
        </w:rPr>
        <w:t xml:space="preserve"> catastrophic health and long-term care expenditure.</w:t>
      </w:r>
      <w:bookmarkEnd w:id="42"/>
      <w:r w:rsidRPr="001031F8">
        <w:rPr>
          <w:rFonts w:ascii="Times New Roman" w:hAnsi="Times New Roman" w:cs="Times New Roman"/>
          <w:spacing w:val="-1"/>
          <w:sz w:val="20"/>
          <w:szCs w:val="20"/>
        </w:rP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8"/>
        <w:gridCol w:w="2693"/>
      </w:tblGrid>
      <w:tr w:rsidR="00923F07" w:rsidRPr="001031F8" w14:paraId="54EEF5B2" w14:textId="77777777" w:rsidTr="00CF485E">
        <w:trPr>
          <w:jc w:val="center"/>
        </w:trPr>
        <w:tc>
          <w:tcPr>
            <w:tcW w:w="4258" w:type="dxa"/>
            <w:tcBorders>
              <w:bottom w:val="nil"/>
            </w:tcBorders>
          </w:tcPr>
          <w:p w14:paraId="0FFE02F2" w14:textId="77777777" w:rsidR="00923F07" w:rsidRPr="001031F8" w:rsidRDefault="00923F07" w:rsidP="001031F8">
            <w:pPr>
              <w:autoSpaceDE w:val="0"/>
              <w:autoSpaceDN w:val="0"/>
              <w:adjustRightInd w:val="0"/>
              <w:snapToGrid w:val="0"/>
              <w:spacing w:line="480" w:lineRule="auto"/>
              <w:rPr>
                <w:rFonts w:ascii="Times New Roman" w:hAnsi="Times New Roman" w:cs="Times New Roman"/>
                <w:kern w:val="0"/>
                <w:sz w:val="20"/>
                <w:szCs w:val="20"/>
              </w:rPr>
            </w:pPr>
          </w:p>
        </w:tc>
        <w:tc>
          <w:tcPr>
            <w:tcW w:w="2693" w:type="dxa"/>
            <w:tcBorders>
              <w:top w:val="single" w:sz="4" w:space="0" w:color="auto"/>
              <w:bottom w:val="single" w:sz="4" w:space="0" w:color="auto"/>
            </w:tcBorders>
          </w:tcPr>
          <w:p w14:paraId="1EC3B47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b/>
                <w:bCs/>
                <w:kern w:val="0"/>
                <w:sz w:val="20"/>
                <w:szCs w:val="20"/>
              </w:rPr>
            </w:pPr>
            <w:r w:rsidRPr="001031F8">
              <w:rPr>
                <w:rFonts w:ascii="Times New Roman" w:hAnsi="Times New Roman" w:cs="Times New Roman"/>
                <w:b/>
                <w:bCs/>
                <w:sz w:val="20"/>
                <w:szCs w:val="20"/>
              </w:rPr>
              <w:t>10% of total expenditures</w:t>
            </w:r>
          </w:p>
        </w:tc>
      </w:tr>
      <w:tr w:rsidR="00923F07" w:rsidRPr="001031F8" w14:paraId="48B9DB8B" w14:textId="77777777" w:rsidTr="00CF485E">
        <w:trPr>
          <w:jc w:val="center"/>
        </w:trPr>
        <w:tc>
          <w:tcPr>
            <w:tcW w:w="4258" w:type="dxa"/>
            <w:tcBorders>
              <w:top w:val="single" w:sz="4" w:space="0" w:color="auto"/>
            </w:tcBorders>
          </w:tcPr>
          <w:p w14:paraId="6E549DE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b/>
                <w:kern w:val="0"/>
                <w:sz w:val="20"/>
                <w:szCs w:val="20"/>
              </w:rPr>
              <w:t>Variables</w:t>
            </w:r>
          </w:p>
        </w:tc>
        <w:tc>
          <w:tcPr>
            <w:tcW w:w="2693" w:type="dxa"/>
            <w:tcBorders>
              <w:top w:val="single" w:sz="4" w:space="0" w:color="auto"/>
            </w:tcBorders>
          </w:tcPr>
          <w:p w14:paraId="3F3AAADE"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roofErr w:type="gramStart"/>
            <w:r w:rsidRPr="001031F8">
              <w:rPr>
                <w:rFonts w:ascii="Times New Roman" w:hAnsi="Times New Roman" w:cs="Times New Roman"/>
                <w:b/>
                <w:color w:val="2A2A2A"/>
                <w:sz w:val="20"/>
                <w:szCs w:val="20"/>
                <w:shd w:val="clear" w:color="auto" w:fill="FFFFFF"/>
              </w:rPr>
              <w:t xml:space="preserve">β </w:t>
            </w:r>
            <w:r w:rsidRPr="001031F8">
              <w:rPr>
                <w:rFonts w:ascii="Times New Roman" w:hAnsi="Times New Roman" w:cs="Times New Roman"/>
                <w:b/>
                <w:sz w:val="20"/>
                <w:szCs w:val="20"/>
                <w:vertAlign w:val="superscript"/>
              </w:rPr>
              <w:t>P</w:t>
            </w:r>
            <w:r w:rsidRPr="001031F8">
              <w:rPr>
                <w:rFonts w:ascii="Times New Roman" w:hAnsi="Times New Roman" w:cs="Times New Roman"/>
                <w:b/>
                <w:sz w:val="20"/>
                <w:szCs w:val="20"/>
              </w:rPr>
              <w:t xml:space="preserve"> (</w:t>
            </w:r>
            <w:proofErr w:type="gramEnd"/>
            <w:r w:rsidRPr="001031F8">
              <w:rPr>
                <w:rFonts w:ascii="Times New Roman" w:hAnsi="Times New Roman" w:cs="Times New Roman"/>
                <w:b/>
                <w:sz w:val="20"/>
                <w:szCs w:val="20"/>
              </w:rPr>
              <w:t>robust S.E.)</w:t>
            </w:r>
          </w:p>
        </w:tc>
      </w:tr>
      <w:tr w:rsidR="00923F07" w:rsidRPr="001031F8" w14:paraId="1A0F5966" w14:textId="77777777" w:rsidTr="00CF485E">
        <w:trPr>
          <w:jc w:val="center"/>
        </w:trPr>
        <w:tc>
          <w:tcPr>
            <w:tcW w:w="4258" w:type="dxa"/>
            <w:tcBorders>
              <w:top w:val="single" w:sz="4" w:space="0" w:color="auto"/>
            </w:tcBorders>
          </w:tcPr>
          <w:p w14:paraId="1D28359F"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The net impact of long-term care insurance</w:t>
            </w:r>
          </w:p>
        </w:tc>
        <w:tc>
          <w:tcPr>
            <w:tcW w:w="2693" w:type="dxa"/>
            <w:tcBorders>
              <w:top w:val="single" w:sz="4" w:space="0" w:color="auto"/>
            </w:tcBorders>
          </w:tcPr>
          <w:p w14:paraId="2A9DCB3C" w14:textId="77777777" w:rsidR="00923F07" w:rsidRPr="001031F8" w:rsidRDefault="00923F07" w:rsidP="001031F8">
            <w:pPr>
              <w:adjustRightInd w:val="0"/>
              <w:snapToGrid w:val="0"/>
              <w:spacing w:line="480" w:lineRule="auto"/>
              <w:jc w:val="left"/>
              <w:textAlignment w:val="baseline"/>
              <w:rPr>
                <w:rFonts w:ascii="Times New Roman" w:hAnsi="Times New Roman" w:cs="Times New Roman"/>
                <w:sz w:val="20"/>
                <w:szCs w:val="20"/>
              </w:rPr>
            </w:pPr>
            <w:r w:rsidRPr="001031F8">
              <w:rPr>
                <w:rFonts w:ascii="Times New Roman" w:hAnsi="Times New Roman" w:cs="Times New Roman"/>
                <w:sz w:val="20"/>
                <w:szCs w:val="20"/>
              </w:rPr>
              <w:t>-0.17***</w:t>
            </w:r>
          </w:p>
          <w:p w14:paraId="028A98AA" w14:textId="77777777" w:rsidR="00923F07" w:rsidRPr="001031F8" w:rsidRDefault="00923F07" w:rsidP="001031F8">
            <w:pPr>
              <w:adjustRightInd w:val="0"/>
              <w:snapToGrid w:val="0"/>
              <w:spacing w:line="480" w:lineRule="auto"/>
              <w:jc w:val="left"/>
              <w:textAlignment w:val="baseline"/>
              <w:rPr>
                <w:rFonts w:ascii="Times New Roman" w:hAnsi="Times New Roman" w:cs="Times New Roman"/>
                <w:sz w:val="20"/>
                <w:szCs w:val="20"/>
              </w:rPr>
            </w:pPr>
            <w:r w:rsidRPr="001031F8">
              <w:rPr>
                <w:rFonts w:ascii="Times New Roman" w:hAnsi="Times New Roman" w:cs="Times New Roman"/>
                <w:sz w:val="20"/>
                <w:szCs w:val="20"/>
              </w:rPr>
              <w:t>(0.04)</w:t>
            </w:r>
          </w:p>
        </w:tc>
      </w:tr>
      <w:tr w:rsidR="00923F07" w:rsidRPr="001031F8" w14:paraId="1A5E0E09" w14:textId="77777777" w:rsidTr="00CF485E">
        <w:trPr>
          <w:jc w:val="center"/>
        </w:trPr>
        <w:tc>
          <w:tcPr>
            <w:tcW w:w="4258" w:type="dxa"/>
          </w:tcPr>
          <w:p w14:paraId="59E554E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Age (years)</w:t>
            </w:r>
          </w:p>
        </w:tc>
        <w:tc>
          <w:tcPr>
            <w:tcW w:w="2693" w:type="dxa"/>
          </w:tcPr>
          <w:p w14:paraId="4DF71143"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1DD458FC" w14:textId="77777777" w:rsidTr="00CF485E">
        <w:trPr>
          <w:jc w:val="center"/>
        </w:trPr>
        <w:tc>
          <w:tcPr>
            <w:tcW w:w="4258" w:type="dxa"/>
          </w:tcPr>
          <w:p w14:paraId="254D28D1"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Pr>
          <w:p w14:paraId="1C23A096"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r>
      <w:tr w:rsidR="00923F07" w:rsidRPr="001031F8" w14:paraId="10768F41" w14:textId="77777777" w:rsidTr="00CF485E">
        <w:trPr>
          <w:jc w:val="center"/>
        </w:trPr>
        <w:tc>
          <w:tcPr>
            <w:tcW w:w="4258" w:type="dxa"/>
          </w:tcPr>
          <w:p w14:paraId="766681C0"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Gender (Ref: male)</w:t>
            </w:r>
          </w:p>
        </w:tc>
        <w:tc>
          <w:tcPr>
            <w:tcW w:w="2693" w:type="dxa"/>
          </w:tcPr>
          <w:p w14:paraId="558CAA85"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r>
      <w:tr w:rsidR="00923F07" w:rsidRPr="001031F8" w14:paraId="63AA7C2B" w14:textId="77777777" w:rsidTr="00CF485E">
        <w:trPr>
          <w:jc w:val="center"/>
        </w:trPr>
        <w:tc>
          <w:tcPr>
            <w:tcW w:w="4258" w:type="dxa"/>
          </w:tcPr>
          <w:p w14:paraId="2F626969"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female</w:t>
            </w:r>
          </w:p>
        </w:tc>
        <w:tc>
          <w:tcPr>
            <w:tcW w:w="2693" w:type="dxa"/>
          </w:tcPr>
          <w:p w14:paraId="6D72AED8"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sz w:val="20"/>
                <w:szCs w:val="20"/>
              </w:rPr>
              <w:t>N.A.</w:t>
            </w:r>
          </w:p>
        </w:tc>
      </w:tr>
      <w:tr w:rsidR="00923F07" w:rsidRPr="001031F8" w14:paraId="72E901AC" w14:textId="77777777" w:rsidTr="00CF485E">
        <w:trPr>
          <w:jc w:val="center"/>
        </w:trPr>
        <w:tc>
          <w:tcPr>
            <w:tcW w:w="6951" w:type="dxa"/>
            <w:gridSpan w:val="2"/>
          </w:tcPr>
          <w:p w14:paraId="1E6A6673"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Education (Ref:</w:t>
            </w:r>
            <w:r w:rsidRPr="001031F8">
              <w:rPr>
                <w:rFonts w:ascii="Times New Roman" w:hAnsi="Times New Roman" w:cs="Times New Roman"/>
                <w:sz w:val="20"/>
                <w:szCs w:val="20"/>
              </w:rPr>
              <w:t xml:space="preserve"> </w:t>
            </w:r>
            <w:r w:rsidRPr="001031F8">
              <w:rPr>
                <w:rFonts w:ascii="Times New Roman" w:hAnsi="Times New Roman" w:cs="Times New Roman"/>
                <w:kern w:val="0"/>
                <w:sz w:val="20"/>
                <w:szCs w:val="20"/>
              </w:rPr>
              <w:t>no formal education)</w:t>
            </w:r>
          </w:p>
        </w:tc>
      </w:tr>
      <w:tr w:rsidR="00923F07" w:rsidRPr="001031F8" w14:paraId="25C151C8" w14:textId="77777777" w:rsidTr="00CF485E">
        <w:trPr>
          <w:jc w:val="center"/>
        </w:trPr>
        <w:tc>
          <w:tcPr>
            <w:tcW w:w="4258" w:type="dxa"/>
          </w:tcPr>
          <w:p w14:paraId="6FF210A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elementary school</w:t>
            </w:r>
          </w:p>
        </w:tc>
        <w:tc>
          <w:tcPr>
            <w:tcW w:w="2693" w:type="dxa"/>
          </w:tcPr>
          <w:p w14:paraId="3475C989"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sz w:val="20"/>
                <w:szCs w:val="20"/>
              </w:rPr>
              <w:t>N.A.</w:t>
            </w:r>
          </w:p>
        </w:tc>
      </w:tr>
      <w:tr w:rsidR="00923F07" w:rsidRPr="001031F8" w14:paraId="78D30446" w14:textId="77777777" w:rsidTr="00CF485E">
        <w:trPr>
          <w:jc w:val="center"/>
        </w:trPr>
        <w:tc>
          <w:tcPr>
            <w:tcW w:w="4258" w:type="dxa"/>
          </w:tcPr>
          <w:p w14:paraId="046B244D"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middle school or above</w:t>
            </w:r>
          </w:p>
        </w:tc>
        <w:tc>
          <w:tcPr>
            <w:tcW w:w="2693" w:type="dxa"/>
          </w:tcPr>
          <w:p w14:paraId="1D5C4BC2"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sz w:val="20"/>
                <w:szCs w:val="20"/>
              </w:rPr>
              <w:t>N.A.</w:t>
            </w:r>
          </w:p>
        </w:tc>
      </w:tr>
      <w:tr w:rsidR="00923F07" w:rsidRPr="001031F8" w14:paraId="13BDDB84" w14:textId="77777777" w:rsidTr="00CF485E">
        <w:trPr>
          <w:jc w:val="center"/>
        </w:trPr>
        <w:tc>
          <w:tcPr>
            <w:tcW w:w="6951" w:type="dxa"/>
            <w:gridSpan w:val="2"/>
          </w:tcPr>
          <w:p w14:paraId="5257F77A"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kern w:val="0"/>
                <w:sz w:val="20"/>
                <w:szCs w:val="20"/>
              </w:rPr>
              <w:t>Place of residence (Ref: urban areas)</w:t>
            </w:r>
          </w:p>
        </w:tc>
      </w:tr>
      <w:tr w:rsidR="00923F07" w:rsidRPr="001031F8" w14:paraId="79E6B103" w14:textId="77777777" w:rsidTr="00CF485E">
        <w:trPr>
          <w:jc w:val="center"/>
        </w:trPr>
        <w:tc>
          <w:tcPr>
            <w:tcW w:w="4258" w:type="dxa"/>
          </w:tcPr>
          <w:p w14:paraId="759B0269"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rural areas</w:t>
            </w:r>
          </w:p>
        </w:tc>
        <w:tc>
          <w:tcPr>
            <w:tcW w:w="2693" w:type="dxa"/>
          </w:tcPr>
          <w:p w14:paraId="56B85D78"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N.A.</w:t>
            </w:r>
          </w:p>
        </w:tc>
      </w:tr>
      <w:tr w:rsidR="00923F07" w:rsidRPr="001031F8" w14:paraId="5EE57DCB" w14:textId="77777777" w:rsidTr="00CF485E">
        <w:trPr>
          <w:jc w:val="center"/>
        </w:trPr>
        <w:tc>
          <w:tcPr>
            <w:tcW w:w="4258" w:type="dxa"/>
          </w:tcPr>
          <w:p w14:paraId="2221B9ED"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Pr>
          <w:p w14:paraId="02E67A11"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sz w:val="20"/>
                <w:szCs w:val="20"/>
              </w:rPr>
              <w:t>N.A.</w:t>
            </w:r>
          </w:p>
        </w:tc>
      </w:tr>
      <w:tr w:rsidR="00923F07" w:rsidRPr="001031F8" w14:paraId="048BFE6E" w14:textId="77777777" w:rsidTr="00CF485E">
        <w:trPr>
          <w:jc w:val="center"/>
        </w:trPr>
        <w:tc>
          <w:tcPr>
            <w:tcW w:w="4258" w:type="dxa"/>
          </w:tcPr>
          <w:p w14:paraId="2517C79E"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Household expenditures</w:t>
            </w:r>
          </w:p>
        </w:tc>
        <w:tc>
          <w:tcPr>
            <w:tcW w:w="2693" w:type="dxa"/>
          </w:tcPr>
          <w:p w14:paraId="1C51ADFA"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kern w:val="0"/>
                <w:sz w:val="20"/>
                <w:szCs w:val="20"/>
              </w:rPr>
              <w:t>-0.01*</w:t>
            </w:r>
          </w:p>
        </w:tc>
      </w:tr>
      <w:tr w:rsidR="00923F07" w:rsidRPr="001031F8" w14:paraId="40C04EE8" w14:textId="77777777" w:rsidTr="00CF485E">
        <w:trPr>
          <w:jc w:val="center"/>
        </w:trPr>
        <w:tc>
          <w:tcPr>
            <w:tcW w:w="4258" w:type="dxa"/>
          </w:tcPr>
          <w:p w14:paraId="09AC74B1"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Pr>
          <w:p w14:paraId="38055CA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sz w:val="20"/>
                <w:szCs w:val="20"/>
              </w:rPr>
            </w:pPr>
            <w:r w:rsidRPr="001031F8">
              <w:rPr>
                <w:rFonts w:ascii="Times New Roman" w:hAnsi="Times New Roman" w:cs="Times New Roman"/>
                <w:kern w:val="0"/>
                <w:sz w:val="20"/>
                <w:szCs w:val="20"/>
              </w:rPr>
              <w:t>(&lt;0.01)</w:t>
            </w:r>
          </w:p>
        </w:tc>
      </w:tr>
      <w:tr w:rsidR="00923F07" w:rsidRPr="001031F8" w14:paraId="666450A0" w14:textId="77777777" w:rsidTr="00CF485E">
        <w:trPr>
          <w:jc w:val="center"/>
        </w:trPr>
        <w:tc>
          <w:tcPr>
            <w:tcW w:w="4258" w:type="dxa"/>
          </w:tcPr>
          <w:p w14:paraId="2C9FE4C3"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Marital status (Ref: married or cohabiting)</w:t>
            </w:r>
          </w:p>
        </w:tc>
        <w:tc>
          <w:tcPr>
            <w:tcW w:w="2693" w:type="dxa"/>
          </w:tcPr>
          <w:p w14:paraId="0D17D573"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r>
      <w:tr w:rsidR="00923F07" w:rsidRPr="001031F8" w14:paraId="76E625E1" w14:textId="77777777" w:rsidTr="00CF485E">
        <w:trPr>
          <w:jc w:val="center"/>
        </w:trPr>
        <w:tc>
          <w:tcPr>
            <w:tcW w:w="4258" w:type="dxa"/>
          </w:tcPr>
          <w:p w14:paraId="3175FEA4"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other</w:t>
            </w:r>
          </w:p>
        </w:tc>
        <w:tc>
          <w:tcPr>
            <w:tcW w:w="2693" w:type="dxa"/>
          </w:tcPr>
          <w:p w14:paraId="16B69E5D"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0.05*</w:t>
            </w:r>
          </w:p>
        </w:tc>
      </w:tr>
      <w:tr w:rsidR="00923F07" w:rsidRPr="001031F8" w14:paraId="12006F72" w14:textId="77777777" w:rsidTr="00CF485E">
        <w:trPr>
          <w:jc w:val="center"/>
        </w:trPr>
        <w:tc>
          <w:tcPr>
            <w:tcW w:w="4258" w:type="dxa"/>
          </w:tcPr>
          <w:p w14:paraId="76482F9B"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Pr>
          <w:p w14:paraId="4A574BB6"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2487FC2F" w14:textId="77777777" w:rsidTr="00CF485E">
        <w:trPr>
          <w:jc w:val="center"/>
        </w:trPr>
        <w:tc>
          <w:tcPr>
            <w:tcW w:w="6951" w:type="dxa"/>
            <w:gridSpan w:val="2"/>
          </w:tcPr>
          <w:p w14:paraId="35C0123A"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Self-rated health (Ref: good)</w:t>
            </w:r>
          </w:p>
        </w:tc>
      </w:tr>
      <w:tr w:rsidR="00923F07" w:rsidRPr="001031F8" w14:paraId="44D7493D" w14:textId="77777777" w:rsidTr="00CF485E">
        <w:trPr>
          <w:jc w:val="center"/>
        </w:trPr>
        <w:tc>
          <w:tcPr>
            <w:tcW w:w="4258" w:type="dxa"/>
          </w:tcPr>
          <w:p w14:paraId="0FE26AFF"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rPr>
              <w:t>fair</w:t>
            </w:r>
          </w:p>
        </w:tc>
        <w:tc>
          <w:tcPr>
            <w:tcW w:w="2693" w:type="dxa"/>
          </w:tcPr>
          <w:p w14:paraId="7C2F7CE5"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0AF483D0" w14:textId="77777777" w:rsidTr="00CF485E">
        <w:trPr>
          <w:jc w:val="center"/>
        </w:trPr>
        <w:tc>
          <w:tcPr>
            <w:tcW w:w="4258" w:type="dxa"/>
          </w:tcPr>
          <w:p w14:paraId="1221804E"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Pr>
          <w:p w14:paraId="2A43ED54"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r>
      <w:tr w:rsidR="00923F07" w:rsidRPr="001031F8" w14:paraId="1E34D360" w14:textId="77777777" w:rsidTr="00CF485E">
        <w:trPr>
          <w:jc w:val="center"/>
        </w:trPr>
        <w:tc>
          <w:tcPr>
            <w:tcW w:w="4258" w:type="dxa"/>
          </w:tcPr>
          <w:p w14:paraId="6171834D"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bad</w:t>
            </w:r>
          </w:p>
        </w:tc>
        <w:tc>
          <w:tcPr>
            <w:tcW w:w="2693" w:type="dxa"/>
          </w:tcPr>
          <w:p w14:paraId="5AC6F86A"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0.08***</w:t>
            </w:r>
          </w:p>
        </w:tc>
      </w:tr>
      <w:tr w:rsidR="00923F07" w:rsidRPr="001031F8" w14:paraId="3995D6B4" w14:textId="77777777" w:rsidTr="00CF485E">
        <w:trPr>
          <w:jc w:val="center"/>
        </w:trPr>
        <w:tc>
          <w:tcPr>
            <w:tcW w:w="4258" w:type="dxa"/>
          </w:tcPr>
          <w:p w14:paraId="6B9DCDAF"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Pr>
          <w:p w14:paraId="1FE89B2D"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09B352EF" w14:textId="77777777" w:rsidTr="00CF485E">
        <w:trPr>
          <w:jc w:val="center"/>
        </w:trPr>
        <w:tc>
          <w:tcPr>
            <w:tcW w:w="4258" w:type="dxa"/>
            <w:vMerge w:val="restart"/>
          </w:tcPr>
          <w:p w14:paraId="445A8A90"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Number of ADL/IADL limitations</w:t>
            </w:r>
          </w:p>
        </w:tc>
        <w:tc>
          <w:tcPr>
            <w:tcW w:w="2693" w:type="dxa"/>
          </w:tcPr>
          <w:p w14:paraId="6082819D"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0.12***</w:t>
            </w:r>
          </w:p>
        </w:tc>
      </w:tr>
      <w:tr w:rsidR="00923F07" w:rsidRPr="001031F8" w14:paraId="2D6879F4" w14:textId="77777777" w:rsidTr="00CF485E">
        <w:trPr>
          <w:jc w:val="center"/>
        </w:trPr>
        <w:tc>
          <w:tcPr>
            <w:tcW w:w="4258" w:type="dxa"/>
            <w:vMerge/>
          </w:tcPr>
          <w:p w14:paraId="3F8147B5"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Pr>
          <w:p w14:paraId="5DA8BD06"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r>
      <w:tr w:rsidR="00923F07" w:rsidRPr="001031F8" w14:paraId="603C2E16" w14:textId="77777777" w:rsidTr="00CF485E">
        <w:trPr>
          <w:jc w:val="center"/>
        </w:trPr>
        <w:tc>
          <w:tcPr>
            <w:tcW w:w="6951" w:type="dxa"/>
            <w:gridSpan w:val="2"/>
          </w:tcPr>
          <w:p w14:paraId="1C1B5943"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Type of Social Health Insurance</w:t>
            </w:r>
          </w:p>
        </w:tc>
      </w:tr>
      <w:tr w:rsidR="00923F07" w:rsidRPr="001031F8" w14:paraId="24D1EB91" w14:textId="77777777" w:rsidTr="00CF485E">
        <w:trPr>
          <w:jc w:val="center"/>
        </w:trPr>
        <w:tc>
          <w:tcPr>
            <w:tcW w:w="4258" w:type="dxa"/>
          </w:tcPr>
          <w:p w14:paraId="7FC0FE85"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UEI</w:t>
            </w:r>
          </w:p>
        </w:tc>
        <w:tc>
          <w:tcPr>
            <w:tcW w:w="2693" w:type="dxa"/>
          </w:tcPr>
          <w:p w14:paraId="29F1302D"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0.04</w:t>
            </w:r>
          </w:p>
        </w:tc>
      </w:tr>
      <w:tr w:rsidR="00923F07" w:rsidRPr="001031F8" w14:paraId="385D3715" w14:textId="77777777" w:rsidTr="00CF485E">
        <w:trPr>
          <w:jc w:val="center"/>
        </w:trPr>
        <w:tc>
          <w:tcPr>
            <w:tcW w:w="4258" w:type="dxa"/>
          </w:tcPr>
          <w:p w14:paraId="2446DC84"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Pr>
          <w:p w14:paraId="4D866854"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r>
      <w:tr w:rsidR="00923F07" w:rsidRPr="001031F8" w14:paraId="42F619EE" w14:textId="77777777" w:rsidTr="00CF485E">
        <w:trPr>
          <w:jc w:val="center"/>
        </w:trPr>
        <w:tc>
          <w:tcPr>
            <w:tcW w:w="4258" w:type="dxa"/>
          </w:tcPr>
          <w:p w14:paraId="6B16EEED"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rPr>
              <w:t>URI</w:t>
            </w:r>
          </w:p>
        </w:tc>
        <w:tc>
          <w:tcPr>
            <w:tcW w:w="2693" w:type="dxa"/>
          </w:tcPr>
          <w:p w14:paraId="69D8F32E"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099DB696" w14:textId="77777777" w:rsidTr="00CF485E">
        <w:trPr>
          <w:jc w:val="center"/>
        </w:trPr>
        <w:tc>
          <w:tcPr>
            <w:tcW w:w="4258" w:type="dxa"/>
          </w:tcPr>
          <w:p w14:paraId="764DA0B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Pr>
          <w:p w14:paraId="1B1B83D8"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r>
      <w:tr w:rsidR="00923F07" w:rsidRPr="001031F8" w14:paraId="21F59D3C" w14:textId="77777777" w:rsidTr="00CF485E">
        <w:trPr>
          <w:jc w:val="center"/>
        </w:trPr>
        <w:tc>
          <w:tcPr>
            <w:tcW w:w="4258" w:type="dxa"/>
          </w:tcPr>
          <w:p w14:paraId="0272460D"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14:ligatures w14:val="none"/>
              </w:rPr>
              <w:t>NCMS</w:t>
            </w:r>
          </w:p>
        </w:tc>
        <w:tc>
          <w:tcPr>
            <w:tcW w:w="2693" w:type="dxa"/>
          </w:tcPr>
          <w:p w14:paraId="74F624FB"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r>
      <w:tr w:rsidR="00923F07" w:rsidRPr="001031F8" w14:paraId="00AF2A51" w14:textId="77777777" w:rsidTr="00CF485E">
        <w:trPr>
          <w:jc w:val="center"/>
        </w:trPr>
        <w:tc>
          <w:tcPr>
            <w:tcW w:w="4258" w:type="dxa"/>
          </w:tcPr>
          <w:p w14:paraId="669DCE80"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Pr>
          <w:p w14:paraId="4F07FE2F"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6F9B6C03" w14:textId="77777777" w:rsidTr="00CF485E">
        <w:trPr>
          <w:jc w:val="center"/>
        </w:trPr>
        <w:tc>
          <w:tcPr>
            <w:tcW w:w="4258" w:type="dxa"/>
          </w:tcPr>
          <w:p w14:paraId="5AF725B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  </w:t>
            </w:r>
            <w:r w:rsidRPr="001031F8">
              <w:rPr>
                <w:rFonts w:ascii="Times New Roman" w:hAnsi="Times New Roman" w:cs="Times New Roman"/>
                <w:kern w:val="0"/>
                <w:sz w:val="20"/>
                <w:szCs w:val="20"/>
                <w14:ligatures w14:val="none"/>
              </w:rPr>
              <w:t>URRMI</w:t>
            </w:r>
          </w:p>
        </w:tc>
        <w:tc>
          <w:tcPr>
            <w:tcW w:w="2693" w:type="dxa"/>
          </w:tcPr>
          <w:p w14:paraId="566EB17A"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r>
      <w:tr w:rsidR="00923F07" w:rsidRPr="001031F8" w14:paraId="735446E2" w14:textId="77777777" w:rsidTr="00CF485E">
        <w:trPr>
          <w:jc w:val="center"/>
        </w:trPr>
        <w:tc>
          <w:tcPr>
            <w:tcW w:w="4258" w:type="dxa"/>
          </w:tcPr>
          <w:p w14:paraId="388B8F00"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Pr>
          <w:p w14:paraId="5CF9B9A8"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r>
      <w:tr w:rsidR="00923F07" w:rsidRPr="001031F8" w14:paraId="173A8CA3" w14:textId="77777777" w:rsidTr="00CF485E">
        <w:trPr>
          <w:jc w:val="center"/>
        </w:trPr>
        <w:tc>
          <w:tcPr>
            <w:tcW w:w="4258" w:type="dxa"/>
          </w:tcPr>
          <w:p w14:paraId="033038AD"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lastRenderedPageBreak/>
              <w:t xml:space="preserve">  other</w:t>
            </w:r>
          </w:p>
        </w:tc>
        <w:tc>
          <w:tcPr>
            <w:tcW w:w="2693" w:type="dxa"/>
          </w:tcPr>
          <w:p w14:paraId="6BFAFFF7"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r>
      <w:tr w:rsidR="00923F07" w:rsidRPr="001031F8" w14:paraId="0ECFA56D" w14:textId="77777777" w:rsidTr="00CF485E">
        <w:trPr>
          <w:jc w:val="center"/>
        </w:trPr>
        <w:tc>
          <w:tcPr>
            <w:tcW w:w="4258" w:type="dxa"/>
          </w:tcPr>
          <w:p w14:paraId="3C3214F8"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Pr>
          <w:p w14:paraId="685B3A12"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(0.03)</w:t>
            </w:r>
          </w:p>
        </w:tc>
      </w:tr>
      <w:tr w:rsidR="00923F07" w:rsidRPr="001031F8" w14:paraId="1FEF8E8F" w14:textId="77777777" w:rsidTr="00CF485E">
        <w:trPr>
          <w:jc w:val="center"/>
        </w:trPr>
        <w:tc>
          <w:tcPr>
            <w:tcW w:w="4258" w:type="dxa"/>
            <w:vMerge w:val="restart"/>
          </w:tcPr>
          <w:p w14:paraId="4F09F4C1"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Depressive symptoms score</w:t>
            </w:r>
          </w:p>
        </w:tc>
        <w:tc>
          <w:tcPr>
            <w:tcW w:w="2693" w:type="dxa"/>
          </w:tcPr>
          <w:p w14:paraId="4BFF65C2"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r>
      <w:tr w:rsidR="00923F07" w:rsidRPr="001031F8" w14:paraId="14CBDE3D" w14:textId="77777777" w:rsidTr="00CF485E">
        <w:trPr>
          <w:jc w:val="center"/>
        </w:trPr>
        <w:tc>
          <w:tcPr>
            <w:tcW w:w="4258" w:type="dxa"/>
            <w:vMerge/>
          </w:tcPr>
          <w:p w14:paraId="443CB793"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Pr>
          <w:p w14:paraId="685B6202"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(&lt;0.01)</w:t>
            </w:r>
          </w:p>
        </w:tc>
      </w:tr>
      <w:tr w:rsidR="00923F07" w:rsidRPr="001031F8" w14:paraId="2D14986D" w14:textId="77777777" w:rsidTr="00CF485E">
        <w:trPr>
          <w:jc w:val="center"/>
        </w:trPr>
        <w:tc>
          <w:tcPr>
            <w:tcW w:w="6951" w:type="dxa"/>
            <w:gridSpan w:val="2"/>
          </w:tcPr>
          <w:p w14:paraId="6C199922"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 xml:space="preserve">Year </w:t>
            </w:r>
            <w:r w:rsidRPr="001031F8">
              <w:rPr>
                <w:rFonts w:ascii="Times New Roman" w:hAnsi="Times New Roman" w:cs="Times New Roman"/>
                <w:kern w:val="0"/>
                <w:sz w:val="20"/>
                <w:szCs w:val="20"/>
                <w14:ligatures w14:val="none"/>
              </w:rPr>
              <w:t>f</w:t>
            </w:r>
            <w:r w:rsidRPr="001031F8">
              <w:rPr>
                <w:rFonts w:ascii="Times New Roman" w:hAnsi="Times New Roman" w:cs="Times New Roman"/>
                <w:sz w:val="20"/>
                <w:szCs w:val="20"/>
              </w:rPr>
              <w:t xml:space="preserve">ixed effects </w:t>
            </w:r>
          </w:p>
        </w:tc>
      </w:tr>
      <w:tr w:rsidR="00923F07" w:rsidRPr="001031F8" w14:paraId="5F6BA015" w14:textId="77777777" w:rsidTr="00CF485E">
        <w:trPr>
          <w:jc w:val="center"/>
        </w:trPr>
        <w:tc>
          <w:tcPr>
            <w:tcW w:w="4258" w:type="dxa"/>
          </w:tcPr>
          <w:p w14:paraId="0A2856CE"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rPr>
              <w:t>2013</w:t>
            </w:r>
          </w:p>
        </w:tc>
        <w:tc>
          <w:tcPr>
            <w:tcW w:w="2693" w:type="dxa"/>
          </w:tcPr>
          <w:p w14:paraId="4896E212"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-0.08***</w:t>
            </w:r>
          </w:p>
        </w:tc>
      </w:tr>
      <w:tr w:rsidR="00923F07" w:rsidRPr="001031F8" w14:paraId="662BF276" w14:textId="77777777" w:rsidTr="00CF485E">
        <w:trPr>
          <w:jc w:val="center"/>
        </w:trPr>
        <w:tc>
          <w:tcPr>
            <w:tcW w:w="4258" w:type="dxa"/>
          </w:tcPr>
          <w:p w14:paraId="3EE933C6"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Pr>
          <w:p w14:paraId="13740D39"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r>
      <w:tr w:rsidR="00923F07" w:rsidRPr="001031F8" w14:paraId="4E1B0ABE" w14:textId="77777777" w:rsidTr="00CF485E">
        <w:trPr>
          <w:jc w:val="center"/>
        </w:trPr>
        <w:tc>
          <w:tcPr>
            <w:tcW w:w="4258" w:type="dxa"/>
          </w:tcPr>
          <w:p w14:paraId="3F017FE5"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rPr>
              <w:t>2015</w:t>
            </w:r>
          </w:p>
        </w:tc>
        <w:tc>
          <w:tcPr>
            <w:tcW w:w="2693" w:type="dxa"/>
          </w:tcPr>
          <w:p w14:paraId="379444AA"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0.02</w:t>
            </w:r>
          </w:p>
        </w:tc>
      </w:tr>
      <w:tr w:rsidR="00923F07" w:rsidRPr="001031F8" w14:paraId="7444122D" w14:textId="77777777" w:rsidTr="00CF485E">
        <w:trPr>
          <w:jc w:val="center"/>
        </w:trPr>
        <w:tc>
          <w:tcPr>
            <w:tcW w:w="4258" w:type="dxa"/>
          </w:tcPr>
          <w:p w14:paraId="7E7804D2"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Pr>
          <w:p w14:paraId="5D5DD869"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(0.01)</w:t>
            </w:r>
          </w:p>
        </w:tc>
      </w:tr>
      <w:tr w:rsidR="00923F07" w:rsidRPr="001031F8" w14:paraId="55D9ACB1" w14:textId="77777777" w:rsidTr="00CF485E">
        <w:trPr>
          <w:jc w:val="center"/>
        </w:trPr>
        <w:tc>
          <w:tcPr>
            <w:tcW w:w="4258" w:type="dxa"/>
          </w:tcPr>
          <w:p w14:paraId="727A46F9" w14:textId="77777777" w:rsidR="00923F07" w:rsidRPr="001031F8" w:rsidRDefault="00923F07" w:rsidP="001031F8">
            <w:pPr>
              <w:autoSpaceDE w:val="0"/>
              <w:autoSpaceDN w:val="0"/>
              <w:adjustRightInd w:val="0"/>
              <w:snapToGrid w:val="0"/>
              <w:spacing w:line="480" w:lineRule="auto"/>
              <w:ind w:firstLineChars="50" w:firstLine="100"/>
              <w:jc w:val="left"/>
              <w:rPr>
                <w:rFonts w:ascii="Times New Roman" w:hAnsi="Times New Roman" w:cs="Times New Roman"/>
                <w:kern w:val="0"/>
                <w:sz w:val="20"/>
                <w:szCs w:val="20"/>
              </w:rPr>
            </w:pPr>
            <w:r w:rsidRPr="001031F8">
              <w:rPr>
                <w:rFonts w:ascii="Times New Roman" w:hAnsi="Times New Roman" w:cs="Times New Roman"/>
                <w:kern w:val="0"/>
                <w:sz w:val="20"/>
                <w:szCs w:val="20"/>
              </w:rPr>
              <w:t>2018</w:t>
            </w:r>
          </w:p>
        </w:tc>
        <w:tc>
          <w:tcPr>
            <w:tcW w:w="2693" w:type="dxa"/>
          </w:tcPr>
          <w:p w14:paraId="5801BDC2"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N.A.</w:t>
            </w:r>
          </w:p>
        </w:tc>
      </w:tr>
      <w:tr w:rsidR="00923F07" w:rsidRPr="001031F8" w14:paraId="62D92D72" w14:textId="77777777" w:rsidTr="00CF485E">
        <w:trPr>
          <w:jc w:val="center"/>
        </w:trPr>
        <w:tc>
          <w:tcPr>
            <w:tcW w:w="4258" w:type="dxa"/>
            <w:tcBorders>
              <w:bottom w:val="nil"/>
            </w:tcBorders>
          </w:tcPr>
          <w:p w14:paraId="1AC2EDC0"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Constant</w:t>
            </w:r>
          </w:p>
        </w:tc>
        <w:tc>
          <w:tcPr>
            <w:tcW w:w="2693" w:type="dxa"/>
            <w:tcBorders>
              <w:bottom w:val="nil"/>
            </w:tcBorders>
          </w:tcPr>
          <w:p w14:paraId="4327A45C"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-1.22***</w:t>
            </w:r>
          </w:p>
        </w:tc>
      </w:tr>
      <w:tr w:rsidR="00923F07" w:rsidRPr="001031F8" w14:paraId="77C39D58" w14:textId="77777777" w:rsidTr="00CF485E">
        <w:trPr>
          <w:jc w:val="center"/>
        </w:trPr>
        <w:tc>
          <w:tcPr>
            <w:tcW w:w="4258" w:type="dxa"/>
            <w:tcBorders>
              <w:top w:val="nil"/>
              <w:bottom w:val="single" w:sz="4" w:space="0" w:color="auto"/>
            </w:tcBorders>
          </w:tcPr>
          <w:p w14:paraId="40B147F4"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p>
        </w:tc>
        <w:tc>
          <w:tcPr>
            <w:tcW w:w="2693" w:type="dxa"/>
            <w:tcBorders>
              <w:top w:val="nil"/>
              <w:bottom w:val="single" w:sz="4" w:space="0" w:color="auto"/>
            </w:tcBorders>
          </w:tcPr>
          <w:p w14:paraId="6C2237CD" w14:textId="77777777" w:rsidR="00923F07" w:rsidRPr="001031F8" w:rsidRDefault="00923F07" w:rsidP="001031F8">
            <w:pPr>
              <w:autoSpaceDE w:val="0"/>
              <w:autoSpaceDN w:val="0"/>
              <w:adjustRightInd w:val="0"/>
              <w:snapToGrid w:val="0"/>
              <w:spacing w:line="480" w:lineRule="auto"/>
              <w:jc w:val="left"/>
              <w:rPr>
                <w:rFonts w:ascii="Times New Roman" w:hAnsi="Times New Roman" w:cs="Times New Roman"/>
                <w:kern w:val="0"/>
                <w:sz w:val="20"/>
                <w:szCs w:val="20"/>
              </w:rPr>
            </w:pPr>
            <w:r w:rsidRPr="001031F8">
              <w:rPr>
                <w:rFonts w:ascii="Times New Roman" w:hAnsi="Times New Roman" w:cs="Times New Roman"/>
                <w:kern w:val="0"/>
                <w:sz w:val="20"/>
                <w:szCs w:val="20"/>
              </w:rPr>
              <w:t>(0.12)</w:t>
            </w:r>
          </w:p>
        </w:tc>
      </w:tr>
      <w:tr w:rsidR="00923F07" w:rsidRPr="001031F8" w14:paraId="5C69D351" w14:textId="77777777" w:rsidTr="00CF485E">
        <w:trPr>
          <w:jc w:val="center"/>
        </w:trPr>
        <w:tc>
          <w:tcPr>
            <w:tcW w:w="4258" w:type="dxa"/>
            <w:tcBorders>
              <w:top w:val="single" w:sz="4" w:space="0" w:color="auto"/>
            </w:tcBorders>
            <w:hideMark/>
          </w:tcPr>
          <w:p w14:paraId="26782C23" w14:textId="77777777" w:rsidR="00923F07" w:rsidRPr="001031F8" w:rsidRDefault="00923F07" w:rsidP="001031F8">
            <w:pPr>
              <w:adjustRightInd w:val="0"/>
              <w:snapToGrid w:val="0"/>
              <w:spacing w:line="480" w:lineRule="auto"/>
              <w:jc w:val="left"/>
              <w:textAlignment w:val="baseline"/>
              <w:rPr>
                <w:rFonts w:ascii="Times New Roman" w:hAnsi="Times New Roman" w:cs="Times New Roman"/>
                <w:sz w:val="20"/>
                <w:szCs w:val="20"/>
              </w:rPr>
            </w:pPr>
            <w:r w:rsidRPr="001031F8">
              <w:rPr>
                <w:rFonts w:ascii="Times New Roman" w:hAnsi="Times New Roman" w:cs="Times New Roman"/>
                <w:sz w:val="20"/>
                <w:szCs w:val="20"/>
              </w:rPr>
              <w:t>Individuals fixed effects</w:t>
            </w:r>
          </w:p>
        </w:tc>
        <w:tc>
          <w:tcPr>
            <w:tcW w:w="2693" w:type="dxa"/>
            <w:tcBorders>
              <w:top w:val="single" w:sz="4" w:space="0" w:color="auto"/>
            </w:tcBorders>
            <w:hideMark/>
          </w:tcPr>
          <w:p w14:paraId="6B41F53B" w14:textId="77777777" w:rsidR="00923F07" w:rsidRPr="001031F8" w:rsidRDefault="00923F07" w:rsidP="001031F8">
            <w:pPr>
              <w:adjustRightInd w:val="0"/>
              <w:snapToGrid w:val="0"/>
              <w:spacing w:line="480" w:lineRule="auto"/>
              <w:jc w:val="left"/>
              <w:textAlignment w:val="baseline"/>
              <w:rPr>
                <w:rFonts w:ascii="Times New Roman" w:hAnsi="Times New Roman" w:cs="Times New Roman"/>
                <w:sz w:val="20"/>
                <w:szCs w:val="20"/>
              </w:rPr>
            </w:pPr>
            <w:r w:rsidRPr="001031F8">
              <w:rPr>
                <w:rFonts w:ascii="Times New Roman" w:hAnsi="Times New Roman" w:cs="Times New Roman"/>
                <w:sz w:val="20"/>
                <w:szCs w:val="20"/>
              </w:rPr>
              <w:t>Yes</w:t>
            </w:r>
          </w:p>
        </w:tc>
      </w:tr>
    </w:tbl>
    <w:p w14:paraId="62DCA011" w14:textId="77777777" w:rsidR="00923F07" w:rsidRPr="001031F8" w:rsidRDefault="00923F07" w:rsidP="001031F8">
      <w:pPr>
        <w:shd w:val="clear" w:color="auto" w:fill="FFFFFF"/>
        <w:adjustRightInd w:val="0"/>
        <w:snapToGrid w:val="0"/>
        <w:spacing w:line="480" w:lineRule="auto"/>
        <w:jc w:val="left"/>
        <w:textAlignment w:val="baseline"/>
        <w:rPr>
          <w:rFonts w:ascii="Times New Roman" w:hAnsi="Times New Roman" w:cs="Times New Roman"/>
          <w:sz w:val="20"/>
          <w:szCs w:val="20"/>
        </w:rPr>
      </w:pPr>
      <w:r w:rsidRPr="001031F8">
        <w:rPr>
          <w:rFonts w:ascii="Times New Roman" w:hAnsi="Times New Roman" w:cs="Times New Roman"/>
          <w:sz w:val="20"/>
          <w:szCs w:val="20"/>
        </w:rPr>
        <w:t xml:space="preserve">Notes: 20% and 25% </w:t>
      </w:r>
      <w:proofErr w:type="gramStart"/>
      <w:r w:rsidRPr="001031F8">
        <w:rPr>
          <w:rFonts w:ascii="Times New Roman" w:hAnsi="Times New Roman" w:cs="Times New Roman"/>
          <w:sz w:val="20"/>
          <w:szCs w:val="20"/>
        </w:rPr>
        <w:t>refers</w:t>
      </w:r>
      <w:proofErr w:type="gramEnd"/>
      <w:r w:rsidRPr="001031F8">
        <w:rPr>
          <w:rFonts w:ascii="Times New Roman" w:hAnsi="Times New Roman" w:cs="Times New Roman"/>
          <w:sz w:val="20"/>
          <w:szCs w:val="20"/>
        </w:rPr>
        <w:t xml:space="preserve"> to the 20% threshold and the 25% threshold of total household expenditures. 40% refers to the 40% threshold of non-food household expenditures. S.E. is the standard error. Other marital status refers to being separated, widowed, divorced, or never married. ADL is activities of daily living. IADL is </w:t>
      </w:r>
      <w:proofErr w:type="gramStart"/>
      <w:r w:rsidRPr="001031F8">
        <w:rPr>
          <w:rFonts w:ascii="Times New Roman" w:hAnsi="Times New Roman" w:cs="Times New Roman"/>
          <w:sz w:val="20"/>
          <w:szCs w:val="20"/>
        </w:rPr>
        <w:t>instrumental activities</w:t>
      </w:r>
      <w:proofErr w:type="gramEnd"/>
      <w:r w:rsidRPr="001031F8">
        <w:rPr>
          <w:rFonts w:ascii="Times New Roman" w:hAnsi="Times New Roman" w:cs="Times New Roman"/>
          <w:sz w:val="20"/>
          <w:szCs w:val="20"/>
        </w:rPr>
        <w:t xml:space="preserve"> of daily living. </w:t>
      </w:r>
      <w:r w:rsidRPr="001031F8">
        <w:rPr>
          <w:rFonts w:ascii="Times New Roman" w:hAnsi="Times New Roman" w:cs="Times New Roman"/>
          <w:kern w:val="0"/>
          <w:sz w:val="20"/>
          <w:szCs w:val="20"/>
          <w14:ligatures w14:val="none"/>
        </w:rPr>
        <w:t xml:space="preserve">UEI is Urban Employee Insurance. URI is Urban Resident Insurance. NCMS is </w:t>
      </w:r>
      <w:proofErr w:type="gramStart"/>
      <w:r w:rsidRPr="001031F8">
        <w:rPr>
          <w:rFonts w:ascii="Times New Roman" w:hAnsi="Times New Roman" w:cs="Times New Roman"/>
          <w:kern w:val="0"/>
          <w:sz w:val="20"/>
          <w:szCs w:val="20"/>
          <w14:ligatures w14:val="none"/>
        </w:rPr>
        <w:t>New</w:t>
      </w:r>
      <w:proofErr w:type="gramEnd"/>
      <w:r w:rsidRPr="001031F8">
        <w:rPr>
          <w:rFonts w:ascii="Times New Roman" w:hAnsi="Times New Roman" w:cs="Times New Roman"/>
          <w:kern w:val="0"/>
          <w:sz w:val="20"/>
          <w:szCs w:val="20"/>
          <w14:ligatures w14:val="none"/>
        </w:rPr>
        <w:t xml:space="preserve"> Rural Cooperative Medical Scheme. URRMI is Urban-Rural Resident Medical Insurance</w:t>
      </w:r>
      <w:r w:rsidRPr="001031F8">
        <w:rPr>
          <w:rFonts w:ascii="Times New Roman" w:hAnsi="Times New Roman" w:cs="Times New Roman"/>
          <w:sz w:val="20"/>
          <w:szCs w:val="20"/>
        </w:rPr>
        <w:t xml:space="preserve">. </w:t>
      </w:r>
      <w:r w:rsidRPr="001031F8">
        <w:rPr>
          <w:rFonts w:ascii="Times New Roman" w:hAnsi="Times New Roman" w:cs="Times New Roman"/>
          <w:kern w:val="0"/>
          <w:sz w:val="20"/>
          <w:szCs w:val="20"/>
          <w14:ligatures w14:val="none"/>
        </w:rPr>
        <w:t xml:space="preserve">N.A. means not applicable. </w:t>
      </w:r>
      <w:r w:rsidRPr="001031F8">
        <w:rPr>
          <w:rFonts w:ascii="Times New Roman" w:hAnsi="Times New Roman" w:cs="Times New Roman"/>
          <w:sz w:val="20"/>
          <w:szCs w:val="20"/>
        </w:rPr>
        <w:t>N=31,076. *** p&lt;0.001, ** p&lt;0.01, * p&lt;0.05.</w:t>
      </w:r>
      <w:r w:rsidRPr="001031F8">
        <w:rPr>
          <w:rFonts w:ascii="Times New Roman" w:hAnsi="Times New Roman" w:cs="Times New Roman"/>
          <w:kern w:val="0"/>
          <w:sz w:val="20"/>
          <w:szCs w:val="20"/>
          <w14:ligatures w14:val="none"/>
        </w:rPr>
        <w:t xml:space="preserve"> </w:t>
      </w:r>
    </w:p>
    <w:p w14:paraId="44F59D9E" w14:textId="77777777" w:rsidR="00923F07" w:rsidRPr="001031F8" w:rsidRDefault="00923F07" w:rsidP="001031F8">
      <w:pPr>
        <w:adjustRightInd w:val="0"/>
        <w:snapToGrid w:val="0"/>
        <w:spacing w:line="480" w:lineRule="auto"/>
        <w:jc w:val="left"/>
        <w:rPr>
          <w:rFonts w:ascii="Times New Roman" w:hAnsi="Times New Roman" w:cs="Times New Roman"/>
          <w:sz w:val="20"/>
          <w:szCs w:val="20"/>
        </w:rPr>
      </w:pPr>
    </w:p>
    <w:p w14:paraId="1DAC9064" w14:textId="77777777" w:rsidR="00923F07" w:rsidRPr="00B21850" w:rsidRDefault="00923F07" w:rsidP="00B21850">
      <w:pPr>
        <w:shd w:val="clear" w:color="auto" w:fill="FFFFFF"/>
        <w:adjustRightInd w:val="0"/>
        <w:snapToGrid w:val="0"/>
        <w:spacing w:line="480" w:lineRule="auto"/>
        <w:jc w:val="left"/>
        <w:textAlignment w:val="baseline"/>
        <w:rPr>
          <w:rFonts w:ascii="Times New Roman" w:hAnsi="Times New Roman" w:cs="Times New Roman"/>
          <w:b/>
          <w:bCs/>
          <w:sz w:val="20"/>
          <w:szCs w:val="20"/>
        </w:rPr>
      </w:pPr>
      <w:bookmarkStart w:id="43" w:name="_Hlk181965897"/>
      <w:r w:rsidRPr="001031F8">
        <w:rPr>
          <w:rFonts w:ascii="Times New Roman" w:hAnsi="Times New Roman" w:cs="Times New Roman"/>
          <w:b/>
          <w:bCs/>
          <w:sz w:val="20"/>
          <w:szCs w:val="20"/>
        </w:rPr>
        <w:t>References</w:t>
      </w:r>
      <w:bookmarkEnd w:id="43"/>
    </w:p>
    <w:p w14:paraId="002C0594"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Arsenijevic, J., Pavlova, M., &amp; Groot, W. (2013). Measuring the catastrophic and impoverishing effect of household health care spending in Serbia. </w:t>
      </w:r>
      <w:r w:rsidRPr="00B21850">
        <w:rPr>
          <w:rFonts w:ascii="Times New Roman" w:hAnsi="Times New Roman" w:cs="Times New Roman"/>
          <w:i/>
        </w:rPr>
        <w:t>Social Science &amp; Medicine</w:t>
      </w:r>
      <w:r w:rsidRPr="00B21850">
        <w:rPr>
          <w:rFonts w:ascii="Times New Roman" w:hAnsi="Times New Roman" w:cs="Times New Roman"/>
        </w:rPr>
        <w:t>,</w:t>
      </w:r>
      <w:r w:rsidRPr="00B21850">
        <w:rPr>
          <w:rFonts w:ascii="Times New Roman" w:hAnsi="Times New Roman" w:cs="Times New Roman"/>
          <w:i/>
        </w:rPr>
        <w:t xml:space="preserve"> 78</w:t>
      </w:r>
      <w:r w:rsidRPr="00B21850">
        <w:rPr>
          <w:rFonts w:ascii="Times New Roman" w:hAnsi="Times New Roman" w:cs="Times New Roman"/>
        </w:rPr>
        <w:t xml:space="preserve">, 17-25. </w:t>
      </w:r>
      <w:r w:rsidRPr="00923F07">
        <w:rPr>
          <w:rFonts w:ascii="Times New Roman" w:hAnsi="Times New Roman" w:cs="Times New Roman"/>
        </w:rPr>
        <w:t>https://doi.org/10.1016/j.socscimed.2012.11.014</w:t>
      </w:r>
      <w:r w:rsidRPr="00B21850">
        <w:rPr>
          <w:rFonts w:ascii="Times New Roman" w:hAnsi="Times New Roman" w:cs="Times New Roman"/>
        </w:rPr>
        <w:t xml:space="preserve"> </w:t>
      </w:r>
    </w:p>
    <w:p w14:paraId="33DEA98D"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China National Bureau of Statistics. (2019). </w:t>
      </w:r>
      <w:r w:rsidRPr="00B21850">
        <w:rPr>
          <w:rFonts w:ascii="Times New Roman" w:hAnsi="Times New Roman" w:cs="Times New Roman"/>
          <w:i/>
        </w:rPr>
        <w:t>China Statistical Yearbook 2022</w:t>
      </w:r>
      <w:r w:rsidRPr="00B21850">
        <w:rPr>
          <w:rFonts w:ascii="Times New Roman" w:hAnsi="Times New Roman" w:cs="Times New Roman"/>
        </w:rPr>
        <w:t xml:space="preserve">. </w:t>
      </w:r>
      <w:r w:rsidRPr="00923F07">
        <w:rPr>
          <w:rFonts w:ascii="Times New Roman" w:hAnsi="Times New Roman" w:cs="Times New Roman"/>
        </w:rPr>
        <w:t>http://www.stats.gov.cn/sj/ndsj/2022/indexch.htm</w:t>
      </w:r>
    </w:p>
    <w:p w14:paraId="001B5534" w14:textId="2FB102ED"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Engel, L., Ajdukovic, M., Bucholc, J., &amp; McCaffrey, N. (2021). Valuation of informal care provided to people living with dementia: A systematic literature review. </w:t>
      </w:r>
      <w:r w:rsidRPr="00B21850">
        <w:rPr>
          <w:rFonts w:ascii="Times New Roman" w:hAnsi="Times New Roman" w:cs="Times New Roman"/>
          <w:i/>
        </w:rPr>
        <w:t>Value in Health</w:t>
      </w:r>
      <w:r w:rsidRPr="00B21850">
        <w:rPr>
          <w:rFonts w:ascii="Times New Roman" w:hAnsi="Times New Roman" w:cs="Times New Roman"/>
        </w:rPr>
        <w:t>,</w:t>
      </w:r>
      <w:r w:rsidRPr="00B21850">
        <w:rPr>
          <w:rFonts w:ascii="Times New Roman" w:hAnsi="Times New Roman" w:cs="Times New Roman"/>
          <w:i/>
        </w:rPr>
        <w:t xml:space="preserve"> 24</w:t>
      </w:r>
      <w:r w:rsidRPr="00B21850">
        <w:rPr>
          <w:rFonts w:ascii="Times New Roman" w:hAnsi="Times New Roman" w:cs="Times New Roman"/>
        </w:rPr>
        <w:t xml:space="preserve">(12), 1863-1870. </w:t>
      </w:r>
      <w:r w:rsidRPr="00923F07">
        <w:rPr>
          <w:rFonts w:ascii="Times New Roman" w:hAnsi="Times New Roman" w:cs="Times New Roman"/>
        </w:rPr>
        <w:t>https://doi.org/10.1016/j.jval.2021.04.1283</w:t>
      </w:r>
      <w:r w:rsidRPr="00B21850">
        <w:rPr>
          <w:rFonts w:ascii="Times New Roman" w:hAnsi="Times New Roman" w:cs="Times New Roman"/>
        </w:rPr>
        <w:t xml:space="preserve"> </w:t>
      </w:r>
    </w:p>
    <w:p w14:paraId="33A058A0"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lastRenderedPageBreak/>
        <w:t xml:space="preserve">Hu, B., Cartagena-Farias, J., &amp; Brimblecombe, N. (2022). Functional disability and utilisation of long-term care in the older population in England: A dual trajectory analysis. </w:t>
      </w:r>
      <w:r w:rsidRPr="00B21850">
        <w:rPr>
          <w:rFonts w:ascii="Times New Roman" w:hAnsi="Times New Roman" w:cs="Times New Roman"/>
          <w:i/>
        </w:rPr>
        <w:t>European Journal of Ageing</w:t>
      </w:r>
      <w:r w:rsidRPr="00B21850">
        <w:rPr>
          <w:rFonts w:ascii="Times New Roman" w:hAnsi="Times New Roman" w:cs="Times New Roman"/>
        </w:rPr>
        <w:t>,</w:t>
      </w:r>
      <w:r w:rsidRPr="00B21850">
        <w:rPr>
          <w:rFonts w:ascii="Times New Roman" w:hAnsi="Times New Roman" w:cs="Times New Roman"/>
          <w:i/>
        </w:rPr>
        <w:t xml:space="preserve"> 19</w:t>
      </w:r>
      <w:r w:rsidRPr="00B21850">
        <w:rPr>
          <w:rFonts w:ascii="Times New Roman" w:hAnsi="Times New Roman" w:cs="Times New Roman"/>
        </w:rPr>
        <w:t xml:space="preserve">(4), 1363-1373. </w:t>
      </w:r>
      <w:r w:rsidRPr="00923F07">
        <w:rPr>
          <w:rFonts w:ascii="Times New Roman" w:hAnsi="Times New Roman" w:cs="Times New Roman"/>
        </w:rPr>
        <w:t>https://doi.org/10.1007/s10433-022-00723-0</w:t>
      </w:r>
      <w:r w:rsidRPr="00B21850">
        <w:rPr>
          <w:rFonts w:ascii="Times New Roman" w:hAnsi="Times New Roman" w:cs="Times New Roman"/>
        </w:rPr>
        <w:t xml:space="preserve"> </w:t>
      </w:r>
    </w:p>
    <w:p w14:paraId="2974B676" w14:textId="4113F4C0"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Hurd, M. D., Martorell, P., Delavande, A., Mullen, K. J., &amp; Langa, K. M. (2013). Monetary costs of dementia in the United States. </w:t>
      </w:r>
      <w:r w:rsidRPr="00B21850">
        <w:rPr>
          <w:rFonts w:ascii="Times New Roman" w:hAnsi="Times New Roman" w:cs="Times New Roman"/>
          <w:i/>
        </w:rPr>
        <w:t>New England Journal of Medicine</w:t>
      </w:r>
      <w:r w:rsidRPr="00B21850">
        <w:rPr>
          <w:rFonts w:ascii="Times New Roman" w:hAnsi="Times New Roman" w:cs="Times New Roman"/>
        </w:rPr>
        <w:t>,</w:t>
      </w:r>
      <w:r w:rsidRPr="00B21850">
        <w:rPr>
          <w:rFonts w:ascii="Times New Roman" w:hAnsi="Times New Roman" w:cs="Times New Roman"/>
          <w:i/>
        </w:rPr>
        <w:t xml:space="preserve"> 369</w:t>
      </w:r>
      <w:r w:rsidRPr="00B21850">
        <w:rPr>
          <w:rFonts w:ascii="Times New Roman" w:hAnsi="Times New Roman" w:cs="Times New Roman"/>
        </w:rPr>
        <w:t xml:space="preserve">(5), 489-490. </w:t>
      </w:r>
      <w:r w:rsidR="006D7C02" w:rsidRPr="00923F07">
        <w:rPr>
          <w:rFonts w:ascii="Times New Roman" w:hAnsi="Times New Roman" w:cs="Times New Roman"/>
        </w:rPr>
        <w:t>https://doi.org/</w:t>
      </w:r>
      <w:r w:rsidR="006D7C02" w:rsidRPr="006D7C02">
        <w:rPr>
          <w:rFonts w:ascii="Times New Roman" w:hAnsi="Times New Roman" w:cs="Times New Roman"/>
        </w:rPr>
        <w:t>10.1056/NEJMsa1204629</w:t>
      </w:r>
    </w:p>
    <w:p w14:paraId="7D88A7E7"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Jak, A. J., Bondi, M. W., Delano-Wood, L., Wierenga, C., Corey-Bloom, J., Salmon, D. P., &amp; Delis, D. C. (2009). Quantification of five neuropsychological approaches to defining mild cognitive impairment. </w:t>
      </w:r>
      <w:r w:rsidRPr="00B21850">
        <w:rPr>
          <w:rFonts w:ascii="Times New Roman" w:hAnsi="Times New Roman" w:cs="Times New Roman"/>
          <w:i/>
        </w:rPr>
        <w:t>American Journal of Geriatric Psychiatry</w:t>
      </w:r>
      <w:r w:rsidRPr="00B21850">
        <w:rPr>
          <w:rFonts w:ascii="Times New Roman" w:hAnsi="Times New Roman" w:cs="Times New Roman"/>
        </w:rPr>
        <w:t>,</w:t>
      </w:r>
      <w:r w:rsidRPr="00B21850">
        <w:rPr>
          <w:rFonts w:ascii="Times New Roman" w:hAnsi="Times New Roman" w:cs="Times New Roman"/>
          <w:i/>
        </w:rPr>
        <w:t xml:space="preserve"> 17</w:t>
      </w:r>
      <w:r w:rsidRPr="00B21850">
        <w:rPr>
          <w:rFonts w:ascii="Times New Roman" w:hAnsi="Times New Roman" w:cs="Times New Roman"/>
        </w:rPr>
        <w:t xml:space="preserve">(5), 368-375. </w:t>
      </w:r>
      <w:r w:rsidRPr="00923F07">
        <w:rPr>
          <w:rFonts w:ascii="Times New Roman" w:hAnsi="Times New Roman" w:cs="Times New Roman"/>
        </w:rPr>
        <w:t>https://doi.org/10.1097/JGP.0b013e31819431d5</w:t>
      </w:r>
      <w:r w:rsidRPr="00B21850">
        <w:rPr>
          <w:rFonts w:ascii="Times New Roman" w:hAnsi="Times New Roman" w:cs="Times New Roman"/>
        </w:rPr>
        <w:t xml:space="preserve"> </w:t>
      </w:r>
    </w:p>
    <w:p w14:paraId="7E9E3D5A"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Lee, Y., Kim, J., Chon, D., Lee, K. E., Kim, J. H., Myeong, S., &amp; Kim, S. (2018). The effects of frailty and cognitive impairment on 3-year mortality in older adults. </w:t>
      </w:r>
      <w:r w:rsidRPr="00B21850">
        <w:rPr>
          <w:rFonts w:ascii="Times New Roman" w:hAnsi="Times New Roman" w:cs="Times New Roman"/>
          <w:i/>
        </w:rPr>
        <w:t>Maturitas</w:t>
      </w:r>
      <w:r w:rsidRPr="00B21850">
        <w:rPr>
          <w:rFonts w:ascii="Times New Roman" w:hAnsi="Times New Roman" w:cs="Times New Roman"/>
        </w:rPr>
        <w:t>,</w:t>
      </w:r>
      <w:r w:rsidRPr="00B21850">
        <w:rPr>
          <w:rFonts w:ascii="Times New Roman" w:hAnsi="Times New Roman" w:cs="Times New Roman"/>
          <w:i/>
        </w:rPr>
        <w:t xml:space="preserve"> 107</w:t>
      </w:r>
      <w:r w:rsidRPr="00B21850">
        <w:rPr>
          <w:rFonts w:ascii="Times New Roman" w:hAnsi="Times New Roman" w:cs="Times New Roman"/>
        </w:rPr>
        <w:t xml:space="preserve">, 50-55. </w:t>
      </w:r>
      <w:r w:rsidRPr="00923F07">
        <w:rPr>
          <w:rFonts w:ascii="Times New Roman" w:hAnsi="Times New Roman" w:cs="Times New Roman"/>
        </w:rPr>
        <w:t>https://doi.org/10.1016/j.maturitas.2017.10.006</w:t>
      </w:r>
      <w:r w:rsidRPr="00B21850">
        <w:rPr>
          <w:rFonts w:ascii="Times New Roman" w:hAnsi="Times New Roman" w:cs="Times New Roman"/>
        </w:rPr>
        <w:t xml:space="preserve"> </w:t>
      </w:r>
    </w:p>
    <w:p w14:paraId="17A4B064"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Lei, X. Y., Bai, C., Hong, J. P., &amp; Liu, H. (2022). Long-term care insurance and the well-being of older adults and their families: Evidence from China. </w:t>
      </w:r>
      <w:r w:rsidRPr="00B21850">
        <w:rPr>
          <w:rFonts w:ascii="Times New Roman" w:hAnsi="Times New Roman" w:cs="Times New Roman"/>
          <w:i/>
        </w:rPr>
        <w:t>Social Science &amp; Medicine</w:t>
      </w:r>
      <w:r w:rsidRPr="00B21850">
        <w:rPr>
          <w:rFonts w:ascii="Times New Roman" w:hAnsi="Times New Roman" w:cs="Times New Roman"/>
        </w:rPr>
        <w:t>,</w:t>
      </w:r>
      <w:r w:rsidRPr="00B21850">
        <w:rPr>
          <w:rFonts w:ascii="Times New Roman" w:hAnsi="Times New Roman" w:cs="Times New Roman"/>
          <w:i/>
        </w:rPr>
        <w:t xml:space="preserve"> 296</w:t>
      </w:r>
      <w:r w:rsidRPr="00B21850">
        <w:rPr>
          <w:rFonts w:ascii="Times New Roman" w:hAnsi="Times New Roman" w:cs="Times New Roman"/>
        </w:rPr>
        <w:t xml:space="preserve">, Article 114745. </w:t>
      </w:r>
      <w:r w:rsidRPr="00923F07">
        <w:rPr>
          <w:rFonts w:ascii="Times New Roman" w:hAnsi="Times New Roman" w:cs="Times New Roman"/>
        </w:rPr>
        <w:t>https://doi.org/10.1016/j.socscimed.2022.114745</w:t>
      </w:r>
      <w:r w:rsidRPr="00B21850">
        <w:rPr>
          <w:rFonts w:ascii="Times New Roman" w:hAnsi="Times New Roman" w:cs="Times New Roman"/>
        </w:rPr>
        <w:t xml:space="preserve"> </w:t>
      </w:r>
    </w:p>
    <w:p w14:paraId="240FA833"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Leone, A. J., Minutti-Meza, M., &amp; Wasley, C. E. (2019). Influential observations and inference in accounting research. </w:t>
      </w:r>
      <w:r w:rsidRPr="00B21850">
        <w:rPr>
          <w:rFonts w:ascii="Times New Roman" w:hAnsi="Times New Roman" w:cs="Times New Roman"/>
          <w:i/>
        </w:rPr>
        <w:t>Accounting Review</w:t>
      </w:r>
      <w:r w:rsidRPr="00B21850">
        <w:rPr>
          <w:rFonts w:ascii="Times New Roman" w:hAnsi="Times New Roman" w:cs="Times New Roman"/>
        </w:rPr>
        <w:t>,</w:t>
      </w:r>
      <w:r w:rsidRPr="00B21850">
        <w:rPr>
          <w:rFonts w:ascii="Times New Roman" w:hAnsi="Times New Roman" w:cs="Times New Roman"/>
          <w:i/>
        </w:rPr>
        <w:t xml:space="preserve"> 94</w:t>
      </w:r>
      <w:r w:rsidRPr="00B21850">
        <w:rPr>
          <w:rFonts w:ascii="Times New Roman" w:hAnsi="Times New Roman" w:cs="Times New Roman"/>
        </w:rPr>
        <w:t xml:space="preserve">(6), 337-364. </w:t>
      </w:r>
      <w:r w:rsidRPr="00923F07">
        <w:rPr>
          <w:rFonts w:ascii="Times New Roman" w:hAnsi="Times New Roman" w:cs="Times New Roman"/>
        </w:rPr>
        <w:t>https://doi.org/10.2308/accr-52396</w:t>
      </w:r>
      <w:r w:rsidRPr="00B21850">
        <w:rPr>
          <w:rFonts w:ascii="Times New Roman" w:hAnsi="Times New Roman" w:cs="Times New Roman"/>
        </w:rPr>
        <w:t xml:space="preserve"> </w:t>
      </w:r>
    </w:p>
    <w:p w14:paraId="07B46507" w14:textId="164B45CA"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Li, C., Jin, S., Cao, X., Han, L., Sun, N., Allore, H., Hoogendijk, E. O., Xu, X., Feng, Q., Liu, X., &amp; Liu, Z. (2022). Catastrophic health expenditure among Chinese adults living alone with cognitive impairment: Findings from the CHARLS. </w:t>
      </w:r>
      <w:r w:rsidRPr="00B21850">
        <w:rPr>
          <w:rFonts w:ascii="Times New Roman" w:hAnsi="Times New Roman" w:cs="Times New Roman"/>
          <w:i/>
        </w:rPr>
        <w:t>B</w:t>
      </w:r>
      <w:r w:rsidR="002F7B8F">
        <w:rPr>
          <w:rFonts w:ascii="Times New Roman" w:hAnsi="Times New Roman" w:cs="Times New Roman" w:hint="eastAsia"/>
          <w:i/>
        </w:rPr>
        <w:t>MC</w:t>
      </w:r>
      <w:r w:rsidRPr="00B21850">
        <w:rPr>
          <w:rFonts w:ascii="Times New Roman" w:hAnsi="Times New Roman" w:cs="Times New Roman"/>
          <w:i/>
        </w:rPr>
        <w:t xml:space="preserve"> Geriatrics</w:t>
      </w:r>
      <w:r w:rsidRPr="00B21850">
        <w:rPr>
          <w:rFonts w:ascii="Times New Roman" w:hAnsi="Times New Roman" w:cs="Times New Roman"/>
        </w:rPr>
        <w:t>,</w:t>
      </w:r>
      <w:r w:rsidRPr="00B21850">
        <w:rPr>
          <w:rFonts w:ascii="Times New Roman" w:hAnsi="Times New Roman" w:cs="Times New Roman"/>
          <w:i/>
        </w:rPr>
        <w:t xml:space="preserve"> 22</w:t>
      </w:r>
      <w:r w:rsidRPr="00B21850">
        <w:rPr>
          <w:rFonts w:ascii="Times New Roman" w:hAnsi="Times New Roman" w:cs="Times New Roman"/>
        </w:rPr>
        <w:t xml:space="preserve">(1), 640. </w:t>
      </w:r>
      <w:r w:rsidRPr="00923F07">
        <w:rPr>
          <w:rFonts w:ascii="Times New Roman" w:hAnsi="Times New Roman" w:cs="Times New Roman"/>
        </w:rPr>
        <w:t>https://doi.org/10.1186/s12877-022-03341-8</w:t>
      </w:r>
      <w:r w:rsidRPr="00B21850">
        <w:rPr>
          <w:rFonts w:ascii="Times New Roman" w:hAnsi="Times New Roman" w:cs="Times New Roman"/>
        </w:rPr>
        <w:t xml:space="preserve"> </w:t>
      </w:r>
    </w:p>
    <w:p w14:paraId="2E946F5F"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Lin, Z. E., Qian, Y. T., Gill, T. M., Hou, X. H., Allore, H., Chen, S. Q., &amp; Chen, X. (2025). Absence of care among community-dwelling older adults with dementia and functional limitations. </w:t>
      </w:r>
      <w:r w:rsidRPr="00B21850">
        <w:rPr>
          <w:rFonts w:ascii="Times New Roman" w:hAnsi="Times New Roman" w:cs="Times New Roman"/>
          <w:i/>
        </w:rPr>
        <w:t>Nature Aging</w:t>
      </w:r>
      <w:r w:rsidRPr="00B21850">
        <w:rPr>
          <w:rFonts w:ascii="Times New Roman" w:hAnsi="Times New Roman" w:cs="Times New Roman"/>
        </w:rPr>
        <w:t xml:space="preserve">. </w:t>
      </w:r>
      <w:r w:rsidRPr="00923F07">
        <w:rPr>
          <w:rFonts w:ascii="Times New Roman" w:hAnsi="Times New Roman" w:cs="Times New Roman"/>
        </w:rPr>
        <w:t>https://doi.org/10.1038/s43587-025-00836-y</w:t>
      </w:r>
      <w:r w:rsidRPr="00B21850">
        <w:rPr>
          <w:rFonts w:ascii="Times New Roman" w:hAnsi="Times New Roman" w:cs="Times New Roman"/>
        </w:rPr>
        <w:t xml:space="preserve"> </w:t>
      </w:r>
    </w:p>
    <w:p w14:paraId="0F816156"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National Healthcare Security Administration of China, &amp; Ministry of Finance of China. (2020). </w:t>
      </w:r>
      <w:r w:rsidRPr="00B21850">
        <w:rPr>
          <w:rFonts w:ascii="Times New Roman" w:hAnsi="Times New Roman" w:cs="Times New Roman"/>
          <w:i/>
        </w:rPr>
        <w:t>Guiding opinions on expanding the pilot long-term care insurance</w:t>
      </w:r>
      <w:r w:rsidRPr="00B21850">
        <w:rPr>
          <w:rFonts w:ascii="Times New Roman" w:hAnsi="Times New Roman" w:cs="Times New Roman"/>
        </w:rPr>
        <w:t xml:space="preserve">. Retrieved 2024-09-11 from </w:t>
      </w:r>
      <w:r w:rsidRPr="00923F07">
        <w:rPr>
          <w:rFonts w:ascii="Times New Roman" w:hAnsi="Times New Roman" w:cs="Times New Roman"/>
        </w:rPr>
        <w:t>https://www.gov.cn/gongbao/content/2020/content_5570107.htm</w:t>
      </w:r>
    </w:p>
    <w:p w14:paraId="717FE134"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Pei, X. T., Yang, W., &amp; Xu, M. M. (2024). Examining the impact of long-term care insurance on the care burden and labor market participation of informal carers: A quasi-experimental study in </w:t>
      </w:r>
      <w:r w:rsidRPr="00B21850">
        <w:rPr>
          <w:rFonts w:ascii="Times New Roman" w:hAnsi="Times New Roman" w:cs="Times New Roman"/>
        </w:rPr>
        <w:lastRenderedPageBreak/>
        <w:t xml:space="preserve">China. </w:t>
      </w:r>
      <w:r w:rsidRPr="00B21850">
        <w:rPr>
          <w:rFonts w:ascii="Times New Roman" w:hAnsi="Times New Roman" w:cs="Times New Roman"/>
          <w:i/>
        </w:rPr>
        <w:t>Journals of Gerontology Series B-Psychological Sciences and Social Sciences</w:t>
      </w:r>
      <w:r w:rsidRPr="00B21850">
        <w:rPr>
          <w:rFonts w:ascii="Times New Roman" w:hAnsi="Times New Roman" w:cs="Times New Roman"/>
        </w:rPr>
        <w:t>,</w:t>
      </w:r>
      <w:r w:rsidRPr="00B21850">
        <w:rPr>
          <w:rFonts w:ascii="Times New Roman" w:hAnsi="Times New Roman" w:cs="Times New Roman"/>
          <w:i/>
        </w:rPr>
        <w:t xml:space="preserve"> 79</w:t>
      </w:r>
      <w:r w:rsidRPr="00B21850">
        <w:rPr>
          <w:rFonts w:ascii="Times New Roman" w:hAnsi="Times New Roman" w:cs="Times New Roman"/>
        </w:rPr>
        <w:t xml:space="preserve">(5), Article gbae023. </w:t>
      </w:r>
      <w:r w:rsidRPr="00923F07">
        <w:rPr>
          <w:rFonts w:ascii="Times New Roman" w:hAnsi="Times New Roman" w:cs="Times New Roman"/>
        </w:rPr>
        <w:t>https://doi.org/10.1093/geronb/gbae023</w:t>
      </w:r>
      <w:r w:rsidRPr="00B21850">
        <w:rPr>
          <w:rFonts w:ascii="Times New Roman" w:hAnsi="Times New Roman" w:cs="Times New Roman"/>
        </w:rPr>
        <w:t xml:space="preserve"> </w:t>
      </w:r>
    </w:p>
    <w:p w14:paraId="51EF743C"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Van den Berg, B., Brouwer, W., van Exel, J., Koopmanschap, M., van den Bos, G. A., &amp; Rutten, F. (2006). Economic valuation of informal care: Lessons from the application of the opportunity costs and proxy good methods. </w:t>
      </w:r>
      <w:r w:rsidRPr="00B21850">
        <w:rPr>
          <w:rFonts w:ascii="Times New Roman" w:hAnsi="Times New Roman" w:cs="Times New Roman"/>
          <w:i/>
        </w:rPr>
        <w:t>Social Science &amp; Medicine</w:t>
      </w:r>
      <w:r w:rsidRPr="00B21850">
        <w:rPr>
          <w:rFonts w:ascii="Times New Roman" w:hAnsi="Times New Roman" w:cs="Times New Roman"/>
        </w:rPr>
        <w:t>,</w:t>
      </w:r>
      <w:r w:rsidRPr="00B21850">
        <w:rPr>
          <w:rFonts w:ascii="Times New Roman" w:hAnsi="Times New Roman" w:cs="Times New Roman"/>
          <w:i/>
        </w:rPr>
        <w:t xml:space="preserve"> 62</w:t>
      </w:r>
      <w:r w:rsidRPr="00B21850">
        <w:rPr>
          <w:rFonts w:ascii="Times New Roman" w:hAnsi="Times New Roman" w:cs="Times New Roman"/>
        </w:rPr>
        <w:t xml:space="preserve">(4), 835-845. </w:t>
      </w:r>
      <w:r w:rsidRPr="00923F07">
        <w:rPr>
          <w:rFonts w:ascii="Times New Roman" w:hAnsi="Times New Roman" w:cs="Times New Roman"/>
        </w:rPr>
        <w:t>https://doi.org/10.1016/j.socscimed.2005.06.046</w:t>
      </w:r>
      <w:r w:rsidRPr="00B21850">
        <w:rPr>
          <w:rFonts w:ascii="Times New Roman" w:hAnsi="Times New Roman" w:cs="Times New Roman"/>
        </w:rPr>
        <w:t xml:space="preserve"> </w:t>
      </w:r>
    </w:p>
    <w:p w14:paraId="6A4B14CF" w14:textId="0B4DE3E1"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Van den Berg, B., Brouwer, W. B. F., &amp; Koopmanschap, M. A. (2004). Economic valuation of informal care: An overview of methods and applications. </w:t>
      </w:r>
      <w:r w:rsidRPr="00B21850">
        <w:rPr>
          <w:rFonts w:ascii="Times New Roman" w:hAnsi="Times New Roman" w:cs="Times New Roman"/>
          <w:i/>
        </w:rPr>
        <w:t>European Journal of Health Economics</w:t>
      </w:r>
      <w:r w:rsidRPr="00B21850">
        <w:rPr>
          <w:rFonts w:ascii="Times New Roman" w:hAnsi="Times New Roman" w:cs="Times New Roman"/>
        </w:rPr>
        <w:t>,</w:t>
      </w:r>
      <w:r w:rsidRPr="00B21850">
        <w:rPr>
          <w:rFonts w:ascii="Times New Roman" w:hAnsi="Times New Roman" w:cs="Times New Roman"/>
          <w:i/>
        </w:rPr>
        <w:t xml:space="preserve"> 5</w:t>
      </w:r>
      <w:r w:rsidRPr="00B21850">
        <w:rPr>
          <w:rFonts w:ascii="Times New Roman" w:hAnsi="Times New Roman" w:cs="Times New Roman"/>
        </w:rPr>
        <w:t xml:space="preserve">(1), 36-45. </w:t>
      </w:r>
      <w:r w:rsidRPr="00923F07">
        <w:rPr>
          <w:rFonts w:ascii="Times New Roman" w:hAnsi="Times New Roman" w:cs="Times New Roman"/>
        </w:rPr>
        <w:t>https://doi.org/10.1007/s10198-003-0189-y</w:t>
      </w:r>
      <w:r w:rsidRPr="00B21850">
        <w:rPr>
          <w:rFonts w:ascii="Times New Roman" w:hAnsi="Times New Roman" w:cs="Times New Roman"/>
        </w:rPr>
        <w:t xml:space="preserve"> </w:t>
      </w:r>
    </w:p>
    <w:p w14:paraId="5D6A426F"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Wagstaff, A., &amp; van Doorslaer, E. (2003). Catastrophe and impoverishment in paying for health care: With applications to Vietnam 1993-1998. </w:t>
      </w:r>
      <w:r w:rsidRPr="00B21850">
        <w:rPr>
          <w:rFonts w:ascii="Times New Roman" w:hAnsi="Times New Roman" w:cs="Times New Roman"/>
          <w:i/>
        </w:rPr>
        <w:t>Health Economics</w:t>
      </w:r>
      <w:r w:rsidRPr="00B21850">
        <w:rPr>
          <w:rFonts w:ascii="Times New Roman" w:hAnsi="Times New Roman" w:cs="Times New Roman"/>
        </w:rPr>
        <w:t>,</w:t>
      </w:r>
      <w:r w:rsidRPr="00B21850">
        <w:rPr>
          <w:rFonts w:ascii="Times New Roman" w:hAnsi="Times New Roman" w:cs="Times New Roman"/>
          <w:i/>
        </w:rPr>
        <w:t xml:space="preserve"> 12</w:t>
      </w:r>
      <w:r w:rsidRPr="00B21850">
        <w:rPr>
          <w:rFonts w:ascii="Times New Roman" w:hAnsi="Times New Roman" w:cs="Times New Roman"/>
        </w:rPr>
        <w:t xml:space="preserve">(11), 921-934. </w:t>
      </w:r>
      <w:r w:rsidRPr="00923F07">
        <w:rPr>
          <w:rFonts w:ascii="Times New Roman" w:hAnsi="Times New Roman" w:cs="Times New Roman"/>
        </w:rPr>
        <w:t>https://doi.org/10.1002/hec.776</w:t>
      </w:r>
      <w:r w:rsidRPr="00B21850">
        <w:rPr>
          <w:rFonts w:ascii="Times New Roman" w:hAnsi="Times New Roman" w:cs="Times New Roman"/>
        </w:rPr>
        <w:t xml:space="preserve"> </w:t>
      </w:r>
    </w:p>
    <w:p w14:paraId="5083721E"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World Bank. (2022). </w:t>
      </w:r>
      <w:r w:rsidRPr="00B21850">
        <w:rPr>
          <w:rFonts w:ascii="Times New Roman" w:hAnsi="Times New Roman" w:cs="Times New Roman"/>
          <w:i/>
        </w:rPr>
        <w:t>Inflation, consumer prices (anual %) - China and Korea, Rep.</w:t>
      </w:r>
      <w:r w:rsidRPr="00B21850">
        <w:rPr>
          <w:rFonts w:ascii="Times New Roman" w:hAnsi="Times New Roman" w:cs="Times New Roman"/>
        </w:rPr>
        <w:t xml:space="preserve"> Retrieved 2024-07-14 from </w:t>
      </w:r>
      <w:r w:rsidRPr="00923F07">
        <w:rPr>
          <w:rFonts w:ascii="Times New Roman" w:hAnsi="Times New Roman" w:cs="Times New Roman"/>
        </w:rPr>
        <w:t>https://data.worldbank.org/indicator/FP.CPI.TOTL.ZG?locations=CN-KR&amp;view=chart</w:t>
      </w:r>
    </w:p>
    <w:p w14:paraId="5DBDC1E9"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Yang, J., Wang, S., &amp; Du, S. (2018). Regional comparison and implications of China's long-term care insurance system (in Chinese). </w:t>
      </w:r>
      <w:r w:rsidRPr="00B21850">
        <w:rPr>
          <w:rFonts w:ascii="Times New Roman" w:hAnsi="Times New Roman" w:cs="Times New Roman"/>
          <w:i/>
        </w:rPr>
        <w:t>Chinese Journal of Health Policy</w:t>
      </w:r>
      <w:r w:rsidRPr="00B21850">
        <w:rPr>
          <w:rFonts w:ascii="Times New Roman" w:hAnsi="Times New Roman" w:cs="Times New Roman"/>
        </w:rPr>
        <w:t>,</w:t>
      </w:r>
      <w:r w:rsidRPr="00B21850">
        <w:rPr>
          <w:rFonts w:ascii="Times New Roman" w:hAnsi="Times New Roman" w:cs="Times New Roman"/>
          <w:i/>
        </w:rPr>
        <w:t xml:space="preserve"> 11</w:t>
      </w:r>
      <w:r w:rsidRPr="00B21850">
        <w:rPr>
          <w:rFonts w:ascii="Times New Roman" w:hAnsi="Times New Roman" w:cs="Times New Roman"/>
        </w:rPr>
        <w:t xml:space="preserve">(4), 1-7. </w:t>
      </w:r>
    </w:p>
    <w:p w14:paraId="53C4FFC1"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Yang, W., &amp; Hu, B. (2022). Catastrophic health expenditure and mental health in the older Chinese population: The moderating role of Social Health Insurance. </w:t>
      </w:r>
      <w:r w:rsidRPr="00B21850">
        <w:rPr>
          <w:rFonts w:ascii="Times New Roman" w:hAnsi="Times New Roman" w:cs="Times New Roman"/>
          <w:i/>
        </w:rPr>
        <w:t>Journals of Gerontology Series B-Psychological Sciences and Social Sciences</w:t>
      </w:r>
      <w:r w:rsidRPr="00B21850">
        <w:rPr>
          <w:rFonts w:ascii="Times New Roman" w:hAnsi="Times New Roman" w:cs="Times New Roman"/>
        </w:rPr>
        <w:t>,</w:t>
      </w:r>
      <w:r w:rsidRPr="00B21850">
        <w:rPr>
          <w:rFonts w:ascii="Times New Roman" w:hAnsi="Times New Roman" w:cs="Times New Roman"/>
          <w:i/>
        </w:rPr>
        <w:t xml:space="preserve"> 77</w:t>
      </w:r>
      <w:r w:rsidRPr="00B21850">
        <w:rPr>
          <w:rFonts w:ascii="Times New Roman" w:hAnsi="Times New Roman" w:cs="Times New Roman"/>
        </w:rPr>
        <w:t xml:space="preserve">(1), 160-169. </w:t>
      </w:r>
      <w:r w:rsidRPr="00923F07">
        <w:rPr>
          <w:rFonts w:ascii="Times New Roman" w:hAnsi="Times New Roman" w:cs="Times New Roman"/>
        </w:rPr>
        <w:t>https://doi.org/10.1093/geronb/gbab130</w:t>
      </w:r>
      <w:r w:rsidRPr="00B21850">
        <w:rPr>
          <w:rFonts w:ascii="Times New Roman" w:hAnsi="Times New Roman" w:cs="Times New Roman"/>
        </w:rPr>
        <w:t xml:space="preserve"> </w:t>
      </w:r>
    </w:p>
    <w:p w14:paraId="47946F79" w14:textId="690D141C"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Zhao, Y., Atun, R., Oldenburg, B., McPake, B., Tang, S., Mercer, S. W., Cowling, T. E., Sum, G., Qin, V. M., &amp; Lee, J. T. (2020). Physical multimorbidity, health service use, and catastrophic health expenditure by socioeconomic groups in China: An analysis of population-based panel data. </w:t>
      </w:r>
      <w:r w:rsidRPr="00B21850">
        <w:rPr>
          <w:rFonts w:ascii="Times New Roman" w:hAnsi="Times New Roman" w:cs="Times New Roman"/>
          <w:i/>
        </w:rPr>
        <w:t>Lancet Global Health</w:t>
      </w:r>
      <w:r w:rsidRPr="00B21850">
        <w:rPr>
          <w:rFonts w:ascii="Times New Roman" w:hAnsi="Times New Roman" w:cs="Times New Roman"/>
        </w:rPr>
        <w:t>,</w:t>
      </w:r>
      <w:r w:rsidRPr="00B21850">
        <w:rPr>
          <w:rFonts w:ascii="Times New Roman" w:hAnsi="Times New Roman" w:cs="Times New Roman"/>
          <w:i/>
        </w:rPr>
        <w:t xml:space="preserve"> 8</w:t>
      </w:r>
      <w:r w:rsidRPr="00B21850">
        <w:rPr>
          <w:rFonts w:ascii="Times New Roman" w:hAnsi="Times New Roman" w:cs="Times New Roman"/>
        </w:rPr>
        <w:t xml:space="preserve">(6), E840-E849. </w:t>
      </w:r>
    </w:p>
    <w:p w14:paraId="24853F10" w14:textId="77777777" w:rsidR="00923F07" w:rsidRPr="00B21850" w:rsidRDefault="00923F07" w:rsidP="00B21850">
      <w:pPr>
        <w:pStyle w:val="EndNoteBibliography"/>
        <w:adjustRightInd w:val="0"/>
        <w:snapToGrid w:val="0"/>
        <w:spacing w:line="480" w:lineRule="auto"/>
        <w:ind w:left="720" w:hanging="720"/>
        <w:jc w:val="left"/>
        <w:rPr>
          <w:rFonts w:ascii="Times New Roman" w:hAnsi="Times New Roman" w:cs="Times New Roman"/>
        </w:rPr>
      </w:pPr>
      <w:r w:rsidRPr="00B21850">
        <w:rPr>
          <w:rFonts w:ascii="Times New Roman" w:hAnsi="Times New Roman" w:cs="Times New Roman"/>
        </w:rPr>
        <w:t xml:space="preserve">Zhou, W., &amp; Dai, W. (2021). Shifting from fragmentation to integration: A systematic analysis of long-term care insurance policies in China. </w:t>
      </w:r>
      <w:r w:rsidRPr="00B21850">
        <w:rPr>
          <w:rFonts w:ascii="Times New Roman" w:hAnsi="Times New Roman" w:cs="Times New Roman"/>
          <w:i/>
        </w:rPr>
        <w:t>International Journal of Integrated Care</w:t>
      </w:r>
      <w:r w:rsidRPr="00B21850">
        <w:rPr>
          <w:rFonts w:ascii="Times New Roman" w:hAnsi="Times New Roman" w:cs="Times New Roman"/>
        </w:rPr>
        <w:t>,</w:t>
      </w:r>
      <w:r w:rsidRPr="00B21850">
        <w:rPr>
          <w:rFonts w:ascii="Times New Roman" w:hAnsi="Times New Roman" w:cs="Times New Roman"/>
          <w:i/>
        </w:rPr>
        <w:t xml:space="preserve"> 21</w:t>
      </w:r>
      <w:r w:rsidRPr="00B21850">
        <w:rPr>
          <w:rFonts w:ascii="Times New Roman" w:hAnsi="Times New Roman" w:cs="Times New Roman"/>
        </w:rPr>
        <w:t xml:space="preserve">(3), Article 11. </w:t>
      </w:r>
      <w:r w:rsidRPr="00923F07">
        <w:rPr>
          <w:rFonts w:ascii="Times New Roman" w:hAnsi="Times New Roman" w:cs="Times New Roman"/>
        </w:rPr>
        <w:t>https://doi.org/10.5334/ijic.5676</w:t>
      </w:r>
      <w:r w:rsidRPr="00B21850">
        <w:rPr>
          <w:rFonts w:ascii="Times New Roman" w:hAnsi="Times New Roman" w:cs="Times New Roman"/>
        </w:rPr>
        <w:t xml:space="preserve"> </w:t>
      </w:r>
    </w:p>
    <w:p w14:paraId="3E1D2A02" w14:textId="77777777" w:rsidR="00171610" w:rsidRDefault="00171610"/>
    <w:sectPr w:rsidR="00171610" w:rsidSect="00923F07">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4EBF9" w14:textId="77777777" w:rsidR="00012BC7" w:rsidRDefault="00012BC7">
      <w:r>
        <w:separator/>
      </w:r>
    </w:p>
  </w:endnote>
  <w:endnote w:type="continuationSeparator" w:id="0">
    <w:p w14:paraId="0392CEB8" w14:textId="77777777" w:rsidR="00012BC7" w:rsidRDefault="00012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lang w:val="en-US"/>
      </w:rPr>
      <w:id w:val="-1353188311"/>
      <w:docPartObj>
        <w:docPartGallery w:val="Page Numbers (Bottom of Page)"/>
        <w:docPartUnique/>
      </w:docPartObj>
    </w:sdtPr>
    <w:sdtContent>
      <w:p w14:paraId="3799781A" w14:textId="77777777" w:rsidR="00BC1003" w:rsidRPr="006512A7" w:rsidRDefault="00000000" w:rsidP="006512A7">
        <w:pPr>
          <w:pStyle w:val="Footer"/>
          <w:jc w:val="center"/>
          <w:rPr>
            <w:rFonts w:ascii="Times New Roman" w:hAnsi="Times New Roman" w:cs="Times New Roman"/>
            <w:sz w:val="20"/>
            <w:szCs w:val="20"/>
            <w:lang w:val="en-US"/>
          </w:rPr>
        </w:pPr>
        <w:r w:rsidRPr="006512A7">
          <w:rPr>
            <w:rFonts w:ascii="Times New Roman" w:hAnsi="Times New Roman" w:cs="Times New Roman"/>
            <w:sz w:val="20"/>
            <w:szCs w:val="20"/>
            <w:lang w:val="en-US"/>
          </w:rPr>
          <w:fldChar w:fldCharType="begin"/>
        </w:r>
        <w:r w:rsidRPr="006512A7">
          <w:rPr>
            <w:rFonts w:ascii="Times New Roman" w:hAnsi="Times New Roman" w:cs="Times New Roman"/>
            <w:sz w:val="20"/>
            <w:szCs w:val="20"/>
            <w:lang w:val="en-US"/>
          </w:rPr>
          <w:instrText>PAGE   \* MERGEFORMAT</w:instrText>
        </w:r>
        <w:r w:rsidRPr="006512A7">
          <w:rPr>
            <w:rFonts w:ascii="Times New Roman" w:hAnsi="Times New Roman" w:cs="Times New Roman"/>
            <w:sz w:val="20"/>
            <w:szCs w:val="20"/>
            <w:lang w:val="en-US"/>
          </w:rPr>
          <w:fldChar w:fldCharType="separate"/>
        </w:r>
        <w:r w:rsidRPr="006512A7">
          <w:rPr>
            <w:rFonts w:ascii="Times New Roman" w:hAnsi="Times New Roman" w:cs="Times New Roman"/>
            <w:sz w:val="20"/>
            <w:szCs w:val="20"/>
            <w:lang w:val="en-US"/>
          </w:rPr>
          <w:t>2</w:t>
        </w:r>
        <w:r w:rsidRPr="006512A7">
          <w:rPr>
            <w:rFonts w:ascii="Times New Roman" w:hAnsi="Times New Roman" w:cs="Times New Roman"/>
            <w:sz w:val="20"/>
            <w:szCs w:val="20"/>
            <w:lang w:val="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2B8AF" w14:textId="77777777" w:rsidR="00012BC7" w:rsidRDefault="00012BC7">
      <w:r>
        <w:separator/>
      </w:r>
    </w:p>
  </w:footnote>
  <w:footnote w:type="continuationSeparator" w:id="0">
    <w:p w14:paraId="00028E87" w14:textId="77777777" w:rsidR="00012BC7" w:rsidRDefault="00012B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96764"/>
    <w:multiLevelType w:val="hybridMultilevel"/>
    <w:tmpl w:val="F35A7F76"/>
    <w:lvl w:ilvl="0" w:tplc="89D89D02">
      <w:start w:val="1"/>
      <w:numFmt w:val="decimal"/>
      <w:lvlText w:val="%1)"/>
      <w:lvlJc w:val="left"/>
      <w:pPr>
        <w:ind w:left="360" w:hanging="360"/>
      </w:pPr>
      <w:rPr>
        <w:rFonts w:ascii="Segoe UI" w:hAnsi="Segoe UI" w:cs="Segoe UI" w:hint="default"/>
        <w:color w:val="0D0D0D"/>
        <w:sz w:val="2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F0D6B99"/>
    <w:multiLevelType w:val="hybridMultilevel"/>
    <w:tmpl w:val="A0F2E000"/>
    <w:lvl w:ilvl="0" w:tplc="2544F57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60F15724"/>
    <w:multiLevelType w:val="hybridMultilevel"/>
    <w:tmpl w:val="9D00897C"/>
    <w:lvl w:ilvl="0" w:tplc="FA00673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733038985">
    <w:abstractNumId w:val="1"/>
  </w:num>
  <w:num w:numId="2" w16cid:durableId="306781123">
    <w:abstractNumId w:val="0"/>
  </w:num>
  <w:num w:numId="3" w16cid:durableId="129783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23F07"/>
    <w:rsid w:val="00012BC7"/>
    <w:rsid w:val="000858FC"/>
    <w:rsid w:val="00167C62"/>
    <w:rsid w:val="00171610"/>
    <w:rsid w:val="001B29FE"/>
    <w:rsid w:val="001E09C5"/>
    <w:rsid w:val="001F7050"/>
    <w:rsid w:val="00246769"/>
    <w:rsid w:val="002B6CFA"/>
    <w:rsid w:val="002F7B8F"/>
    <w:rsid w:val="003C1F5E"/>
    <w:rsid w:val="00454E84"/>
    <w:rsid w:val="00455B35"/>
    <w:rsid w:val="00460FE4"/>
    <w:rsid w:val="004610D2"/>
    <w:rsid w:val="004E694F"/>
    <w:rsid w:val="005A679D"/>
    <w:rsid w:val="006379FA"/>
    <w:rsid w:val="006D7C02"/>
    <w:rsid w:val="006E3575"/>
    <w:rsid w:val="006F1F64"/>
    <w:rsid w:val="007A41BE"/>
    <w:rsid w:val="007E08E3"/>
    <w:rsid w:val="00827804"/>
    <w:rsid w:val="008F73CF"/>
    <w:rsid w:val="009112CD"/>
    <w:rsid w:val="00923F07"/>
    <w:rsid w:val="009C6E9B"/>
    <w:rsid w:val="00A163F1"/>
    <w:rsid w:val="00AB57B6"/>
    <w:rsid w:val="00BC1003"/>
    <w:rsid w:val="00BC7AF0"/>
    <w:rsid w:val="00CC48BA"/>
    <w:rsid w:val="00CF5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CD2F7"/>
  <w15:chartTrackingRefBased/>
  <w15:docId w15:val="{680456F4-EB22-41EF-B7ED-F20DD8752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kern w:val="2"/>
        <w:sz w:val="21"/>
        <w:szCs w:val="21"/>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F07"/>
    <w:pPr>
      <w:widowControl w:val="0"/>
      <w:jc w:val="both"/>
    </w:pPr>
    <w:rPr>
      <w:color w:val="auto"/>
      <w:szCs w:val="22"/>
    </w:rPr>
  </w:style>
  <w:style w:type="paragraph" w:styleId="Heading1">
    <w:name w:val="heading 1"/>
    <w:basedOn w:val="Normal"/>
    <w:next w:val="Normal"/>
    <w:link w:val="Heading1Char"/>
    <w:uiPriority w:val="9"/>
    <w:qFormat/>
    <w:rsid w:val="00923F07"/>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923F0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semiHidden/>
    <w:unhideWhenUsed/>
    <w:qFormat/>
    <w:rsid w:val="00923F0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923F07"/>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923F07"/>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923F07"/>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923F07"/>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923F07"/>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923F07"/>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qFormat/>
    <w:rsid w:val="00923F07"/>
    <w:rPr>
      <w:rFonts w:eastAsia="Times New Roman"/>
      <w:sz w:val="20"/>
    </w:rPr>
  </w:style>
  <w:style w:type="character" w:customStyle="1" w:styleId="Heading1Char">
    <w:name w:val="Heading 1 Char"/>
    <w:basedOn w:val="DefaultParagraphFont"/>
    <w:link w:val="Heading1"/>
    <w:uiPriority w:val="9"/>
    <w:rsid w:val="00923F07"/>
    <w:rPr>
      <w:b/>
      <w:bCs/>
      <w:color w:val="auto"/>
      <w:kern w:val="44"/>
      <w:sz w:val="44"/>
      <w:szCs w:val="44"/>
    </w:rPr>
  </w:style>
  <w:style w:type="paragraph" w:customStyle="1" w:styleId="EndNoteBibliographyTitle">
    <w:name w:val="EndNote Bibliography Title"/>
    <w:basedOn w:val="Normal"/>
    <w:link w:val="EndNoteBibliographyTitleChar"/>
    <w:rsid w:val="00923F07"/>
    <w:pPr>
      <w:jc w:val="center"/>
    </w:pPr>
    <w:rPr>
      <w:rFonts w:ascii="等线" w:eastAsia="等线" w:hAnsi="等线"/>
      <w:noProof/>
      <w:sz w:val="20"/>
    </w:rPr>
  </w:style>
  <w:style w:type="character" w:customStyle="1" w:styleId="EndNoteBibliographyTitleChar">
    <w:name w:val="EndNote Bibliography Title Char"/>
    <w:basedOn w:val="DefaultParagraphFont"/>
    <w:link w:val="EndNoteBibliographyTitle"/>
    <w:rsid w:val="00923F07"/>
    <w:rPr>
      <w:rFonts w:ascii="等线" w:eastAsia="等线" w:hAnsi="等线"/>
      <w:noProof/>
      <w:color w:val="auto"/>
      <w:sz w:val="20"/>
      <w:szCs w:val="22"/>
    </w:rPr>
  </w:style>
  <w:style w:type="paragraph" w:customStyle="1" w:styleId="EndNoteBibliography">
    <w:name w:val="EndNote Bibliography"/>
    <w:basedOn w:val="Normal"/>
    <w:link w:val="EndNoteBibliographyChar"/>
    <w:rsid w:val="00923F07"/>
    <w:rPr>
      <w:rFonts w:ascii="等线" w:eastAsia="等线" w:hAnsi="等线"/>
      <w:noProof/>
      <w:sz w:val="20"/>
    </w:rPr>
  </w:style>
  <w:style w:type="character" w:customStyle="1" w:styleId="EndNoteBibliographyChar">
    <w:name w:val="EndNote Bibliography Char"/>
    <w:basedOn w:val="DefaultParagraphFont"/>
    <w:link w:val="EndNoteBibliography"/>
    <w:rsid w:val="00923F07"/>
    <w:rPr>
      <w:rFonts w:ascii="等线" w:eastAsia="等线" w:hAnsi="等线"/>
      <w:noProof/>
      <w:color w:val="auto"/>
      <w:sz w:val="20"/>
      <w:szCs w:val="22"/>
    </w:rPr>
  </w:style>
  <w:style w:type="character" w:customStyle="1" w:styleId="Heading2Char">
    <w:name w:val="Heading 2 Char"/>
    <w:basedOn w:val="DefaultParagraphFont"/>
    <w:link w:val="Heading2"/>
    <w:uiPriority w:val="9"/>
    <w:rsid w:val="00923F07"/>
    <w:rPr>
      <w:rFonts w:asciiTheme="majorHAnsi" w:eastAsiaTheme="majorEastAsia" w:hAnsiTheme="majorHAnsi" w:cstheme="majorBidi"/>
      <w:b/>
      <w:bCs/>
      <w:color w:val="auto"/>
      <w:sz w:val="32"/>
      <w:szCs w:val="32"/>
    </w:rPr>
  </w:style>
  <w:style w:type="character" w:customStyle="1" w:styleId="Heading3Char">
    <w:name w:val="Heading 3 Char"/>
    <w:basedOn w:val="DefaultParagraphFont"/>
    <w:link w:val="Heading3"/>
    <w:uiPriority w:val="9"/>
    <w:semiHidden/>
    <w:rsid w:val="00923F07"/>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923F07"/>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923F07"/>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923F07"/>
    <w:rPr>
      <w:rFonts w:cstheme="majorBidi"/>
      <w:b/>
      <w:bCs/>
      <w:color w:val="0F4761" w:themeColor="accent1" w:themeShade="BF"/>
      <w:szCs w:val="22"/>
    </w:rPr>
  </w:style>
  <w:style w:type="character" w:customStyle="1" w:styleId="Heading7Char">
    <w:name w:val="Heading 7 Char"/>
    <w:basedOn w:val="DefaultParagraphFont"/>
    <w:link w:val="Heading7"/>
    <w:uiPriority w:val="9"/>
    <w:semiHidden/>
    <w:rsid w:val="00923F07"/>
    <w:rPr>
      <w:rFonts w:cstheme="majorBidi"/>
      <w:b/>
      <w:bCs/>
      <w:color w:val="595959" w:themeColor="text1" w:themeTint="A6"/>
      <w:szCs w:val="22"/>
    </w:rPr>
  </w:style>
  <w:style w:type="character" w:customStyle="1" w:styleId="Heading8Char">
    <w:name w:val="Heading 8 Char"/>
    <w:basedOn w:val="DefaultParagraphFont"/>
    <w:link w:val="Heading8"/>
    <w:uiPriority w:val="9"/>
    <w:semiHidden/>
    <w:rsid w:val="00923F07"/>
    <w:rPr>
      <w:rFonts w:cstheme="majorBidi"/>
      <w:color w:val="595959" w:themeColor="text1" w:themeTint="A6"/>
      <w:szCs w:val="22"/>
    </w:rPr>
  </w:style>
  <w:style w:type="character" w:customStyle="1" w:styleId="Heading9Char">
    <w:name w:val="Heading 9 Char"/>
    <w:basedOn w:val="DefaultParagraphFont"/>
    <w:link w:val="Heading9"/>
    <w:uiPriority w:val="9"/>
    <w:semiHidden/>
    <w:rsid w:val="00923F07"/>
    <w:rPr>
      <w:rFonts w:eastAsiaTheme="majorEastAsia" w:cstheme="majorBidi"/>
      <w:color w:val="595959" w:themeColor="text1" w:themeTint="A6"/>
      <w:szCs w:val="22"/>
    </w:rPr>
  </w:style>
  <w:style w:type="paragraph" w:styleId="Header">
    <w:name w:val="header"/>
    <w:basedOn w:val="Normal"/>
    <w:link w:val="HeaderChar"/>
    <w:uiPriority w:val="99"/>
    <w:unhideWhenUsed/>
    <w:rsid w:val="00923F07"/>
    <w:pPr>
      <w:tabs>
        <w:tab w:val="center" w:pos="4153"/>
        <w:tab w:val="right" w:pos="8306"/>
      </w:tabs>
      <w:snapToGrid w:val="0"/>
      <w:jc w:val="center"/>
    </w:pPr>
    <w:rPr>
      <w:sz w:val="18"/>
      <w:szCs w:val="18"/>
      <w:lang w:val="en-GB"/>
    </w:rPr>
  </w:style>
  <w:style w:type="character" w:customStyle="1" w:styleId="HeaderChar">
    <w:name w:val="Header Char"/>
    <w:basedOn w:val="DefaultParagraphFont"/>
    <w:link w:val="Header"/>
    <w:uiPriority w:val="99"/>
    <w:rsid w:val="00923F07"/>
    <w:rPr>
      <w:color w:val="auto"/>
      <w:sz w:val="18"/>
      <w:szCs w:val="18"/>
      <w:lang w:val="en-GB"/>
    </w:rPr>
  </w:style>
  <w:style w:type="paragraph" w:styleId="Footer">
    <w:name w:val="footer"/>
    <w:basedOn w:val="Normal"/>
    <w:link w:val="FooterChar"/>
    <w:uiPriority w:val="99"/>
    <w:unhideWhenUsed/>
    <w:rsid w:val="00923F07"/>
    <w:pPr>
      <w:tabs>
        <w:tab w:val="center" w:pos="4153"/>
        <w:tab w:val="right" w:pos="8306"/>
      </w:tabs>
      <w:snapToGrid w:val="0"/>
      <w:jc w:val="left"/>
    </w:pPr>
    <w:rPr>
      <w:sz w:val="18"/>
      <w:szCs w:val="18"/>
      <w:lang w:val="en-GB"/>
    </w:rPr>
  </w:style>
  <w:style w:type="character" w:customStyle="1" w:styleId="FooterChar">
    <w:name w:val="Footer Char"/>
    <w:basedOn w:val="DefaultParagraphFont"/>
    <w:link w:val="Footer"/>
    <w:uiPriority w:val="99"/>
    <w:rsid w:val="00923F07"/>
    <w:rPr>
      <w:color w:val="auto"/>
      <w:sz w:val="18"/>
      <w:szCs w:val="18"/>
      <w:lang w:val="en-GB"/>
    </w:rPr>
  </w:style>
  <w:style w:type="paragraph" w:styleId="Title">
    <w:name w:val="Title"/>
    <w:basedOn w:val="Normal"/>
    <w:next w:val="Normal"/>
    <w:link w:val="TitleChar"/>
    <w:uiPriority w:val="10"/>
    <w:qFormat/>
    <w:rsid w:val="00923F07"/>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F07"/>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923F0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F07"/>
    <w:rPr>
      <w:rFonts w:asciiTheme="majorHAnsi" w:eastAsiaTheme="majorEastAsia" w:hAnsiTheme="majorHAnsi" w:cstheme="majorBidi"/>
      <w:color w:val="595959" w:themeColor="text1" w:themeTint="A6"/>
      <w:spacing w:val="15"/>
      <w:sz w:val="28"/>
      <w:szCs w:val="28"/>
    </w:rPr>
  </w:style>
  <w:style w:type="character" w:styleId="Hyperlink">
    <w:name w:val="Hyperlink"/>
    <w:basedOn w:val="DefaultParagraphFont"/>
    <w:uiPriority w:val="99"/>
    <w:unhideWhenUsed/>
    <w:rsid w:val="00923F07"/>
    <w:rPr>
      <w:color w:val="467886" w:themeColor="hyperlink"/>
      <w:u w:val="single"/>
    </w:rPr>
  </w:style>
  <w:style w:type="table" w:styleId="TableGrid">
    <w:name w:val="Table Grid"/>
    <w:basedOn w:val="TableNormal"/>
    <w:uiPriority w:val="39"/>
    <w:qFormat/>
    <w:rsid w:val="00923F07"/>
    <w:rPr>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23F07"/>
    <w:pPr>
      <w:ind w:firstLineChars="200" w:firstLine="420"/>
    </w:pPr>
  </w:style>
  <w:style w:type="paragraph" w:styleId="Quote">
    <w:name w:val="Quote"/>
    <w:basedOn w:val="Normal"/>
    <w:next w:val="Normal"/>
    <w:link w:val="QuoteChar"/>
    <w:uiPriority w:val="29"/>
    <w:qFormat/>
    <w:rsid w:val="00923F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3F07"/>
    <w:rPr>
      <w:i/>
      <w:iCs/>
      <w:color w:val="404040" w:themeColor="text1" w:themeTint="BF"/>
      <w:szCs w:val="22"/>
    </w:rPr>
  </w:style>
  <w:style w:type="paragraph" w:styleId="IntenseQuote">
    <w:name w:val="Intense Quote"/>
    <w:basedOn w:val="Normal"/>
    <w:next w:val="Normal"/>
    <w:link w:val="IntenseQuoteChar"/>
    <w:uiPriority w:val="30"/>
    <w:qFormat/>
    <w:rsid w:val="00923F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F07"/>
    <w:rPr>
      <w:i/>
      <w:iCs/>
      <w:color w:val="0F4761" w:themeColor="accent1" w:themeShade="BF"/>
      <w:szCs w:val="22"/>
    </w:rPr>
  </w:style>
  <w:style w:type="character" w:styleId="IntenseEmphasis">
    <w:name w:val="Intense Emphasis"/>
    <w:basedOn w:val="DefaultParagraphFont"/>
    <w:uiPriority w:val="21"/>
    <w:qFormat/>
    <w:rsid w:val="00923F07"/>
    <w:rPr>
      <w:i/>
      <w:iCs/>
      <w:color w:val="0F4761" w:themeColor="accent1" w:themeShade="BF"/>
    </w:rPr>
  </w:style>
  <w:style w:type="character" w:styleId="IntenseReference">
    <w:name w:val="Intense Reference"/>
    <w:basedOn w:val="DefaultParagraphFont"/>
    <w:uiPriority w:val="32"/>
    <w:qFormat/>
    <w:rsid w:val="00923F07"/>
    <w:rPr>
      <w:b/>
      <w:bCs/>
      <w:smallCaps/>
      <w:color w:val="0F4761" w:themeColor="accent1" w:themeShade="BF"/>
      <w:spacing w:val="5"/>
    </w:rPr>
  </w:style>
  <w:style w:type="character" w:styleId="UnresolvedMention">
    <w:name w:val="Unresolved Mention"/>
    <w:basedOn w:val="DefaultParagraphFont"/>
    <w:uiPriority w:val="99"/>
    <w:semiHidden/>
    <w:unhideWhenUsed/>
    <w:rsid w:val="00923F07"/>
    <w:rPr>
      <w:color w:val="605E5C"/>
      <w:shd w:val="clear" w:color="auto" w:fill="E1DFDD"/>
    </w:rPr>
  </w:style>
  <w:style w:type="character" w:styleId="Emphasis">
    <w:name w:val="Emphasis"/>
    <w:basedOn w:val="DefaultParagraphFont"/>
    <w:uiPriority w:val="20"/>
    <w:qFormat/>
    <w:rsid w:val="00923F07"/>
    <w:rPr>
      <w:i/>
      <w:iCs/>
    </w:rPr>
  </w:style>
  <w:style w:type="table" w:customStyle="1" w:styleId="TableGrid0">
    <w:name w:val="TableGrid"/>
    <w:rsid w:val="00923F07"/>
    <w:rPr>
      <w:color w:val="auto"/>
      <w:szCs w:val="22"/>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923F07"/>
    <w:pPr>
      <w:widowControl/>
      <w:spacing w:before="240" w:after="0" w:line="259" w:lineRule="auto"/>
      <w:jc w:val="left"/>
      <w:outlineLvl w:val="9"/>
    </w:pPr>
    <w:rPr>
      <w:rFonts w:asciiTheme="majorHAnsi" w:eastAsiaTheme="majorEastAsia" w:hAnsiTheme="majorHAnsi" w:cstheme="majorBidi"/>
      <w:b w:val="0"/>
      <w:bCs w:val="0"/>
      <w:color w:val="0F4761" w:themeColor="accent1" w:themeShade="BF"/>
      <w:kern w:val="0"/>
      <w:sz w:val="32"/>
      <w:szCs w:val="32"/>
    </w:rPr>
  </w:style>
  <w:style w:type="paragraph" w:styleId="TOC1">
    <w:name w:val="toc 1"/>
    <w:basedOn w:val="Normal"/>
    <w:next w:val="Normal"/>
    <w:autoRedefine/>
    <w:uiPriority w:val="39"/>
    <w:unhideWhenUsed/>
    <w:rsid w:val="00923F07"/>
  </w:style>
  <w:style w:type="paragraph" w:styleId="NormalWeb">
    <w:name w:val="Normal (Web)"/>
    <w:basedOn w:val="Normal"/>
    <w:uiPriority w:val="99"/>
    <w:unhideWhenUsed/>
    <w:rsid w:val="00923F07"/>
    <w:pPr>
      <w:widowControl/>
      <w:spacing w:before="100" w:beforeAutospacing="1" w:after="100" w:afterAutospacing="1"/>
      <w:jc w:val="left"/>
    </w:pPr>
    <w:rPr>
      <w:rFonts w:ascii="宋体" w:eastAsia="宋体" w:hAnsi="宋体" w:cs="宋体"/>
      <w:kern w:val="0"/>
      <w:sz w:val="24"/>
      <w:szCs w:val="24"/>
      <w:lang w:val="en-GB"/>
    </w:rPr>
  </w:style>
  <w:style w:type="character" w:customStyle="1" w:styleId="cf01">
    <w:name w:val="cf01"/>
    <w:basedOn w:val="DefaultParagraphFont"/>
    <w:rsid w:val="00923F07"/>
    <w:rPr>
      <w:rFonts w:ascii="Segoe UI" w:hAnsi="Segoe UI" w:cs="Segoe UI" w:hint="default"/>
      <w:sz w:val="18"/>
      <w:szCs w:val="18"/>
    </w:rPr>
  </w:style>
  <w:style w:type="character" w:customStyle="1" w:styleId="label">
    <w:name w:val="label"/>
    <w:basedOn w:val="DefaultParagraphFont"/>
    <w:rsid w:val="00923F07"/>
  </w:style>
  <w:style w:type="character" w:customStyle="1" w:styleId="mjxassistivemathml">
    <w:name w:val="mjx_assistive_mathml"/>
    <w:basedOn w:val="DefaultParagraphFont"/>
    <w:rsid w:val="00923F07"/>
  </w:style>
  <w:style w:type="character" w:customStyle="1" w:styleId="ListParagraphChar">
    <w:name w:val="List Paragraph Char"/>
    <w:basedOn w:val="DefaultParagraphFont"/>
    <w:link w:val="ListParagraph"/>
    <w:uiPriority w:val="34"/>
    <w:rsid w:val="00923F07"/>
    <w:rPr>
      <w:color w:val="auto"/>
      <w:szCs w:val="22"/>
    </w:rPr>
  </w:style>
  <w:style w:type="character" w:styleId="LineNumber">
    <w:name w:val="line number"/>
    <w:basedOn w:val="DefaultParagraphFont"/>
    <w:uiPriority w:val="99"/>
    <w:semiHidden/>
    <w:unhideWhenUsed/>
    <w:rsid w:val="00923F07"/>
  </w:style>
  <w:style w:type="character" w:styleId="PlaceholderText">
    <w:name w:val="Placeholder Text"/>
    <w:basedOn w:val="DefaultParagraphFont"/>
    <w:uiPriority w:val="99"/>
    <w:semiHidden/>
    <w:rsid w:val="00923F07"/>
    <w:rPr>
      <w:color w:val="666666"/>
    </w:rPr>
  </w:style>
  <w:style w:type="paragraph" w:styleId="TOC2">
    <w:name w:val="toc 2"/>
    <w:basedOn w:val="Normal"/>
    <w:next w:val="Normal"/>
    <w:autoRedefine/>
    <w:uiPriority w:val="39"/>
    <w:unhideWhenUsed/>
    <w:rsid w:val="00923F07"/>
    <w:pPr>
      <w:ind w:leftChars="200" w:left="420"/>
    </w:pPr>
  </w:style>
  <w:style w:type="paragraph" w:styleId="NoSpacing">
    <w:name w:val="No Spacing"/>
    <w:uiPriority w:val="1"/>
    <w:qFormat/>
    <w:rsid w:val="00923F07"/>
    <w:pPr>
      <w:widowControl w:val="0"/>
      <w:jc w:val="both"/>
    </w:pPr>
    <w:rPr>
      <w:color w:val="auto"/>
      <w:szCs w:val="22"/>
    </w:rPr>
  </w:style>
  <w:style w:type="character" w:customStyle="1" w:styleId="normaltextrun">
    <w:name w:val="normaltextrun"/>
    <w:basedOn w:val="DefaultParagraphFont"/>
    <w:rsid w:val="00923F07"/>
  </w:style>
  <w:style w:type="paragraph" w:styleId="BodyText">
    <w:name w:val="Body Text"/>
    <w:basedOn w:val="Normal"/>
    <w:link w:val="BodyTextChar"/>
    <w:uiPriority w:val="1"/>
    <w:unhideWhenUsed/>
    <w:qFormat/>
    <w:rsid w:val="00923F07"/>
    <w:pPr>
      <w:spacing w:after="120"/>
    </w:pPr>
    <w:rPr>
      <w:lang w:val="en-GB"/>
    </w:rPr>
  </w:style>
  <w:style w:type="character" w:customStyle="1" w:styleId="BodyTextChar">
    <w:name w:val="Body Text Char"/>
    <w:basedOn w:val="DefaultParagraphFont"/>
    <w:link w:val="BodyText"/>
    <w:uiPriority w:val="1"/>
    <w:rsid w:val="00923F07"/>
    <w:rPr>
      <w:color w:val="auto"/>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social-sciences/fixed-effects-mode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5523</Words>
  <Characters>31486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Chengxu Long</dc:creator>
  <cp:keywords/>
  <dc:description/>
  <cp:lastModifiedBy>Chengxu Long</cp:lastModifiedBy>
  <cp:revision>2</cp:revision>
  <dcterms:created xsi:type="dcterms:W3CDTF">2025-05-29T20:41:00Z</dcterms:created>
  <dcterms:modified xsi:type="dcterms:W3CDTF">2025-05-29T20:47:00Z</dcterms:modified>
</cp:coreProperties>
</file>