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025BC" w14:textId="77777777" w:rsidR="00EF0EE3" w:rsidRDefault="00EF0EE3" w:rsidP="00EF0EE3">
      <w:pPr>
        <w:pStyle w:val="BBAuthorName"/>
        <w:rPr>
          <w:rFonts w:ascii="Myriad Pro Light" w:hAnsi="Myriad Pro Light"/>
          <w:b/>
          <w:kern w:val="36"/>
          <w:sz w:val="34"/>
        </w:rPr>
      </w:pPr>
      <w:r>
        <w:rPr>
          <w:rFonts w:ascii="Myriad Pro Light" w:hAnsi="Myriad Pro Light"/>
          <w:b/>
          <w:kern w:val="36"/>
          <w:sz w:val="34"/>
        </w:rPr>
        <w:t>Supporting Information</w:t>
      </w:r>
    </w:p>
    <w:p w14:paraId="53A5DAB7" w14:textId="77777777" w:rsidR="007D6C38" w:rsidRDefault="007D6C38" w:rsidP="007D6C38">
      <w:pPr>
        <w:pStyle w:val="BBAuthorName"/>
        <w:rPr>
          <w:rFonts w:ascii="Myriad Pro Light" w:hAnsi="Myriad Pro Light"/>
          <w:b/>
          <w:kern w:val="36"/>
          <w:sz w:val="34"/>
        </w:rPr>
      </w:pPr>
      <w:r>
        <w:rPr>
          <w:rFonts w:ascii="Myriad Pro Light" w:hAnsi="Myriad Pro Light"/>
          <w:b/>
          <w:kern w:val="36"/>
          <w:sz w:val="34"/>
        </w:rPr>
        <w:t xml:space="preserve">Effect of Confinement on the Characterization of </w:t>
      </w:r>
      <w:proofErr w:type="spellStart"/>
      <w:r>
        <w:rPr>
          <w:rFonts w:ascii="Myriad Pro Light" w:hAnsi="Myriad Pro Light"/>
          <w:b/>
          <w:kern w:val="36"/>
          <w:sz w:val="34"/>
        </w:rPr>
        <w:t>Nanoporous</w:t>
      </w:r>
      <w:proofErr w:type="spellEnd"/>
      <w:r>
        <w:rPr>
          <w:rFonts w:ascii="Myriad Pro Light" w:hAnsi="Myriad Pro Light"/>
          <w:b/>
          <w:kern w:val="36"/>
          <w:sz w:val="34"/>
        </w:rPr>
        <w:t xml:space="preserve"> Materials by NMR Relaxometry </w:t>
      </w:r>
    </w:p>
    <w:p w14:paraId="5C9261A6" w14:textId="124592BD" w:rsidR="00EF0EE3" w:rsidRPr="009966F6" w:rsidRDefault="00EF0EE3" w:rsidP="00EF0EE3">
      <w:pPr>
        <w:pStyle w:val="BBAuthorName"/>
      </w:pPr>
      <w:r w:rsidRPr="009966F6">
        <w:t>Carola Vorndran, Lukas Sandner</w:t>
      </w:r>
      <w:r w:rsidRPr="009966F6">
        <w:rPr>
          <w:vertAlign w:val="superscript"/>
        </w:rPr>
        <w:t>1</w:t>
      </w:r>
      <w:r w:rsidRPr="009966F6">
        <w:t xml:space="preserve">, </w:t>
      </w:r>
      <w:r w:rsidR="00791C02" w:rsidRPr="009966F6">
        <w:t>Andreas Schu</w:t>
      </w:r>
      <w:r w:rsidR="00642EE8">
        <w:t>ss</w:t>
      </w:r>
      <w:r w:rsidR="00791C02" w:rsidRPr="009966F6">
        <w:rPr>
          <w:vertAlign w:val="superscript"/>
        </w:rPr>
        <w:t>1</w:t>
      </w:r>
      <w:r w:rsidR="00791C02" w:rsidRPr="009966F6">
        <w:t xml:space="preserve">, </w:t>
      </w:r>
      <w:r w:rsidRPr="009966F6">
        <w:t>Matthias Thommes</w:t>
      </w:r>
      <w:r w:rsidRPr="009966F6">
        <w:rPr>
          <w:vertAlign w:val="superscript"/>
        </w:rPr>
        <w:t>1</w:t>
      </w:r>
      <w:r w:rsidRPr="009966F6">
        <w:t>*</w:t>
      </w:r>
    </w:p>
    <w:p w14:paraId="76B8F319" w14:textId="77777777" w:rsidR="00EF0EE3" w:rsidRPr="009966F6" w:rsidRDefault="00EF0EE3" w:rsidP="00EF0EE3">
      <w:pPr>
        <w:pStyle w:val="BCAuthorAddress"/>
      </w:pPr>
      <w:r w:rsidRPr="009966F6">
        <w:rPr>
          <w:vertAlign w:val="superscript"/>
        </w:rPr>
        <w:t xml:space="preserve">1 </w:t>
      </w:r>
      <w:r w:rsidRPr="009966F6">
        <w:t>Institute of Separation Science and Technology, Friedrich-Alexander-Universität Erlangen-</w:t>
      </w:r>
      <w:proofErr w:type="spellStart"/>
      <w:r w:rsidRPr="009966F6">
        <w:t>Nürnberg</w:t>
      </w:r>
      <w:proofErr w:type="spellEnd"/>
      <w:r w:rsidRPr="009966F6">
        <w:t xml:space="preserve">, </w:t>
      </w:r>
      <w:proofErr w:type="spellStart"/>
      <w:r w:rsidRPr="009966F6">
        <w:t>Egerlandstr</w:t>
      </w:r>
      <w:proofErr w:type="spellEnd"/>
      <w:r w:rsidRPr="009966F6">
        <w:t>. 3, 91058 Erlangen, Germany</w:t>
      </w:r>
    </w:p>
    <w:p w14:paraId="79B80C33" w14:textId="77777777" w:rsidR="00EF0EE3" w:rsidRPr="009966F6" w:rsidRDefault="00EF0EE3" w:rsidP="00EF0EE3"/>
    <w:p w14:paraId="24B8E8AE" w14:textId="77777777" w:rsidR="00EF0EE3" w:rsidRPr="009966F6" w:rsidRDefault="00EF0EE3" w:rsidP="00EF0EE3">
      <w:pPr>
        <w:pStyle w:val="FAAuthorInfoSubtitle"/>
      </w:pPr>
      <w:r w:rsidRPr="009966F6">
        <w:t>Corresponding Author</w:t>
      </w:r>
    </w:p>
    <w:p w14:paraId="64C32144" w14:textId="77777777" w:rsidR="00EF0EE3" w:rsidRPr="009966F6" w:rsidRDefault="00EF0EE3" w:rsidP="00EF0EE3">
      <w:pPr>
        <w:pStyle w:val="StyleFACorrespondingAuthorFootnote7pt"/>
      </w:pPr>
      <w:r w:rsidRPr="009966F6">
        <w:t>* Matthias Thommes, Institute of Separation Science and Technology, Friedrich-Alexander-Universität Erlangen-</w:t>
      </w:r>
      <w:proofErr w:type="spellStart"/>
      <w:r w:rsidRPr="009966F6">
        <w:t>Nürnberg</w:t>
      </w:r>
      <w:proofErr w:type="spellEnd"/>
      <w:r w:rsidRPr="009966F6">
        <w:t xml:space="preserve">, </w:t>
      </w:r>
      <w:proofErr w:type="spellStart"/>
      <w:r w:rsidRPr="009966F6">
        <w:t>Egerlandstr</w:t>
      </w:r>
      <w:proofErr w:type="spellEnd"/>
      <w:r w:rsidRPr="009966F6">
        <w:t>. 3, 91058 Erlangen, Germany, telephone: +49 9131 8527440, fax: +49 9131 8527441, matthias.thommes@fau.de</w:t>
      </w:r>
    </w:p>
    <w:p w14:paraId="5542E93B" w14:textId="77777777" w:rsidR="00EF0EE3" w:rsidRPr="009966F6" w:rsidRDefault="00EF0EE3" w:rsidP="00EF0EE3">
      <w:pPr>
        <w:rPr>
          <w:b/>
          <w:bCs/>
        </w:rPr>
      </w:pPr>
    </w:p>
    <w:p w14:paraId="4EE14B98" w14:textId="68F87216" w:rsidR="00EF0EE3" w:rsidRDefault="00EF0EE3" w:rsidP="00EF0EE3">
      <w:pPr>
        <w:pStyle w:val="Heading1"/>
      </w:pPr>
      <w:r>
        <w:t>NMR relaxation measurements</w:t>
      </w:r>
      <w:r w:rsidR="00944F3D">
        <w:t xml:space="preserve"> of samples saturated with a bulk liquid phase</w:t>
      </w:r>
    </w:p>
    <w:p w14:paraId="22CFE93D" w14:textId="5A4B1256" w:rsidR="00816977" w:rsidRPr="00816977" w:rsidRDefault="00816977" w:rsidP="00816977">
      <w:r>
        <w:t>NMR relaxation measurements were performed with three different experimental setups to verify the consistency of the results: Acorn Area (</w:t>
      </w:r>
      <w:proofErr w:type="spellStart"/>
      <w:r>
        <w:t>Xigo</w:t>
      </w:r>
      <w:proofErr w:type="spellEnd"/>
      <w:r>
        <w:t xml:space="preserve"> Nanotools), </w:t>
      </w:r>
      <w:proofErr w:type="spellStart"/>
      <w:r>
        <w:t>Spinsolve</w:t>
      </w:r>
      <w:proofErr w:type="spellEnd"/>
      <w:r>
        <w:t xml:space="preserve"> (</w:t>
      </w:r>
      <w:proofErr w:type="spellStart"/>
      <w:r>
        <w:t>Magritek</w:t>
      </w:r>
      <w:proofErr w:type="spellEnd"/>
      <w:r>
        <w:t xml:space="preserve">) and </w:t>
      </w:r>
      <w:proofErr w:type="spellStart"/>
      <w:r>
        <w:t>Minispec</w:t>
      </w:r>
      <w:proofErr w:type="spellEnd"/>
      <w:r>
        <w:t xml:space="preserve"> </w:t>
      </w:r>
      <w:proofErr w:type="spellStart"/>
      <w:r>
        <w:t>mq</w:t>
      </w:r>
      <w:proofErr w:type="spellEnd"/>
      <w:r>
        <w:t xml:space="preserve"> 20 (Bruker). All mesoporous silica materials were measured immersed in water. Samples were measured as suspension</w:t>
      </w:r>
      <w:r w:rsidR="00AE3894">
        <w:t xml:space="preserve"> (concentration of 5 – 20 </w:t>
      </w:r>
      <w:proofErr w:type="spellStart"/>
      <w:r w:rsidR="00AE3894">
        <w:t>wt</w:t>
      </w:r>
      <w:proofErr w:type="spellEnd"/>
      <w:r w:rsidR="00AE3894">
        <w:t>% of silica in water)</w:t>
      </w:r>
      <w:r>
        <w:t xml:space="preserve"> with an excess of bulk liquid with the devices Acorn Area and </w:t>
      </w:r>
      <w:proofErr w:type="spellStart"/>
      <w:r>
        <w:t>Spinsolve</w:t>
      </w:r>
      <w:proofErr w:type="spellEnd"/>
      <w:r>
        <w:t xml:space="preserve">. </w:t>
      </w:r>
      <w:r w:rsidRPr="00285A3B">
        <w:rPr>
          <w:bCs/>
        </w:rPr>
        <w:t xml:space="preserve">The devices Acorn Area and </w:t>
      </w:r>
      <w:proofErr w:type="spellStart"/>
      <w:r w:rsidRPr="00285A3B">
        <w:rPr>
          <w:bCs/>
        </w:rPr>
        <w:t>Spinsolve</w:t>
      </w:r>
      <w:proofErr w:type="spellEnd"/>
      <w:r w:rsidRPr="00285A3B">
        <w:rPr>
          <w:bCs/>
        </w:rPr>
        <w:t xml:space="preserve"> do not measure the lower part</w:t>
      </w:r>
      <w:r>
        <w:rPr>
          <w:bCs/>
        </w:rPr>
        <w:t xml:space="preserve"> </w:t>
      </w:r>
      <w:r w:rsidRPr="00285A3B">
        <w:rPr>
          <w:bCs/>
        </w:rPr>
        <w:t>of the NMR tube (approx. 2 cm) and hence, a powder bed of sedimented particles would not be</w:t>
      </w:r>
      <w:r>
        <w:rPr>
          <w:bCs/>
        </w:rPr>
        <w:t xml:space="preserve"> </w:t>
      </w:r>
      <w:r w:rsidRPr="00285A3B">
        <w:rPr>
          <w:bCs/>
        </w:rPr>
        <w:t>accounted for during the measurement, causing an overestimation of the relaxation time.</w:t>
      </w:r>
      <w:r>
        <w:rPr>
          <w:bCs/>
        </w:rPr>
        <w:t xml:space="preserve"> To ensure that there was no sedimentation effect on the results, measurements were performed as sediment with the </w:t>
      </w:r>
      <w:proofErr w:type="spellStart"/>
      <w:r>
        <w:rPr>
          <w:bCs/>
        </w:rPr>
        <w:t>Minispec</w:t>
      </w:r>
      <w:proofErr w:type="spellEnd"/>
      <w:r>
        <w:rPr>
          <w:bCs/>
        </w:rPr>
        <w:t xml:space="preserve"> mq20. For this, suspensions of silica particles in water were created and particles were left for sedimentation over 24 h. Prior to the measurement, the bulk excess liquid was removed with a pipette. </w:t>
      </w:r>
      <w:r w:rsidRPr="00285A3B">
        <w:rPr>
          <w:bCs/>
        </w:rPr>
        <w:t>Measurement of such sediments is possible with</w:t>
      </w:r>
      <w:r>
        <w:rPr>
          <w:bCs/>
        </w:rPr>
        <w:t xml:space="preserve"> </w:t>
      </w:r>
      <w:r w:rsidRPr="00285A3B">
        <w:rPr>
          <w:bCs/>
        </w:rPr>
        <w:t xml:space="preserve">the </w:t>
      </w:r>
      <w:proofErr w:type="spellStart"/>
      <w:r w:rsidRPr="00285A3B">
        <w:rPr>
          <w:bCs/>
        </w:rPr>
        <w:t>Minispec</w:t>
      </w:r>
      <w:proofErr w:type="spellEnd"/>
      <w:r w:rsidRPr="00285A3B">
        <w:rPr>
          <w:bCs/>
        </w:rPr>
        <w:t xml:space="preserve"> mq20 due to the fact that this instrument measures at the bottom of the NMR tube.</w:t>
      </w:r>
      <w:r>
        <w:rPr>
          <w:bCs/>
        </w:rPr>
        <w:t xml:space="preserve"> </w:t>
      </w:r>
      <w:r w:rsidRPr="00285A3B">
        <w:rPr>
          <w:bCs/>
        </w:rPr>
        <w:t>In addition, the larger NMR tube (10 mm) allows for easier sample preparation directly in the</w:t>
      </w:r>
      <w:r>
        <w:rPr>
          <w:bCs/>
        </w:rPr>
        <w:t xml:space="preserve"> </w:t>
      </w:r>
      <w:r w:rsidRPr="00285A3B">
        <w:rPr>
          <w:bCs/>
        </w:rPr>
        <w:t>NMR tube.</w:t>
      </w:r>
      <w:r w:rsidR="00AE3894">
        <w:rPr>
          <w:bCs/>
        </w:rPr>
        <w:t xml:space="preserve"> The weight of solid and liquid inside the NMR tube was measured for all samples prior to the NMR relaxation measurements.</w:t>
      </w:r>
      <w:r w:rsidR="00044C52">
        <w:rPr>
          <w:bCs/>
        </w:rPr>
        <w:t xml:space="preserve"> Samples </w:t>
      </w:r>
      <w:r w:rsidR="00AE3894">
        <w:rPr>
          <w:bCs/>
        </w:rPr>
        <w:t xml:space="preserve">were dried in a drying oven </w:t>
      </w:r>
      <w:r w:rsidR="00044C52">
        <w:rPr>
          <w:bCs/>
        </w:rPr>
        <w:t xml:space="preserve">after the NMR relaxation time measurements </w:t>
      </w:r>
      <w:r w:rsidR="00AE3894">
        <w:rPr>
          <w:bCs/>
        </w:rPr>
        <w:t>and the weight of solid inside the NMR tube was measured afterwards.</w:t>
      </w:r>
    </w:p>
    <w:p w14:paraId="036065F9" w14:textId="3B60E2F0" w:rsidR="00EF0EE3" w:rsidRDefault="00EF0EE3" w:rsidP="00EF0EE3">
      <w:pPr>
        <w:pStyle w:val="Heading2"/>
      </w:pPr>
      <w:r>
        <w:t xml:space="preserve">Sample Preparation of suspensions for NMR relaxation measurements </w:t>
      </w:r>
    </w:p>
    <w:p w14:paraId="39D610D8" w14:textId="6EAFF7A2" w:rsidR="00944F3D" w:rsidRDefault="00EF0EE3" w:rsidP="00EF0EE3">
      <w:r>
        <w:t>Sample preparation has been performed similarly to</w:t>
      </w:r>
      <w:r w:rsidR="00410784">
        <w:t xml:space="preserve"> the measurements performed in</w:t>
      </w:r>
      <w:r>
        <w:t xml:space="preserve"> </w:t>
      </w:r>
      <w:r w:rsidR="00516AFF">
        <w:t xml:space="preserve">our previous study </w:t>
      </w:r>
      <w:r>
        <w:fldChar w:fldCharType="begin"/>
      </w:r>
      <w:r w:rsidR="00C8740B">
        <w:instrText xml:space="preserve"> ADDIN ZOTERO_ITEM CSL_CITATION {"citationID":"9GBtV65R","properties":{"formattedCitation":"(Schlumberger et al. 2023)","plainCitation":"(Schlumberger et al. 2023)","noteIndex":0},"citationItems":[{"id":3208,"uris":["http://zotero.org/users/local/oWpNT99E/items/TDHYZBKS"],"itemData":{"id":3208,"type":"article-journal","abstract":"The reliable assessment of surface area is extremely important for many applications, e.g., catalysis, separation, and energy storage/conversion. Within this context, major progress has been made concerning the textural characterization of porous materials in the gas/dry state, e.g., gas physisorption and mercury porosimetry. However, these methods are not sufficient for the characterization of wet materials utilized in liquid-phase processes. For this, the application of nuclear magnetic resonance (NMR) relaxometry has been considered, but a systematic and rigorous assessment of the applicability of NMR relaxometry for reliable surface and pore size characterization of nanoporous materials is missing. Hence, we present a systematic study in which we assess the applicability of NMR relaxometry for reliable surface area assessment utilizing for the first time true surface area benchmark data based on argon 87 K adsorption on nonporous particles (silica and carbon black) coupled with the development of an advanced methodology including the investigation of the choice of the probe molecule and the effect of its accessibility to the pore network. Our results show that the method provides a fast (a few minutes per measurement) and reliable surface area of silica and carbon black model materials immersed in a liquid phase. In addition, our work clearly demonstrates the potential of NMR relaxometry for the targeted surface area assessment of defined pore classes (here ultramicropores) and suggests a new methodology for the characterization of pore entrances (pore window size). Furthermore, we investigate the effect of wettability and suggest that NMR relaxometry could be developed into a unique tool for assessing the wetting characteristics of adsorbate phases on pore surfaces. This fundamental study can be considered a first major step in enabling NMR relaxometry for reliable surface area assessment for wet materials, particularly relevant for materials used in processes occurring in a liquid phase.","container-title":"Langmuir","DOI":"10.1021/acs.langmuir.2c03337","ISSN":"0743-7463, 1520-5827","issue":"13","journalAbbreviation":"Langmuir","language":"en","page":"4611-4621","source":"DOI.org (Crossref)","title":"Reliable Surface Area Assessment of Wet and Dry Nonporous and Nanoporous Particles: Nuclear Magnetic Resonance Relaxometry and Gas Physisorption","title-short":"Reliable Surface Area Assessment of Wet and Dry Nonporous and Nanoporous Particles","volume":"39","author":[{"family":"Schlumberger","given":"Carola"},{"family":"Sandner","given":"Lukas"},{"family":"Michalowski","given":"Alexander"},{"family":"Thommes","given":"Matthias"}],"issued":{"date-parts":[["2023",4,4]]}}}],"schema":"https://github.com/citation-style-language/schema/raw/master/csl-citation.json"} </w:instrText>
      </w:r>
      <w:r>
        <w:fldChar w:fldCharType="separate"/>
      </w:r>
      <w:r w:rsidR="00C8740B" w:rsidRPr="00C8740B">
        <w:rPr>
          <w:rFonts w:cs="Times"/>
        </w:rPr>
        <w:t>(Schlumberger et al. 2023)</w:t>
      </w:r>
      <w:r>
        <w:fldChar w:fldCharType="end"/>
      </w:r>
      <w:r>
        <w:t xml:space="preserve">. To measure NMR relaxation times, the silica model materials were immersed in deionized water. All samples were left in water for at least 24 h to ensure complete hydroxylation of the silica surface and filling of the pore system. Concentrations between </w:t>
      </w:r>
      <w:r w:rsidR="009D3F75">
        <w:t>5</w:t>
      </w:r>
      <w:r>
        <w:t xml:space="preserve"> and 20 </w:t>
      </w:r>
      <w:proofErr w:type="spellStart"/>
      <w:r>
        <w:t>wt</w:t>
      </w:r>
      <w:proofErr w:type="spellEnd"/>
      <w:r>
        <w:t xml:space="preserve">% of the model materials in water were prepared for the NMR relaxation measurements. Homogeneous and stable suspension without aggregation of particles were prepared by mixing the samples in an ultrasonic bath (Branson 1510) until visible particle agglomerates disappeared (approx. 5 h ultrasonic treatment for each sample). Prior to transferring the samples to the NMR tube, the samples were mixed with a magnetic stirrer for 30 min at approx. 700 rpm. </w:t>
      </w:r>
      <w:r w:rsidR="00DD12EC">
        <w:t xml:space="preserve">These samples were measured with the devices Acorn Area and </w:t>
      </w:r>
      <w:proofErr w:type="spellStart"/>
      <w:r w:rsidR="00DD12EC">
        <w:t>Spinsolve</w:t>
      </w:r>
      <w:proofErr w:type="spellEnd"/>
      <w:r w:rsidR="00DD12EC">
        <w:t xml:space="preserve">. </w:t>
      </w:r>
    </w:p>
    <w:p w14:paraId="644617B8" w14:textId="77777777" w:rsidR="00EF0EE3" w:rsidRDefault="00EF0EE3" w:rsidP="00EF0EE3">
      <w:pPr>
        <w:pStyle w:val="Heading2"/>
      </w:pPr>
      <w:r>
        <w:t>Measurement of NMR Relaxation times with Acorn Area</w:t>
      </w:r>
    </w:p>
    <w:p w14:paraId="7008E31B" w14:textId="215DFE02" w:rsidR="00EF0EE3" w:rsidRDefault="00EF0EE3" w:rsidP="00EF0EE3">
      <w:r>
        <w:t xml:space="preserve">To measure NMR spin-spin relaxation times of the model materials suspended in liquid, the sample in the NMR tube (5 mm, </w:t>
      </w:r>
      <w:proofErr w:type="spellStart"/>
      <w:r>
        <w:t>Deutero</w:t>
      </w:r>
      <w:proofErr w:type="spellEnd"/>
      <w:r>
        <w:t xml:space="preserve">) was added to the benchtop time-domain NMR device </w:t>
      </w:r>
      <w:r>
        <w:lastRenderedPageBreak/>
        <w:t>Acorn Area (</w:t>
      </w:r>
      <w:proofErr w:type="spellStart"/>
      <w:r>
        <w:t>Xigo</w:t>
      </w:r>
      <w:proofErr w:type="spellEnd"/>
      <w:r>
        <w:t xml:space="preserve"> Nanotools, 13 MHz). The temperature of the device was stabilized at 25 °C with an external thermostat (LAUDA ECO RE 415 S) during the measurements.</w:t>
      </w:r>
      <w:r w:rsidR="00410784">
        <w:t xml:space="preserve"> The resonance frequency was determined with a copper sulfate solution </w:t>
      </w:r>
      <w:r w:rsidR="00044C52">
        <w:t xml:space="preserve">provided </w:t>
      </w:r>
      <w:r w:rsidR="00410784">
        <w:t xml:space="preserve">by </w:t>
      </w:r>
      <w:proofErr w:type="spellStart"/>
      <w:r w:rsidR="00410784">
        <w:t>Xigo</w:t>
      </w:r>
      <w:proofErr w:type="spellEnd"/>
      <w:r w:rsidR="00410784">
        <w:t xml:space="preserve"> Nanotools before a new sample was added to the device.</w:t>
      </w:r>
    </w:p>
    <w:p w14:paraId="5761EC42" w14:textId="2DE6466E" w:rsidR="00EF0EE3" w:rsidRDefault="00EF0EE3" w:rsidP="00410784">
      <w:r>
        <w:t xml:space="preserve">The CPMG pulse sequence was used for the determination of the spin-spin relaxation time with an </w:t>
      </w:r>
      <w:proofErr w:type="spellStart"/>
      <w:r>
        <w:t>interpulse</w:t>
      </w:r>
      <w:proofErr w:type="spellEnd"/>
      <w:r>
        <w:t xml:space="preserve"> spacing of 0.5 </w:t>
      </w:r>
      <w:proofErr w:type="spellStart"/>
      <w:r>
        <w:t>ms.</w:t>
      </w:r>
      <w:proofErr w:type="spellEnd"/>
      <w:r>
        <w:t xml:space="preserve"> The spin-spin relaxation time was anticipated prior to each measurement. The anticipated value was used for the determination of the recycle delay (recycle delay = 5 · T</w:t>
      </w:r>
      <w:r w:rsidRPr="00DD3A7B">
        <w:rPr>
          <w:vertAlign w:val="subscript"/>
        </w:rPr>
        <w:t>2,anticipated</w:t>
      </w:r>
      <w:r>
        <w:t xml:space="preserve">). This procedure was repeated until the anticipated value did not deviate more than 20 % from the measured value. </w:t>
      </w:r>
      <w:r w:rsidR="00410784">
        <w:t xml:space="preserve">A </w:t>
      </w:r>
      <w:proofErr w:type="spellStart"/>
      <w:r w:rsidR="00410784">
        <w:t>monoexponential</w:t>
      </w:r>
      <w:proofErr w:type="spellEnd"/>
      <w:r w:rsidR="00410784">
        <w:t xml:space="preserve"> fit was applied to the magnetization curve to determine the relaxation time </w:t>
      </w:r>
      <w:r w:rsidR="00410784" w:rsidRPr="00C8349A">
        <w:rPr>
          <w:i/>
          <w:iCs/>
        </w:rPr>
        <w:t>T</w:t>
      </w:r>
      <w:r w:rsidR="00410784" w:rsidRPr="00C8349A">
        <w:rPr>
          <w:i/>
          <w:iCs/>
          <w:vertAlign w:val="subscript"/>
        </w:rPr>
        <w:t>2</w:t>
      </w:r>
      <w:r w:rsidR="00410784">
        <w:t xml:space="preserve"> of the samples. </w:t>
      </w:r>
      <w:r w:rsidR="00D719AF">
        <w:t>Each</w:t>
      </w:r>
      <w:r>
        <w:t xml:space="preserve"> measurement was repeated three times for each sample to investigate the repeatability. The average of the three repeated runs was used for further evaluation.</w:t>
      </w:r>
    </w:p>
    <w:p w14:paraId="4F2AA69F" w14:textId="77777777" w:rsidR="00EF0EE3" w:rsidRDefault="00EF0EE3" w:rsidP="00EF0EE3">
      <w:pPr>
        <w:pStyle w:val="Heading2"/>
      </w:pPr>
      <w:r>
        <w:t xml:space="preserve">Measurement of NMR relaxation with </w:t>
      </w:r>
      <w:proofErr w:type="spellStart"/>
      <w:r>
        <w:t>Spinsolve</w:t>
      </w:r>
      <w:proofErr w:type="spellEnd"/>
    </w:p>
    <w:p w14:paraId="688270DD" w14:textId="04BE0730" w:rsidR="00EF0EE3" w:rsidRDefault="00EF0EE3" w:rsidP="00EF0EE3">
      <w:r>
        <w:t>The resonance frequency was determined before the first measurement of the day or after restarting the device using a reference fluid consisting of 10 % H</w:t>
      </w:r>
      <w:r w:rsidRPr="009D3F75">
        <w:rPr>
          <w:vertAlign w:val="subscript"/>
        </w:rPr>
        <w:t>2</w:t>
      </w:r>
      <w:r>
        <w:t>O and 90 % D</w:t>
      </w:r>
      <w:r w:rsidRPr="009D3F75">
        <w:rPr>
          <w:vertAlign w:val="subscript"/>
        </w:rPr>
        <w:t>2</w:t>
      </w:r>
      <w:r>
        <w:t>O and the method ”</w:t>
      </w:r>
      <w:proofErr w:type="spellStart"/>
      <w:r>
        <w:t>checksim</w:t>
      </w:r>
      <w:proofErr w:type="spellEnd"/>
      <w:r>
        <w:t>”. Measurements were performed by measuring the suspensions in 5 mm NMR tubes (</w:t>
      </w:r>
      <w:proofErr w:type="spellStart"/>
      <w:r>
        <w:t>Deutero</w:t>
      </w:r>
      <w:proofErr w:type="spellEnd"/>
      <w:r>
        <w:t>). T</w:t>
      </w:r>
      <w:r w:rsidRPr="009D3F75">
        <w:rPr>
          <w:vertAlign w:val="subscript"/>
        </w:rPr>
        <w:t>2</w:t>
      </w:r>
      <w:r>
        <w:t xml:space="preserve"> was determined using the “T2Bulk” method, which is based on the CPMG method. For this method, four scans were used, a repetition time of 1 min, 50,000 echoes and a CPMG echo time of 1 </w:t>
      </w:r>
      <w:proofErr w:type="spellStart"/>
      <w:r>
        <w:t>ms.</w:t>
      </w:r>
      <w:proofErr w:type="spellEnd"/>
      <w:r>
        <w:t xml:space="preserve"> This method outputs the magnetization over time, which was fitted with a </w:t>
      </w:r>
      <w:proofErr w:type="spellStart"/>
      <w:r>
        <w:t>monoexponential</w:t>
      </w:r>
      <w:proofErr w:type="spellEnd"/>
      <w:r>
        <w:t xml:space="preserve"> function to determine T</w:t>
      </w:r>
      <w:r w:rsidRPr="009D3F75">
        <w:rPr>
          <w:vertAlign w:val="subscript"/>
        </w:rPr>
        <w:t>2</w:t>
      </w:r>
      <w:r>
        <w:t>. T</w:t>
      </w:r>
      <w:r w:rsidRPr="009D3F75">
        <w:rPr>
          <w:vertAlign w:val="subscript"/>
        </w:rPr>
        <w:t>2</w:t>
      </w:r>
      <w:r>
        <w:t xml:space="preserve"> measurements were repeated three times for each sample to verify the repeatability. The average of the three repeated runs was used for further evaluation.</w:t>
      </w:r>
    </w:p>
    <w:p w14:paraId="6F30C99D" w14:textId="05201CB5" w:rsidR="00EF0EE3" w:rsidRPr="00DD3A7B" w:rsidRDefault="00EF0EE3" w:rsidP="00EF0EE3">
      <w:pPr>
        <w:pStyle w:val="Heading2"/>
      </w:pPr>
      <w:r>
        <w:t>Measurement of NMR relaxation</w:t>
      </w:r>
      <w:r w:rsidR="009D3F75">
        <w:t xml:space="preserve"> of sediments</w:t>
      </w:r>
      <w:r>
        <w:t xml:space="preserve"> with </w:t>
      </w:r>
      <w:proofErr w:type="spellStart"/>
      <w:r>
        <w:t>Minispec</w:t>
      </w:r>
      <w:proofErr w:type="spellEnd"/>
      <w:r>
        <w:t xml:space="preserve"> mq20</w:t>
      </w:r>
    </w:p>
    <w:p w14:paraId="3DB38B7D" w14:textId="375C7952" w:rsidR="00EF0EE3" w:rsidRPr="00285A3B" w:rsidRDefault="009D3F75" w:rsidP="00EF0EE3">
      <w:pPr>
        <w:rPr>
          <w:bCs/>
        </w:rPr>
      </w:pPr>
      <w:r>
        <w:rPr>
          <w:bCs/>
        </w:rPr>
        <w:t>T</w:t>
      </w:r>
      <w:r w:rsidR="00EF0EE3" w:rsidRPr="00285A3B">
        <w:rPr>
          <w:bCs/>
        </w:rPr>
        <w:t xml:space="preserve">he </w:t>
      </w:r>
      <w:r w:rsidR="00EF0EE3">
        <w:rPr>
          <w:bCs/>
        </w:rPr>
        <w:t>silica</w:t>
      </w:r>
      <w:r w:rsidR="00EF0EE3" w:rsidRPr="00285A3B">
        <w:rPr>
          <w:bCs/>
        </w:rPr>
        <w:t xml:space="preserve"> model materials</w:t>
      </w:r>
      <w:r w:rsidR="00EF0EE3">
        <w:rPr>
          <w:bCs/>
        </w:rPr>
        <w:t xml:space="preserve"> </w:t>
      </w:r>
      <w:r w:rsidR="00EF0EE3" w:rsidRPr="00285A3B">
        <w:rPr>
          <w:bCs/>
        </w:rPr>
        <w:t>were immersed in deionized water</w:t>
      </w:r>
      <w:r>
        <w:rPr>
          <w:bCs/>
        </w:rPr>
        <w:t xml:space="preserve"> </w:t>
      </w:r>
      <w:r w:rsidR="00EF0EE3" w:rsidRPr="00285A3B">
        <w:rPr>
          <w:bCs/>
        </w:rPr>
        <w:t>prior to NMR relaxation measurements at a</w:t>
      </w:r>
      <w:r w:rsidR="00EF0EE3">
        <w:rPr>
          <w:bCs/>
        </w:rPr>
        <w:t xml:space="preserve"> </w:t>
      </w:r>
      <w:r w:rsidR="00EF0EE3" w:rsidRPr="00285A3B">
        <w:rPr>
          <w:bCs/>
        </w:rPr>
        <w:t xml:space="preserve">concentration of approx. 20 </w:t>
      </w:r>
      <w:proofErr w:type="spellStart"/>
      <w:r w:rsidR="00EF0EE3" w:rsidRPr="00285A3B">
        <w:rPr>
          <w:bCs/>
        </w:rPr>
        <w:t>wt</w:t>
      </w:r>
      <w:proofErr w:type="spellEnd"/>
      <w:r w:rsidR="00EF0EE3" w:rsidRPr="00285A3B">
        <w:rPr>
          <w:bCs/>
        </w:rPr>
        <w:t>% in a 10 mm NMR tube. The samples were left in the liquid for</w:t>
      </w:r>
      <w:r w:rsidR="00EF0EE3">
        <w:rPr>
          <w:bCs/>
        </w:rPr>
        <w:t xml:space="preserve"> </w:t>
      </w:r>
      <w:r w:rsidR="00EF0EE3" w:rsidRPr="00285A3B">
        <w:rPr>
          <w:bCs/>
        </w:rPr>
        <w:t>at least 24 h to ensure complete filling of the pore system and hydroxylation of silica surfaces.</w:t>
      </w:r>
      <w:r w:rsidR="00EF0EE3">
        <w:rPr>
          <w:bCs/>
        </w:rPr>
        <w:t xml:space="preserve"> </w:t>
      </w:r>
      <w:r w:rsidR="00EF0EE3" w:rsidRPr="00285A3B">
        <w:rPr>
          <w:bCs/>
        </w:rPr>
        <w:t>The samples were left until the particles formed clearly visible sediments and the excess liquid</w:t>
      </w:r>
      <w:r w:rsidR="00EF0EE3">
        <w:rPr>
          <w:bCs/>
        </w:rPr>
        <w:t xml:space="preserve"> </w:t>
      </w:r>
      <w:r w:rsidR="00EF0EE3" w:rsidRPr="00285A3B">
        <w:rPr>
          <w:bCs/>
        </w:rPr>
        <w:t>was removed with a pipette. However, it was assured that</w:t>
      </w:r>
      <w:r w:rsidR="00EF0EE3">
        <w:rPr>
          <w:bCs/>
        </w:rPr>
        <w:t xml:space="preserve"> </w:t>
      </w:r>
      <w:r w:rsidR="00EF0EE3" w:rsidRPr="00285A3B">
        <w:rPr>
          <w:bCs/>
        </w:rPr>
        <w:t>the sediment was still completely saturated with liquid water. Subsequently, relaxation times</w:t>
      </w:r>
      <w:r w:rsidR="00EF0EE3">
        <w:rPr>
          <w:bCs/>
        </w:rPr>
        <w:t xml:space="preserve"> </w:t>
      </w:r>
      <w:r w:rsidR="00EF0EE3" w:rsidRPr="00285A3B">
        <w:rPr>
          <w:bCs/>
        </w:rPr>
        <w:t xml:space="preserve">were measured with the </w:t>
      </w:r>
      <w:proofErr w:type="spellStart"/>
      <w:r w:rsidR="00EF0EE3" w:rsidRPr="00285A3B">
        <w:rPr>
          <w:bCs/>
        </w:rPr>
        <w:t>Minispec</w:t>
      </w:r>
      <w:proofErr w:type="spellEnd"/>
      <w:r w:rsidR="00EF0EE3" w:rsidRPr="00285A3B">
        <w:rPr>
          <w:bCs/>
        </w:rPr>
        <w:t xml:space="preserve"> mq20.</w:t>
      </w:r>
    </w:p>
    <w:p w14:paraId="2BFB1334" w14:textId="12E88E47" w:rsidR="00EF0EE3" w:rsidRDefault="00EF0EE3" w:rsidP="00EF0EE3">
      <w:r w:rsidRPr="00285A3B">
        <w:rPr>
          <w:bCs/>
        </w:rPr>
        <w:t xml:space="preserve">The </w:t>
      </w:r>
      <w:proofErr w:type="spellStart"/>
      <w:r w:rsidRPr="00285A3B">
        <w:rPr>
          <w:bCs/>
        </w:rPr>
        <w:t>Minispec</w:t>
      </w:r>
      <w:proofErr w:type="spellEnd"/>
      <w:r w:rsidRPr="00285A3B">
        <w:rPr>
          <w:bCs/>
        </w:rPr>
        <w:t xml:space="preserve"> mq20 (20 MHz) was checked every day prior to the first measurement using the</w:t>
      </w:r>
      <w:r>
        <w:rPr>
          <w:bCs/>
        </w:rPr>
        <w:t xml:space="preserve"> </w:t>
      </w:r>
      <w:r w:rsidRPr="00285A3B">
        <w:rPr>
          <w:bCs/>
        </w:rPr>
        <w:t>”Daily Check” method and silicone oil as a sample. The temperature was stabilized to 25 °C</w:t>
      </w:r>
      <w:r>
        <w:rPr>
          <w:bCs/>
        </w:rPr>
        <w:t xml:space="preserve"> </w:t>
      </w:r>
      <w:r w:rsidRPr="00285A3B">
        <w:rPr>
          <w:bCs/>
        </w:rPr>
        <w:t>using an external thermostat (</w:t>
      </w:r>
      <w:proofErr w:type="spellStart"/>
      <w:r w:rsidRPr="00285A3B">
        <w:rPr>
          <w:bCs/>
        </w:rPr>
        <w:t>Julabo</w:t>
      </w:r>
      <w:proofErr w:type="spellEnd"/>
      <w:r w:rsidRPr="00285A3B">
        <w:rPr>
          <w:bCs/>
        </w:rPr>
        <w:t xml:space="preserve"> 200F). A table with optimized settings (e.g. receiver gain,</w:t>
      </w:r>
      <w:r>
        <w:rPr>
          <w:bCs/>
        </w:rPr>
        <w:t xml:space="preserve"> </w:t>
      </w:r>
      <w:r w:rsidRPr="00285A3B">
        <w:rPr>
          <w:bCs/>
        </w:rPr>
        <w:t xml:space="preserve">detection angles) was generated for </w:t>
      </w:r>
      <w:r>
        <w:rPr>
          <w:bCs/>
        </w:rPr>
        <w:t>water</w:t>
      </w:r>
      <w:r w:rsidRPr="00285A3B">
        <w:rPr>
          <w:bCs/>
        </w:rPr>
        <w:t>. The method ”Update Settings” was used to determine the correct settings</w:t>
      </w:r>
      <w:r>
        <w:rPr>
          <w:bCs/>
        </w:rPr>
        <w:t xml:space="preserve"> </w:t>
      </w:r>
      <w:r w:rsidRPr="00285A3B">
        <w:rPr>
          <w:bCs/>
        </w:rPr>
        <w:t xml:space="preserve">for </w:t>
      </w:r>
      <w:r>
        <w:rPr>
          <w:bCs/>
        </w:rPr>
        <w:t>water using pure water as sample</w:t>
      </w:r>
      <w:r w:rsidRPr="00285A3B">
        <w:rPr>
          <w:bCs/>
        </w:rPr>
        <w:t>.</w:t>
      </w:r>
      <w:r>
        <w:rPr>
          <w:bCs/>
        </w:rPr>
        <w:t xml:space="preserve"> </w:t>
      </w:r>
      <w:r w:rsidRPr="00285A3B">
        <w:rPr>
          <w:bCs/>
        </w:rPr>
        <w:t>A second ”Daily Check” was performed</w:t>
      </w:r>
      <w:r>
        <w:rPr>
          <w:bCs/>
        </w:rPr>
        <w:t xml:space="preserve"> </w:t>
      </w:r>
      <w:r w:rsidRPr="00285A3B">
        <w:rPr>
          <w:bCs/>
        </w:rPr>
        <w:t xml:space="preserve">using the table created for </w:t>
      </w:r>
      <w:r>
        <w:rPr>
          <w:bCs/>
        </w:rPr>
        <w:t>water</w:t>
      </w:r>
      <w:r w:rsidRPr="00285A3B">
        <w:rPr>
          <w:bCs/>
        </w:rPr>
        <w:t xml:space="preserve"> prior to the first measurement of the day using pure </w:t>
      </w:r>
      <w:r>
        <w:rPr>
          <w:bCs/>
        </w:rPr>
        <w:t>water</w:t>
      </w:r>
      <w:r w:rsidRPr="00285A3B">
        <w:rPr>
          <w:bCs/>
        </w:rPr>
        <w:t>.</w:t>
      </w:r>
      <w:r>
        <w:rPr>
          <w:bCs/>
        </w:rPr>
        <w:t xml:space="preserve"> </w:t>
      </w:r>
      <w:r w:rsidRPr="00285A3B">
        <w:rPr>
          <w:bCs/>
        </w:rPr>
        <w:t>A recycle delay of 5 times the estimated spin-lattice relaxation time, i.e. 15 s for water was</w:t>
      </w:r>
      <w:r>
        <w:rPr>
          <w:bCs/>
        </w:rPr>
        <w:t xml:space="preserve"> </w:t>
      </w:r>
      <w:r w:rsidRPr="00285A3B">
        <w:rPr>
          <w:bCs/>
        </w:rPr>
        <w:t>used for T</w:t>
      </w:r>
      <w:r w:rsidRPr="009D3F75">
        <w:rPr>
          <w:bCs/>
          <w:vertAlign w:val="subscript"/>
        </w:rPr>
        <w:t>2</w:t>
      </w:r>
      <w:r w:rsidRPr="00285A3B">
        <w:rPr>
          <w:bCs/>
        </w:rPr>
        <w:t xml:space="preserve"> measurements.</w:t>
      </w:r>
      <w:r>
        <w:rPr>
          <w:bCs/>
        </w:rPr>
        <w:t xml:space="preserve"> </w:t>
      </w:r>
      <w:r w:rsidRPr="00285A3B">
        <w:rPr>
          <w:bCs/>
        </w:rPr>
        <w:t>The CPMG pulse sequence was used for the determination of T</w:t>
      </w:r>
      <w:r w:rsidRPr="009D3F75">
        <w:rPr>
          <w:bCs/>
          <w:vertAlign w:val="subscript"/>
        </w:rPr>
        <w:t>2</w:t>
      </w:r>
      <w:r w:rsidRPr="00285A3B">
        <w:rPr>
          <w:bCs/>
        </w:rPr>
        <w:t>. The time τ between the</w:t>
      </w:r>
      <w:r>
        <w:rPr>
          <w:bCs/>
        </w:rPr>
        <w:t xml:space="preserve"> </w:t>
      </w:r>
      <w:r w:rsidRPr="00285A3B">
        <w:rPr>
          <w:bCs/>
        </w:rPr>
        <w:t xml:space="preserve">90° and 180° pulse was set to 0.5 </w:t>
      </w:r>
      <w:proofErr w:type="spellStart"/>
      <w:r w:rsidRPr="00285A3B">
        <w:rPr>
          <w:bCs/>
        </w:rPr>
        <w:t>ms.</w:t>
      </w:r>
      <w:proofErr w:type="spellEnd"/>
      <w:r w:rsidRPr="00285A3B">
        <w:rPr>
          <w:bCs/>
        </w:rPr>
        <w:t xml:space="preserve"> The number of recorded data points was set such that</w:t>
      </w:r>
      <w:r>
        <w:rPr>
          <w:bCs/>
        </w:rPr>
        <w:t xml:space="preserve"> </w:t>
      </w:r>
      <w:r w:rsidRPr="00285A3B">
        <w:rPr>
          <w:bCs/>
        </w:rPr>
        <w:t xml:space="preserve">the recorded signal time was at least twice as long as the point where the signal </w:t>
      </w:r>
      <w:proofErr w:type="spellStart"/>
      <w:r w:rsidRPr="00285A3B">
        <w:rPr>
          <w:bCs/>
        </w:rPr>
        <w:t>M</w:t>
      </w:r>
      <w:r w:rsidRPr="009D3F75">
        <w:rPr>
          <w:bCs/>
          <w:vertAlign w:val="subscript"/>
        </w:rPr>
        <w:t>xy</w:t>
      </w:r>
      <w:proofErr w:type="spellEnd"/>
      <w:r w:rsidRPr="00285A3B">
        <w:rPr>
          <w:bCs/>
        </w:rPr>
        <w:t xml:space="preserve"> decreased</w:t>
      </w:r>
      <w:r>
        <w:rPr>
          <w:bCs/>
        </w:rPr>
        <w:t xml:space="preserve"> </w:t>
      </w:r>
      <w:r w:rsidRPr="00285A3B">
        <w:rPr>
          <w:bCs/>
        </w:rPr>
        <w:t xml:space="preserve">to 0. For example, for pure water 32000 data points were recorded. </w:t>
      </w:r>
      <w:r>
        <w:t>T</w:t>
      </w:r>
      <w:r w:rsidRPr="009D3F75">
        <w:rPr>
          <w:vertAlign w:val="subscript"/>
        </w:rPr>
        <w:t>2</w:t>
      </w:r>
      <w:r>
        <w:t xml:space="preserve"> measurements were repeated three times for each sample to verify the repeatability. The average of the three repeated runs was used for further evaluation.</w:t>
      </w:r>
    </w:p>
    <w:p w14:paraId="7A7B17DF" w14:textId="7576E3C2" w:rsidR="009D3F75" w:rsidRDefault="009D3F75" w:rsidP="00EF0EE3">
      <w:pPr>
        <w:rPr>
          <w:bCs/>
        </w:rPr>
      </w:pPr>
      <w:r w:rsidRPr="00285A3B">
        <w:rPr>
          <w:bCs/>
        </w:rPr>
        <w:t>The obtained graphs</w:t>
      </w:r>
      <w:r>
        <w:rPr>
          <w:bCs/>
        </w:rPr>
        <w:t xml:space="preserve"> of magnetization versus time</w:t>
      </w:r>
      <w:r w:rsidRPr="00285A3B">
        <w:rPr>
          <w:bCs/>
        </w:rPr>
        <w:t xml:space="preserve"> were</w:t>
      </w:r>
      <w:r>
        <w:rPr>
          <w:bCs/>
        </w:rPr>
        <w:t xml:space="preserve"> </w:t>
      </w:r>
      <w:r w:rsidRPr="00285A3B">
        <w:rPr>
          <w:bCs/>
        </w:rPr>
        <w:t xml:space="preserve">fitted with a </w:t>
      </w:r>
      <w:proofErr w:type="spellStart"/>
      <w:r w:rsidRPr="00285A3B">
        <w:rPr>
          <w:bCs/>
        </w:rPr>
        <w:t>monoexponential</w:t>
      </w:r>
      <w:proofErr w:type="spellEnd"/>
      <w:r w:rsidRPr="00285A3B">
        <w:rPr>
          <w:bCs/>
        </w:rPr>
        <w:t xml:space="preserve"> function for the determination</w:t>
      </w:r>
      <w:r>
        <w:rPr>
          <w:bCs/>
        </w:rPr>
        <w:t xml:space="preserve"> </w:t>
      </w:r>
      <w:r w:rsidRPr="00285A3B">
        <w:rPr>
          <w:bCs/>
        </w:rPr>
        <w:t>T</w:t>
      </w:r>
      <w:r w:rsidRPr="009D3F75">
        <w:rPr>
          <w:bCs/>
          <w:vertAlign w:val="subscript"/>
        </w:rPr>
        <w:t>2</w:t>
      </w:r>
      <w:r>
        <w:rPr>
          <w:bCs/>
        </w:rPr>
        <w:t xml:space="preserve"> for most samples. However, for some samples a significant deviation between </w:t>
      </w:r>
      <w:proofErr w:type="spellStart"/>
      <w:r>
        <w:rPr>
          <w:bCs/>
        </w:rPr>
        <w:t>monoexponential</w:t>
      </w:r>
      <w:proofErr w:type="spellEnd"/>
      <w:r>
        <w:rPr>
          <w:bCs/>
        </w:rPr>
        <w:t xml:space="preserve"> fit and measurement data was observed, which can be attributed to the presence of bulk liquid on top of the sediment.</w:t>
      </w:r>
      <w:r w:rsidR="002F2A59">
        <w:rPr>
          <w:bCs/>
        </w:rPr>
        <w:t xml:space="preserve"> An example is shown for MCM-41 in water </w:t>
      </w:r>
      <w:r w:rsidR="002F2A59">
        <w:rPr>
          <w:bCs/>
        </w:rPr>
        <w:lastRenderedPageBreak/>
        <w:t>in</w:t>
      </w:r>
      <w:r w:rsidR="00812D8F">
        <w:rPr>
          <w:bCs/>
        </w:rPr>
        <w:t xml:space="preserve"> </w:t>
      </w:r>
      <w:r w:rsidR="00812D8F" w:rsidRPr="00C8349A">
        <w:rPr>
          <w:b/>
        </w:rPr>
        <w:fldChar w:fldCharType="begin"/>
      </w:r>
      <w:r w:rsidR="00812D8F" w:rsidRPr="00C8349A">
        <w:rPr>
          <w:b/>
        </w:rPr>
        <w:instrText xml:space="preserve"> REF _Ref175145274 \h </w:instrText>
      </w:r>
      <w:r w:rsidR="00C8349A">
        <w:rPr>
          <w:b/>
        </w:rPr>
        <w:instrText xml:space="preserve"> \* MERGEFORMAT </w:instrText>
      </w:r>
      <w:r w:rsidR="00812D8F" w:rsidRPr="00C8349A">
        <w:rPr>
          <w:b/>
        </w:rPr>
      </w:r>
      <w:r w:rsidR="00812D8F" w:rsidRPr="00C8349A">
        <w:rPr>
          <w:b/>
        </w:rPr>
        <w:fldChar w:fldCharType="separate"/>
      </w:r>
      <w:r w:rsidR="00D65785" w:rsidRPr="00C8349A">
        <w:rPr>
          <w:b/>
        </w:rPr>
        <w:t>Fig.</w:t>
      </w:r>
      <w:r w:rsidR="00812D8F" w:rsidRPr="00C8349A">
        <w:rPr>
          <w:b/>
        </w:rPr>
        <w:t xml:space="preserve"> S</w:t>
      </w:r>
      <w:r w:rsidR="00812D8F" w:rsidRPr="00C8349A">
        <w:rPr>
          <w:b/>
          <w:noProof/>
        </w:rPr>
        <w:t>1</w:t>
      </w:r>
      <w:r w:rsidR="00812D8F" w:rsidRPr="00C8349A">
        <w:rPr>
          <w:b/>
        </w:rPr>
        <w:fldChar w:fldCharType="end"/>
      </w:r>
      <w:r w:rsidR="002F2A59">
        <w:rPr>
          <w:bCs/>
        </w:rPr>
        <w:t xml:space="preserve">, which clearly indicates that the measurement points cannot be fitted with the </w:t>
      </w:r>
      <w:proofErr w:type="spellStart"/>
      <w:r w:rsidR="002F2A59">
        <w:rPr>
          <w:bCs/>
        </w:rPr>
        <w:t>monoexponential</w:t>
      </w:r>
      <w:proofErr w:type="spellEnd"/>
      <w:r w:rsidR="002F2A59">
        <w:rPr>
          <w:bCs/>
        </w:rPr>
        <w:t xml:space="preserve"> fit shown in red.</w:t>
      </w:r>
      <w:r>
        <w:rPr>
          <w:bCs/>
        </w:rPr>
        <w:t xml:space="preserve"> In this case, a biexponential fit</w:t>
      </w:r>
      <w:r w:rsidR="002F2A59">
        <w:rPr>
          <w:bCs/>
        </w:rPr>
        <w:t xml:space="preserve"> (green)</w:t>
      </w:r>
      <w:r>
        <w:rPr>
          <w:bCs/>
        </w:rPr>
        <w:t xml:space="preserve"> was used resulting in two relaxation times, i.e., with the longer relaxation time T</w:t>
      </w:r>
      <w:r w:rsidRPr="006F3892">
        <w:rPr>
          <w:bCs/>
          <w:vertAlign w:val="subscript"/>
        </w:rPr>
        <w:t>2,a</w:t>
      </w:r>
      <w:r>
        <w:rPr>
          <w:bCs/>
        </w:rPr>
        <w:t xml:space="preserve"> corresponding to bulk liquid on top of the sediment and the shorter relaxation time T</w:t>
      </w:r>
      <w:r w:rsidRPr="006F3892">
        <w:rPr>
          <w:bCs/>
          <w:vertAlign w:val="subscript"/>
        </w:rPr>
        <w:t>2</w:t>
      </w:r>
      <w:r w:rsidR="006F3892">
        <w:rPr>
          <w:bCs/>
          <w:vertAlign w:val="subscript"/>
        </w:rPr>
        <w:t>,</w:t>
      </w:r>
      <w:r w:rsidRPr="006F3892">
        <w:rPr>
          <w:bCs/>
          <w:vertAlign w:val="subscript"/>
        </w:rPr>
        <w:t>b</w:t>
      </w:r>
      <w:r>
        <w:rPr>
          <w:bCs/>
        </w:rPr>
        <w:t xml:space="preserve"> associated with the liquid inside the sediment and pores. For these samples, the average relaxation time T</w:t>
      </w:r>
      <w:r w:rsidRPr="006F3892">
        <w:rPr>
          <w:bCs/>
          <w:vertAlign w:val="subscript"/>
        </w:rPr>
        <w:t>2,average</w:t>
      </w:r>
      <w:r>
        <w:rPr>
          <w:bCs/>
        </w:rPr>
        <w:t xml:space="preserve"> was calculated by assuming that the amount of water corresponding to a certain relaxation time is equal to the magnitude of the initial magnetization </w:t>
      </w:r>
      <w:proofErr w:type="spellStart"/>
      <w:r>
        <w:rPr>
          <w:bCs/>
        </w:rPr>
        <w:t>M</w:t>
      </w:r>
      <w:r w:rsidRPr="006F3892">
        <w:rPr>
          <w:bCs/>
          <w:vertAlign w:val="subscript"/>
        </w:rPr>
        <w:t>xy</w:t>
      </w:r>
      <w:r w:rsidR="006F3892">
        <w:rPr>
          <w:bCs/>
          <w:vertAlign w:val="subscript"/>
        </w:rPr>
        <w:t>,a</w:t>
      </w:r>
      <w:proofErr w:type="spellEnd"/>
      <w:r>
        <w:rPr>
          <w:bCs/>
        </w:rPr>
        <w:t>(0)</w:t>
      </w:r>
      <w:r w:rsidR="006F3892">
        <w:rPr>
          <w:bCs/>
        </w:rPr>
        <w:t xml:space="preserve"> and </w:t>
      </w:r>
      <w:proofErr w:type="spellStart"/>
      <w:r w:rsidR="006F3892">
        <w:rPr>
          <w:bCs/>
        </w:rPr>
        <w:t>M</w:t>
      </w:r>
      <w:r w:rsidR="006F3892" w:rsidRPr="006F3892">
        <w:rPr>
          <w:bCs/>
          <w:vertAlign w:val="subscript"/>
        </w:rPr>
        <w:t>xy</w:t>
      </w:r>
      <w:r w:rsidR="006F3892">
        <w:rPr>
          <w:bCs/>
          <w:vertAlign w:val="subscript"/>
        </w:rPr>
        <w:t>,b</w:t>
      </w:r>
      <w:proofErr w:type="spellEnd"/>
      <w:r w:rsidR="006F3892">
        <w:rPr>
          <w:bCs/>
        </w:rPr>
        <w:t>(0)</w:t>
      </w:r>
      <w:r>
        <w:rPr>
          <w:bCs/>
        </w:rPr>
        <w:t>:</w:t>
      </w:r>
    </w:p>
    <w:tbl>
      <w:tblPr>
        <w:tblStyle w:val="TableGrid"/>
        <w:tblW w:w="9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4"/>
        <w:gridCol w:w="630"/>
        <w:gridCol w:w="594"/>
      </w:tblGrid>
      <w:tr w:rsidR="009D3F75" w:rsidRPr="009225FC" w14:paraId="4CDFCA93" w14:textId="77777777" w:rsidTr="002F2A59">
        <w:tc>
          <w:tcPr>
            <w:tcW w:w="8444" w:type="dxa"/>
            <w:vAlign w:val="center"/>
          </w:tcPr>
          <w:p w14:paraId="0B040F0F" w14:textId="6989FC8E" w:rsidR="009D3F75" w:rsidRPr="009D34E9" w:rsidRDefault="007540EF" w:rsidP="0027073B">
            <w:pPr>
              <w:rPr>
                <w:sz w:val="20"/>
              </w:rPr>
            </w:pPr>
            <m:oMathPara>
              <m:oMathParaPr>
                <m:jc m:val="center"/>
              </m:oMathParaPr>
              <m:oMath>
                <m:f>
                  <m:fPr>
                    <m:ctrlPr>
                      <w:rPr>
                        <w:rFonts w:ascii="Cambria Math" w:hAnsi="Cambria Math"/>
                        <w:sz w:val="20"/>
                      </w:rPr>
                    </m:ctrlPr>
                  </m:fPr>
                  <m:num>
                    <m:r>
                      <w:rPr>
                        <w:rFonts w:ascii="Cambria Math" w:hAnsi="Cambria Math"/>
                        <w:sz w:val="20"/>
                      </w:rPr>
                      <m:t>1</m:t>
                    </m:r>
                  </m:num>
                  <m:den>
                    <m:sSub>
                      <m:sSubPr>
                        <m:ctrlPr>
                          <w:rPr>
                            <w:rFonts w:ascii="Cambria Math" w:hAnsi="Cambria Math"/>
                            <w:i/>
                            <w:sz w:val="20"/>
                          </w:rPr>
                        </m:ctrlPr>
                      </m:sSubPr>
                      <m:e>
                        <m:r>
                          <w:rPr>
                            <w:rFonts w:ascii="Cambria Math" w:hAnsi="Cambria Math"/>
                            <w:sz w:val="20"/>
                          </w:rPr>
                          <m:t>T</m:t>
                        </m:r>
                      </m:e>
                      <m:sub>
                        <m:r>
                          <w:rPr>
                            <w:rFonts w:ascii="Cambria Math" w:hAnsi="Cambria Math"/>
                            <w:sz w:val="20"/>
                          </w:rPr>
                          <m:t>2,average</m:t>
                        </m:r>
                      </m:sub>
                    </m:sSub>
                  </m:den>
                </m:f>
                <m:r>
                  <m:rPr>
                    <m:sty m:val="p"/>
                  </m:rPr>
                  <w:rPr>
                    <w:rFonts w:ascii="Cambria Math" w:hAnsi="Cambria Math"/>
                    <w:sz w:val="20"/>
                  </w:rPr>
                  <m:t xml:space="preserve">= </m:t>
                </m:r>
                <m:f>
                  <m:fPr>
                    <m:ctrlPr>
                      <w:rPr>
                        <w:rFonts w:ascii="Cambria Math" w:hAnsi="Cambria Math"/>
                        <w:sz w:val="20"/>
                      </w:rPr>
                    </m:ctrlPr>
                  </m:fPr>
                  <m:num>
                    <m:sSub>
                      <m:sSubPr>
                        <m:ctrlPr>
                          <w:rPr>
                            <w:rFonts w:ascii="Cambria Math" w:hAnsi="Cambria Math"/>
                            <w:i/>
                            <w:sz w:val="20"/>
                          </w:rPr>
                        </m:ctrlPr>
                      </m:sSubPr>
                      <m:e>
                        <m:r>
                          <w:rPr>
                            <w:rFonts w:ascii="Cambria Math" w:hAnsi="Cambria Math"/>
                            <w:sz w:val="20"/>
                          </w:rPr>
                          <m:t>M</m:t>
                        </m:r>
                      </m:e>
                      <m:sub>
                        <m:r>
                          <w:rPr>
                            <w:rFonts w:ascii="Cambria Math" w:hAnsi="Cambria Math"/>
                            <w:sz w:val="20"/>
                          </w:rPr>
                          <m:t>xy,a</m:t>
                        </m:r>
                      </m:sub>
                    </m:sSub>
                    <m:r>
                      <w:rPr>
                        <w:rFonts w:ascii="Cambria Math" w:hAnsi="Cambria Math"/>
                        <w:sz w:val="20"/>
                      </w:rPr>
                      <m:t>(0)</m:t>
                    </m:r>
                  </m:num>
                  <m:den>
                    <m:sSub>
                      <m:sSubPr>
                        <m:ctrlPr>
                          <w:rPr>
                            <w:rFonts w:ascii="Cambria Math" w:hAnsi="Cambria Math"/>
                            <w:i/>
                            <w:sz w:val="20"/>
                          </w:rPr>
                        </m:ctrlPr>
                      </m:sSubPr>
                      <m:e>
                        <m:r>
                          <w:rPr>
                            <w:rFonts w:ascii="Cambria Math" w:hAnsi="Cambria Math"/>
                            <w:sz w:val="20"/>
                          </w:rPr>
                          <m:t>M</m:t>
                        </m:r>
                      </m:e>
                      <m:sub>
                        <m:r>
                          <w:rPr>
                            <w:rFonts w:ascii="Cambria Math" w:hAnsi="Cambria Math"/>
                            <w:sz w:val="20"/>
                          </w:rPr>
                          <m:t>xy,a</m:t>
                        </m:r>
                      </m:sub>
                    </m:sSub>
                    <m:d>
                      <m:dPr>
                        <m:ctrlPr>
                          <w:rPr>
                            <w:rFonts w:ascii="Cambria Math" w:hAnsi="Cambria Math"/>
                            <w:i/>
                            <w:sz w:val="20"/>
                          </w:rPr>
                        </m:ctrlPr>
                      </m:dPr>
                      <m:e>
                        <m:r>
                          <w:rPr>
                            <w:rFonts w:ascii="Cambria Math" w:hAnsi="Cambria Math"/>
                            <w:sz w:val="20"/>
                          </w:rPr>
                          <m:t>0</m:t>
                        </m:r>
                      </m:e>
                    </m:d>
                    <m:r>
                      <w:rPr>
                        <w:rFonts w:ascii="Cambria Math" w:hAnsi="Cambria Math"/>
                        <w:sz w:val="20"/>
                      </w:rPr>
                      <m:t>+</m:t>
                    </m:r>
                    <m:sSub>
                      <m:sSubPr>
                        <m:ctrlPr>
                          <w:rPr>
                            <w:rFonts w:ascii="Cambria Math" w:hAnsi="Cambria Math"/>
                            <w:i/>
                            <w:sz w:val="20"/>
                          </w:rPr>
                        </m:ctrlPr>
                      </m:sSubPr>
                      <m:e>
                        <m:r>
                          <w:rPr>
                            <w:rFonts w:ascii="Cambria Math" w:hAnsi="Cambria Math"/>
                            <w:sz w:val="20"/>
                          </w:rPr>
                          <m:t>M</m:t>
                        </m:r>
                      </m:e>
                      <m:sub>
                        <m:r>
                          <w:rPr>
                            <w:rFonts w:ascii="Cambria Math" w:hAnsi="Cambria Math"/>
                            <w:sz w:val="20"/>
                          </w:rPr>
                          <m:t>xy,b</m:t>
                        </m:r>
                      </m:sub>
                    </m:sSub>
                    <m:r>
                      <w:rPr>
                        <w:rFonts w:ascii="Cambria Math" w:hAnsi="Cambria Math"/>
                        <w:sz w:val="20"/>
                      </w:rPr>
                      <m:t>(0)</m:t>
                    </m:r>
                  </m:den>
                </m:f>
                <m:f>
                  <m:fPr>
                    <m:ctrlPr>
                      <w:rPr>
                        <w:rFonts w:ascii="Cambria Math" w:hAnsi="Cambria Math"/>
                        <w:i/>
                        <w:sz w:val="20"/>
                      </w:rPr>
                    </m:ctrlPr>
                  </m:fPr>
                  <m:num>
                    <m:r>
                      <w:rPr>
                        <w:rFonts w:ascii="Cambria Math" w:hAnsi="Cambria Math"/>
                        <w:sz w:val="20"/>
                      </w:rPr>
                      <m:t>1</m:t>
                    </m:r>
                  </m:num>
                  <m:den>
                    <m:sSub>
                      <m:sSubPr>
                        <m:ctrlPr>
                          <w:rPr>
                            <w:rFonts w:ascii="Cambria Math" w:hAnsi="Cambria Math"/>
                            <w:i/>
                            <w:sz w:val="20"/>
                          </w:rPr>
                        </m:ctrlPr>
                      </m:sSubPr>
                      <m:e>
                        <m:r>
                          <w:rPr>
                            <w:rFonts w:ascii="Cambria Math" w:hAnsi="Cambria Math"/>
                            <w:sz w:val="20"/>
                          </w:rPr>
                          <m:t>T</m:t>
                        </m:r>
                      </m:e>
                      <m:sub>
                        <m:r>
                          <w:rPr>
                            <w:rFonts w:ascii="Cambria Math" w:hAnsi="Cambria Math"/>
                            <w:sz w:val="20"/>
                          </w:rPr>
                          <m:t>2,a</m:t>
                        </m:r>
                      </m:sub>
                    </m:sSub>
                  </m:den>
                </m:f>
                <m:r>
                  <w:rPr>
                    <w:rFonts w:ascii="Cambria Math" w:hAnsi="Cambria Math"/>
                    <w:sz w:val="20"/>
                  </w:rPr>
                  <m:t>+</m:t>
                </m:r>
                <m:f>
                  <m:fPr>
                    <m:ctrlPr>
                      <w:rPr>
                        <w:rFonts w:ascii="Cambria Math" w:hAnsi="Cambria Math"/>
                        <w:sz w:val="20"/>
                      </w:rPr>
                    </m:ctrlPr>
                  </m:fPr>
                  <m:num>
                    <m:sSub>
                      <m:sSubPr>
                        <m:ctrlPr>
                          <w:rPr>
                            <w:rFonts w:ascii="Cambria Math" w:hAnsi="Cambria Math"/>
                            <w:i/>
                            <w:sz w:val="20"/>
                          </w:rPr>
                        </m:ctrlPr>
                      </m:sSubPr>
                      <m:e>
                        <m:r>
                          <w:rPr>
                            <w:rFonts w:ascii="Cambria Math" w:hAnsi="Cambria Math"/>
                            <w:sz w:val="20"/>
                          </w:rPr>
                          <m:t>M</m:t>
                        </m:r>
                      </m:e>
                      <m:sub>
                        <m:r>
                          <w:rPr>
                            <w:rFonts w:ascii="Cambria Math" w:hAnsi="Cambria Math"/>
                            <w:sz w:val="20"/>
                          </w:rPr>
                          <m:t>xy,b</m:t>
                        </m:r>
                      </m:sub>
                    </m:sSub>
                    <m:r>
                      <w:rPr>
                        <w:rFonts w:ascii="Cambria Math" w:hAnsi="Cambria Math"/>
                        <w:sz w:val="20"/>
                      </w:rPr>
                      <m:t>(0)</m:t>
                    </m:r>
                  </m:num>
                  <m:den>
                    <m:sSub>
                      <m:sSubPr>
                        <m:ctrlPr>
                          <w:rPr>
                            <w:rFonts w:ascii="Cambria Math" w:hAnsi="Cambria Math"/>
                            <w:i/>
                            <w:sz w:val="20"/>
                          </w:rPr>
                        </m:ctrlPr>
                      </m:sSubPr>
                      <m:e>
                        <m:r>
                          <w:rPr>
                            <w:rFonts w:ascii="Cambria Math" w:hAnsi="Cambria Math"/>
                            <w:sz w:val="20"/>
                          </w:rPr>
                          <m:t>M</m:t>
                        </m:r>
                      </m:e>
                      <m:sub>
                        <m:r>
                          <w:rPr>
                            <w:rFonts w:ascii="Cambria Math" w:hAnsi="Cambria Math"/>
                            <w:sz w:val="20"/>
                          </w:rPr>
                          <m:t>xy,a</m:t>
                        </m:r>
                      </m:sub>
                    </m:sSub>
                    <m:d>
                      <m:dPr>
                        <m:ctrlPr>
                          <w:rPr>
                            <w:rFonts w:ascii="Cambria Math" w:hAnsi="Cambria Math"/>
                            <w:i/>
                            <w:sz w:val="20"/>
                          </w:rPr>
                        </m:ctrlPr>
                      </m:dPr>
                      <m:e>
                        <m:r>
                          <w:rPr>
                            <w:rFonts w:ascii="Cambria Math" w:hAnsi="Cambria Math"/>
                            <w:sz w:val="20"/>
                          </w:rPr>
                          <m:t>0</m:t>
                        </m:r>
                      </m:e>
                    </m:d>
                    <m:r>
                      <w:rPr>
                        <w:rFonts w:ascii="Cambria Math" w:hAnsi="Cambria Math"/>
                        <w:sz w:val="20"/>
                      </w:rPr>
                      <m:t>+</m:t>
                    </m:r>
                    <m:sSub>
                      <m:sSubPr>
                        <m:ctrlPr>
                          <w:rPr>
                            <w:rFonts w:ascii="Cambria Math" w:hAnsi="Cambria Math"/>
                            <w:i/>
                            <w:sz w:val="20"/>
                          </w:rPr>
                        </m:ctrlPr>
                      </m:sSubPr>
                      <m:e>
                        <m:r>
                          <w:rPr>
                            <w:rFonts w:ascii="Cambria Math" w:hAnsi="Cambria Math"/>
                            <w:sz w:val="20"/>
                          </w:rPr>
                          <m:t>M</m:t>
                        </m:r>
                      </m:e>
                      <m:sub>
                        <m:r>
                          <w:rPr>
                            <w:rFonts w:ascii="Cambria Math" w:hAnsi="Cambria Math"/>
                            <w:sz w:val="20"/>
                          </w:rPr>
                          <m:t>xy,b</m:t>
                        </m:r>
                      </m:sub>
                    </m:sSub>
                    <m:r>
                      <w:rPr>
                        <w:rFonts w:ascii="Cambria Math" w:hAnsi="Cambria Math"/>
                        <w:sz w:val="20"/>
                      </w:rPr>
                      <m:t>(0)</m:t>
                    </m:r>
                  </m:den>
                </m:f>
                <m:f>
                  <m:fPr>
                    <m:ctrlPr>
                      <w:rPr>
                        <w:rFonts w:ascii="Cambria Math" w:hAnsi="Cambria Math"/>
                        <w:i/>
                        <w:sz w:val="20"/>
                      </w:rPr>
                    </m:ctrlPr>
                  </m:fPr>
                  <m:num>
                    <m:r>
                      <w:rPr>
                        <w:rFonts w:ascii="Cambria Math" w:hAnsi="Cambria Math"/>
                        <w:sz w:val="20"/>
                      </w:rPr>
                      <m:t>1</m:t>
                    </m:r>
                  </m:num>
                  <m:den>
                    <m:sSub>
                      <m:sSubPr>
                        <m:ctrlPr>
                          <w:rPr>
                            <w:rFonts w:ascii="Cambria Math" w:hAnsi="Cambria Math"/>
                            <w:i/>
                            <w:sz w:val="20"/>
                          </w:rPr>
                        </m:ctrlPr>
                      </m:sSubPr>
                      <m:e>
                        <m:r>
                          <w:rPr>
                            <w:rFonts w:ascii="Cambria Math" w:hAnsi="Cambria Math"/>
                            <w:sz w:val="20"/>
                          </w:rPr>
                          <m:t>T</m:t>
                        </m:r>
                      </m:e>
                      <m:sub>
                        <m:r>
                          <w:rPr>
                            <w:rFonts w:ascii="Cambria Math" w:hAnsi="Cambria Math"/>
                            <w:sz w:val="20"/>
                          </w:rPr>
                          <m:t>2,b</m:t>
                        </m:r>
                      </m:sub>
                    </m:sSub>
                  </m:den>
                </m:f>
              </m:oMath>
            </m:oMathPara>
          </w:p>
        </w:tc>
        <w:tc>
          <w:tcPr>
            <w:tcW w:w="630" w:type="dxa"/>
            <w:vAlign w:val="center"/>
          </w:tcPr>
          <w:p w14:paraId="35C276A3" w14:textId="1BFD9B94" w:rsidR="009D3F75" w:rsidRPr="00EA375F" w:rsidRDefault="009D3F75" w:rsidP="0027073B">
            <w:r w:rsidRPr="00EA375F">
              <w:t>(</w:t>
            </w:r>
            <w:r>
              <w:t>S</w:t>
            </w:r>
            <w:r>
              <w:rPr>
                <w:noProof/>
              </w:rPr>
              <w:fldChar w:fldCharType="begin"/>
            </w:r>
            <w:r>
              <w:rPr>
                <w:noProof/>
              </w:rPr>
              <w:instrText xml:space="preserve"> SEQ Equation \* ARABIC </w:instrText>
            </w:r>
            <w:r>
              <w:rPr>
                <w:noProof/>
              </w:rPr>
              <w:fldChar w:fldCharType="separate"/>
            </w:r>
            <w:r>
              <w:rPr>
                <w:noProof/>
              </w:rPr>
              <w:t>1</w:t>
            </w:r>
            <w:r>
              <w:rPr>
                <w:noProof/>
              </w:rPr>
              <w:fldChar w:fldCharType="end"/>
            </w:r>
            <w:r w:rsidRPr="00EA375F">
              <w:t>)</w:t>
            </w:r>
          </w:p>
        </w:tc>
        <w:tc>
          <w:tcPr>
            <w:tcW w:w="594" w:type="dxa"/>
            <w:vAlign w:val="center"/>
          </w:tcPr>
          <w:p w14:paraId="004E09EF" w14:textId="77777777" w:rsidR="009D3F75" w:rsidRPr="00EA375F" w:rsidRDefault="009D3F75" w:rsidP="0027073B"/>
        </w:tc>
      </w:tr>
    </w:tbl>
    <w:p w14:paraId="54B4F1A5" w14:textId="77777777" w:rsidR="00812D8F" w:rsidRDefault="002F2A59" w:rsidP="00812D8F">
      <w:pPr>
        <w:keepNext/>
        <w:jc w:val="center"/>
      </w:pPr>
      <w:r>
        <w:object w:dxaOrig="5669" w:dyaOrig="4339" w14:anchorId="70307C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2pt;height:217.5pt" o:ole="">
            <v:imagedata r:id="rId5" o:title=""/>
          </v:shape>
          <o:OLEObject Type="Embed" ProgID="Origin95.Graph" ShapeID="_x0000_i1025" DrawAspect="Content" ObjectID="_1801990706" r:id="rId6"/>
        </w:object>
      </w:r>
    </w:p>
    <w:p w14:paraId="058EDC74" w14:textId="4F149A31" w:rsidR="002F2A59" w:rsidRDefault="00D65785" w:rsidP="00812D8F">
      <w:pPr>
        <w:pStyle w:val="Caption"/>
        <w:jc w:val="center"/>
      </w:pPr>
      <w:bookmarkStart w:id="0" w:name="_Ref175145274"/>
      <w:r w:rsidRPr="006B5DA4">
        <w:rPr>
          <w:b/>
          <w:bCs/>
        </w:rPr>
        <w:t>Fig.</w:t>
      </w:r>
      <w:r w:rsidR="00812D8F" w:rsidRPr="006B5DA4">
        <w:rPr>
          <w:b/>
          <w:bCs/>
        </w:rPr>
        <w:t xml:space="preserve"> S</w:t>
      </w:r>
      <w:r w:rsidR="00812D8F" w:rsidRPr="006B5DA4">
        <w:rPr>
          <w:b/>
          <w:bCs/>
        </w:rPr>
        <w:fldChar w:fldCharType="begin"/>
      </w:r>
      <w:r w:rsidR="00812D8F" w:rsidRPr="006B5DA4">
        <w:rPr>
          <w:b/>
          <w:bCs/>
        </w:rPr>
        <w:instrText xml:space="preserve"> SEQ Figure_S \* ARABIC </w:instrText>
      </w:r>
      <w:r w:rsidR="00812D8F" w:rsidRPr="006B5DA4">
        <w:rPr>
          <w:b/>
          <w:bCs/>
        </w:rPr>
        <w:fldChar w:fldCharType="separate"/>
      </w:r>
      <w:r w:rsidR="00A009CB" w:rsidRPr="006B5DA4">
        <w:rPr>
          <w:b/>
          <w:bCs/>
          <w:noProof/>
        </w:rPr>
        <w:t>1</w:t>
      </w:r>
      <w:r w:rsidR="00812D8F" w:rsidRPr="006B5DA4">
        <w:rPr>
          <w:b/>
          <w:bCs/>
        </w:rPr>
        <w:fldChar w:fldCharType="end"/>
      </w:r>
      <w:bookmarkEnd w:id="0"/>
      <w:r w:rsidR="00812D8F">
        <w:t xml:space="preserve">: Example magnetization curve of MCM-41 3.8 in water measured with the Minispec mq20 and fitted with a </w:t>
      </w:r>
      <w:proofErr w:type="spellStart"/>
      <w:r w:rsidR="00812D8F">
        <w:t>monoexponential</w:t>
      </w:r>
      <w:proofErr w:type="spellEnd"/>
      <w:r w:rsidR="00812D8F">
        <w:t xml:space="preserve"> and biexponential fit</w:t>
      </w:r>
    </w:p>
    <w:p w14:paraId="7790CDDC" w14:textId="708A7CB8" w:rsidR="00EF0EE3" w:rsidRDefault="00EF0EE3" w:rsidP="00812D8F">
      <w:pPr>
        <w:pStyle w:val="Caption"/>
      </w:pPr>
    </w:p>
    <w:p w14:paraId="582B3524" w14:textId="22171352" w:rsidR="001A69C1" w:rsidRDefault="001A69C1" w:rsidP="001A69C1">
      <w:r>
        <w:t>In addition, the spin-lattice relaxation time (T</w:t>
      </w:r>
      <w:r w:rsidRPr="008954D4">
        <w:rPr>
          <w:vertAlign w:val="subscript"/>
        </w:rPr>
        <w:t>1</w:t>
      </w:r>
      <w:r>
        <w:t>) was determined for</w:t>
      </w:r>
      <w:r w:rsidR="008954D4">
        <w:t xml:space="preserve"> selected samples of</w:t>
      </w:r>
      <w:r>
        <w:t xml:space="preserve"> SBA-3 2.7, MCM-41 3.8, KIT-6 5.7, KIT-6 6.8 and KIT-6 10.1 using the Minispec mq20 to allow for the assessment of wettability effects based on the T</w:t>
      </w:r>
      <w:r w:rsidRPr="001A69C1">
        <w:rPr>
          <w:vertAlign w:val="subscript"/>
        </w:rPr>
        <w:t>ads.film</w:t>
      </w:r>
      <w:r w:rsidR="00C8349A">
        <w:rPr>
          <w:vertAlign w:val="subscript"/>
        </w:rPr>
        <w:t>,1</w:t>
      </w:r>
      <w:r>
        <w:t>/T</w:t>
      </w:r>
      <w:r w:rsidRPr="001A69C1">
        <w:rPr>
          <w:vertAlign w:val="subscript"/>
        </w:rPr>
        <w:t>ads.film</w:t>
      </w:r>
      <w:r w:rsidR="00C8349A">
        <w:rPr>
          <w:vertAlign w:val="subscript"/>
        </w:rPr>
        <w:t>,2</w:t>
      </w:r>
      <w:r w:rsidRPr="001A69C1">
        <w:t>-ratio</w:t>
      </w:r>
      <w:r>
        <w:t>. T</w:t>
      </w:r>
      <w:r w:rsidRPr="008954D4">
        <w:rPr>
          <w:vertAlign w:val="subscript"/>
        </w:rPr>
        <w:t>1</w:t>
      </w:r>
      <w:r>
        <w:t xml:space="preserve"> was</w:t>
      </w:r>
      <w:r w:rsidR="008954D4">
        <w:t xml:space="preserve"> measured</w:t>
      </w:r>
      <w:r>
        <w:t xml:space="preserve"> for the sediments to exclude any effect of sedimentation on the final result</w:t>
      </w:r>
      <w:r w:rsidR="008954D4">
        <w:t>. Sedimentation would have a larger effect on T</w:t>
      </w:r>
      <w:r w:rsidR="008954D4" w:rsidRPr="008954D4">
        <w:rPr>
          <w:vertAlign w:val="subscript"/>
        </w:rPr>
        <w:t>1</w:t>
      </w:r>
      <w:r>
        <w:t xml:space="preserve"> due to the significantly longer measurement times for T</w:t>
      </w:r>
      <w:r w:rsidRPr="008954D4">
        <w:rPr>
          <w:vertAlign w:val="subscript"/>
        </w:rPr>
        <w:t>1</w:t>
      </w:r>
      <w:r>
        <w:t xml:space="preserve"> compared to T</w:t>
      </w:r>
      <w:r w:rsidRPr="008954D4">
        <w:rPr>
          <w:vertAlign w:val="subscript"/>
        </w:rPr>
        <w:t>2</w:t>
      </w:r>
      <w:r>
        <w:t xml:space="preserve"> (15-20 min versus 3-5 min). The Inversion Recovery pulse sequence was used to determine the spin-lattice relaxation time. 20 points were measured, the first and last point were defined such that the exponential behavior of the magnetization M</w:t>
      </w:r>
      <w:r w:rsidRPr="001A69C1">
        <w:rPr>
          <w:vertAlign w:val="subscript"/>
        </w:rPr>
        <w:t>z</w:t>
      </w:r>
      <w:r>
        <w:t xml:space="preserve">(t) over time was resolved correctly. The first point was usually set to 25. The final point was set such that it was lying in the plateau region of </w:t>
      </w:r>
      <w:proofErr w:type="spellStart"/>
      <w:r>
        <w:t>M</w:t>
      </w:r>
      <w:r w:rsidRPr="001A69C1">
        <w:rPr>
          <w:vertAlign w:val="subscript"/>
        </w:rPr>
        <w:t>z</w:t>
      </w:r>
      <w:proofErr w:type="spellEnd"/>
      <w:r>
        <w:t>(t).</w:t>
      </w:r>
    </w:p>
    <w:p w14:paraId="245F050C" w14:textId="6C51679C" w:rsidR="007540EF" w:rsidRPr="000C5C27" w:rsidRDefault="007540EF" w:rsidP="007540EF">
      <w:r>
        <w:t>The spin-lattice to spin-spin relaxation time ratio of the adsorbed liquid film (</w:t>
      </w:r>
      <w:r w:rsidRPr="002866EE">
        <w:rPr>
          <w:i/>
          <w:iCs/>
        </w:rPr>
        <w:t>T</w:t>
      </w:r>
      <w:r w:rsidRPr="0038430D">
        <w:rPr>
          <w:vertAlign w:val="subscript"/>
        </w:rPr>
        <w:t>ads.film</w:t>
      </w:r>
      <w:r>
        <w:rPr>
          <w:vertAlign w:val="subscript"/>
        </w:rPr>
        <w:t>,1</w:t>
      </w:r>
      <w:r w:rsidRPr="002866EE">
        <w:t>/</w:t>
      </w:r>
      <w:r w:rsidRPr="002866EE">
        <w:rPr>
          <w:i/>
          <w:iCs/>
        </w:rPr>
        <w:t>T</w:t>
      </w:r>
      <w:r w:rsidRPr="0038430D">
        <w:rPr>
          <w:vertAlign w:val="subscript"/>
        </w:rPr>
        <w:t>ads.film</w:t>
      </w:r>
      <w:r>
        <w:rPr>
          <w:vertAlign w:val="subscript"/>
        </w:rPr>
        <w:t>,2</w:t>
      </w:r>
      <w:r>
        <w:t xml:space="preserve">) was calculated as suggested in </w:t>
      </w:r>
      <w:r>
        <w:fldChar w:fldCharType="begin"/>
      </w:r>
      <w:r>
        <w:instrText xml:space="preserve"> ADDIN ZOTERO_ITEM CSL_CITATION {"citationID":"46eEFqjT","properties":{"formattedCitation":"(Schlumberger et al. 2024)","plainCitation":"(Schlumberger et al. 2024)","noteIndex":0},"citationItems":[{"id":4293,"uris":["http://zotero.org/users/local/oWpNT99E/items/ZUGN6VEQ"],"itemData":{"id":4293,"type":"article-journal","abstract":"Nanoporous silica is widely used as a support material for chemically bound stationary phases in chromatographic separations as well as for catalytic applications. Tuning of textural properties and surface chemistry of stationary phase materials (SPMs) is crucial to enhance their selectivity to certain compounds and the resulting process efficiency. Nanoporous silica supports are beneficial, as surface modifications are possible with a large variety of hydrophilic and hydrophobic functional groups, but their influence on the surface properties has not been evaluated in detail. In this sense, the contact angle is a key parameter for the assessment of surface chemistry, but its quantification in pores is challenging and requires a combination of various experimental techniques. This work demonstrates that combining water adsorption and intrusion measurements allows for the determination of the effective contact angle of adsorbed water on the pore walls for wetting, partial wetting, and nonwetting situations using functionalized hydrophilic and hydrophobic silica SPMs as model materials. Furthermore, NMR relaxometry experiments reveal that the ratio of the spin–lattice (T1) to spin–spin (T2) relaxation time of the adsorbed water film (T1,ads.film/T2,ads.film ratio) can be correlated with the effective adsorption strength of water on the surface. Indeed, a linear correlation between the negative inverse relaxation time ratio (−T2,ads.film/T1,ads.film) and the contact angle is observed. Our work demonstrates that water vapor adsorption and water intrusion experiments coupled with NMR relaxometry can be used as complementary tools to quantify the wettability and surface chemistry of nanoporous materials. This approach allows for addressing important aspects of nanoscale wettability in the context of material synthesis as well as for their application in chromatographic separation processes and catalysis.","container-title":"ACS Applied Nano Materials","DOI":"10.1021/acsanm.3c04330","issue":"2","journalAbbreviation":"ACS Appl. Nano Mater.","note":"publisher: American Chemical Society","page":"1572-1585","source":"ACS Publications","title":"Characterization of Functionalized Chromatographic Nanoporous Silica Materials by Coupling Water Adsorption and Intrusion with Nuclear Magnetic Resonance Relaxometry","volume":"7","author":[{"family":"Schlumberger","given":"Carola"},{"family":"Collados","given":"Carlos Cuadrado"},{"family":"Söllner","given":"Jakob"},{"family":"Huber","given":"Christoph"},{"family":"Wisser","given":"Dorothea"},{"family":"Liu","given":"Hsiao-Feng"},{"family":"Chang","given":"Chun-Kai"},{"family":"Schuster","given":"Stephanie A."},{"family":"Schure","given":"Mark R."},{"family":"Hartmann","given":"Martin"},{"family":"Siepmann","given":"J. Ilja"},{"family":"Thommes","given":"Matthias"}],"issued":{"date-parts":[["2024",1,8]]}}}],"schema":"https://github.com/citation-style-language/schema/raw/master/csl-citation.json"} </w:instrText>
      </w:r>
      <w:r>
        <w:fldChar w:fldCharType="separate"/>
      </w:r>
      <w:r w:rsidRPr="001D4BAE">
        <w:rPr>
          <w:rFonts w:cs="Times"/>
        </w:rPr>
        <w:t>(Schlumberger et al. 2024)</w:t>
      </w:r>
      <w:r>
        <w:fldChar w:fldCharType="end"/>
      </w:r>
      <w:r>
        <w:t xml:space="preserve">. For this, the spin-lattice specific surface </w:t>
      </w:r>
      <w:proofErr w:type="spellStart"/>
      <w:r>
        <w:t>relaxivity</w:t>
      </w:r>
      <w:proofErr w:type="spellEnd"/>
      <w:r>
        <w:t xml:space="preserve"> </w:t>
      </w:r>
      <w:r w:rsidRPr="002866EE">
        <w:rPr>
          <w:i/>
          <w:iCs/>
        </w:rPr>
        <w:t>k</w:t>
      </w:r>
      <w:r w:rsidRPr="0038430D">
        <w:rPr>
          <w:vertAlign w:val="subscript"/>
        </w:rPr>
        <w:t>a</w:t>
      </w:r>
      <w:r w:rsidRPr="002866EE">
        <w:rPr>
          <w:i/>
          <w:iCs/>
          <w:vertAlign w:val="subscript"/>
        </w:rPr>
        <w:t>,1</w:t>
      </w:r>
      <w:r>
        <w:t xml:space="preserve"> was calculated using a calibration line of </w:t>
      </w:r>
      <w:r w:rsidRPr="002866EE">
        <w:rPr>
          <w:i/>
          <w:iCs/>
        </w:rPr>
        <w:t>T</w:t>
      </w:r>
      <w:r w:rsidRPr="002866EE">
        <w:rPr>
          <w:i/>
          <w:iCs/>
          <w:vertAlign w:val="subscript"/>
        </w:rPr>
        <w:t>1</w:t>
      </w:r>
      <w:r w:rsidRPr="00A567F5">
        <w:rPr>
          <w:i/>
          <w:iCs/>
          <w:vertAlign w:val="superscript"/>
        </w:rPr>
        <w:t>-1</w:t>
      </w:r>
      <w:r>
        <w:t xml:space="preserve"> versus the specific surface area times the volume ratio </w:t>
      </w:r>
      <w:proofErr w:type="spellStart"/>
      <w:r w:rsidRPr="002866EE">
        <w:rPr>
          <w:i/>
          <w:iCs/>
        </w:rPr>
        <w:t>V</w:t>
      </w:r>
      <w:r w:rsidRPr="0038430D">
        <w:rPr>
          <w:vertAlign w:val="subscript"/>
        </w:rPr>
        <w:t>solid</w:t>
      </w:r>
      <w:proofErr w:type="spellEnd"/>
      <w:r w:rsidRPr="002866EE">
        <w:rPr>
          <w:i/>
          <w:iCs/>
        </w:rPr>
        <w:t xml:space="preserve"> V</w:t>
      </w:r>
      <w:r w:rsidRPr="0038430D">
        <w:rPr>
          <w:vertAlign w:val="subscript"/>
        </w:rPr>
        <w:t>liquid</w:t>
      </w:r>
      <w:r w:rsidRPr="002866EE">
        <w:rPr>
          <w:i/>
          <w:iCs/>
          <w:vertAlign w:val="superscript"/>
        </w:rPr>
        <w:t>-1</w:t>
      </w:r>
      <w:r>
        <w:rPr>
          <w:i/>
          <w:iCs/>
          <w:vertAlign w:val="superscript"/>
        </w:rPr>
        <w:t xml:space="preserve"> </w:t>
      </w:r>
      <w:r>
        <w:t xml:space="preserve">(Fig. S3). </w:t>
      </w:r>
    </w:p>
    <w:p w14:paraId="6A4CEE4E" w14:textId="77777777" w:rsidR="007540EF" w:rsidRDefault="007540EF" w:rsidP="001A69C1"/>
    <w:p w14:paraId="3F24EE61" w14:textId="5A1217DF" w:rsidR="00944F3D" w:rsidRPr="00944F3D" w:rsidRDefault="00944F3D" w:rsidP="00944F3D">
      <w:pPr>
        <w:pStyle w:val="Heading1"/>
      </w:pPr>
      <w:r w:rsidRPr="00944F3D">
        <w:t xml:space="preserve">NMR relaxation measurements of samples saturated with a bulk </w:t>
      </w:r>
      <w:r>
        <w:t>vapor</w:t>
      </w:r>
      <w:r w:rsidRPr="00944F3D">
        <w:t xml:space="preserve"> phase</w:t>
      </w:r>
    </w:p>
    <w:p w14:paraId="3C89DB9E" w14:textId="32918113" w:rsidR="00944F3D" w:rsidRDefault="00944F3D" w:rsidP="001A69C1"/>
    <w:p w14:paraId="4CA8E44C" w14:textId="7AC007A7" w:rsidR="00944F3D" w:rsidRDefault="00944F3D" w:rsidP="00944F3D">
      <w:r>
        <w:lastRenderedPageBreak/>
        <w:t xml:space="preserve">In addition to samples saturated with a bulk liquid phase, i.e. as suspensions or liquid saturated sediments, we investigate the potential of NMR relaxometry for pore size analysis using </w:t>
      </w:r>
      <w:r w:rsidR="006A5012">
        <w:t xml:space="preserve">ordered </w:t>
      </w:r>
      <w:r>
        <w:t xml:space="preserve">mesoporous </w:t>
      </w:r>
      <w:r w:rsidR="006A5012">
        <w:t>silica</w:t>
      </w:r>
      <w:r>
        <w:t xml:space="preserve"> saturated with a bulk water vapor phase. Pore size analysis by NMR relaxometry requires pores completely filled with liquid-like adsorbate, i.e. the pore volume should be equal to the volume of liquid in the sample. To ensure complete saturation of the pores, approx. 0.1 - 0.15 g of dry powder were filled into a 10 mm NMR tube (Bruker). The NMR tube was inserted into a closed glass bottle, which was filled with water to approx.one third. The sample was left for at least 24 h in contact to the water reservoir to saturate and fill the pores. A small piece of wool was soaked with water and added underneath the cap of the NMR tube to ensure a water saturated atmosphere during the measurement.</w:t>
      </w:r>
    </w:p>
    <w:p w14:paraId="05CF6128" w14:textId="20DBDD8A" w:rsidR="00944F3D" w:rsidRPr="001A69C1" w:rsidRDefault="00944F3D" w:rsidP="00944F3D">
      <w:r>
        <w:t>Water vapor saturated samples were measured with the Minispec mq20. A receiver gain of 49 was used for these samples. NMR T</w:t>
      </w:r>
      <w:r w:rsidRPr="007D6C38">
        <w:rPr>
          <w:vertAlign w:val="subscript"/>
        </w:rPr>
        <w:t>2</w:t>
      </w:r>
      <w:r>
        <w:t xml:space="preserve"> was measured using the CPMG method recording 6000 data points with a pulse separation of 0.05 ms. The number of scans was set to 16</w:t>
      </w:r>
      <w:r w:rsidRPr="00944F3D">
        <w:t xml:space="preserve"> </w:t>
      </w:r>
      <w:r>
        <w:t>or 64 to enhance the signal-to-noise ratio. A recycle delay of 15 s was used for both methods. The resulting T</w:t>
      </w:r>
      <w:r w:rsidRPr="006B5DA4">
        <w:rPr>
          <w:vertAlign w:val="subscript"/>
        </w:rPr>
        <w:t>2</w:t>
      </w:r>
      <w:r>
        <w:t xml:space="preserve"> magnetization curves were fitted with a monoexponential function resulting in one relaxation time for each sample. This relaxation time was used to calculate the pore size of the sample.</w:t>
      </w:r>
    </w:p>
    <w:p w14:paraId="491711A2" w14:textId="7CAAFDEA" w:rsidR="00C55104" w:rsidRPr="00C55104" w:rsidRDefault="00EF0EE3" w:rsidP="00C55104">
      <w:pPr>
        <w:pStyle w:val="Heading1"/>
      </w:pPr>
      <w:r>
        <w:t xml:space="preserve">Determination of the </w:t>
      </w:r>
      <w:r w:rsidR="00EA0F50">
        <w:t xml:space="preserve">spin-spin </w:t>
      </w:r>
      <w:r>
        <w:t xml:space="preserve">specific surface relaxivity </w:t>
      </w:r>
      <w:r w:rsidR="00EA0F50">
        <w:t>k</w:t>
      </w:r>
      <w:r w:rsidR="00EA0F50" w:rsidRPr="00EA0F50">
        <w:rPr>
          <w:vertAlign w:val="subscript"/>
        </w:rPr>
        <w:t>a,2</w:t>
      </w:r>
    </w:p>
    <w:p w14:paraId="2B2AF5FC" w14:textId="33E2EBAF" w:rsidR="00E83715" w:rsidRPr="00E83715" w:rsidRDefault="00E83715" w:rsidP="00E83715">
      <w:r>
        <w:t xml:space="preserve">To determine the specific surface relaxivity </w:t>
      </w:r>
      <w:r w:rsidR="009F3CD4" w:rsidRPr="009F3CD4">
        <w:rPr>
          <w:i/>
          <w:iCs/>
        </w:rPr>
        <w:t>k</w:t>
      </w:r>
      <w:r w:rsidR="009F3CD4" w:rsidRPr="009F3CD4">
        <w:rPr>
          <w:i/>
          <w:iCs/>
          <w:vertAlign w:val="subscript"/>
        </w:rPr>
        <w:t>a,2</w:t>
      </w:r>
      <w:r w:rsidR="009F3CD4">
        <w:t xml:space="preserve"> </w:t>
      </w:r>
      <w:r>
        <w:t xml:space="preserve">of the </w:t>
      </w:r>
      <w:r w:rsidR="006A5012">
        <w:t xml:space="preserve">ordered </w:t>
      </w:r>
      <w:r>
        <w:t xml:space="preserve">mesoporous </w:t>
      </w:r>
      <w:r w:rsidR="006A5012">
        <w:t>silica</w:t>
      </w:r>
      <w:r>
        <w:t>, calibration lines were generated by plotting the relaxation rate versus the surface area determined by Ar 87</w:t>
      </w:r>
      <w:r w:rsidR="00C55104">
        <w:t> </w:t>
      </w:r>
      <w:r>
        <w:t xml:space="preserve">K adsorption times the ratio of solid volume to liquid volume in the samples. </w:t>
      </w:r>
      <w:r w:rsidR="00812D8F" w:rsidRPr="006B5DA4">
        <w:rPr>
          <w:b/>
          <w:bCs/>
        </w:rPr>
        <w:fldChar w:fldCharType="begin"/>
      </w:r>
      <w:r w:rsidR="00812D8F" w:rsidRPr="006B5DA4">
        <w:rPr>
          <w:b/>
          <w:bCs/>
        </w:rPr>
        <w:instrText xml:space="preserve"> REF _Ref175145315 \h </w:instrText>
      </w:r>
      <w:r w:rsidR="006B5DA4">
        <w:rPr>
          <w:b/>
          <w:bCs/>
        </w:rPr>
        <w:instrText xml:space="preserve"> \* MERGEFORMAT </w:instrText>
      </w:r>
      <w:r w:rsidR="00812D8F" w:rsidRPr="006B5DA4">
        <w:rPr>
          <w:b/>
          <w:bCs/>
        </w:rPr>
      </w:r>
      <w:r w:rsidR="00812D8F" w:rsidRPr="006B5DA4">
        <w:rPr>
          <w:b/>
          <w:bCs/>
        </w:rPr>
        <w:fldChar w:fldCharType="separate"/>
      </w:r>
      <w:r w:rsidR="00D65785" w:rsidRPr="006B5DA4">
        <w:rPr>
          <w:b/>
          <w:bCs/>
        </w:rPr>
        <w:t>Fig.</w:t>
      </w:r>
      <w:r w:rsidR="00812D8F" w:rsidRPr="006B5DA4">
        <w:rPr>
          <w:b/>
          <w:bCs/>
        </w:rPr>
        <w:t xml:space="preserve"> S</w:t>
      </w:r>
      <w:r w:rsidR="00812D8F" w:rsidRPr="006B5DA4">
        <w:rPr>
          <w:b/>
          <w:bCs/>
          <w:noProof/>
        </w:rPr>
        <w:t>2</w:t>
      </w:r>
      <w:r w:rsidR="00812D8F" w:rsidRPr="006B5DA4">
        <w:rPr>
          <w:b/>
          <w:bCs/>
        </w:rPr>
        <w:fldChar w:fldCharType="end"/>
      </w:r>
      <w:r w:rsidR="00812D8F">
        <w:t xml:space="preserve"> </w:t>
      </w:r>
      <w:r w:rsidR="00C55104">
        <w:t>shows the calibration lines determined for the mesoporous silicas in water with the three experimental setups.</w:t>
      </w:r>
      <w:r w:rsidR="000950E1">
        <w:t xml:space="preserve"> Please note that KIT-6 8.5 has been measured with the experimental setups Acorn Area and Spinsolve, MCM-41 3.8 with the setups Minispec mq20 and Acorn Area, while all other samples were measured with </w:t>
      </w:r>
      <w:r w:rsidR="006B5DA4">
        <w:t>all</w:t>
      </w:r>
      <w:r w:rsidR="000950E1">
        <w:t xml:space="preserve"> three experimental setups.</w:t>
      </w:r>
    </w:p>
    <w:p w14:paraId="1345B82E" w14:textId="77777777" w:rsidR="00812D8F" w:rsidRDefault="00EF0EE3" w:rsidP="00812D8F">
      <w:pPr>
        <w:keepNext/>
        <w:spacing w:after="160" w:line="259" w:lineRule="auto"/>
        <w:jc w:val="left"/>
      </w:pPr>
      <w:r>
        <w:object w:dxaOrig="13465" w:dyaOrig="18207" w14:anchorId="1501362D">
          <v:shape id="_x0000_i1026" type="#_x0000_t75" style="width:453pt;height:612.75pt" o:ole="">
            <v:imagedata r:id="rId7" o:title=""/>
          </v:shape>
          <o:OLEObject Type="Embed" ProgID="Origin95.Graph" ShapeID="_x0000_i1026" DrawAspect="Content" ObjectID="_1801990707" r:id="rId8"/>
        </w:object>
      </w:r>
    </w:p>
    <w:p w14:paraId="53018452" w14:textId="49B12483" w:rsidR="00812D8F" w:rsidRPr="00285A3B" w:rsidRDefault="00D65785" w:rsidP="00812D8F">
      <w:pPr>
        <w:pStyle w:val="Caption"/>
        <w:jc w:val="left"/>
        <w:rPr>
          <w:bCs/>
        </w:rPr>
      </w:pPr>
      <w:bookmarkStart w:id="1" w:name="_Ref175145315"/>
      <w:r w:rsidRPr="006B5DA4">
        <w:rPr>
          <w:b/>
          <w:bCs/>
        </w:rPr>
        <w:t>Fig.</w:t>
      </w:r>
      <w:r w:rsidR="00812D8F" w:rsidRPr="006B5DA4">
        <w:rPr>
          <w:b/>
          <w:bCs/>
        </w:rPr>
        <w:t xml:space="preserve"> S</w:t>
      </w:r>
      <w:r w:rsidR="00812D8F" w:rsidRPr="006B5DA4">
        <w:rPr>
          <w:b/>
          <w:bCs/>
        </w:rPr>
        <w:fldChar w:fldCharType="begin"/>
      </w:r>
      <w:r w:rsidR="00812D8F" w:rsidRPr="006B5DA4">
        <w:rPr>
          <w:b/>
          <w:bCs/>
        </w:rPr>
        <w:instrText xml:space="preserve"> SEQ Figure_S \* ARABIC </w:instrText>
      </w:r>
      <w:r w:rsidR="00812D8F" w:rsidRPr="006B5DA4">
        <w:rPr>
          <w:b/>
          <w:bCs/>
        </w:rPr>
        <w:fldChar w:fldCharType="separate"/>
      </w:r>
      <w:r w:rsidR="00A009CB" w:rsidRPr="006B5DA4">
        <w:rPr>
          <w:b/>
          <w:bCs/>
          <w:noProof/>
        </w:rPr>
        <w:t>2</w:t>
      </w:r>
      <w:r w:rsidR="00812D8F" w:rsidRPr="006B5DA4">
        <w:rPr>
          <w:b/>
          <w:bCs/>
        </w:rPr>
        <w:fldChar w:fldCharType="end"/>
      </w:r>
      <w:bookmarkEnd w:id="1"/>
      <w:r w:rsidR="00812D8F">
        <w:t>: NMR T</w:t>
      </w:r>
      <w:r w:rsidR="00812D8F" w:rsidRPr="00913BE4">
        <w:rPr>
          <w:vertAlign w:val="subscript"/>
        </w:rPr>
        <w:t>2</w:t>
      </w:r>
      <w:r w:rsidR="00812D8F">
        <w:t xml:space="preserve"> calibration lines of </w:t>
      </w:r>
      <w:r w:rsidR="006A5012">
        <w:t xml:space="preserve">ordered </w:t>
      </w:r>
      <w:r w:rsidR="00812D8F">
        <w:t xml:space="preserve">mesoporous </w:t>
      </w:r>
      <w:r w:rsidR="006A5012">
        <w:t>silica</w:t>
      </w:r>
      <w:r w:rsidR="00812D8F">
        <w:t xml:space="preserve"> in water determined with the experimental setups Acorn Area (suspension), Minispec mq20 (sediment) and Spinsolve (suspension), (a) SBA-3 2.7, (b) MCM-41 3.8, (c) KIT-6 5.7, (d) KIT-6 6.8, (e) KIT-6 8.5, (f) KIT-6 10.1 (</w:t>
      </w:r>
      <w:r w:rsidR="00044C52">
        <w:t>r</w:t>
      </w:r>
      <w:r w:rsidR="00812D8F">
        <w:t xml:space="preserve">eprinted from </w:t>
      </w:r>
      <w:r w:rsidR="00812D8F">
        <w:fldChar w:fldCharType="begin"/>
      </w:r>
      <w:r w:rsidR="00C8740B">
        <w:instrText xml:space="preserve"> ADDIN ZOTERO_ITEM CSL_CITATION {"citationID":"WyapuLID","properties":{"formattedCitation":"(Schlumberger 2024)","plainCitation":"(Schlumberger 2024)","noteIndex":0},"citationItems":[{"id":4879,"uris":["http://zotero.org/users/local/oWpNT99E/items/6EWVQXZD"],"itemData":{"id":4879,"type":"thesis","abstract":"Tuning of textural properties and the surface chemistry of porous materials is essential to enhance their selectivity to certain compounds and the resulting process efficiency, e.g. in chromatographic separation processes or catalysis. Hence, the valid assessment of textural properties such as surface area and pore size is crucial for these applications. Within this context, major progress has been made concerning the characterization of porous materials in the gas/dry state by gas physisorption and mercury porosimetry. However, these methods are not sufficient for the characterization of wet porous materials used in liquid phase processes. Considering this is particularly important for functionalized nanoporous materials, where the interaction of surface functional groups with the chosen liquid may affect the effective surface area and pore characteristics. For this, the application of nuclear magnetic resonance (NMR) relaxometry has been considered in the past, but a systematic and rigorous assessment of its validity is missing so far. Within this context, this thesis focuses on the development of novel methodologies by combining NMR relaxometry with gas adsorption for the reliable and advanced characterization of nanoporous materials in the wet and dry state. First, the thesis particularly focuses on NMR relaxometry for surface area assessment. A systematic study is presented, which assesses the applicability of NMR relaxometry for valid surface area assessment, utilizing for the first time true surface area benchmark data based on argon 87 K adsorption of silica and carbon model materials. This is coupled with an advanced method development including the investigation of the choice of probe molecule and the effect of its accessibility to the pore system. This thesis demonstrates that the method can provide valid and fast surface areas for these model materials. Furthermore, it shows the potential of NMR relaxometry for the targeted surface area assessment of defined pore classes and proposes a novel methodology for the determination of pore window sizes. The effect of confinement on the applicability of NMR relaxometry for surface area assessment is systematically investigated, which also indicates its potential for pore size analysis. Related to that, this work shows a first attempt to apply NMR relaxometry for pore size analysis by comparing NMR relaxometry for the first time with benchmark pore size data determined with Ar 87 K adsorption coupled with advanced statistical mechanics approaches. These experimental studies are coupled with the implementation of a molecular simulation framework for complementary simulations of the NMR relaxation times of confined pore fluids. This thesis further investigates the potential of NMR relaxometry to assess wettability effects. NMR relaxation times are affected by an interplay of textural properties and wettability effects. To distinguish between these effects, a novel methodology is suggested to quantify the wetting behavior of fluids on (pore) surfaces and its applicability is demonstrated coupled with water vapor adsorption and intrusion experiments to assess the hydrophilicity/hydrophobicity of functionalized mesoporous silica. In this sense, the combination of NMR relaxometry and gas adsorption builds the basis for a unified approach for the comprehensive characterization of nanoporous materials.","event-place":"Erlangen","genre":"Dissertation","language":"en","publisher":"Friedrich-Alexander-Universität Erlangen-Nürnberg","publisher-place":"Erlangen","source":"open.fau.de","title":"Novel Methodologies based on a Combination of Nuclear Magnetic Resonance Relaxometry and Gas Adsorption for Advanced Characterization of Nanoporous Materials and Powders in the Wet and Dry State","URL":"https://doi.org/10.25593/open-fau-791","author":[{"family":"Schlumberger","given":"Carola"}],"issued":{"date-parts":[["2024"]]}}}],"schema":"https://github.com/citation-style-language/schema/raw/master/csl-citation.json"} </w:instrText>
      </w:r>
      <w:r w:rsidR="00812D8F">
        <w:fldChar w:fldCharType="separate"/>
      </w:r>
      <w:r w:rsidR="00C8740B" w:rsidRPr="00C8740B">
        <w:rPr>
          <w:rFonts w:cs="Times"/>
        </w:rPr>
        <w:t>(Schlumberger 2024)</w:t>
      </w:r>
      <w:r w:rsidR="00812D8F">
        <w:fldChar w:fldCharType="end"/>
      </w:r>
      <w:r w:rsidR="00812D8F">
        <w:t>)</w:t>
      </w:r>
    </w:p>
    <w:p w14:paraId="0FD0E8A8" w14:textId="7C3E0E69" w:rsidR="00EF0EE3" w:rsidRDefault="00EF0EE3" w:rsidP="00812D8F">
      <w:pPr>
        <w:pStyle w:val="Caption"/>
        <w:jc w:val="left"/>
      </w:pPr>
    </w:p>
    <w:p w14:paraId="1F672466" w14:textId="59FD8473" w:rsidR="00EA0F50" w:rsidRDefault="00EA0F50" w:rsidP="00C36C9C">
      <w:pPr>
        <w:pStyle w:val="Heading1"/>
      </w:pPr>
      <w:r>
        <w:lastRenderedPageBreak/>
        <w:t>Determination of the spin-spin specific surface relaxivity k</w:t>
      </w:r>
      <w:r w:rsidRPr="00EA0F50">
        <w:rPr>
          <w:vertAlign w:val="subscript"/>
        </w:rPr>
        <w:t>a,</w:t>
      </w:r>
      <w:r>
        <w:rPr>
          <w:vertAlign w:val="subscript"/>
        </w:rPr>
        <w:t>1</w:t>
      </w:r>
      <w:r w:rsidR="00C36C9C">
        <w:tab/>
      </w:r>
    </w:p>
    <w:p w14:paraId="6DCF03FF" w14:textId="23786AC6" w:rsidR="009F3CD4" w:rsidRPr="009F3CD4" w:rsidRDefault="009F3CD4" w:rsidP="009F3CD4">
      <w:r>
        <w:t xml:space="preserve">To determine the specific surface relaxivity </w:t>
      </w:r>
      <w:r w:rsidRPr="009F3CD4">
        <w:rPr>
          <w:i/>
          <w:iCs/>
        </w:rPr>
        <w:t>k</w:t>
      </w:r>
      <w:r w:rsidRPr="009F3CD4">
        <w:rPr>
          <w:i/>
          <w:iCs/>
          <w:vertAlign w:val="subscript"/>
        </w:rPr>
        <w:t>a,</w:t>
      </w:r>
      <w:r>
        <w:rPr>
          <w:i/>
          <w:iCs/>
          <w:vertAlign w:val="subscript"/>
        </w:rPr>
        <w:t>1</w:t>
      </w:r>
      <w:r>
        <w:t xml:space="preserve"> of the </w:t>
      </w:r>
      <w:r w:rsidR="006A5012">
        <w:t xml:space="preserve">ordered </w:t>
      </w:r>
      <w:r>
        <w:t xml:space="preserve">mesoporous </w:t>
      </w:r>
      <w:r w:rsidR="006A5012">
        <w:t>silica materials</w:t>
      </w:r>
      <w:r>
        <w:t>, calibration lines were generated by plotting the spin-lattice relaxation rate T</w:t>
      </w:r>
      <w:r w:rsidRPr="009F3CD4">
        <w:rPr>
          <w:vertAlign w:val="subscript"/>
        </w:rPr>
        <w:t>1</w:t>
      </w:r>
      <w:r w:rsidRPr="009F3CD4">
        <w:rPr>
          <w:vertAlign w:val="superscript"/>
        </w:rPr>
        <w:t>-1</w:t>
      </w:r>
      <w:r>
        <w:t xml:space="preserve"> versus the surface area determined by Ar 87 K adsorption times the ratio of solid volume to liquid volume in the samples.</w:t>
      </w:r>
      <w:r w:rsidR="00974322">
        <w:t xml:space="preserve"> The spec. surface relaxivity </w:t>
      </w:r>
      <w:r w:rsidR="00974322" w:rsidRPr="008954D4">
        <w:rPr>
          <w:i/>
          <w:iCs/>
        </w:rPr>
        <w:t>k</w:t>
      </w:r>
      <w:r w:rsidR="00974322" w:rsidRPr="008954D4">
        <w:rPr>
          <w:i/>
          <w:iCs/>
          <w:vertAlign w:val="subscript"/>
        </w:rPr>
        <w:t>a,1</w:t>
      </w:r>
      <w:r w:rsidR="00974322">
        <w:t xml:space="preserve"> can be determined from the slope of the linear fit.</w:t>
      </w:r>
      <w:r>
        <w:t xml:space="preserve"> </w:t>
      </w:r>
      <w:r w:rsidR="00812D8F" w:rsidRPr="006B5DA4">
        <w:rPr>
          <w:b/>
          <w:bCs/>
        </w:rPr>
        <w:fldChar w:fldCharType="begin"/>
      </w:r>
      <w:r w:rsidR="00812D8F" w:rsidRPr="006B5DA4">
        <w:rPr>
          <w:b/>
          <w:bCs/>
        </w:rPr>
        <w:instrText xml:space="preserve"> REF _Ref175145359 \h </w:instrText>
      </w:r>
      <w:r w:rsidR="006B5DA4">
        <w:rPr>
          <w:b/>
          <w:bCs/>
        </w:rPr>
        <w:instrText xml:space="preserve"> \* MERGEFORMAT </w:instrText>
      </w:r>
      <w:r w:rsidR="00812D8F" w:rsidRPr="006B5DA4">
        <w:rPr>
          <w:b/>
          <w:bCs/>
        </w:rPr>
      </w:r>
      <w:r w:rsidR="00812D8F" w:rsidRPr="006B5DA4">
        <w:rPr>
          <w:b/>
          <w:bCs/>
        </w:rPr>
        <w:fldChar w:fldCharType="separate"/>
      </w:r>
      <w:r w:rsidR="00D65785" w:rsidRPr="006B5DA4">
        <w:rPr>
          <w:b/>
          <w:bCs/>
        </w:rPr>
        <w:t>Fig.</w:t>
      </w:r>
      <w:r w:rsidR="00812D8F" w:rsidRPr="006B5DA4">
        <w:rPr>
          <w:b/>
          <w:bCs/>
        </w:rPr>
        <w:t xml:space="preserve"> S</w:t>
      </w:r>
      <w:r w:rsidR="00812D8F" w:rsidRPr="006B5DA4">
        <w:rPr>
          <w:b/>
          <w:bCs/>
          <w:noProof/>
        </w:rPr>
        <w:t>3</w:t>
      </w:r>
      <w:r w:rsidR="00812D8F" w:rsidRPr="006B5DA4">
        <w:rPr>
          <w:b/>
          <w:bCs/>
        </w:rPr>
        <w:fldChar w:fldCharType="end"/>
      </w:r>
      <w:r w:rsidR="00812D8F">
        <w:t xml:space="preserve"> </w:t>
      </w:r>
      <w:r w:rsidR="00974322">
        <w:t>depicts the calibration lines measured for SBA-3</w:t>
      </w:r>
      <w:r w:rsidR="008954D4">
        <w:t xml:space="preserve"> 2.7</w:t>
      </w:r>
      <w:r w:rsidR="00974322">
        <w:t>, MCM-41</w:t>
      </w:r>
      <w:r w:rsidR="008954D4">
        <w:t xml:space="preserve"> 3.8</w:t>
      </w:r>
      <w:r w:rsidR="00974322">
        <w:t>, KIT-6 5.7, KIT-6 6.8, KIT-6 10.1.</w:t>
      </w:r>
    </w:p>
    <w:p w14:paraId="57E24DFF" w14:textId="39E66A75" w:rsidR="00812D8F" w:rsidRDefault="00812D8F" w:rsidP="00812D8F">
      <w:pPr>
        <w:keepNext/>
        <w:jc w:val="center"/>
      </w:pPr>
      <w:r>
        <w:object w:dxaOrig="10772" w:dyaOrig="14165" w14:anchorId="00684EF8">
          <v:shape id="_x0000_i1027" type="#_x0000_t75" style="width:423pt;height:555.75pt" o:ole="">
            <v:imagedata r:id="rId9" o:title=""/>
          </v:shape>
          <o:OLEObject Type="Embed" ProgID="Origin95.Graph" ShapeID="_x0000_i1027" DrawAspect="Content" ObjectID="_1801990708" r:id="rId10"/>
        </w:object>
      </w:r>
    </w:p>
    <w:p w14:paraId="04FF9220" w14:textId="62AA5D3F" w:rsidR="00913BE4" w:rsidRPr="00812D8F" w:rsidRDefault="00D65785" w:rsidP="00812D8F">
      <w:pPr>
        <w:pStyle w:val="Caption"/>
      </w:pPr>
      <w:bookmarkStart w:id="2" w:name="_Ref175145359"/>
      <w:r w:rsidRPr="006B5DA4">
        <w:rPr>
          <w:b/>
          <w:bCs/>
        </w:rPr>
        <w:t>Fig.</w:t>
      </w:r>
      <w:r w:rsidR="00812D8F" w:rsidRPr="006B5DA4">
        <w:rPr>
          <w:b/>
          <w:bCs/>
        </w:rPr>
        <w:t xml:space="preserve"> S</w:t>
      </w:r>
      <w:r w:rsidR="00812D8F" w:rsidRPr="006B5DA4">
        <w:rPr>
          <w:b/>
          <w:bCs/>
        </w:rPr>
        <w:fldChar w:fldCharType="begin"/>
      </w:r>
      <w:r w:rsidR="00812D8F" w:rsidRPr="006B5DA4">
        <w:rPr>
          <w:b/>
          <w:bCs/>
        </w:rPr>
        <w:instrText xml:space="preserve"> SEQ Figure_S \* ARABIC </w:instrText>
      </w:r>
      <w:r w:rsidR="00812D8F" w:rsidRPr="006B5DA4">
        <w:rPr>
          <w:b/>
          <w:bCs/>
        </w:rPr>
        <w:fldChar w:fldCharType="separate"/>
      </w:r>
      <w:r w:rsidR="00A009CB" w:rsidRPr="006B5DA4">
        <w:rPr>
          <w:b/>
          <w:bCs/>
          <w:noProof/>
        </w:rPr>
        <w:t>3</w:t>
      </w:r>
      <w:r w:rsidR="00812D8F" w:rsidRPr="006B5DA4">
        <w:rPr>
          <w:b/>
          <w:bCs/>
        </w:rPr>
        <w:fldChar w:fldCharType="end"/>
      </w:r>
      <w:bookmarkEnd w:id="2"/>
      <w:r w:rsidR="00812D8F">
        <w:t>: NMR T</w:t>
      </w:r>
      <w:r w:rsidR="00812D8F">
        <w:rPr>
          <w:vertAlign w:val="subscript"/>
        </w:rPr>
        <w:t>1</w:t>
      </w:r>
      <w:r w:rsidR="00812D8F">
        <w:t xml:space="preserve"> calibration lines of </w:t>
      </w:r>
      <w:r w:rsidR="006A5012">
        <w:t xml:space="preserve">ordered </w:t>
      </w:r>
      <w:r w:rsidR="00812D8F">
        <w:t xml:space="preserve">mesoporous </w:t>
      </w:r>
      <w:r w:rsidR="006A5012">
        <w:t>silica</w:t>
      </w:r>
      <w:r w:rsidR="00812D8F">
        <w:t xml:space="preserve"> in water determined with the experimental setup Minispec mq20 (sediment), (a) SBA-3 2.7, (b) MCM-41 3.8, (c) KIT-6 5.7, (d) KIT-6 6.8, (e) KIT-6 10.1 (</w:t>
      </w:r>
      <w:r w:rsidR="00044C52">
        <w:t>a</w:t>
      </w:r>
      <w:r w:rsidR="00812D8F">
        <w:t xml:space="preserve">dapted from </w:t>
      </w:r>
      <w:r w:rsidR="00812D8F">
        <w:fldChar w:fldCharType="begin"/>
      </w:r>
      <w:r w:rsidR="00C8740B">
        <w:instrText xml:space="preserve"> ADDIN ZOTERO_ITEM CSL_CITATION {"citationID":"B0JDySDF","properties":{"formattedCitation":"(Schlumberger 2024)","plainCitation":"(Schlumberger 2024)","noteIndex":0},"citationItems":[{"id":4879,"uris":["http://zotero.org/users/local/oWpNT99E/items/6EWVQXZD"],"itemData":{"id":4879,"type":"thesis","abstract":"Tuning of textural properties and the surface chemistry of porous materials is essential to enhance their selectivity to certain compounds and the resulting process efficiency, e.g. in chromatographic separation processes or catalysis. Hence, the valid assessment of textural properties such as surface area and pore size is crucial for these applications. Within this context, major progress has been made concerning the characterization of porous materials in the gas/dry state by gas physisorption and mercury porosimetry. However, these methods are not sufficient for the characterization of wet porous materials used in liquid phase processes. Considering this is particularly important for functionalized nanoporous materials, where the interaction of surface functional groups with the chosen liquid may affect the effective surface area and pore characteristics. For this, the application of nuclear magnetic resonance (NMR) relaxometry has been considered in the past, but a systematic and rigorous assessment of its validity is missing so far. Within this context, this thesis focuses on the development of novel methodologies by combining NMR relaxometry with gas adsorption for the reliable and advanced characterization of nanoporous materials in the wet and dry state. First, the thesis particularly focuses on NMR relaxometry for surface area assessment. A systematic study is presented, which assesses the applicability of NMR relaxometry for valid surface area assessment, utilizing for the first time true surface area benchmark data based on argon 87 K adsorption of silica and carbon model materials. This is coupled with an advanced method development including the investigation of the choice of probe molecule and the effect of its accessibility to the pore system. This thesis demonstrates that the method can provide valid and fast surface areas for these model materials. Furthermore, it shows the potential of NMR relaxometry for the targeted surface area assessment of defined pore classes and proposes a novel methodology for the determination of pore window sizes. The effect of confinement on the applicability of NMR relaxometry for surface area assessment is systematically investigated, which also indicates its potential for pore size analysis. Related to that, this work shows a first attempt to apply NMR relaxometry for pore size analysis by comparing NMR relaxometry for the first time with benchmark pore size data determined with Ar 87 K adsorption coupled with advanced statistical mechanics approaches. These experimental studies are coupled with the implementation of a molecular simulation framework for complementary simulations of the NMR relaxation times of confined pore fluids. This thesis further investigates the potential of NMR relaxometry to assess wettability effects. NMR relaxation times are affected by an interplay of textural properties and wettability effects. To distinguish between these effects, a novel methodology is suggested to quantify the wetting behavior of fluids on (pore) surfaces and its applicability is demonstrated coupled with water vapor adsorption and intrusion experiments to assess the hydrophilicity/hydrophobicity of functionalized mesoporous silica. In this sense, the combination of NMR relaxometry and gas adsorption builds the basis for a unified approach for the comprehensive characterization of nanoporous materials.","event-place":"Erlangen","genre":"Dissertation","language":"en","publisher":"Friedrich-Alexander-Universität Erlangen-Nürnberg","publisher-place":"Erlangen","source":"open.fau.de","title":"Novel Methodologies based on a Combination of Nuclear Magnetic Resonance Relaxometry and Gas Adsorption for Advanced Characterization of Nanoporous Materials and Powders in the Wet and Dry State","URL":"https://doi.org/10.25593/open-fau-791","author":[{"family":"Schlumberger","given":"Carola"}],"issued":{"date-parts":[["2024"]]}}}],"schema":"https://github.com/citation-style-language/schema/raw/master/csl-citation.json"} </w:instrText>
      </w:r>
      <w:r w:rsidR="00812D8F">
        <w:fldChar w:fldCharType="separate"/>
      </w:r>
      <w:r w:rsidR="00C8740B" w:rsidRPr="00C8740B">
        <w:rPr>
          <w:rFonts w:cs="Times"/>
        </w:rPr>
        <w:t>(Schlumberger 2024)</w:t>
      </w:r>
      <w:r w:rsidR="00812D8F">
        <w:fldChar w:fldCharType="end"/>
      </w:r>
      <w:r w:rsidR="00812D8F">
        <w:t>)</w:t>
      </w:r>
    </w:p>
    <w:p w14:paraId="79E674A6" w14:textId="5031BE87" w:rsidR="00C36C9C" w:rsidRDefault="00C36C9C" w:rsidP="00C36C9C">
      <w:pPr>
        <w:pStyle w:val="Heading1"/>
      </w:pPr>
      <w:r>
        <w:lastRenderedPageBreak/>
        <w:t>Skeletal Density</w:t>
      </w:r>
    </w:p>
    <w:p w14:paraId="57FC6716" w14:textId="23CF8B08" w:rsidR="00C36C9C" w:rsidRDefault="00C36C9C" w:rsidP="00C36C9C">
      <w:r>
        <w:t>The skeletal density of the silica model materials was determined using He pycnometry. The silica particles were degassed in vacuum at 150 °C for 12 h prior to analysis and analyzed with a MicroUltrapyc 1200e (QuantaTec, formerly Quantachrome Instruments). At least three measurements were performed to calculate the skeletal density of the materials. The results of these measurements can be found in</w:t>
      </w:r>
      <w:r w:rsidR="00812D8F">
        <w:t xml:space="preserve"> </w:t>
      </w:r>
      <w:r w:rsidR="00812D8F">
        <w:fldChar w:fldCharType="begin"/>
      </w:r>
      <w:r w:rsidR="00812D8F">
        <w:instrText xml:space="preserve"> REF _Ref175145532 \h </w:instrText>
      </w:r>
      <w:r w:rsidR="00812D8F">
        <w:fldChar w:fldCharType="separate"/>
      </w:r>
      <w:r w:rsidR="00812D8F">
        <w:t>Table S</w:t>
      </w:r>
      <w:r w:rsidR="00812D8F">
        <w:rPr>
          <w:noProof/>
        </w:rPr>
        <w:t>1</w:t>
      </w:r>
      <w:r w:rsidR="00812D8F">
        <w:fldChar w:fldCharType="end"/>
      </w:r>
      <w:r>
        <w:t>. As expected for silica, all values are around 2.2 g cm</w:t>
      </w:r>
      <w:r w:rsidRPr="00C36C9C">
        <w:rPr>
          <w:vertAlign w:val="superscript"/>
        </w:rPr>
        <w:t>-3</w:t>
      </w:r>
      <w:r>
        <w:t xml:space="preserve">. </w:t>
      </w:r>
    </w:p>
    <w:p w14:paraId="60C2062D" w14:textId="16CC8FFE" w:rsidR="00C36C9C" w:rsidRDefault="00C36C9C" w:rsidP="00C36C9C">
      <w:pPr>
        <w:pStyle w:val="Caption"/>
        <w:keepNext/>
      </w:pPr>
    </w:p>
    <w:p w14:paraId="3130DCD1" w14:textId="217074AE" w:rsidR="00812D8F" w:rsidRDefault="00812D8F" w:rsidP="00812D8F">
      <w:pPr>
        <w:pStyle w:val="Caption"/>
        <w:keepNext/>
      </w:pPr>
      <w:bookmarkStart w:id="3" w:name="_Ref175145532"/>
      <w:bookmarkStart w:id="4" w:name="_Ref175145528"/>
      <w:r w:rsidRPr="006B5DA4">
        <w:rPr>
          <w:b/>
          <w:bCs/>
        </w:rPr>
        <w:t>Table S</w:t>
      </w:r>
      <w:r w:rsidRPr="006B5DA4">
        <w:rPr>
          <w:b/>
          <w:bCs/>
        </w:rPr>
        <w:fldChar w:fldCharType="begin"/>
      </w:r>
      <w:r w:rsidRPr="006B5DA4">
        <w:rPr>
          <w:b/>
          <w:bCs/>
        </w:rPr>
        <w:instrText xml:space="preserve"> SEQ Table_S \* ARABIC </w:instrText>
      </w:r>
      <w:r w:rsidRPr="006B5DA4">
        <w:rPr>
          <w:b/>
          <w:bCs/>
        </w:rPr>
        <w:fldChar w:fldCharType="separate"/>
      </w:r>
      <w:r w:rsidRPr="006B5DA4">
        <w:rPr>
          <w:b/>
          <w:bCs/>
          <w:noProof/>
        </w:rPr>
        <w:t>1</w:t>
      </w:r>
      <w:r w:rsidRPr="006B5DA4">
        <w:rPr>
          <w:b/>
          <w:bCs/>
        </w:rPr>
        <w:fldChar w:fldCharType="end"/>
      </w:r>
      <w:bookmarkEnd w:id="3"/>
      <w:r>
        <w:t>: Skeletal density of the mesoporous silica model materials</w:t>
      </w:r>
      <w:bookmarkEnd w:id="4"/>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36C9C" w:rsidRPr="00C36C9C" w14:paraId="58DBF57E" w14:textId="77777777" w:rsidTr="00C36C9C">
        <w:tc>
          <w:tcPr>
            <w:tcW w:w="4531" w:type="dxa"/>
            <w:tcBorders>
              <w:top w:val="single" w:sz="4" w:space="0" w:color="auto"/>
              <w:bottom w:val="single" w:sz="4" w:space="0" w:color="auto"/>
            </w:tcBorders>
          </w:tcPr>
          <w:p w14:paraId="50E058D2" w14:textId="396AA19A" w:rsidR="00C36C9C" w:rsidRPr="00C36C9C" w:rsidRDefault="00C36C9C" w:rsidP="00C36C9C">
            <w:pPr>
              <w:rPr>
                <w:b/>
                <w:bCs/>
              </w:rPr>
            </w:pPr>
            <w:r w:rsidRPr="00C36C9C">
              <w:rPr>
                <w:b/>
                <w:bCs/>
              </w:rPr>
              <w:t>Sample</w:t>
            </w:r>
          </w:p>
        </w:tc>
        <w:tc>
          <w:tcPr>
            <w:tcW w:w="4531" w:type="dxa"/>
            <w:tcBorders>
              <w:top w:val="single" w:sz="4" w:space="0" w:color="auto"/>
              <w:bottom w:val="single" w:sz="4" w:space="0" w:color="auto"/>
            </w:tcBorders>
          </w:tcPr>
          <w:p w14:paraId="49BC537E" w14:textId="790D884D" w:rsidR="00C36C9C" w:rsidRPr="00C36C9C" w:rsidRDefault="00C36C9C" w:rsidP="00C36C9C">
            <w:pPr>
              <w:rPr>
                <w:b/>
                <w:bCs/>
              </w:rPr>
            </w:pPr>
            <w:r w:rsidRPr="00C36C9C">
              <w:rPr>
                <w:b/>
                <w:bCs/>
              </w:rPr>
              <w:t>Skeletal Density / g cm-3</w:t>
            </w:r>
          </w:p>
        </w:tc>
      </w:tr>
      <w:tr w:rsidR="00C36C9C" w14:paraId="3E0943C4" w14:textId="77777777" w:rsidTr="00C36C9C">
        <w:tc>
          <w:tcPr>
            <w:tcW w:w="4531" w:type="dxa"/>
            <w:tcBorders>
              <w:top w:val="single" w:sz="4" w:space="0" w:color="auto"/>
            </w:tcBorders>
          </w:tcPr>
          <w:p w14:paraId="0965D21F" w14:textId="7D086F90" w:rsidR="00C36C9C" w:rsidRDefault="00C36C9C" w:rsidP="00C36C9C">
            <w:r>
              <w:t>SBA-3 2.7</w:t>
            </w:r>
          </w:p>
        </w:tc>
        <w:tc>
          <w:tcPr>
            <w:tcW w:w="4531" w:type="dxa"/>
            <w:tcBorders>
              <w:top w:val="single" w:sz="4" w:space="0" w:color="auto"/>
            </w:tcBorders>
          </w:tcPr>
          <w:p w14:paraId="223A9F98" w14:textId="34AC5BA0" w:rsidR="00C36C9C" w:rsidRDefault="00C36C9C" w:rsidP="00C36C9C">
            <w:r>
              <w:t>2.24</w:t>
            </w:r>
          </w:p>
        </w:tc>
      </w:tr>
      <w:tr w:rsidR="00C36C9C" w14:paraId="0169E081" w14:textId="77777777" w:rsidTr="00C36C9C">
        <w:tc>
          <w:tcPr>
            <w:tcW w:w="4531" w:type="dxa"/>
          </w:tcPr>
          <w:p w14:paraId="04797CDD" w14:textId="19CA40BD" w:rsidR="00C36C9C" w:rsidRDefault="00C36C9C" w:rsidP="00C36C9C">
            <w:r>
              <w:t>MCM-41 3.8</w:t>
            </w:r>
          </w:p>
        </w:tc>
        <w:tc>
          <w:tcPr>
            <w:tcW w:w="4531" w:type="dxa"/>
          </w:tcPr>
          <w:p w14:paraId="43B7E8C7" w14:textId="3A272CE0" w:rsidR="00C36C9C" w:rsidRDefault="00C36C9C" w:rsidP="00C36C9C">
            <w:r>
              <w:t>2.29</w:t>
            </w:r>
          </w:p>
        </w:tc>
      </w:tr>
      <w:tr w:rsidR="00C36C9C" w14:paraId="13E5869B" w14:textId="77777777" w:rsidTr="00C36C9C">
        <w:tc>
          <w:tcPr>
            <w:tcW w:w="4531" w:type="dxa"/>
          </w:tcPr>
          <w:p w14:paraId="55D66FE8" w14:textId="4A1E1B45" w:rsidR="00C36C9C" w:rsidRDefault="00C36C9C" w:rsidP="00C36C9C">
            <w:r>
              <w:t>KIT-6 5.7</w:t>
            </w:r>
          </w:p>
        </w:tc>
        <w:tc>
          <w:tcPr>
            <w:tcW w:w="4531" w:type="dxa"/>
          </w:tcPr>
          <w:p w14:paraId="1E8FF638" w14:textId="1A0B540C" w:rsidR="00C36C9C" w:rsidRDefault="00C36C9C" w:rsidP="00C36C9C">
            <w:r>
              <w:t>2.19</w:t>
            </w:r>
          </w:p>
        </w:tc>
      </w:tr>
      <w:tr w:rsidR="00C36C9C" w14:paraId="5490C61F" w14:textId="77777777" w:rsidTr="00C36C9C">
        <w:tc>
          <w:tcPr>
            <w:tcW w:w="4531" w:type="dxa"/>
          </w:tcPr>
          <w:p w14:paraId="6769ADFD" w14:textId="33CE9DDC" w:rsidR="00C36C9C" w:rsidRDefault="00C36C9C" w:rsidP="00C36C9C">
            <w:r>
              <w:t>KIT-6 6.8</w:t>
            </w:r>
          </w:p>
        </w:tc>
        <w:tc>
          <w:tcPr>
            <w:tcW w:w="4531" w:type="dxa"/>
          </w:tcPr>
          <w:p w14:paraId="5C44C044" w14:textId="20D3D23B" w:rsidR="00C36C9C" w:rsidRDefault="00C36C9C" w:rsidP="00C36C9C">
            <w:r>
              <w:t>2.25</w:t>
            </w:r>
          </w:p>
        </w:tc>
      </w:tr>
      <w:tr w:rsidR="00C36C9C" w14:paraId="4D384C5A" w14:textId="77777777" w:rsidTr="00C36C9C">
        <w:tc>
          <w:tcPr>
            <w:tcW w:w="4531" w:type="dxa"/>
          </w:tcPr>
          <w:p w14:paraId="510D6FCC" w14:textId="4D0C4479" w:rsidR="00C36C9C" w:rsidRDefault="00C36C9C" w:rsidP="00C36C9C">
            <w:r>
              <w:t>KIT-6 8.5</w:t>
            </w:r>
          </w:p>
        </w:tc>
        <w:tc>
          <w:tcPr>
            <w:tcW w:w="4531" w:type="dxa"/>
          </w:tcPr>
          <w:p w14:paraId="0B86CB77" w14:textId="27589258" w:rsidR="00C36C9C" w:rsidRDefault="00C36C9C" w:rsidP="00C36C9C">
            <w:r>
              <w:t>2.19</w:t>
            </w:r>
          </w:p>
        </w:tc>
      </w:tr>
      <w:tr w:rsidR="00C36C9C" w14:paraId="32F676B5" w14:textId="77777777" w:rsidTr="00C36C9C">
        <w:tc>
          <w:tcPr>
            <w:tcW w:w="4531" w:type="dxa"/>
          </w:tcPr>
          <w:p w14:paraId="03D5F469" w14:textId="5D68704E" w:rsidR="00C36C9C" w:rsidRDefault="00C36C9C" w:rsidP="00C36C9C">
            <w:r>
              <w:t>KIT-6 10.1</w:t>
            </w:r>
          </w:p>
        </w:tc>
        <w:tc>
          <w:tcPr>
            <w:tcW w:w="4531" w:type="dxa"/>
          </w:tcPr>
          <w:p w14:paraId="420E2035" w14:textId="66009D1C" w:rsidR="00C36C9C" w:rsidRDefault="00C36C9C" w:rsidP="00C36C9C">
            <w:r>
              <w:t>2.22</w:t>
            </w:r>
          </w:p>
        </w:tc>
      </w:tr>
    </w:tbl>
    <w:p w14:paraId="4DF4A94C" w14:textId="13C061A4" w:rsidR="00C36C9C" w:rsidRDefault="00C36C9C" w:rsidP="00C36C9C"/>
    <w:p w14:paraId="7AF0CE65" w14:textId="3998BCDE" w:rsidR="00FE3AD1" w:rsidRDefault="00FE3AD1" w:rsidP="00FE3AD1">
      <w:pPr>
        <w:pStyle w:val="Heading1"/>
      </w:pPr>
      <w:r>
        <w:t>Ar 87 K Adsorption</w:t>
      </w:r>
      <w:r w:rsidR="00A53246">
        <w:t xml:space="preserve"> Isotherms of Mesoporous Silica Model Materials</w:t>
      </w:r>
    </w:p>
    <w:p w14:paraId="33925236" w14:textId="1AE67341" w:rsidR="00BD72CC" w:rsidRPr="00BD72CC" w:rsidRDefault="00812D8F" w:rsidP="00BD72CC">
      <w:r w:rsidRPr="006B5DA4">
        <w:rPr>
          <w:b/>
          <w:bCs/>
        </w:rPr>
        <w:fldChar w:fldCharType="begin"/>
      </w:r>
      <w:r w:rsidRPr="006B5DA4">
        <w:rPr>
          <w:b/>
          <w:bCs/>
        </w:rPr>
        <w:instrText xml:space="preserve"> REF _Ref175145470 \h </w:instrText>
      </w:r>
      <w:r w:rsidR="006B5DA4">
        <w:rPr>
          <w:b/>
          <w:bCs/>
        </w:rPr>
        <w:instrText xml:space="preserve"> \* MERGEFORMAT </w:instrText>
      </w:r>
      <w:r w:rsidRPr="006B5DA4">
        <w:rPr>
          <w:b/>
          <w:bCs/>
        </w:rPr>
      </w:r>
      <w:r w:rsidRPr="006B5DA4">
        <w:rPr>
          <w:b/>
          <w:bCs/>
        </w:rPr>
        <w:fldChar w:fldCharType="separate"/>
      </w:r>
      <w:r w:rsidR="00D65785" w:rsidRPr="006B5DA4">
        <w:rPr>
          <w:b/>
          <w:bCs/>
        </w:rPr>
        <w:t>Fig.</w:t>
      </w:r>
      <w:r w:rsidRPr="006B5DA4">
        <w:rPr>
          <w:b/>
          <w:bCs/>
        </w:rPr>
        <w:t xml:space="preserve"> S</w:t>
      </w:r>
      <w:r w:rsidRPr="006B5DA4">
        <w:rPr>
          <w:b/>
          <w:bCs/>
          <w:noProof/>
        </w:rPr>
        <w:t>4</w:t>
      </w:r>
      <w:r w:rsidRPr="006B5DA4">
        <w:rPr>
          <w:b/>
          <w:bCs/>
        </w:rPr>
        <w:fldChar w:fldCharType="end"/>
      </w:r>
      <w:r>
        <w:t xml:space="preserve"> and </w:t>
      </w:r>
      <w:r w:rsidRPr="006B5DA4">
        <w:rPr>
          <w:b/>
          <w:bCs/>
        </w:rPr>
        <w:fldChar w:fldCharType="begin"/>
      </w:r>
      <w:r w:rsidRPr="006B5DA4">
        <w:rPr>
          <w:b/>
          <w:bCs/>
        </w:rPr>
        <w:instrText xml:space="preserve"> REF _Ref175145471 \h </w:instrText>
      </w:r>
      <w:r w:rsidR="006B5DA4">
        <w:rPr>
          <w:b/>
          <w:bCs/>
        </w:rPr>
        <w:instrText xml:space="preserve"> \* MERGEFORMAT </w:instrText>
      </w:r>
      <w:r w:rsidRPr="006B5DA4">
        <w:rPr>
          <w:b/>
          <w:bCs/>
        </w:rPr>
      </w:r>
      <w:r w:rsidRPr="006B5DA4">
        <w:rPr>
          <w:b/>
          <w:bCs/>
        </w:rPr>
        <w:fldChar w:fldCharType="separate"/>
      </w:r>
      <w:r w:rsidR="00D65785" w:rsidRPr="006B5DA4">
        <w:rPr>
          <w:b/>
          <w:bCs/>
        </w:rPr>
        <w:t>Fig.</w:t>
      </w:r>
      <w:r w:rsidRPr="006B5DA4">
        <w:rPr>
          <w:b/>
          <w:bCs/>
        </w:rPr>
        <w:t xml:space="preserve"> S</w:t>
      </w:r>
      <w:r w:rsidRPr="006B5DA4">
        <w:rPr>
          <w:b/>
          <w:bCs/>
          <w:noProof/>
        </w:rPr>
        <w:t>5</w:t>
      </w:r>
      <w:r w:rsidRPr="006B5DA4">
        <w:rPr>
          <w:b/>
          <w:bCs/>
        </w:rPr>
        <w:fldChar w:fldCharType="end"/>
      </w:r>
      <w:r w:rsidR="00BD72CC">
        <w:t xml:space="preserve"> show the </w:t>
      </w:r>
      <w:proofErr w:type="spellStart"/>
      <w:r w:rsidR="00BD72CC">
        <w:t>Ar</w:t>
      </w:r>
      <w:proofErr w:type="spellEnd"/>
      <w:r w:rsidR="00BD72CC">
        <w:t xml:space="preserve"> 87 K adsorption isotherms on the mesoporous model materials that were shown in Fig</w:t>
      </w:r>
      <w:r w:rsidR="007D6C38">
        <w:t>.</w:t>
      </w:r>
      <w:r w:rsidR="00BD72CC">
        <w:t xml:space="preserve"> 1 in the main text as linear and semi-logarithmic plots.</w:t>
      </w:r>
    </w:p>
    <w:p w14:paraId="1B0D487D" w14:textId="60A7F90B" w:rsidR="00812D8F" w:rsidRDefault="00BD70CC" w:rsidP="00812D8F">
      <w:pPr>
        <w:keepNext/>
      </w:pPr>
      <w:r>
        <w:object w:dxaOrig="10884" w:dyaOrig="14979" w14:anchorId="0B7F7578">
          <v:shape id="_x0000_i1028" type="#_x0000_t75" style="width:453pt;height:624pt" o:ole="">
            <v:imagedata r:id="rId11" o:title=""/>
          </v:shape>
          <o:OLEObject Type="Embed" ProgID="Origin95.Graph" ShapeID="_x0000_i1028" DrawAspect="Content" ObjectID="_1801990709" r:id="rId12"/>
        </w:object>
      </w:r>
    </w:p>
    <w:p w14:paraId="38C26679" w14:textId="09DD72F7" w:rsidR="00812D8F" w:rsidRPr="00A53246" w:rsidRDefault="00D65785" w:rsidP="00812D8F">
      <w:pPr>
        <w:pStyle w:val="Caption"/>
      </w:pPr>
      <w:bookmarkStart w:id="5" w:name="_Ref175145470"/>
      <w:r w:rsidRPr="006B5DA4">
        <w:rPr>
          <w:b/>
          <w:bCs/>
        </w:rPr>
        <w:t>Fig.</w:t>
      </w:r>
      <w:r w:rsidR="00812D8F" w:rsidRPr="006B5DA4">
        <w:rPr>
          <w:b/>
          <w:bCs/>
        </w:rPr>
        <w:t xml:space="preserve"> S</w:t>
      </w:r>
      <w:r w:rsidR="00812D8F" w:rsidRPr="006B5DA4">
        <w:rPr>
          <w:b/>
          <w:bCs/>
        </w:rPr>
        <w:fldChar w:fldCharType="begin"/>
      </w:r>
      <w:r w:rsidR="00812D8F" w:rsidRPr="006B5DA4">
        <w:rPr>
          <w:b/>
          <w:bCs/>
        </w:rPr>
        <w:instrText xml:space="preserve"> SEQ Figure_S \* ARABIC </w:instrText>
      </w:r>
      <w:r w:rsidR="00812D8F" w:rsidRPr="006B5DA4">
        <w:rPr>
          <w:b/>
          <w:bCs/>
        </w:rPr>
        <w:fldChar w:fldCharType="separate"/>
      </w:r>
      <w:r w:rsidR="00A009CB" w:rsidRPr="006B5DA4">
        <w:rPr>
          <w:b/>
          <w:bCs/>
          <w:noProof/>
        </w:rPr>
        <w:t>4</w:t>
      </w:r>
      <w:r w:rsidR="00812D8F" w:rsidRPr="006B5DA4">
        <w:rPr>
          <w:b/>
          <w:bCs/>
        </w:rPr>
        <w:fldChar w:fldCharType="end"/>
      </w:r>
      <w:bookmarkEnd w:id="5"/>
      <w:r w:rsidR="00812D8F">
        <w:t xml:space="preserve">: Linear and semi-logarithmic plot of Ar 87 K isotherms of the </w:t>
      </w:r>
      <w:r w:rsidR="006A5012">
        <w:t xml:space="preserve">ordered </w:t>
      </w:r>
      <w:r w:rsidR="00812D8F">
        <w:t xml:space="preserve">mesoporous </w:t>
      </w:r>
      <w:r w:rsidR="006A5012">
        <w:t>silica</w:t>
      </w:r>
      <w:r w:rsidR="00812D8F">
        <w:t>. (a) SBA-3 2.7 (linear), (b) SBA-3 2.7 (semi-log), (c) MCM-41 3.8 (linear), (d) MCM-41 3.8 (semi-log), (e) KIT-6 5.7 (linear), (f) KIT-6 5.7 (semi-log) (</w:t>
      </w:r>
      <w:r w:rsidR="00391ADB">
        <w:t>r</w:t>
      </w:r>
      <w:r w:rsidR="00812D8F">
        <w:t xml:space="preserve">eprinted from </w:t>
      </w:r>
      <w:r w:rsidR="00812D8F">
        <w:fldChar w:fldCharType="begin"/>
      </w:r>
      <w:r w:rsidR="00C8740B">
        <w:instrText xml:space="preserve"> ADDIN ZOTERO_ITEM CSL_CITATION {"citationID":"u5F1rlud","properties":{"formattedCitation":"(Schlumberger 2024)","plainCitation":"(Schlumberger 2024)","noteIndex":0},"citationItems":[{"id":4879,"uris":["http://zotero.org/users/local/oWpNT99E/items/6EWVQXZD"],"itemData":{"id":4879,"type":"thesis","abstract":"Tuning of textural properties and the surface chemistry of porous materials is essential to enhance their selectivity to certain compounds and the resulting process efficiency, e.g. in chromatographic separation processes or catalysis. Hence, the valid assessment of textural properties such as surface area and pore size is crucial for these applications. Within this context, major progress has been made concerning the characterization of porous materials in the gas/dry state by gas physisorption and mercury porosimetry. However, these methods are not sufficient for the characterization of wet porous materials used in liquid phase processes. Considering this is particularly important for functionalized nanoporous materials, where the interaction of surface functional groups with the chosen liquid may affect the effective surface area and pore characteristics. For this, the application of nuclear magnetic resonance (NMR) relaxometry has been considered in the past, but a systematic and rigorous assessment of its validity is missing so far. Within this context, this thesis focuses on the development of novel methodologies by combining NMR relaxometry with gas adsorption for the reliable and advanced characterization of nanoporous materials in the wet and dry state. First, the thesis particularly focuses on NMR relaxometry for surface area assessment. A systematic study is presented, which assesses the applicability of NMR relaxometry for valid surface area assessment, utilizing for the first time true surface area benchmark data based on argon 87 K adsorption of silica and carbon model materials. This is coupled with an advanced method development including the investigation of the choice of probe molecule and the effect of its accessibility to the pore system. This thesis demonstrates that the method can provide valid and fast surface areas for these model materials. Furthermore, it shows the potential of NMR relaxometry for the targeted surface area assessment of defined pore classes and proposes a novel methodology for the determination of pore window sizes. The effect of confinement on the applicability of NMR relaxometry for surface area assessment is systematically investigated, which also indicates its potential for pore size analysis. Related to that, this work shows a first attempt to apply NMR relaxometry for pore size analysis by comparing NMR relaxometry for the first time with benchmark pore size data determined with Ar 87 K adsorption coupled with advanced statistical mechanics approaches. These experimental studies are coupled with the implementation of a molecular simulation framework for complementary simulations of the NMR relaxation times of confined pore fluids. This thesis further investigates the potential of NMR relaxometry to assess wettability effects. NMR relaxation times are affected by an interplay of textural properties and wettability effects. To distinguish between these effects, a novel methodology is suggested to quantify the wetting behavior of fluids on (pore) surfaces and its applicability is demonstrated coupled with water vapor adsorption and intrusion experiments to assess the hydrophilicity/hydrophobicity of functionalized mesoporous silica. In this sense, the combination of NMR relaxometry and gas adsorption builds the basis for a unified approach for the comprehensive characterization of nanoporous materials.","event-place":"Erlangen","genre":"Dissertation","language":"en","publisher":"Friedrich-Alexander-Universität Erlangen-Nürnberg","publisher-place":"Erlangen","source":"open.fau.de","title":"Novel Methodologies based on a Combination of Nuclear Magnetic Resonance Relaxometry and Gas Adsorption for Advanced Characterization of Nanoporous Materials and Powders in the Wet and Dry State","URL":"https://doi.org/10.25593/open-fau-791","author":[{"family":"Schlumberger","given":"Carola"}],"issued":{"date-parts":[["2024"]]}}}],"schema":"https://github.com/citation-style-language/schema/raw/master/csl-citation.json"} </w:instrText>
      </w:r>
      <w:r w:rsidR="00812D8F">
        <w:fldChar w:fldCharType="separate"/>
      </w:r>
      <w:r w:rsidR="00C8740B" w:rsidRPr="00C8740B">
        <w:rPr>
          <w:rFonts w:cs="Times"/>
        </w:rPr>
        <w:t>(Schlumberger 2024)</w:t>
      </w:r>
      <w:r w:rsidR="00812D8F">
        <w:fldChar w:fldCharType="end"/>
      </w:r>
      <w:r w:rsidR="00812D8F">
        <w:t>)</w:t>
      </w:r>
    </w:p>
    <w:p w14:paraId="55DD0178" w14:textId="14E1F2CC" w:rsidR="008954D4" w:rsidRDefault="008954D4" w:rsidP="00812D8F">
      <w:pPr>
        <w:pStyle w:val="Caption"/>
      </w:pPr>
    </w:p>
    <w:p w14:paraId="5FB76F9E" w14:textId="2224327B" w:rsidR="00812D8F" w:rsidRDefault="00BD70CC" w:rsidP="00812D8F">
      <w:pPr>
        <w:keepNext/>
      </w:pPr>
      <w:r>
        <w:object w:dxaOrig="10884" w:dyaOrig="14979" w14:anchorId="5F748493">
          <v:shape id="_x0000_i1029" type="#_x0000_t75" style="width:453pt;height:624pt" o:ole="">
            <v:imagedata r:id="rId13" o:title=""/>
          </v:shape>
          <o:OLEObject Type="Embed" ProgID="Origin95.Graph" ShapeID="_x0000_i1029" DrawAspect="Content" ObjectID="_1801990710" r:id="rId14"/>
        </w:object>
      </w:r>
    </w:p>
    <w:p w14:paraId="0357387B" w14:textId="26E3C51A" w:rsidR="00812D8F" w:rsidRDefault="00D65785" w:rsidP="00812D8F">
      <w:pPr>
        <w:pStyle w:val="Caption"/>
      </w:pPr>
      <w:bookmarkStart w:id="6" w:name="_Ref175145471"/>
      <w:r w:rsidRPr="006B5DA4">
        <w:rPr>
          <w:b/>
          <w:bCs/>
        </w:rPr>
        <w:t>Fig.</w:t>
      </w:r>
      <w:r w:rsidR="00812D8F" w:rsidRPr="006B5DA4">
        <w:rPr>
          <w:b/>
          <w:bCs/>
        </w:rPr>
        <w:t xml:space="preserve"> S</w:t>
      </w:r>
      <w:r w:rsidR="00812D8F" w:rsidRPr="006B5DA4">
        <w:rPr>
          <w:b/>
          <w:bCs/>
        </w:rPr>
        <w:fldChar w:fldCharType="begin"/>
      </w:r>
      <w:r w:rsidR="00812D8F" w:rsidRPr="006B5DA4">
        <w:rPr>
          <w:b/>
          <w:bCs/>
        </w:rPr>
        <w:instrText xml:space="preserve"> SEQ Figure_S \* ARABIC </w:instrText>
      </w:r>
      <w:r w:rsidR="00812D8F" w:rsidRPr="006B5DA4">
        <w:rPr>
          <w:b/>
          <w:bCs/>
        </w:rPr>
        <w:fldChar w:fldCharType="separate"/>
      </w:r>
      <w:r w:rsidR="00A009CB" w:rsidRPr="006B5DA4">
        <w:rPr>
          <w:b/>
          <w:bCs/>
          <w:noProof/>
        </w:rPr>
        <w:t>5</w:t>
      </w:r>
      <w:r w:rsidR="00812D8F" w:rsidRPr="006B5DA4">
        <w:rPr>
          <w:b/>
          <w:bCs/>
        </w:rPr>
        <w:fldChar w:fldCharType="end"/>
      </w:r>
      <w:bookmarkEnd w:id="6"/>
      <w:r w:rsidR="00812D8F">
        <w:t xml:space="preserve">: Linear and semi-logarithmic plot of Ar 87 K isotherms of the </w:t>
      </w:r>
      <w:r w:rsidR="006A5012">
        <w:t xml:space="preserve">ordered </w:t>
      </w:r>
      <w:r w:rsidR="00812D8F">
        <w:t xml:space="preserve">mesoporous </w:t>
      </w:r>
      <w:r w:rsidR="006A5012">
        <w:t>silica materials</w:t>
      </w:r>
      <w:r w:rsidR="00812D8F">
        <w:t>. (a) KIT-6 6.8 (linear), (b) KIT-6 6.8 (semi-log), (c) KIT-6 8.5 (linear), (d) KIT-6 8.5 (semi-log), (e) KIT-6 10.1 (linear), (f) KIT-6 10.1 (semi-log) (</w:t>
      </w:r>
      <w:r w:rsidR="00391ADB">
        <w:t>r</w:t>
      </w:r>
      <w:r w:rsidR="00812D8F">
        <w:t xml:space="preserve">eprinted from </w:t>
      </w:r>
      <w:r w:rsidR="00812D8F">
        <w:fldChar w:fldCharType="begin"/>
      </w:r>
      <w:r w:rsidR="00C8740B">
        <w:instrText xml:space="preserve"> ADDIN ZOTERO_ITEM CSL_CITATION {"citationID":"GmzcyLvZ","properties":{"formattedCitation":"(Schlumberger 2024)","plainCitation":"(Schlumberger 2024)","noteIndex":0},"citationItems":[{"id":4879,"uris":["http://zotero.org/users/local/oWpNT99E/items/6EWVQXZD"],"itemData":{"id":4879,"type":"thesis","abstract":"Tuning of textural properties and the surface chemistry of porous materials is essential to enhance their selectivity to certain compounds and the resulting process efficiency, e.g. in chromatographic separation processes or catalysis. Hence, the valid assessment of textural properties such as surface area and pore size is crucial for these applications. Within this context, major progress has been made concerning the characterization of porous materials in the gas/dry state by gas physisorption and mercury porosimetry. However, these methods are not sufficient for the characterization of wet porous materials used in liquid phase processes. Considering this is particularly important for functionalized nanoporous materials, where the interaction of surface functional groups with the chosen liquid may affect the effective surface area and pore characteristics. For this, the application of nuclear magnetic resonance (NMR) relaxometry has been considered in the past, but a systematic and rigorous assessment of its validity is missing so far. Within this context, this thesis focuses on the development of novel methodologies by combining NMR relaxometry with gas adsorption for the reliable and advanced characterization of nanoporous materials in the wet and dry state. First, the thesis particularly focuses on NMR relaxometry for surface area assessment. A systematic study is presented, which assesses the applicability of NMR relaxometry for valid surface area assessment, utilizing for the first time true surface area benchmark data based on argon 87 K adsorption of silica and carbon model materials. This is coupled with an advanced method development including the investigation of the choice of probe molecule and the effect of its accessibility to the pore system. This thesis demonstrates that the method can provide valid and fast surface areas for these model materials. Furthermore, it shows the potential of NMR relaxometry for the targeted surface area assessment of defined pore classes and proposes a novel methodology for the determination of pore window sizes. The effect of confinement on the applicability of NMR relaxometry for surface area assessment is systematically investigated, which also indicates its potential for pore size analysis. Related to that, this work shows a first attempt to apply NMR relaxometry for pore size analysis by comparing NMR relaxometry for the first time with benchmark pore size data determined with Ar 87 K adsorption coupled with advanced statistical mechanics approaches. These experimental studies are coupled with the implementation of a molecular simulation framework for complementary simulations of the NMR relaxation times of confined pore fluids. This thesis further investigates the potential of NMR relaxometry to assess wettability effects. NMR relaxation times are affected by an interplay of textural properties and wettability effects. To distinguish between these effects, a novel methodology is suggested to quantify the wetting behavior of fluids on (pore) surfaces and its applicability is demonstrated coupled with water vapor adsorption and intrusion experiments to assess the hydrophilicity/hydrophobicity of functionalized mesoporous silica. In this sense, the combination of NMR relaxometry and gas adsorption builds the basis for a unified approach for the comprehensive characterization of nanoporous materials.","event-place":"Erlangen","genre":"Dissertation","language":"en","publisher":"Friedrich-Alexander-Universität Erlangen-Nürnberg","publisher-place":"Erlangen","source":"open.fau.de","title":"Novel Methodologies based on a Combination of Nuclear Magnetic Resonance Relaxometry and Gas Adsorption for Advanced Characterization of Nanoporous Materials and Powders in the Wet and Dry State","URL":"https://doi.org/10.25593/open-fau-791","author":[{"family":"Schlumberger","given":"Carola"}],"issued":{"date-parts":[["2024"]]}}}],"schema":"https://github.com/citation-style-language/schema/raw/master/csl-citation.json"} </w:instrText>
      </w:r>
      <w:r w:rsidR="00812D8F">
        <w:fldChar w:fldCharType="separate"/>
      </w:r>
      <w:r w:rsidR="00C8740B" w:rsidRPr="00C8740B">
        <w:rPr>
          <w:rFonts w:cs="Times"/>
        </w:rPr>
        <w:t>(Schlumberger 2024)</w:t>
      </w:r>
      <w:r w:rsidR="00812D8F">
        <w:fldChar w:fldCharType="end"/>
      </w:r>
      <w:r w:rsidR="00812D8F">
        <w:t>)</w:t>
      </w:r>
    </w:p>
    <w:p w14:paraId="5A1D7B8F" w14:textId="381A0D0B" w:rsidR="004F75E3" w:rsidRDefault="004F75E3" w:rsidP="004F75E3"/>
    <w:p w14:paraId="479CEE66" w14:textId="77777777" w:rsidR="004F75E3" w:rsidRDefault="004F75E3" w:rsidP="004F75E3">
      <w:pPr>
        <w:pStyle w:val="Heading1"/>
      </w:pPr>
      <w:r>
        <w:lastRenderedPageBreak/>
        <w:t>Assessment of Wetting Characteristics by NMR Relaxometry</w:t>
      </w:r>
    </w:p>
    <w:p w14:paraId="6A72A51B" w14:textId="7F40E842" w:rsidR="004F75E3" w:rsidRDefault="004F75E3" w:rsidP="004F75E3">
      <w:pPr>
        <w:rPr>
          <w:szCs w:val="24"/>
        </w:rPr>
      </w:pPr>
      <w:r>
        <w:rPr>
          <w:szCs w:val="24"/>
        </w:rPr>
        <w:t xml:space="preserve">The applicability of NMR relaxometry in the context of surface area assessment as well as pore size analysis requires the choice of fluids completely wetting the adsorbent’s surface. Beyond that, NMR relaxometry can be a valuable tool to investigate the wettability. In our previous study </w:t>
      </w:r>
      <w:r>
        <w:rPr>
          <w:szCs w:val="24"/>
        </w:rPr>
        <w:fldChar w:fldCharType="begin"/>
      </w:r>
      <w:r>
        <w:rPr>
          <w:szCs w:val="24"/>
        </w:rPr>
        <w:instrText xml:space="preserve"> ADDIN ZOTERO_ITEM CSL_CITATION {"citationID":"YZ9Mh1IA","properties":{"formattedCitation":"(Schlumberger et al. 2024)","plainCitation":"(Schlumberger et al. 2024)","noteIndex":0},"citationItems":[{"id":4293,"uris":["http://zotero.org/users/local/oWpNT99E/items/ZUGN6VEQ"],"itemData":{"id":4293,"type":"article-journal","abstract":"Nanoporous silica is widely used as a support material for chemically bound stationary phases in chromatographic separations as well as for catalytic applications. Tuning of textural properties and surface chemistry of stationary phase materials (SPMs) is crucial to enhance their selectivity to certain compounds and the resulting process efficiency. Nanoporous silica supports are beneficial, as surface modifications are possible with a large variety of hydrophilic and hydrophobic functional groups, but their influence on the surface properties has not been evaluated in detail. In this sense, the contact angle is a key parameter for the assessment of surface chemistry, but its quantification in pores is challenging and requires a combination of various experimental techniques. This work demonstrates that combining water adsorption and intrusion measurements allows for the determination of the effective contact angle of adsorbed water on the pore walls for wetting, partial wetting, and nonwetting situations using functionalized hydrophilic and hydrophobic silica SPMs as model materials. Furthermore, NMR relaxometry experiments reveal that the ratio of the spin–lattice (T1) to spin–spin (T2) relaxation time of the adsorbed water film (T1,ads.film/T2,ads.film ratio) can be correlated with the effective adsorption strength of water on the surface. Indeed, a linear correlation between the negative inverse relaxation time ratio (−T2,ads.film/T1,ads.film) and the contact angle is observed. Our work demonstrates that water vapor adsorption and water intrusion experiments coupled with NMR relaxometry can be used as complementary tools to quantify the wettability and surface chemistry of nanoporous materials. This approach allows for addressing important aspects of nanoscale wettability in the context of material synthesis as well as for their application in chromatographic separation processes and catalysis.","container-title":"ACS Applied Nano Materials","DOI":"10.1021/acsanm.3c04330","issue":"2","journalAbbreviation":"ACS Appl. Nano Mater.","note":"publisher: American Chemical Society","page":"1572-1585","source":"ACS Publications","title":"Characterization of Functionalized Chromatographic Nanoporous Silica Materials by Coupling Water Adsorption and Intrusion with Nuclear Magnetic Resonance Relaxometry","volume":"7","author":[{"family":"Schlumberger","given":"Carola"},{"family":"Collados","given":"Carlos Cuadrado"},{"family":"Söllner","given":"Jakob"},{"family":"Huber","given":"Christoph"},{"family":"Wisser","given":"Dorothea"},{"family":"Liu","given":"Hsiao-Feng"},{"family":"Chang","given":"Chun-Kai"},{"family":"Schuster","given":"Stephanie A."},{"family":"Schure","given":"Mark R."},{"family":"Hartmann","given":"Martin"},{"family":"Siepmann","given":"J. Ilja"},{"family":"Thommes","given":"Matthias"}],"issued":{"date-parts":[["2024",1,8]]}}}],"schema":"https://github.com/citation-style-language/schema/raw/master/csl-citation.json"} </w:instrText>
      </w:r>
      <w:r>
        <w:rPr>
          <w:szCs w:val="24"/>
        </w:rPr>
        <w:fldChar w:fldCharType="separate"/>
      </w:r>
      <w:r w:rsidRPr="001D4BAE">
        <w:rPr>
          <w:rFonts w:cs="Times"/>
        </w:rPr>
        <w:t>(Schlumberger et al. 2024)</w:t>
      </w:r>
      <w:r>
        <w:rPr>
          <w:szCs w:val="24"/>
        </w:rPr>
        <w:fldChar w:fldCharType="end"/>
      </w:r>
      <w:r>
        <w:rPr>
          <w:szCs w:val="24"/>
        </w:rPr>
        <w:t>, we reported that one can use the ratio of spin-lattice to spin-spin relaxation time of the adsorbed liquid film (</w:t>
      </w:r>
      <w:r w:rsidRPr="007700C7">
        <w:rPr>
          <w:i/>
          <w:iCs/>
          <w:szCs w:val="24"/>
        </w:rPr>
        <w:t>T</w:t>
      </w:r>
      <w:r w:rsidRPr="007700C7">
        <w:rPr>
          <w:i/>
          <w:iCs/>
          <w:szCs w:val="24"/>
          <w:vertAlign w:val="subscript"/>
        </w:rPr>
        <w:t>ads.film</w:t>
      </w:r>
      <w:r w:rsidR="00D65785">
        <w:rPr>
          <w:i/>
          <w:iCs/>
          <w:szCs w:val="24"/>
          <w:vertAlign w:val="subscript"/>
        </w:rPr>
        <w:t>,1</w:t>
      </w:r>
      <w:r>
        <w:rPr>
          <w:szCs w:val="24"/>
        </w:rPr>
        <w:t>/</w:t>
      </w:r>
      <w:r w:rsidRPr="007700C7">
        <w:rPr>
          <w:i/>
          <w:iCs/>
          <w:szCs w:val="24"/>
        </w:rPr>
        <w:t>T</w:t>
      </w:r>
      <w:r w:rsidRPr="007700C7">
        <w:rPr>
          <w:i/>
          <w:iCs/>
          <w:szCs w:val="24"/>
          <w:vertAlign w:val="subscript"/>
        </w:rPr>
        <w:t>ads.film</w:t>
      </w:r>
      <w:r w:rsidR="00D65785">
        <w:rPr>
          <w:i/>
          <w:iCs/>
          <w:szCs w:val="24"/>
          <w:vertAlign w:val="subscript"/>
        </w:rPr>
        <w:t>,2</w:t>
      </w:r>
      <w:r>
        <w:rPr>
          <w:szCs w:val="24"/>
        </w:rPr>
        <w:t xml:space="preserve">) to quantitatively analyze and compare the wetting characteristics of adsorbates on surfaces. The </w:t>
      </w:r>
      <w:r w:rsidRPr="007700C7">
        <w:rPr>
          <w:i/>
          <w:iCs/>
          <w:szCs w:val="24"/>
        </w:rPr>
        <w:t>T</w:t>
      </w:r>
      <w:r w:rsidRPr="007700C7">
        <w:rPr>
          <w:i/>
          <w:iCs/>
          <w:szCs w:val="24"/>
          <w:vertAlign w:val="subscript"/>
        </w:rPr>
        <w:t>ads.film</w:t>
      </w:r>
      <w:r w:rsidR="00D65785">
        <w:rPr>
          <w:i/>
          <w:iCs/>
          <w:szCs w:val="24"/>
          <w:vertAlign w:val="subscript"/>
        </w:rPr>
        <w:t>,1</w:t>
      </w:r>
      <w:r>
        <w:rPr>
          <w:szCs w:val="24"/>
        </w:rPr>
        <w:t>/</w:t>
      </w:r>
      <w:r w:rsidRPr="007700C7">
        <w:rPr>
          <w:i/>
          <w:iCs/>
          <w:szCs w:val="24"/>
        </w:rPr>
        <w:t>T</w:t>
      </w:r>
      <w:r w:rsidRPr="007700C7">
        <w:rPr>
          <w:i/>
          <w:iCs/>
          <w:szCs w:val="24"/>
          <w:vertAlign w:val="subscript"/>
        </w:rPr>
        <w:t>ads.film</w:t>
      </w:r>
      <w:r w:rsidR="00D65785">
        <w:rPr>
          <w:i/>
          <w:iCs/>
          <w:szCs w:val="24"/>
          <w:vertAlign w:val="subscript"/>
        </w:rPr>
        <w:t>,2</w:t>
      </w:r>
      <w:r>
        <w:rPr>
          <w:szCs w:val="24"/>
        </w:rPr>
        <w:t xml:space="preserve"> -ratio can be calculated by using the ratio of the specific surface </w:t>
      </w:r>
      <w:proofErr w:type="spellStart"/>
      <w:r>
        <w:rPr>
          <w:szCs w:val="24"/>
        </w:rPr>
        <w:t>relaxivities</w:t>
      </w:r>
      <w:proofErr w:type="spellEnd"/>
      <w:r>
        <w:rPr>
          <w:szCs w:val="24"/>
        </w:rPr>
        <w:t xml:space="preserve"> (</w:t>
      </w:r>
      <w:r w:rsidRPr="007700C7">
        <w:rPr>
          <w:i/>
          <w:iCs/>
          <w:szCs w:val="24"/>
        </w:rPr>
        <w:t>k</w:t>
      </w:r>
      <w:r w:rsidRPr="007700C7">
        <w:rPr>
          <w:i/>
          <w:iCs/>
          <w:szCs w:val="24"/>
          <w:vertAlign w:val="subscript"/>
        </w:rPr>
        <w:t>a,2</w:t>
      </w:r>
      <w:r>
        <w:rPr>
          <w:szCs w:val="24"/>
        </w:rPr>
        <w:t>/</w:t>
      </w:r>
      <w:r w:rsidRPr="007700C7">
        <w:rPr>
          <w:i/>
          <w:iCs/>
          <w:szCs w:val="24"/>
        </w:rPr>
        <w:t>k</w:t>
      </w:r>
      <w:r w:rsidRPr="007700C7">
        <w:rPr>
          <w:i/>
          <w:iCs/>
          <w:szCs w:val="24"/>
          <w:vertAlign w:val="subscript"/>
        </w:rPr>
        <w:t>a,1</w:t>
      </w:r>
      <w:r>
        <w:rPr>
          <w:szCs w:val="24"/>
        </w:rPr>
        <w:t>) or the ratio of the slopes (m</w:t>
      </w:r>
      <w:r>
        <w:rPr>
          <w:szCs w:val="24"/>
          <w:vertAlign w:val="subscript"/>
        </w:rPr>
        <w:t>2</w:t>
      </w:r>
      <w:r>
        <w:rPr>
          <w:szCs w:val="24"/>
        </w:rPr>
        <w:t>/m</w:t>
      </w:r>
      <w:r>
        <w:rPr>
          <w:szCs w:val="24"/>
          <w:vertAlign w:val="subscript"/>
        </w:rPr>
        <w:t>1</w:t>
      </w:r>
      <w:r>
        <w:rPr>
          <w:szCs w:val="24"/>
        </w:rPr>
        <w:t xml:space="preserve">) of the linear regression of relaxation rate </w:t>
      </w:r>
      <m:oMath>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1</m:t>
            </m:r>
          </m:sub>
          <m:sup>
            <m:r>
              <w:rPr>
                <w:rFonts w:ascii="Cambria Math" w:hAnsi="Cambria Math"/>
                <w:szCs w:val="24"/>
              </w:rPr>
              <m:t>-1</m:t>
            </m:r>
          </m:sup>
        </m:sSubSup>
      </m:oMath>
      <w:r>
        <w:rPr>
          <w:szCs w:val="24"/>
        </w:rPr>
        <w:t xml:space="preserve"> or </w:t>
      </w:r>
      <m:oMath>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2</m:t>
            </m:r>
          </m:sub>
          <m:sup>
            <m:r>
              <w:rPr>
                <w:rFonts w:ascii="Cambria Math" w:hAnsi="Cambria Math"/>
                <w:szCs w:val="24"/>
              </w:rPr>
              <m:t>-2</m:t>
            </m:r>
          </m:sup>
        </m:sSubSup>
      </m:oMath>
      <w:r>
        <w:rPr>
          <w:szCs w:val="24"/>
        </w:rPr>
        <w:t xml:space="preserve"> versus the volume ratio (</w:t>
      </w:r>
      <w:r w:rsidRPr="007700C7">
        <w:rPr>
          <w:i/>
          <w:iCs/>
          <w:szCs w:val="24"/>
        </w:rPr>
        <w:t>V</w:t>
      </w:r>
      <w:r w:rsidRPr="007700C7">
        <w:rPr>
          <w:i/>
          <w:iCs/>
          <w:szCs w:val="24"/>
          <w:vertAlign w:val="subscript"/>
        </w:rPr>
        <w:t>solid</w:t>
      </w:r>
      <w:r w:rsidRPr="007700C7">
        <w:rPr>
          <w:i/>
          <w:iCs/>
          <w:szCs w:val="24"/>
        </w:rPr>
        <w:t>V</w:t>
      </w:r>
      <w:r w:rsidRPr="007700C7">
        <w:rPr>
          <w:i/>
          <w:iCs/>
          <w:szCs w:val="24"/>
          <w:vertAlign w:val="subscript"/>
        </w:rPr>
        <w:t>liquid</w:t>
      </w:r>
      <w:r w:rsidRPr="007700C7">
        <w:rPr>
          <w:i/>
          <w:iCs/>
          <w:szCs w:val="24"/>
          <w:vertAlign w:val="superscript"/>
        </w:rPr>
        <w:t>-1</w:t>
      </w:r>
      <w:r>
        <w:rPr>
          <w:szCs w:val="24"/>
        </w:rPr>
        <w:t>). As the two-fraction-fast-exchange model (eq. 1) is in principle valid for spin-lattice (</w:t>
      </w:r>
      <w:r w:rsidRPr="003A2E29">
        <w:rPr>
          <w:i/>
          <w:iCs/>
          <w:szCs w:val="24"/>
        </w:rPr>
        <w:t>T</w:t>
      </w:r>
      <w:r w:rsidRPr="003A2E29">
        <w:rPr>
          <w:i/>
          <w:iCs/>
          <w:szCs w:val="24"/>
          <w:vertAlign w:val="subscript"/>
        </w:rPr>
        <w:t>1</w:t>
      </w:r>
      <w:r>
        <w:rPr>
          <w:szCs w:val="24"/>
        </w:rPr>
        <w:t>) as well as spin-spin relaxation (</w:t>
      </w:r>
      <w:r w:rsidRPr="003A2E29">
        <w:rPr>
          <w:i/>
          <w:iCs/>
          <w:szCs w:val="24"/>
        </w:rPr>
        <w:t>T</w:t>
      </w:r>
      <w:r w:rsidRPr="003A2E29">
        <w:rPr>
          <w:i/>
          <w:iCs/>
          <w:szCs w:val="24"/>
          <w:vertAlign w:val="subscript"/>
        </w:rPr>
        <w:t>2</w:t>
      </w:r>
      <w:r>
        <w:rPr>
          <w:szCs w:val="24"/>
        </w:rPr>
        <w:t xml:space="preserve">), one can do a similar adaption of the two-fraction-fast-exchange model for spin-lattice relaxation. Calculation of the ratio of slopes </w:t>
      </w:r>
      <w:r w:rsidRPr="003A2E29">
        <w:rPr>
          <w:i/>
          <w:iCs/>
          <w:szCs w:val="24"/>
        </w:rPr>
        <w:t>m</w:t>
      </w:r>
      <w:r w:rsidRPr="003A2E29">
        <w:rPr>
          <w:i/>
          <w:iCs/>
          <w:szCs w:val="24"/>
          <w:vertAlign w:val="subscript"/>
        </w:rPr>
        <w:t>2</w:t>
      </w:r>
      <w:r>
        <w:rPr>
          <w:szCs w:val="24"/>
        </w:rPr>
        <w:t>/</w:t>
      </w:r>
      <w:r w:rsidRPr="003A2E29">
        <w:rPr>
          <w:i/>
          <w:iCs/>
          <w:szCs w:val="24"/>
        </w:rPr>
        <w:t>m</w:t>
      </w:r>
      <w:r w:rsidRPr="003A2E29">
        <w:rPr>
          <w:i/>
          <w:iCs/>
          <w:szCs w:val="24"/>
          <w:vertAlign w:val="subscript"/>
        </w:rPr>
        <w:t>1</w:t>
      </w:r>
      <w:r>
        <w:rPr>
          <w:szCs w:val="24"/>
        </w:rPr>
        <w:t xml:space="preserve"> (from eq. 7) demonstrates that the effect of textural properties cancels out as the surface area </w:t>
      </w:r>
      <w:r w:rsidRPr="00DD4B2E">
        <w:rPr>
          <w:i/>
          <w:iCs/>
          <w:szCs w:val="24"/>
        </w:rPr>
        <w:t>S</w:t>
      </w:r>
      <w:r>
        <w:rPr>
          <w:szCs w:val="24"/>
        </w:rPr>
        <w:t xml:space="preserve"> and the pore volume </w:t>
      </w:r>
      <w:proofErr w:type="spellStart"/>
      <w:r w:rsidRPr="00DD4B2E">
        <w:rPr>
          <w:i/>
          <w:iCs/>
          <w:szCs w:val="24"/>
        </w:rPr>
        <w:t>V</w:t>
      </w:r>
      <w:r w:rsidRPr="00DD4B2E">
        <w:rPr>
          <w:i/>
          <w:iCs/>
          <w:szCs w:val="24"/>
          <w:vertAlign w:val="subscript"/>
        </w:rPr>
        <w:t>pore</w:t>
      </w:r>
      <w:proofErr w:type="spellEnd"/>
      <w:r>
        <w:rPr>
          <w:szCs w:val="24"/>
        </w:rPr>
        <w:t xml:space="preserve"> are present in the nominator as well as denominator. Hence, the ratio can still be correlated with the ratio of spin-lattice to spin-spin relaxation of the adsorbed liquid film as shown in eq. 9 and is therefore independent of the pore size. </w:t>
      </w:r>
    </w:p>
    <w:tbl>
      <w:tblPr>
        <w:tblStyle w:val="TableGrid"/>
        <w:tblW w:w="9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6"/>
        <w:gridCol w:w="596"/>
        <w:gridCol w:w="596"/>
      </w:tblGrid>
      <w:tr w:rsidR="004F75E3" w:rsidRPr="009225FC" w14:paraId="62F065CD" w14:textId="77777777" w:rsidTr="00F33CA2">
        <w:tc>
          <w:tcPr>
            <w:tcW w:w="8476" w:type="dxa"/>
            <w:vAlign w:val="center"/>
          </w:tcPr>
          <w:p w14:paraId="4B34E5C8" w14:textId="4E0695E8" w:rsidR="004F75E3" w:rsidRPr="009D34E9" w:rsidRDefault="007540EF" w:rsidP="00F33CA2">
            <w:pPr>
              <w:rPr>
                <w:sz w:val="20"/>
              </w:rPr>
            </w:pPr>
            <m:oMathPara>
              <m:oMathParaPr>
                <m:jc m:val="center"/>
              </m:oMathParaPr>
              <m:oMath>
                <m:f>
                  <m:fPr>
                    <m:ctrlPr>
                      <w:rPr>
                        <w:rFonts w:ascii="Cambria Math" w:hAnsi="Cambria Math"/>
                        <w:sz w:val="20"/>
                      </w:rPr>
                    </m:ctrlPr>
                  </m:fPr>
                  <m:num>
                    <m:sSub>
                      <m:sSubPr>
                        <m:ctrlPr>
                          <w:rPr>
                            <w:rFonts w:ascii="Cambria Math" w:hAnsi="Cambria Math"/>
                            <w:i/>
                            <w:sz w:val="20"/>
                          </w:rPr>
                        </m:ctrlPr>
                      </m:sSubPr>
                      <m:e>
                        <m:r>
                          <w:rPr>
                            <w:rFonts w:ascii="Cambria Math" w:hAnsi="Cambria Math"/>
                            <w:sz w:val="20"/>
                          </w:rPr>
                          <m:t>m</m:t>
                        </m:r>
                      </m:e>
                      <m:sub>
                        <m:r>
                          <w:rPr>
                            <w:rFonts w:ascii="Cambria Math" w:hAnsi="Cambria Math"/>
                            <w:sz w:val="20"/>
                          </w:rPr>
                          <m:t>2</m:t>
                        </m:r>
                      </m:sub>
                    </m:sSub>
                  </m:num>
                  <m:den>
                    <m:sSub>
                      <m:sSubPr>
                        <m:ctrlPr>
                          <w:rPr>
                            <w:rFonts w:ascii="Cambria Math" w:hAnsi="Cambria Math"/>
                            <w:i/>
                            <w:sz w:val="20"/>
                          </w:rPr>
                        </m:ctrlPr>
                      </m:sSubPr>
                      <m:e>
                        <m:r>
                          <w:rPr>
                            <w:rFonts w:ascii="Cambria Math" w:hAnsi="Cambria Math"/>
                            <w:sz w:val="20"/>
                          </w:rPr>
                          <m:t>m</m:t>
                        </m:r>
                      </m:e>
                      <m:sub>
                        <m:r>
                          <w:rPr>
                            <w:rFonts w:ascii="Cambria Math" w:hAnsi="Cambria Math"/>
                            <w:sz w:val="20"/>
                          </w:rPr>
                          <m:t>1</m:t>
                        </m:r>
                      </m:sub>
                    </m:sSub>
                  </m:den>
                </m:f>
                <m:r>
                  <m:rPr>
                    <m:sty m:val="p"/>
                  </m:rPr>
                  <w:rPr>
                    <w:rFonts w:ascii="Cambria Math" w:hAnsi="Cambria Math"/>
                    <w:sz w:val="20"/>
                  </w:rPr>
                  <m:t>=</m:t>
                </m:r>
                <m:f>
                  <m:fPr>
                    <m:ctrlPr>
                      <w:rPr>
                        <w:rFonts w:ascii="Cambria Math" w:hAnsi="Cambria Math"/>
                        <w:sz w:val="20"/>
                      </w:rPr>
                    </m:ctrlPr>
                  </m:fPr>
                  <m:num>
                    <m:sSub>
                      <m:sSubPr>
                        <m:ctrlPr>
                          <w:rPr>
                            <w:rFonts w:ascii="Cambria Math" w:hAnsi="Cambria Math"/>
                            <w:sz w:val="20"/>
                          </w:rPr>
                        </m:ctrlPr>
                      </m:sSubPr>
                      <m:e>
                        <m:r>
                          <m:rPr>
                            <m:sty m:val="p"/>
                          </m:rPr>
                          <w:rPr>
                            <w:rFonts w:ascii="Cambria Math" w:hAnsi="Cambria Math"/>
                            <w:sz w:val="20"/>
                          </w:rPr>
                          <m:t>k</m:t>
                        </m:r>
                      </m:e>
                      <m:sub>
                        <m:r>
                          <m:rPr>
                            <m:sty m:val="p"/>
                          </m:rPr>
                          <w:rPr>
                            <w:rFonts w:ascii="Cambria Math" w:hAnsi="Cambria Math"/>
                            <w:sz w:val="20"/>
                          </w:rPr>
                          <m:t>a,2</m:t>
                        </m:r>
                      </m:sub>
                    </m:sSub>
                    <m:r>
                      <w:rPr>
                        <w:rFonts w:ascii="Cambria Math" w:hAnsi="Cambria Math"/>
                        <w:sz w:val="20"/>
                      </w:rPr>
                      <m:t>⋅</m:t>
                    </m:r>
                    <m:d>
                      <m:dPr>
                        <m:ctrlPr>
                          <w:rPr>
                            <w:rFonts w:ascii="Cambria Math" w:hAnsi="Cambria Math"/>
                            <w:i/>
                            <w:sz w:val="20"/>
                          </w:rPr>
                        </m:ctrlPr>
                      </m:dPr>
                      <m:e>
                        <m:r>
                          <w:rPr>
                            <w:rFonts w:ascii="Cambria Math" w:hAnsi="Cambria Math"/>
                            <w:sz w:val="20"/>
                          </w:rPr>
                          <m:t>S-</m:t>
                        </m:r>
                        <m:f>
                          <m:fPr>
                            <m:ctrlPr>
                              <w:rPr>
                                <w:rFonts w:ascii="Cambria Math" w:hAnsi="Cambria Math"/>
                                <w:i/>
                                <w:sz w:val="20"/>
                              </w:rPr>
                            </m:ctrlPr>
                          </m:fPr>
                          <m:num>
                            <m:sSub>
                              <m:sSubPr>
                                <m:ctrlPr>
                                  <w:rPr>
                                    <w:rFonts w:ascii="Cambria Math" w:hAnsi="Cambria Math"/>
                                    <w:i/>
                                    <w:sz w:val="20"/>
                                  </w:rPr>
                                </m:ctrlPr>
                              </m:sSubPr>
                              <m:e>
                                <m:r>
                                  <w:rPr>
                                    <w:rFonts w:ascii="Cambria Math" w:hAnsi="Cambria Math"/>
                                    <w:sz w:val="20"/>
                                  </w:rPr>
                                  <m:t>λ</m:t>
                                </m:r>
                              </m:e>
                              <m:sub>
                                <m:r>
                                  <w:rPr>
                                    <w:rFonts w:ascii="Cambria Math" w:hAnsi="Cambria Math"/>
                                    <w:sz w:val="20"/>
                                  </w:rPr>
                                  <m:t>ads.film</m:t>
                                </m:r>
                              </m:sub>
                            </m:sSub>
                            <m:sSup>
                              <m:sSupPr>
                                <m:ctrlPr>
                                  <w:rPr>
                                    <w:rFonts w:ascii="Cambria Math" w:hAnsi="Cambria Math"/>
                                    <w:i/>
                                    <w:sz w:val="20"/>
                                  </w:rPr>
                                </m:ctrlPr>
                              </m:sSupPr>
                              <m:e>
                                <m:r>
                                  <w:rPr>
                                    <w:rFonts w:ascii="Cambria Math" w:hAnsi="Cambria Math"/>
                                    <w:sz w:val="20"/>
                                  </w:rPr>
                                  <m:t>S</m:t>
                                </m:r>
                              </m:e>
                              <m:sup>
                                <m:r>
                                  <w:rPr>
                                    <w:rFonts w:ascii="Cambria Math" w:hAnsi="Cambria Math"/>
                                    <w:sz w:val="20"/>
                                  </w:rPr>
                                  <m:t>2</m:t>
                                </m:r>
                              </m:sup>
                            </m:sSup>
                          </m:num>
                          <m:den>
                            <m:r>
                              <w:rPr>
                                <w:rFonts w:ascii="Cambria Math" w:hAnsi="Cambria Math"/>
                                <w:sz w:val="20"/>
                              </w:rPr>
                              <m:t>4</m:t>
                            </m:r>
                            <m:sSub>
                              <m:sSubPr>
                                <m:ctrlPr>
                                  <w:rPr>
                                    <w:rFonts w:ascii="Cambria Math" w:hAnsi="Cambria Math"/>
                                    <w:i/>
                                    <w:sz w:val="20"/>
                                  </w:rPr>
                                </m:ctrlPr>
                              </m:sSubPr>
                              <m:e>
                                <m:r>
                                  <w:rPr>
                                    <w:rFonts w:ascii="Cambria Math" w:hAnsi="Cambria Math"/>
                                    <w:sz w:val="20"/>
                                  </w:rPr>
                                  <m:t>V</m:t>
                                </m:r>
                              </m:e>
                              <m:sub>
                                <m:r>
                                  <w:rPr>
                                    <w:rFonts w:ascii="Cambria Math" w:hAnsi="Cambria Math"/>
                                    <w:sz w:val="20"/>
                                  </w:rPr>
                                  <m:t>pore</m:t>
                                </m:r>
                              </m:sub>
                            </m:sSub>
                          </m:den>
                        </m:f>
                      </m:e>
                    </m:d>
                  </m:num>
                  <m:den>
                    <m:sSub>
                      <m:sSubPr>
                        <m:ctrlPr>
                          <w:rPr>
                            <w:rFonts w:ascii="Cambria Math" w:hAnsi="Cambria Math"/>
                            <w:sz w:val="20"/>
                          </w:rPr>
                        </m:ctrlPr>
                      </m:sSubPr>
                      <m:e>
                        <m:r>
                          <m:rPr>
                            <m:sty m:val="p"/>
                          </m:rPr>
                          <w:rPr>
                            <w:rFonts w:ascii="Cambria Math" w:hAnsi="Cambria Math"/>
                            <w:sz w:val="20"/>
                          </w:rPr>
                          <m:t>k</m:t>
                        </m:r>
                      </m:e>
                      <m:sub>
                        <m:r>
                          <m:rPr>
                            <m:sty m:val="p"/>
                          </m:rPr>
                          <w:rPr>
                            <w:rFonts w:ascii="Cambria Math" w:hAnsi="Cambria Math"/>
                            <w:sz w:val="20"/>
                          </w:rPr>
                          <m:t>a,1</m:t>
                        </m:r>
                      </m:sub>
                    </m:sSub>
                    <m:r>
                      <w:rPr>
                        <w:rFonts w:ascii="Cambria Math" w:hAnsi="Cambria Math"/>
                        <w:sz w:val="20"/>
                      </w:rPr>
                      <m:t>⋅</m:t>
                    </m:r>
                    <m:d>
                      <m:dPr>
                        <m:ctrlPr>
                          <w:rPr>
                            <w:rFonts w:ascii="Cambria Math" w:hAnsi="Cambria Math"/>
                            <w:i/>
                            <w:sz w:val="20"/>
                          </w:rPr>
                        </m:ctrlPr>
                      </m:dPr>
                      <m:e>
                        <m:r>
                          <w:rPr>
                            <w:rFonts w:ascii="Cambria Math" w:hAnsi="Cambria Math"/>
                            <w:sz w:val="20"/>
                          </w:rPr>
                          <m:t>S-</m:t>
                        </m:r>
                        <m:f>
                          <m:fPr>
                            <m:ctrlPr>
                              <w:rPr>
                                <w:rFonts w:ascii="Cambria Math" w:hAnsi="Cambria Math"/>
                                <w:i/>
                                <w:sz w:val="20"/>
                              </w:rPr>
                            </m:ctrlPr>
                          </m:fPr>
                          <m:num>
                            <m:sSub>
                              <m:sSubPr>
                                <m:ctrlPr>
                                  <w:rPr>
                                    <w:rFonts w:ascii="Cambria Math" w:hAnsi="Cambria Math"/>
                                    <w:i/>
                                    <w:sz w:val="20"/>
                                  </w:rPr>
                                </m:ctrlPr>
                              </m:sSubPr>
                              <m:e>
                                <m:r>
                                  <w:rPr>
                                    <w:rFonts w:ascii="Cambria Math" w:hAnsi="Cambria Math"/>
                                    <w:sz w:val="20"/>
                                  </w:rPr>
                                  <m:t>λ</m:t>
                                </m:r>
                              </m:e>
                              <m:sub>
                                <m:r>
                                  <w:rPr>
                                    <w:rFonts w:ascii="Cambria Math" w:hAnsi="Cambria Math"/>
                                    <w:sz w:val="20"/>
                                  </w:rPr>
                                  <m:t>ads.film</m:t>
                                </m:r>
                              </m:sub>
                            </m:sSub>
                            <m:sSup>
                              <m:sSupPr>
                                <m:ctrlPr>
                                  <w:rPr>
                                    <w:rFonts w:ascii="Cambria Math" w:hAnsi="Cambria Math"/>
                                    <w:i/>
                                    <w:sz w:val="20"/>
                                  </w:rPr>
                                </m:ctrlPr>
                              </m:sSupPr>
                              <m:e>
                                <m:r>
                                  <w:rPr>
                                    <w:rFonts w:ascii="Cambria Math" w:hAnsi="Cambria Math"/>
                                    <w:sz w:val="20"/>
                                  </w:rPr>
                                  <m:t>S</m:t>
                                </m:r>
                              </m:e>
                              <m:sup>
                                <m:r>
                                  <w:rPr>
                                    <w:rFonts w:ascii="Cambria Math" w:hAnsi="Cambria Math"/>
                                    <w:sz w:val="20"/>
                                  </w:rPr>
                                  <m:t>2</m:t>
                                </m:r>
                              </m:sup>
                            </m:sSup>
                          </m:num>
                          <m:den>
                            <m:r>
                              <w:rPr>
                                <w:rFonts w:ascii="Cambria Math" w:hAnsi="Cambria Math"/>
                                <w:sz w:val="20"/>
                              </w:rPr>
                              <m:t>4</m:t>
                            </m:r>
                            <m:sSub>
                              <m:sSubPr>
                                <m:ctrlPr>
                                  <w:rPr>
                                    <w:rFonts w:ascii="Cambria Math" w:hAnsi="Cambria Math"/>
                                    <w:i/>
                                    <w:sz w:val="20"/>
                                  </w:rPr>
                                </m:ctrlPr>
                              </m:sSubPr>
                              <m:e>
                                <m:r>
                                  <w:rPr>
                                    <w:rFonts w:ascii="Cambria Math" w:hAnsi="Cambria Math"/>
                                    <w:sz w:val="20"/>
                                  </w:rPr>
                                  <m:t>V</m:t>
                                </m:r>
                              </m:e>
                              <m:sub>
                                <m:r>
                                  <w:rPr>
                                    <w:rFonts w:ascii="Cambria Math" w:hAnsi="Cambria Math"/>
                                    <w:sz w:val="20"/>
                                  </w:rPr>
                                  <m:t>pore</m:t>
                                </m:r>
                              </m:sub>
                            </m:sSub>
                          </m:den>
                        </m:f>
                      </m:e>
                    </m:d>
                  </m:den>
                </m:f>
                <m:r>
                  <w:rPr>
                    <w:rFonts w:ascii="Cambria Math" w:hAnsi="Cambria Math"/>
                    <w:sz w:val="20"/>
                  </w:rPr>
                  <m:t>=</m:t>
                </m:r>
                <m:f>
                  <m:fPr>
                    <m:ctrlPr>
                      <w:rPr>
                        <w:rFonts w:ascii="Cambria Math" w:hAnsi="Cambria Math"/>
                        <w:i/>
                        <w:sz w:val="20"/>
                      </w:rPr>
                    </m:ctrlPr>
                  </m:fPr>
                  <m:num>
                    <m:sSub>
                      <m:sSubPr>
                        <m:ctrlPr>
                          <w:rPr>
                            <w:rFonts w:ascii="Cambria Math" w:hAnsi="Cambria Math"/>
                            <w:i/>
                            <w:sz w:val="20"/>
                          </w:rPr>
                        </m:ctrlPr>
                      </m:sSubPr>
                      <m:e>
                        <m:r>
                          <w:rPr>
                            <w:rFonts w:ascii="Cambria Math" w:hAnsi="Cambria Math"/>
                            <w:sz w:val="20"/>
                          </w:rPr>
                          <m:t>k</m:t>
                        </m:r>
                      </m:e>
                      <m:sub>
                        <m:r>
                          <w:rPr>
                            <w:rFonts w:ascii="Cambria Math" w:hAnsi="Cambria Math"/>
                            <w:sz w:val="20"/>
                          </w:rPr>
                          <m:t>a,2</m:t>
                        </m:r>
                      </m:sub>
                    </m:sSub>
                  </m:num>
                  <m:den>
                    <m:sSub>
                      <m:sSubPr>
                        <m:ctrlPr>
                          <w:rPr>
                            <w:rFonts w:ascii="Cambria Math" w:hAnsi="Cambria Math"/>
                            <w:i/>
                            <w:sz w:val="20"/>
                          </w:rPr>
                        </m:ctrlPr>
                      </m:sSubPr>
                      <m:e>
                        <m:r>
                          <w:rPr>
                            <w:rFonts w:ascii="Cambria Math" w:hAnsi="Cambria Math"/>
                            <w:sz w:val="20"/>
                          </w:rPr>
                          <m:t>k</m:t>
                        </m:r>
                      </m:e>
                      <m:sub>
                        <m:r>
                          <w:rPr>
                            <w:rFonts w:ascii="Cambria Math" w:hAnsi="Cambria Math"/>
                            <w:sz w:val="20"/>
                          </w:rPr>
                          <m:t>a,1</m:t>
                        </m:r>
                      </m:sub>
                    </m:sSub>
                  </m:den>
                </m:f>
                <m:r>
                  <w:rPr>
                    <w:rFonts w:ascii="Cambria Math" w:hAnsi="Cambria Math"/>
                    <w:sz w:val="20"/>
                  </w:rPr>
                  <m:t>≈</m:t>
                </m:r>
                <m:f>
                  <m:fPr>
                    <m:ctrlPr>
                      <w:rPr>
                        <w:rFonts w:ascii="Cambria Math" w:hAnsi="Cambria Math"/>
                        <w:i/>
                        <w:sz w:val="20"/>
                      </w:rPr>
                    </m:ctrlPr>
                  </m:fPr>
                  <m:num>
                    <m:sSub>
                      <m:sSubPr>
                        <m:ctrlPr>
                          <w:rPr>
                            <w:rFonts w:ascii="Cambria Math" w:hAnsi="Cambria Math"/>
                            <w:i/>
                            <w:sz w:val="20"/>
                          </w:rPr>
                        </m:ctrlPr>
                      </m:sSubPr>
                      <m:e>
                        <m:r>
                          <w:rPr>
                            <w:rFonts w:ascii="Cambria Math" w:hAnsi="Cambria Math"/>
                            <w:sz w:val="20"/>
                          </w:rPr>
                          <m:t>T</m:t>
                        </m:r>
                      </m:e>
                      <m:sub>
                        <m:r>
                          <w:rPr>
                            <w:rFonts w:ascii="Cambria Math" w:hAnsi="Cambria Math"/>
                            <w:sz w:val="20"/>
                          </w:rPr>
                          <m:t>ads.film,1</m:t>
                        </m:r>
                      </m:sub>
                    </m:sSub>
                  </m:num>
                  <m:den>
                    <m:sSub>
                      <m:sSubPr>
                        <m:ctrlPr>
                          <w:rPr>
                            <w:rFonts w:ascii="Cambria Math" w:hAnsi="Cambria Math"/>
                            <w:i/>
                            <w:sz w:val="20"/>
                          </w:rPr>
                        </m:ctrlPr>
                      </m:sSubPr>
                      <m:e>
                        <m:r>
                          <w:rPr>
                            <w:rFonts w:ascii="Cambria Math" w:hAnsi="Cambria Math"/>
                            <w:sz w:val="20"/>
                          </w:rPr>
                          <m:t>T</m:t>
                        </m:r>
                      </m:e>
                      <m:sub>
                        <m:r>
                          <w:rPr>
                            <w:rFonts w:ascii="Cambria Math" w:hAnsi="Cambria Math"/>
                            <w:sz w:val="20"/>
                          </w:rPr>
                          <m:t>ads.film,2</m:t>
                        </m:r>
                      </m:sub>
                    </m:sSub>
                  </m:den>
                </m:f>
              </m:oMath>
            </m:oMathPara>
          </w:p>
        </w:tc>
        <w:tc>
          <w:tcPr>
            <w:tcW w:w="596" w:type="dxa"/>
            <w:vAlign w:val="center"/>
          </w:tcPr>
          <w:p w14:paraId="476015DA" w14:textId="77777777" w:rsidR="004F75E3" w:rsidRPr="00EA375F" w:rsidRDefault="004F75E3" w:rsidP="00F33CA2">
            <w:r w:rsidRPr="00EA375F">
              <w:t>(</w:t>
            </w:r>
            <w:r>
              <w:t>9</w:t>
            </w:r>
            <w:r w:rsidRPr="00EA375F">
              <w:t>)</w:t>
            </w:r>
          </w:p>
        </w:tc>
        <w:tc>
          <w:tcPr>
            <w:tcW w:w="596" w:type="dxa"/>
            <w:vAlign w:val="center"/>
          </w:tcPr>
          <w:p w14:paraId="4C333120" w14:textId="77777777" w:rsidR="004F75E3" w:rsidRPr="00EA375F" w:rsidRDefault="004F75E3" w:rsidP="00F33CA2"/>
        </w:tc>
      </w:tr>
    </w:tbl>
    <w:p w14:paraId="3B7E46C2" w14:textId="6AE31FEF" w:rsidR="004F75E3" w:rsidRPr="00D65785" w:rsidRDefault="004F75E3" w:rsidP="004F75E3">
      <w:pPr>
        <w:rPr>
          <w:i/>
          <w:iCs/>
          <w:szCs w:val="24"/>
          <w:vertAlign w:val="subscript"/>
        </w:rPr>
      </w:pPr>
      <w:r>
        <w:rPr>
          <w:szCs w:val="24"/>
        </w:rPr>
        <w:t xml:space="preserve">Consequently, analysis and comparison of the wettability of mesoporous samples with different pore sizes should still be possible using the </w:t>
      </w:r>
      <w:r w:rsidRPr="00B936CD">
        <w:rPr>
          <w:i/>
          <w:iCs/>
          <w:szCs w:val="24"/>
        </w:rPr>
        <w:t>T</w:t>
      </w:r>
      <w:r w:rsidRPr="00B936CD">
        <w:rPr>
          <w:i/>
          <w:iCs/>
          <w:szCs w:val="24"/>
          <w:vertAlign w:val="subscript"/>
        </w:rPr>
        <w:t>ads.film</w:t>
      </w:r>
      <w:r w:rsidR="00D65785">
        <w:rPr>
          <w:i/>
          <w:iCs/>
          <w:szCs w:val="24"/>
          <w:vertAlign w:val="subscript"/>
        </w:rPr>
        <w:t>,1</w:t>
      </w:r>
      <w:r>
        <w:rPr>
          <w:szCs w:val="24"/>
        </w:rPr>
        <w:t>/</w:t>
      </w:r>
      <w:r w:rsidRPr="00B936CD">
        <w:rPr>
          <w:i/>
          <w:iCs/>
          <w:szCs w:val="24"/>
        </w:rPr>
        <w:t>T</w:t>
      </w:r>
      <w:r w:rsidRPr="00B936CD">
        <w:rPr>
          <w:i/>
          <w:iCs/>
          <w:szCs w:val="24"/>
          <w:vertAlign w:val="subscript"/>
        </w:rPr>
        <w:t>ads.film</w:t>
      </w:r>
      <w:r w:rsidR="00D65785">
        <w:rPr>
          <w:i/>
          <w:iCs/>
          <w:szCs w:val="24"/>
          <w:vertAlign w:val="subscript"/>
        </w:rPr>
        <w:t>,2</w:t>
      </w:r>
      <w:r>
        <w:rPr>
          <w:szCs w:val="24"/>
        </w:rPr>
        <w:t xml:space="preserve"> -ratio. This was exemplarily tested with SBA-3 2.7, KIT-6 5.7, KIT-6 6.8 and KIT-6 10.1 as depicted in </w:t>
      </w:r>
      <w:r>
        <w:rPr>
          <w:szCs w:val="24"/>
        </w:rPr>
        <w:fldChar w:fldCharType="begin"/>
      </w:r>
      <w:r>
        <w:rPr>
          <w:szCs w:val="24"/>
        </w:rPr>
        <w:instrText xml:space="preserve"> REF _Ref189848553 \h </w:instrText>
      </w:r>
      <w:r>
        <w:rPr>
          <w:szCs w:val="24"/>
        </w:rPr>
      </w:r>
      <w:r>
        <w:rPr>
          <w:szCs w:val="24"/>
        </w:rPr>
        <w:fldChar w:fldCharType="separate"/>
      </w:r>
      <w:r w:rsidRPr="001D4BAE">
        <w:rPr>
          <w:b/>
          <w:bCs/>
        </w:rPr>
        <w:t xml:space="preserve">Fig. </w:t>
      </w:r>
      <w:r>
        <w:rPr>
          <w:b/>
          <w:bCs/>
          <w:noProof/>
        </w:rPr>
        <w:t>4</w:t>
      </w:r>
      <w:r>
        <w:rPr>
          <w:szCs w:val="24"/>
        </w:rPr>
        <w:fldChar w:fldCharType="end"/>
      </w:r>
      <w:r w:rsidR="008D762C">
        <w:rPr>
          <w:szCs w:val="24"/>
        </w:rPr>
        <w:t xml:space="preserve">. We did not see a major effect on the </w:t>
      </w:r>
      <w:r w:rsidR="008D762C" w:rsidRPr="00B936CD">
        <w:rPr>
          <w:i/>
          <w:iCs/>
          <w:szCs w:val="24"/>
        </w:rPr>
        <w:t>T</w:t>
      </w:r>
      <w:r w:rsidR="008D762C" w:rsidRPr="00B936CD">
        <w:rPr>
          <w:i/>
          <w:iCs/>
          <w:szCs w:val="24"/>
          <w:vertAlign w:val="subscript"/>
        </w:rPr>
        <w:t>ads.film</w:t>
      </w:r>
      <w:r w:rsidR="00D65785">
        <w:rPr>
          <w:i/>
          <w:iCs/>
          <w:szCs w:val="24"/>
          <w:vertAlign w:val="subscript"/>
        </w:rPr>
        <w:t>,1</w:t>
      </w:r>
      <w:r w:rsidR="008D762C">
        <w:rPr>
          <w:szCs w:val="24"/>
        </w:rPr>
        <w:t>/</w:t>
      </w:r>
      <w:r w:rsidR="008D762C" w:rsidRPr="00B936CD">
        <w:rPr>
          <w:i/>
          <w:iCs/>
          <w:szCs w:val="24"/>
        </w:rPr>
        <w:t>T</w:t>
      </w:r>
      <w:r w:rsidR="008D762C" w:rsidRPr="00B936CD">
        <w:rPr>
          <w:i/>
          <w:iCs/>
          <w:szCs w:val="24"/>
          <w:vertAlign w:val="subscript"/>
        </w:rPr>
        <w:t>ads.film</w:t>
      </w:r>
      <w:r w:rsidR="00D65785">
        <w:rPr>
          <w:i/>
          <w:iCs/>
          <w:szCs w:val="24"/>
          <w:vertAlign w:val="subscript"/>
        </w:rPr>
        <w:t>,2</w:t>
      </w:r>
      <w:r w:rsidR="008D762C">
        <w:rPr>
          <w:szCs w:val="24"/>
        </w:rPr>
        <w:t xml:space="preserve"> -ratio for these samples in a pore size range of 2.7 to 10.1</w:t>
      </w:r>
      <w:r w:rsidR="00D65785">
        <w:rPr>
          <w:szCs w:val="24"/>
        </w:rPr>
        <w:t> </w:t>
      </w:r>
      <w:r w:rsidR="008D762C">
        <w:rPr>
          <w:szCs w:val="24"/>
        </w:rPr>
        <w:t xml:space="preserve">nm. The </w:t>
      </w:r>
      <w:r w:rsidR="008D762C" w:rsidRPr="00B936CD">
        <w:rPr>
          <w:i/>
          <w:iCs/>
          <w:szCs w:val="24"/>
        </w:rPr>
        <w:t>T</w:t>
      </w:r>
      <w:r w:rsidR="008D762C" w:rsidRPr="00B936CD">
        <w:rPr>
          <w:i/>
          <w:iCs/>
          <w:szCs w:val="24"/>
          <w:vertAlign w:val="subscript"/>
        </w:rPr>
        <w:t>ads.film</w:t>
      </w:r>
      <w:r w:rsidR="00D65785">
        <w:rPr>
          <w:i/>
          <w:iCs/>
          <w:szCs w:val="24"/>
          <w:vertAlign w:val="subscript"/>
        </w:rPr>
        <w:t>,1</w:t>
      </w:r>
      <w:r w:rsidR="008D762C">
        <w:rPr>
          <w:szCs w:val="24"/>
        </w:rPr>
        <w:t>/</w:t>
      </w:r>
      <w:r w:rsidR="008D762C" w:rsidRPr="00B936CD">
        <w:rPr>
          <w:i/>
          <w:iCs/>
          <w:szCs w:val="24"/>
        </w:rPr>
        <w:t>T</w:t>
      </w:r>
      <w:r w:rsidR="008D762C" w:rsidRPr="00B936CD">
        <w:rPr>
          <w:i/>
          <w:iCs/>
          <w:szCs w:val="24"/>
          <w:vertAlign w:val="subscript"/>
        </w:rPr>
        <w:t>ads.film</w:t>
      </w:r>
      <w:r w:rsidR="00D65785">
        <w:rPr>
          <w:i/>
          <w:iCs/>
          <w:szCs w:val="24"/>
          <w:vertAlign w:val="subscript"/>
        </w:rPr>
        <w:t>,2</w:t>
      </w:r>
      <w:r w:rsidR="008D762C">
        <w:rPr>
          <w:szCs w:val="24"/>
        </w:rPr>
        <w:t xml:space="preserve"> -ratio is between</w:t>
      </w:r>
      <w:r>
        <w:rPr>
          <w:szCs w:val="24"/>
        </w:rPr>
        <w:t xml:space="preserve"> 65 and 100 in-line with our previous reported value of approx. 85 for pristine Silica in water (sample AMT Silica in </w:t>
      </w:r>
      <w:r>
        <w:rPr>
          <w:szCs w:val="24"/>
        </w:rPr>
        <w:fldChar w:fldCharType="begin"/>
      </w:r>
      <w:r>
        <w:rPr>
          <w:szCs w:val="24"/>
        </w:rPr>
        <w:instrText xml:space="preserve"> REF _Ref189848553 \h </w:instrText>
      </w:r>
      <w:r>
        <w:rPr>
          <w:szCs w:val="24"/>
        </w:rPr>
      </w:r>
      <w:r>
        <w:rPr>
          <w:szCs w:val="24"/>
        </w:rPr>
        <w:fldChar w:fldCharType="separate"/>
      </w:r>
      <w:r w:rsidRPr="001D4BAE">
        <w:rPr>
          <w:b/>
          <w:bCs/>
        </w:rPr>
        <w:t xml:space="preserve">Fig. </w:t>
      </w:r>
      <w:r>
        <w:rPr>
          <w:b/>
          <w:bCs/>
          <w:noProof/>
        </w:rPr>
        <w:t>4</w:t>
      </w:r>
      <w:r>
        <w:rPr>
          <w:szCs w:val="24"/>
        </w:rPr>
        <w:fldChar w:fldCharType="end"/>
      </w:r>
      <w:r>
        <w:rPr>
          <w:szCs w:val="24"/>
        </w:rPr>
        <w:t xml:space="preserve">) </w:t>
      </w:r>
      <w:r>
        <w:rPr>
          <w:szCs w:val="24"/>
        </w:rPr>
        <w:fldChar w:fldCharType="begin"/>
      </w:r>
      <w:r>
        <w:rPr>
          <w:szCs w:val="24"/>
        </w:rPr>
        <w:instrText xml:space="preserve"> ADDIN ZOTERO_ITEM CSL_CITATION {"citationID":"5zPFXcnj","properties":{"formattedCitation":"(Schlumberger et al. 2024)","plainCitation":"(Schlumberger et al. 2024)","noteIndex":0},"citationItems":[{"id":4293,"uris":["http://zotero.org/users/local/oWpNT99E/items/ZUGN6VEQ"],"itemData":{"id":4293,"type":"article-journal","abstract":"Nanoporous silica is widely used as a support material for chemically bound stationary phases in chromatographic separations as well as for catalytic applications. Tuning of textural properties and surface chemistry of stationary phase materials (SPMs) is crucial to enhance their selectivity to certain compounds and the resulting process efficiency. Nanoporous silica supports are beneficial, as surface modifications are possible with a large variety of hydrophilic and hydrophobic functional groups, but their influence on the surface properties has not been evaluated in detail. In this sense, the contact angle is a key parameter for the assessment of surface chemistry, but its quantification in pores is challenging and requires a combination of various experimental techniques. This work demonstrates that combining water adsorption and intrusion measurements allows for the determination of the effective contact angle of adsorbed water on the pore walls for wetting, partial wetting, and nonwetting situations using functionalized hydrophilic and hydrophobic silica SPMs as model materials. Furthermore, NMR relaxometry experiments reveal that the ratio of the spin–lattice (T1) to spin–spin (T2) relaxation time of the adsorbed water film (T1,ads.film/T2,ads.film ratio) can be correlated with the effective adsorption strength of water on the surface. Indeed, a linear correlation between the negative inverse relaxation time ratio (−T2,ads.film/T1,ads.film) and the contact angle is observed. Our work demonstrates that water vapor adsorption and water intrusion experiments coupled with NMR relaxometry can be used as complementary tools to quantify the wettability and surface chemistry of nanoporous materials. This approach allows for addressing important aspects of nanoscale wettability in the context of material synthesis as well as for their application in chromatographic separation processes and catalysis.","container-title":"ACS Applied Nano Materials","DOI":"10.1021/acsanm.3c04330","issue":"2","journalAbbreviation":"ACS Appl. Nano Mater.","note":"publisher: American Chemical Society","page":"1572-1585","source":"ACS Publications","title":"Characterization of Functionalized Chromatographic Nanoporous Silica Materials by Coupling Water Adsorption and Intrusion with Nuclear Magnetic Resonance Relaxometry","volume":"7","author":[{"family":"Schlumberger","given":"Carola"},{"family":"Collados","given":"Carlos Cuadrado"},{"family":"Söllner","given":"Jakob"},{"family":"Huber","given":"Christoph"},{"family":"Wisser","given":"Dorothea"},{"family":"Liu","given":"Hsiao-Feng"},{"family":"Chang","given":"Chun-Kai"},{"family":"Schuster","given":"Stephanie A."},{"family":"Schure","given":"Mark R."},{"family":"Hartmann","given":"Martin"},{"family":"Siepmann","given":"J. Ilja"},{"family":"Thommes","given":"Matthias"}],"issued":{"date-parts":[["2024",1,8]]}}}],"schema":"https://github.com/citation-style-language/schema/raw/master/csl-citation.json"} </w:instrText>
      </w:r>
      <w:r>
        <w:rPr>
          <w:szCs w:val="24"/>
        </w:rPr>
        <w:fldChar w:fldCharType="separate"/>
      </w:r>
      <w:r w:rsidRPr="001D4BAE">
        <w:rPr>
          <w:rFonts w:cs="Times"/>
        </w:rPr>
        <w:t>(Schlumberger et al. 2024)</w:t>
      </w:r>
      <w:r>
        <w:rPr>
          <w:szCs w:val="24"/>
        </w:rPr>
        <w:fldChar w:fldCharType="end"/>
      </w:r>
      <w:r>
        <w:rPr>
          <w:szCs w:val="24"/>
        </w:rPr>
        <w:t xml:space="preserve">. Interestingly, the investigated MCM-41 3.8 showed a specific spin-lattice surface </w:t>
      </w:r>
      <w:proofErr w:type="spellStart"/>
      <w:r>
        <w:rPr>
          <w:szCs w:val="24"/>
        </w:rPr>
        <w:t>relaxivity</w:t>
      </w:r>
      <w:proofErr w:type="spellEnd"/>
      <w:r>
        <w:rPr>
          <w:szCs w:val="24"/>
        </w:rPr>
        <w:t xml:space="preserve"> k</w:t>
      </w:r>
      <w:r w:rsidRPr="00B77CBF">
        <w:rPr>
          <w:szCs w:val="24"/>
          <w:vertAlign w:val="subscript"/>
        </w:rPr>
        <w:t>a,1</w:t>
      </w:r>
      <w:r>
        <w:rPr>
          <w:szCs w:val="24"/>
        </w:rPr>
        <w:t xml:space="preserve"> much lower than SBA-3 and KIT-6 resulting in a </w:t>
      </w:r>
      <w:r w:rsidRPr="00B936CD">
        <w:rPr>
          <w:i/>
          <w:iCs/>
          <w:szCs w:val="24"/>
        </w:rPr>
        <w:t>T</w:t>
      </w:r>
      <w:r w:rsidRPr="00B936CD">
        <w:rPr>
          <w:i/>
          <w:iCs/>
          <w:szCs w:val="24"/>
          <w:vertAlign w:val="subscript"/>
        </w:rPr>
        <w:t>ads.film</w:t>
      </w:r>
      <w:r w:rsidR="00D65785">
        <w:rPr>
          <w:i/>
          <w:iCs/>
          <w:szCs w:val="24"/>
          <w:vertAlign w:val="subscript"/>
        </w:rPr>
        <w:t>,1</w:t>
      </w:r>
      <w:r>
        <w:rPr>
          <w:szCs w:val="24"/>
        </w:rPr>
        <w:t>/</w:t>
      </w:r>
      <w:r w:rsidRPr="00B936CD">
        <w:rPr>
          <w:i/>
          <w:iCs/>
          <w:szCs w:val="24"/>
        </w:rPr>
        <w:t>T</w:t>
      </w:r>
      <w:r w:rsidRPr="00B936CD">
        <w:rPr>
          <w:i/>
          <w:iCs/>
          <w:szCs w:val="24"/>
          <w:vertAlign w:val="subscript"/>
        </w:rPr>
        <w:t>ads.film</w:t>
      </w:r>
      <w:r w:rsidR="00D65785">
        <w:rPr>
          <w:i/>
          <w:iCs/>
          <w:szCs w:val="24"/>
          <w:vertAlign w:val="subscript"/>
        </w:rPr>
        <w:t>,2</w:t>
      </w:r>
      <w:r>
        <w:rPr>
          <w:szCs w:val="24"/>
        </w:rPr>
        <w:t>-ratio much larger than SBA-3 and KIT-6. This might be an outlier and is hence, not depicted in</w:t>
      </w:r>
      <w:r w:rsidR="00D65785">
        <w:rPr>
          <w:szCs w:val="24"/>
        </w:rPr>
        <w:t xml:space="preserve"> </w:t>
      </w:r>
      <w:r w:rsidR="00D65785" w:rsidRPr="006B5DA4">
        <w:rPr>
          <w:b/>
          <w:bCs/>
          <w:szCs w:val="24"/>
        </w:rPr>
        <w:t>Fig. S6</w:t>
      </w:r>
      <w:r w:rsidR="008D762C">
        <w:rPr>
          <w:szCs w:val="24"/>
        </w:rPr>
        <w:t xml:space="preserve">. However, more work is necessary to completely understand the effect of confinement on the </w:t>
      </w:r>
      <w:r w:rsidR="008D762C" w:rsidRPr="00B936CD">
        <w:rPr>
          <w:i/>
          <w:iCs/>
          <w:szCs w:val="24"/>
        </w:rPr>
        <w:t>T</w:t>
      </w:r>
      <w:r w:rsidR="008D762C" w:rsidRPr="00B936CD">
        <w:rPr>
          <w:i/>
          <w:iCs/>
          <w:szCs w:val="24"/>
          <w:vertAlign w:val="subscript"/>
        </w:rPr>
        <w:t>ads.film</w:t>
      </w:r>
      <w:r w:rsidR="00D65785">
        <w:rPr>
          <w:i/>
          <w:iCs/>
          <w:szCs w:val="24"/>
          <w:vertAlign w:val="subscript"/>
        </w:rPr>
        <w:t>,1</w:t>
      </w:r>
      <w:r w:rsidR="008D762C">
        <w:rPr>
          <w:szCs w:val="24"/>
        </w:rPr>
        <w:t>/</w:t>
      </w:r>
      <w:r w:rsidR="008D762C" w:rsidRPr="00B936CD">
        <w:rPr>
          <w:i/>
          <w:iCs/>
          <w:szCs w:val="24"/>
        </w:rPr>
        <w:t>T</w:t>
      </w:r>
      <w:r w:rsidR="008D762C" w:rsidRPr="00B936CD">
        <w:rPr>
          <w:i/>
          <w:iCs/>
          <w:szCs w:val="24"/>
          <w:vertAlign w:val="subscript"/>
        </w:rPr>
        <w:t>ads.film</w:t>
      </w:r>
      <w:r w:rsidR="00D65785">
        <w:rPr>
          <w:i/>
          <w:iCs/>
          <w:szCs w:val="24"/>
          <w:vertAlign w:val="subscript"/>
        </w:rPr>
        <w:t>,2</w:t>
      </w:r>
      <w:r w:rsidR="008D762C">
        <w:rPr>
          <w:szCs w:val="24"/>
        </w:rPr>
        <w:t>-ratio.</w:t>
      </w:r>
    </w:p>
    <w:p w14:paraId="163F7349" w14:textId="145354B3" w:rsidR="00A009CB" w:rsidRDefault="00D65785" w:rsidP="00A009CB">
      <w:pPr>
        <w:keepNext/>
        <w:jc w:val="center"/>
      </w:pPr>
      <w:r>
        <w:object w:dxaOrig="5669" w:dyaOrig="4339" w14:anchorId="6460D0FC">
          <v:shape id="_x0000_i1030" type="#_x0000_t75" style="width:266.25pt;height:203.25pt" o:ole="">
            <v:imagedata r:id="rId15" o:title=""/>
          </v:shape>
          <o:OLEObject Type="Embed" ProgID="Origin95.Graph" ShapeID="_x0000_i1030" DrawAspect="Content" ObjectID="_1801990711" r:id="rId16"/>
        </w:object>
      </w:r>
    </w:p>
    <w:p w14:paraId="766D5FC8" w14:textId="03BF3B1A" w:rsidR="004F75E3" w:rsidRDefault="00D65785" w:rsidP="00A009CB">
      <w:pPr>
        <w:pStyle w:val="Caption"/>
        <w:jc w:val="center"/>
      </w:pPr>
      <w:r w:rsidRPr="006B5DA4">
        <w:rPr>
          <w:b/>
          <w:bCs/>
        </w:rPr>
        <w:t>Fig.</w:t>
      </w:r>
      <w:r w:rsidR="00A009CB" w:rsidRPr="006B5DA4">
        <w:rPr>
          <w:b/>
          <w:bCs/>
        </w:rPr>
        <w:t xml:space="preserve"> S</w:t>
      </w:r>
      <w:r w:rsidR="00A009CB" w:rsidRPr="006B5DA4">
        <w:rPr>
          <w:b/>
          <w:bCs/>
        </w:rPr>
        <w:fldChar w:fldCharType="begin"/>
      </w:r>
      <w:r w:rsidR="00A009CB" w:rsidRPr="006B5DA4">
        <w:rPr>
          <w:b/>
          <w:bCs/>
        </w:rPr>
        <w:instrText xml:space="preserve"> SEQ Figure_S \* ARABIC </w:instrText>
      </w:r>
      <w:r w:rsidR="00A009CB" w:rsidRPr="006B5DA4">
        <w:rPr>
          <w:b/>
          <w:bCs/>
        </w:rPr>
        <w:fldChar w:fldCharType="separate"/>
      </w:r>
      <w:r w:rsidR="00A009CB" w:rsidRPr="006B5DA4">
        <w:rPr>
          <w:b/>
          <w:bCs/>
          <w:noProof/>
        </w:rPr>
        <w:t>6</w:t>
      </w:r>
      <w:r w:rsidR="00A009CB" w:rsidRPr="006B5DA4">
        <w:rPr>
          <w:b/>
          <w:bCs/>
        </w:rPr>
        <w:fldChar w:fldCharType="end"/>
      </w:r>
      <w:r w:rsidR="00A009CB">
        <w:t xml:space="preserve"> </w:t>
      </w:r>
      <w:r w:rsidR="00A009CB" w:rsidRPr="005E57B8">
        <w:t>T</w:t>
      </w:r>
      <w:r w:rsidR="00A009CB" w:rsidRPr="005E57B8">
        <w:rPr>
          <w:vertAlign w:val="subscript"/>
        </w:rPr>
        <w:t>ads.film</w:t>
      </w:r>
      <w:r>
        <w:rPr>
          <w:vertAlign w:val="subscript"/>
        </w:rPr>
        <w:t>,1</w:t>
      </w:r>
      <w:r w:rsidR="00A009CB" w:rsidRPr="005E57B8">
        <w:t>/T</w:t>
      </w:r>
      <w:r w:rsidR="00A009CB" w:rsidRPr="005E57B8">
        <w:rPr>
          <w:vertAlign w:val="subscript"/>
        </w:rPr>
        <w:t>ads.film</w:t>
      </w:r>
      <w:r>
        <w:rPr>
          <w:vertAlign w:val="subscript"/>
        </w:rPr>
        <w:t>,2</w:t>
      </w:r>
      <w:r w:rsidR="00A009CB" w:rsidRPr="00D65785">
        <w:t>-ratio</w:t>
      </w:r>
      <w:r w:rsidR="00A009CB">
        <w:t xml:space="preserve"> versus the mode pore size</w:t>
      </w:r>
      <w:r w:rsidR="00A009CB" w:rsidRPr="005E57B8">
        <w:t xml:space="preserve"> of </w:t>
      </w:r>
      <w:r w:rsidR="00A009CB">
        <w:t xml:space="preserve">SBA-3 2.7, KIT-6 5.7, KIT-6 6.8 and KIT-6 10.1 in comparison to pristine silica AMT Silica investigated in our previous study </w:t>
      </w:r>
      <w:r w:rsidR="00A009CB">
        <w:fldChar w:fldCharType="begin"/>
      </w:r>
      <w:r w:rsidR="00A009CB">
        <w:instrText xml:space="preserve"> ADDIN ZOTERO_ITEM CSL_CITATION {"citationID":"0ABdaVi3","properties":{"formattedCitation":"(Schlumberger et al. 2024)","plainCitation":"(Schlumberger et al. 2024)","noteIndex":0},"citationItems":[{"id":4293,"uris":["http://zotero.org/users/local/oWpNT99E/items/ZUGN6VEQ"],"itemData":{"id":4293,"type":"article-journal","abstract":"Nanoporous silica is widely used as a support material for chemically bound stationary phases in chromatographic separations as well as for catalytic applications. Tuning of textural properties and surface chemistry of stationary phase materials (SPMs) is crucial to enhance their selectivity to certain compounds and the resulting process efficiency. Nanoporous silica supports are beneficial, as surface modifications are possible with a large variety of hydrophilic and hydrophobic functional groups, but their influence on the surface properties has not been evaluated in detail. In this sense, the contact angle is a key parameter for the assessment of surface chemistry, but its quantification in pores is challenging and requires a combination of various experimental techniques. This work demonstrates that combining water adsorption and intrusion measurements allows for the determination of the effective contact angle of adsorbed water on the pore walls for wetting, partial wetting, and nonwetting situations using functionalized hydrophilic and hydrophobic silica SPMs as model materials. Furthermore, NMR relaxometry experiments reveal that the ratio of the spin–lattice (T1) to spin–spin (T2) relaxation time of the adsorbed water film (T1,ads.film/T2,ads.film ratio) can be correlated with the effective adsorption strength of water on the surface. Indeed, a linear correlation between the negative inverse relaxation time ratio (−T2,ads.film/T1,ads.film) and the contact angle is observed. Our work demonstrates that water vapor adsorption and water intrusion experiments coupled with NMR relaxometry can be used as complementary tools to quantify the wettability and surface chemistry of nanoporous materials. This approach allows for addressing important aspects of nanoscale wettability in the context of material synthesis as well as for their application in chromatographic separation processes and catalysis.","container-title":"ACS Applied Nano Materials","DOI":"10.1021/acsanm.3c04330","issue":"2","journalAbbreviation":"ACS Appl. Nano Mater.","note":"publisher: American Chemical Society","page":"1572-1585","source":"ACS Publications","title":"Characterization of Functionalized Chromatographic Nanoporous Silica Materials by Coupling Water Adsorption and Intrusion with Nuclear Magnetic Resonance Relaxometry","volume":"7","author":[{"family":"Schlumberger","given":"Carola"},{"family":"Collados","given":"Carlos Cuadrado"},{"family":"Söllner","given":"Jakob"},{"family":"Huber","given":"Christoph"},{"family":"Wisser","given":"Dorothea"},{"family":"Liu","given":"Hsiao-Feng"},{"family":"Chang","given":"Chun-Kai"},{"family":"Schuster","given":"Stephanie A."},{"family":"Schure","given":"Mark R."},{"family":"Hartmann","given":"Martin"},{"family":"Siepmann","given":"J. Ilja"},{"family":"Thommes","given":"Matthias"}],"issued":{"date-parts":[["2024",1,8]]}}}],"schema":"https://github.com/citation-style-language/schema/raw/master/csl-citation.json"} </w:instrText>
      </w:r>
      <w:r w:rsidR="00A009CB">
        <w:fldChar w:fldCharType="separate"/>
      </w:r>
      <w:r w:rsidR="00A009CB" w:rsidRPr="001D4BAE">
        <w:rPr>
          <w:rFonts w:cs="Times"/>
        </w:rPr>
        <w:t>(Schlumberger et al. 2024)</w:t>
      </w:r>
      <w:r w:rsidR="00A009CB">
        <w:fldChar w:fldCharType="end"/>
      </w:r>
    </w:p>
    <w:p w14:paraId="160F90DC" w14:textId="77F55988" w:rsidR="008954D4" w:rsidRPr="008954D4" w:rsidRDefault="00812D8F" w:rsidP="00812D8F">
      <w:pPr>
        <w:pStyle w:val="Heading1"/>
      </w:pPr>
      <w:r>
        <w:lastRenderedPageBreak/>
        <w:t>References</w:t>
      </w:r>
    </w:p>
    <w:p w14:paraId="794FA97F" w14:textId="77777777" w:rsidR="006B5DA4" w:rsidRPr="006B5DA4" w:rsidRDefault="008954D4" w:rsidP="006B5DA4">
      <w:pPr>
        <w:pStyle w:val="Bibliography"/>
        <w:rPr>
          <w:rFonts w:cs="Times"/>
        </w:rPr>
      </w:pPr>
      <w:r>
        <w:fldChar w:fldCharType="begin"/>
      </w:r>
      <w:r w:rsidR="006B5DA4">
        <w:instrText xml:space="preserve"> ADDIN ZOTERO_BIBL {"uncited":[],"omitted":[],"custom":[]} CSL_BIBLIOGRAPHY </w:instrText>
      </w:r>
      <w:r>
        <w:fldChar w:fldCharType="separate"/>
      </w:r>
      <w:r w:rsidR="006B5DA4" w:rsidRPr="006B5DA4">
        <w:rPr>
          <w:rFonts w:cs="Times"/>
        </w:rPr>
        <w:t xml:space="preserve"> Schlumberger, C.: Novel Methodologies based on a Combination of Nuclear Magnetic Resonance Relaxometry and Gas Adsorption for Advanced Characterization of Nanoporous Materials and Powders in the Wet and Dry State, https://doi.org/10.25593/open-fau-791, (2024)</w:t>
      </w:r>
    </w:p>
    <w:p w14:paraId="00265345" w14:textId="77777777" w:rsidR="006B5DA4" w:rsidRPr="006B5DA4" w:rsidRDefault="006B5DA4" w:rsidP="006B5DA4">
      <w:pPr>
        <w:pStyle w:val="Bibliography"/>
        <w:rPr>
          <w:rFonts w:cs="Times"/>
        </w:rPr>
      </w:pPr>
      <w:r w:rsidRPr="006B5DA4">
        <w:rPr>
          <w:rFonts w:cs="Times"/>
        </w:rPr>
        <w:t xml:space="preserve"> Schlumberger, C., Collados, C.C., Söllner, J., Huber, C., Wisser, D., Liu, H.-F., Chang, C.-K., Schuster, S.A., Schure, M.R., Hartmann, M., Siepmann, J.I., Thommes, M.: Characterization of Functionalized Chromatographic Nanoporous Silica Materials by Coupling Water Adsorption and Intrusion with Nuclear Magnetic Resonance Relaxometry. ACS Appl. Nano Mater. 7, 1572–1585 (2024). https://doi.org/10.1021/acsanm.3c04330</w:t>
      </w:r>
    </w:p>
    <w:p w14:paraId="5955215B" w14:textId="77777777" w:rsidR="006B5DA4" w:rsidRPr="006B5DA4" w:rsidRDefault="006B5DA4" w:rsidP="006B5DA4">
      <w:pPr>
        <w:pStyle w:val="Bibliography"/>
        <w:rPr>
          <w:rFonts w:cs="Times"/>
        </w:rPr>
      </w:pPr>
      <w:r w:rsidRPr="006B5DA4">
        <w:rPr>
          <w:rFonts w:cs="Times"/>
        </w:rPr>
        <w:t xml:space="preserve"> Schlumberger, C., Sandner, L., Michalowski, A., Thommes, M.: Reliable Surface Area Assessment of Wet and Dry Nonporous and Nanoporous Particles: Nuclear Magnetic Resonance Relaxometry and Gas Physisorption. Langmuir. 39, 4611–4621 (2023). https://doi.org/10.1021/acs.langmuir.2c03337</w:t>
      </w:r>
    </w:p>
    <w:p w14:paraId="6A9F6537" w14:textId="0197C805" w:rsidR="008954D4" w:rsidRPr="008954D4" w:rsidRDefault="008954D4" w:rsidP="008954D4">
      <w:r>
        <w:fldChar w:fldCharType="end"/>
      </w:r>
    </w:p>
    <w:p w14:paraId="6E9B6B80" w14:textId="031173D5" w:rsidR="00FE3AD1" w:rsidRPr="00FE3AD1" w:rsidRDefault="00FE3AD1" w:rsidP="008954D4">
      <w:pPr>
        <w:pStyle w:val="Caption"/>
      </w:pPr>
    </w:p>
    <w:p w14:paraId="2CA6E35E" w14:textId="77777777" w:rsidR="008122EC" w:rsidRPr="00C36C9C" w:rsidRDefault="008122EC" w:rsidP="00C36C9C"/>
    <w:sectPr w:rsidR="008122EC" w:rsidRPr="00C36C9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yriad Pro Light">
    <w:altName w:val="Corbe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no Pro">
    <w:altName w:val="Constantia"/>
    <w:panose1 w:val="00000000000000000000"/>
    <w:charset w:val="00"/>
    <w:family w:val="roman"/>
    <w:notTrueType/>
    <w:pitch w:val="variable"/>
    <w:sig w:usb0="00000001" w:usb1="00000001" w:usb2="00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DB717B"/>
    <w:multiLevelType w:val="multilevel"/>
    <w:tmpl w:val="4618961A"/>
    <w:lvl w:ilvl="0">
      <w:start w:val="1"/>
      <w:numFmt w:val="decimal"/>
      <w:pStyle w:val="Heading1"/>
      <w:lvlText w:val="%1"/>
      <w:lvlJc w:val="left"/>
      <w:pPr>
        <w:ind w:left="1282" w:hanging="432"/>
      </w:pPr>
    </w:lvl>
    <w:lvl w:ilvl="1">
      <w:start w:val="1"/>
      <w:numFmt w:val="decimal"/>
      <w:pStyle w:val="Heading2"/>
      <w:lvlText w:val="%1.%2"/>
      <w:lvlJc w:val="left"/>
      <w:pPr>
        <w:ind w:left="5395"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EE3"/>
    <w:rsid w:val="00044C52"/>
    <w:rsid w:val="00091AD1"/>
    <w:rsid w:val="00093F73"/>
    <w:rsid w:val="000950E1"/>
    <w:rsid w:val="000A0786"/>
    <w:rsid w:val="00102A31"/>
    <w:rsid w:val="001A69C1"/>
    <w:rsid w:val="001B2F25"/>
    <w:rsid w:val="00266CBF"/>
    <w:rsid w:val="002F2A59"/>
    <w:rsid w:val="0038442C"/>
    <w:rsid w:val="00391ADB"/>
    <w:rsid w:val="00410784"/>
    <w:rsid w:val="00490B43"/>
    <w:rsid w:val="004C734E"/>
    <w:rsid w:val="004F296B"/>
    <w:rsid w:val="004F75E3"/>
    <w:rsid w:val="00516AFF"/>
    <w:rsid w:val="00610D54"/>
    <w:rsid w:val="00642EE8"/>
    <w:rsid w:val="006A5012"/>
    <w:rsid w:val="006B5DA4"/>
    <w:rsid w:val="006F3892"/>
    <w:rsid w:val="007540EF"/>
    <w:rsid w:val="00791C02"/>
    <w:rsid w:val="007D6C38"/>
    <w:rsid w:val="008122EC"/>
    <w:rsid w:val="00812D8F"/>
    <w:rsid w:val="00816977"/>
    <w:rsid w:val="008954D4"/>
    <w:rsid w:val="008D762C"/>
    <w:rsid w:val="008F7637"/>
    <w:rsid w:val="00900869"/>
    <w:rsid w:val="00913BE4"/>
    <w:rsid w:val="00944F3D"/>
    <w:rsid w:val="00974322"/>
    <w:rsid w:val="009966F6"/>
    <w:rsid w:val="009D3F75"/>
    <w:rsid w:val="009F3CD4"/>
    <w:rsid w:val="00A009CB"/>
    <w:rsid w:val="00A53246"/>
    <w:rsid w:val="00AA2F95"/>
    <w:rsid w:val="00AC7B6A"/>
    <w:rsid w:val="00AE33C8"/>
    <w:rsid w:val="00AE3894"/>
    <w:rsid w:val="00B61CD9"/>
    <w:rsid w:val="00BD07C1"/>
    <w:rsid w:val="00BD30FC"/>
    <w:rsid w:val="00BD70CC"/>
    <w:rsid w:val="00BD72CC"/>
    <w:rsid w:val="00C36C9C"/>
    <w:rsid w:val="00C424E5"/>
    <w:rsid w:val="00C55104"/>
    <w:rsid w:val="00C8349A"/>
    <w:rsid w:val="00C8740B"/>
    <w:rsid w:val="00D65785"/>
    <w:rsid w:val="00D719AF"/>
    <w:rsid w:val="00DD12EC"/>
    <w:rsid w:val="00E026A9"/>
    <w:rsid w:val="00E2664C"/>
    <w:rsid w:val="00E83715"/>
    <w:rsid w:val="00EA0F50"/>
    <w:rsid w:val="00EF0EE3"/>
    <w:rsid w:val="00F20039"/>
    <w:rsid w:val="00FB6D02"/>
    <w:rsid w:val="00FE3AD1"/>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80C8B"/>
  <w15:chartTrackingRefBased/>
  <w15:docId w15:val="{E479FCF2-88B2-4874-BA33-F7595B2CE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EE3"/>
    <w:pPr>
      <w:spacing w:after="200" w:line="240" w:lineRule="auto"/>
      <w:jc w:val="both"/>
    </w:pPr>
    <w:rPr>
      <w:rFonts w:ascii="Times" w:eastAsia="Times New Roman" w:hAnsi="Times" w:cs="Times New Roman"/>
      <w:sz w:val="24"/>
      <w:szCs w:val="20"/>
      <w:lang w:val="en-US"/>
    </w:rPr>
  </w:style>
  <w:style w:type="paragraph" w:styleId="Heading1">
    <w:name w:val="heading 1"/>
    <w:basedOn w:val="Normal"/>
    <w:next w:val="Normal"/>
    <w:link w:val="Heading1Char"/>
    <w:qFormat/>
    <w:rsid w:val="00EF0EE3"/>
    <w:pPr>
      <w:keepNext/>
      <w:numPr>
        <w:numId w:val="1"/>
      </w:numPr>
      <w:spacing w:before="180" w:after="60"/>
      <w:outlineLvl w:val="0"/>
    </w:pPr>
    <w:rPr>
      <w:rFonts w:ascii="Myriad Pro Light" w:hAnsi="Myriad Pro Light" w:cs="Arial"/>
      <w:b/>
      <w:bCs/>
      <w:kern w:val="32"/>
      <w:szCs w:val="32"/>
    </w:rPr>
  </w:style>
  <w:style w:type="paragraph" w:styleId="Heading2">
    <w:name w:val="heading 2"/>
    <w:basedOn w:val="Normal"/>
    <w:next w:val="Normal"/>
    <w:link w:val="Heading2Char"/>
    <w:qFormat/>
    <w:rsid w:val="00EF0EE3"/>
    <w:pPr>
      <w:keepNext/>
      <w:numPr>
        <w:ilvl w:val="1"/>
        <w:numId w:val="1"/>
      </w:numPr>
      <w:spacing w:before="60" w:after="60"/>
      <w:ind w:left="576"/>
      <w:outlineLvl w:val="1"/>
    </w:pPr>
    <w:rPr>
      <w:rFonts w:ascii="Myriad Pro Light" w:hAnsi="Myriad Pro Light" w:cs="Arial"/>
      <w:b/>
      <w:bCs/>
      <w:iCs/>
      <w:sz w:val="22"/>
      <w:szCs w:val="28"/>
    </w:rPr>
  </w:style>
  <w:style w:type="paragraph" w:styleId="Heading3">
    <w:name w:val="heading 3"/>
    <w:basedOn w:val="Normal"/>
    <w:next w:val="Normal"/>
    <w:link w:val="Heading3Char"/>
    <w:qFormat/>
    <w:rsid w:val="00EF0EE3"/>
    <w:pPr>
      <w:keepNext/>
      <w:numPr>
        <w:ilvl w:val="2"/>
        <w:numId w:val="1"/>
      </w:numPr>
      <w:spacing w:before="60" w:after="60"/>
      <w:outlineLvl w:val="2"/>
    </w:pPr>
    <w:rPr>
      <w:rFonts w:ascii="Myriad Pro Light" w:hAnsi="Myriad Pro Light" w:cs="Arial"/>
      <w:b/>
      <w:bCs/>
      <w:sz w:val="20"/>
      <w:szCs w:val="26"/>
    </w:rPr>
  </w:style>
  <w:style w:type="paragraph" w:styleId="Heading4">
    <w:name w:val="heading 4"/>
    <w:basedOn w:val="Normal"/>
    <w:next w:val="Normal"/>
    <w:link w:val="Heading4Char"/>
    <w:semiHidden/>
    <w:unhideWhenUsed/>
    <w:qFormat/>
    <w:rsid w:val="00EF0EE3"/>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EF0EE3"/>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EF0EE3"/>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EF0EE3"/>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EF0EE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F0EE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0EE3"/>
    <w:rPr>
      <w:rFonts w:ascii="Myriad Pro Light" w:eastAsia="Times New Roman" w:hAnsi="Myriad Pro Light" w:cs="Arial"/>
      <w:b/>
      <w:bCs/>
      <w:kern w:val="32"/>
      <w:sz w:val="24"/>
      <w:szCs w:val="32"/>
      <w:lang w:val="en-US"/>
    </w:rPr>
  </w:style>
  <w:style w:type="character" w:customStyle="1" w:styleId="Heading2Char">
    <w:name w:val="Heading 2 Char"/>
    <w:basedOn w:val="DefaultParagraphFont"/>
    <w:link w:val="Heading2"/>
    <w:rsid w:val="00EF0EE3"/>
    <w:rPr>
      <w:rFonts w:ascii="Myriad Pro Light" w:eastAsia="Times New Roman" w:hAnsi="Myriad Pro Light" w:cs="Arial"/>
      <w:b/>
      <w:bCs/>
      <w:iCs/>
      <w:szCs w:val="28"/>
      <w:lang w:val="en-US"/>
    </w:rPr>
  </w:style>
  <w:style w:type="character" w:customStyle="1" w:styleId="Heading3Char">
    <w:name w:val="Heading 3 Char"/>
    <w:basedOn w:val="DefaultParagraphFont"/>
    <w:link w:val="Heading3"/>
    <w:rsid w:val="00EF0EE3"/>
    <w:rPr>
      <w:rFonts w:ascii="Myriad Pro Light" w:eastAsia="Times New Roman" w:hAnsi="Myriad Pro Light" w:cs="Arial"/>
      <w:b/>
      <w:bCs/>
      <w:sz w:val="20"/>
      <w:szCs w:val="26"/>
      <w:lang w:val="en-US"/>
    </w:rPr>
  </w:style>
  <w:style w:type="character" w:customStyle="1" w:styleId="Heading4Char">
    <w:name w:val="Heading 4 Char"/>
    <w:basedOn w:val="DefaultParagraphFont"/>
    <w:link w:val="Heading4"/>
    <w:semiHidden/>
    <w:rsid w:val="00EF0EE3"/>
    <w:rPr>
      <w:rFonts w:asciiTheme="majorHAnsi" w:eastAsiaTheme="majorEastAsia" w:hAnsiTheme="majorHAnsi" w:cstheme="majorBidi"/>
      <w:i/>
      <w:iCs/>
      <w:color w:val="2F5496" w:themeColor="accent1" w:themeShade="BF"/>
      <w:sz w:val="24"/>
      <w:szCs w:val="20"/>
      <w:lang w:val="en-US"/>
    </w:rPr>
  </w:style>
  <w:style w:type="character" w:customStyle="1" w:styleId="Heading5Char">
    <w:name w:val="Heading 5 Char"/>
    <w:basedOn w:val="DefaultParagraphFont"/>
    <w:link w:val="Heading5"/>
    <w:semiHidden/>
    <w:rsid w:val="00EF0EE3"/>
    <w:rPr>
      <w:rFonts w:asciiTheme="majorHAnsi" w:eastAsiaTheme="majorEastAsia" w:hAnsiTheme="majorHAnsi" w:cstheme="majorBidi"/>
      <w:color w:val="2F5496" w:themeColor="accent1" w:themeShade="BF"/>
      <w:sz w:val="24"/>
      <w:szCs w:val="20"/>
      <w:lang w:val="en-US"/>
    </w:rPr>
  </w:style>
  <w:style w:type="character" w:customStyle="1" w:styleId="Heading6Char">
    <w:name w:val="Heading 6 Char"/>
    <w:basedOn w:val="DefaultParagraphFont"/>
    <w:link w:val="Heading6"/>
    <w:semiHidden/>
    <w:rsid w:val="00EF0EE3"/>
    <w:rPr>
      <w:rFonts w:asciiTheme="majorHAnsi" w:eastAsiaTheme="majorEastAsia" w:hAnsiTheme="majorHAnsi" w:cstheme="majorBidi"/>
      <w:color w:val="1F3763" w:themeColor="accent1" w:themeShade="7F"/>
      <w:sz w:val="24"/>
      <w:szCs w:val="20"/>
      <w:lang w:val="en-US"/>
    </w:rPr>
  </w:style>
  <w:style w:type="character" w:customStyle="1" w:styleId="Heading7Char">
    <w:name w:val="Heading 7 Char"/>
    <w:basedOn w:val="DefaultParagraphFont"/>
    <w:link w:val="Heading7"/>
    <w:semiHidden/>
    <w:rsid w:val="00EF0EE3"/>
    <w:rPr>
      <w:rFonts w:asciiTheme="majorHAnsi" w:eastAsiaTheme="majorEastAsia" w:hAnsiTheme="majorHAnsi" w:cstheme="majorBidi"/>
      <w:i/>
      <w:iCs/>
      <w:color w:val="1F3763" w:themeColor="accent1" w:themeShade="7F"/>
      <w:sz w:val="24"/>
      <w:szCs w:val="20"/>
      <w:lang w:val="en-US"/>
    </w:rPr>
  </w:style>
  <w:style w:type="character" w:customStyle="1" w:styleId="Heading8Char">
    <w:name w:val="Heading 8 Char"/>
    <w:basedOn w:val="DefaultParagraphFont"/>
    <w:link w:val="Heading8"/>
    <w:semiHidden/>
    <w:rsid w:val="00EF0EE3"/>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semiHidden/>
    <w:rsid w:val="00EF0EE3"/>
    <w:rPr>
      <w:rFonts w:asciiTheme="majorHAnsi" w:eastAsiaTheme="majorEastAsia" w:hAnsiTheme="majorHAnsi" w:cstheme="majorBidi"/>
      <w:i/>
      <w:iCs/>
      <w:color w:val="272727" w:themeColor="text1" w:themeTint="D8"/>
      <w:sz w:val="21"/>
      <w:szCs w:val="21"/>
      <w:lang w:val="en-US"/>
    </w:rPr>
  </w:style>
  <w:style w:type="paragraph" w:styleId="Caption">
    <w:name w:val="caption"/>
    <w:basedOn w:val="Normal"/>
    <w:next w:val="Normal"/>
    <w:uiPriority w:val="35"/>
    <w:unhideWhenUsed/>
    <w:qFormat/>
    <w:rsid w:val="00EF0EE3"/>
    <w:rPr>
      <w:i/>
      <w:iCs/>
      <w:color w:val="44546A" w:themeColor="text2"/>
      <w:sz w:val="18"/>
      <w:szCs w:val="18"/>
    </w:rPr>
  </w:style>
  <w:style w:type="paragraph" w:customStyle="1" w:styleId="BBAuthorName">
    <w:name w:val="BB_Author_Name"/>
    <w:basedOn w:val="Normal"/>
    <w:next w:val="BCAuthorAddress"/>
    <w:autoRedefine/>
    <w:rsid w:val="00EF0EE3"/>
    <w:pPr>
      <w:spacing w:after="180"/>
      <w:jc w:val="left"/>
    </w:pPr>
    <w:rPr>
      <w:rFonts w:ascii="Arno Pro" w:hAnsi="Arno Pro"/>
      <w:kern w:val="26"/>
    </w:rPr>
  </w:style>
  <w:style w:type="paragraph" w:customStyle="1" w:styleId="BCAuthorAddress">
    <w:name w:val="BC_Author_Address"/>
    <w:basedOn w:val="Normal"/>
    <w:next w:val="Normal"/>
    <w:autoRedefine/>
    <w:rsid w:val="00EF0EE3"/>
    <w:pPr>
      <w:spacing w:after="60"/>
      <w:jc w:val="left"/>
    </w:pPr>
    <w:rPr>
      <w:rFonts w:ascii="Arno Pro" w:hAnsi="Arno Pro"/>
      <w:kern w:val="22"/>
      <w:sz w:val="20"/>
    </w:rPr>
  </w:style>
  <w:style w:type="paragraph" w:customStyle="1" w:styleId="StyleFACorrespondingAuthorFootnote7pt">
    <w:name w:val="Style FA_Corresponding_Author_Footnote + 7 pt"/>
    <w:basedOn w:val="Normal"/>
    <w:next w:val="Normal"/>
    <w:link w:val="StyleFACorrespondingAuthorFootnote7ptChar"/>
    <w:autoRedefine/>
    <w:rsid w:val="00EF0EE3"/>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EF0EE3"/>
    <w:rPr>
      <w:rFonts w:ascii="Arno Pro" w:eastAsia="Times New Roman" w:hAnsi="Arno Pro" w:cs="Times New Roman"/>
      <w:kern w:val="20"/>
      <w:sz w:val="18"/>
      <w:szCs w:val="20"/>
      <w:lang w:val="en-US"/>
    </w:rPr>
  </w:style>
  <w:style w:type="paragraph" w:customStyle="1" w:styleId="FAAuthorInfoSubtitle">
    <w:name w:val="FA_Author_Info_Subtitle"/>
    <w:basedOn w:val="Normal"/>
    <w:link w:val="FAAuthorInfoSubtitleChar"/>
    <w:autoRedefine/>
    <w:rsid w:val="00EF0EE3"/>
    <w:pPr>
      <w:spacing w:before="120" w:after="60"/>
      <w:jc w:val="left"/>
    </w:pPr>
    <w:rPr>
      <w:rFonts w:ascii="Myriad Pro Light" w:hAnsi="Myriad Pro Light"/>
      <w:b/>
      <w:kern w:val="21"/>
      <w:sz w:val="19"/>
      <w:szCs w:val="14"/>
    </w:rPr>
  </w:style>
  <w:style w:type="character" w:customStyle="1" w:styleId="FAAuthorInfoSubtitleChar">
    <w:name w:val="FA_Author_Info_Subtitle Char"/>
    <w:link w:val="FAAuthorInfoSubtitle"/>
    <w:rsid w:val="00EF0EE3"/>
    <w:rPr>
      <w:rFonts w:ascii="Myriad Pro Light" w:eastAsia="Times New Roman" w:hAnsi="Myriad Pro Light" w:cs="Times New Roman"/>
      <w:b/>
      <w:kern w:val="21"/>
      <w:sz w:val="19"/>
      <w:szCs w:val="14"/>
      <w:lang w:val="en-US"/>
    </w:rPr>
  </w:style>
  <w:style w:type="table" w:styleId="TableGrid">
    <w:name w:val="Table Grid"/>
    <w:basedOn w:val="TableNormal"/>
    <w:uiPriority w:val="39"/>
    <w:rsid w:val="009D3F75"/>
    <w:pPr>
      <w:spacing w:after="0" w:line="240" w:lineRule="auto"/>
    </w:pPr>
    <w:rPr>
      <w:rFonts w:ascii="New York" w:eastAsia="Times New Roman" w:hAnsi="New York"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8954D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oleObject" Target="embeddings/oleObject4.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emf"/><Relationship Id="rId5" Type="http://schemas.openxmlformats.org/officeDocument/2006/relationships/image" Target="media/image1.emf"/><Relationship Id="rId15" Type="http://schemas.openxmlformats.org/officeDocument/2006/relationships/image" Target="media/image6.emf"/><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7471</Words>
  <Characters>45352</Characters>
  <Application>Microsoft Office Word</Application>
  <DocSecurity>0</DocSecurity>
  <Lines>1563</Lines>
  <Paragraphs>480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Schlumberger, Carola</dc:creator>
  <cp:keywords/>
  <dc:description/>
  <cp:lastModifiedBy>Vorndran, Carola</cp:lastModifiedBy>
  <cp:revision>3</cp:revision>
  <dcterms:created xsi:type="dcterms:W3CDTF">2025-02-25T10:53:00Z</dcterms:created>
  <dcterms:modified xsi:type="dcterms:W3CDTF">2025-02-25T11:10:00Z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id="UkX9rYXy"/&gt;&lt;style id="http://www.zotero.org/styles/adsorption" hasBibliography="1" bibliographyStyleHasBeenSet="1"/&gt;&lt;prefs&gt;&lt;pref name="fieldType" value="Field"/&gt;&lt;pref name="automaticJournalAbbrev</vt:lpwstr>
  </property>
  <property fmtid="{D5CDD505-2E9C-101B-9397-08002B2CF9AE}" pid="3" name="ZOTERO_PREF_2">
    <vt:lpwstr>iations" value="true"/&gt;&lt;/prefs&gt;&lt;/data&gt;</vt:lpwstr>
  </property>
</Properties>
</file>