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5B" w:rsidRPr="00DE68A5" w:rsidRDefault="004C225B" w:rsidP="004C225B">
      <w:pPr>
        <w:pStyle w:val="Heading1"/>
        <w:spacing w:line="480" w:lineRule="auto"/>
        <w:rPr>
          <w:rFonts w:ascii="Times New Roman" w:hAnsi="Times New Roman" w:cs="Times New Roman"/>
          <w:color w:val="auto"/>
          <w:sz w:val="24"/>
          <w:szCs w:val="24"/>
        </w:rPr>
      </w:pPr>
      <w:r w:rsidRPr="00DE68A5">
        <w:rPr>
          <w:rFonts w:ascii="Times New Roman" w:hAnsi="Times New Roman" w:cs="Times New Roman"/>
          <w:b/>
          <w:color w:val="auto"/>
          <w:sz w:val="24"/>
          <w:szCs w:val="24"/>
        </w:rPr>
        <w:t>Electronic supplementary materials</w:t>
      </w:r>
    </w:p>
    <w:p w:rsidR="004C225B" w:rsidRPr="00DE68A5" w:rsidRDefault="004C225B" w:rsidP="004C225B">
      <w:pPr>
        <w:spacing w:line="480" w:lineRule="auto"/>
        <w:rPr>
          <w:rFonts w:ascii="Times New Roman" w:hAnsi="Times New Roman" w:cs="Times New Roman"/>
          <w:sz w:val="24"/>
          <w:szCs w:val="24"/>
        </w:rPr>
      </w:pPr>
    </w:p>
    <w:p w:rsidR="004C225B" w:rsidRPr="00DE68A5" w:rsidRDefault="004C225B" w:rsidP="004C225B">
      <w:pPr>
        <w:spacing w:line="480" w:lineRule="auto"/>
        <w:rPr>
          <w:rFonts w:ascii="Times New Roman" w:hAnsi="Times New Roman" w:cs="Times New Roman"/>
          <w:b/>
          <w:sz w:val="24"/>
          <w:szCs w:val="24"/>
        </w:rPr>
      </w:pPr>
      <w:r w:rsidRPr="00DE68A5">
        <w:rPr>
          <w:rFonts w:ascii="Times New Roman" w:hAnsi="Times New Roman" w:cs="Times New Roman"/>
          <w:b/>
          <w:sz w:val="24"/>
          <w:szCs w:val="24"/>
        </w:rPr>
        <w:t xml:space="preserve">ESM1 </w:t>
      </w:r>
      <w:r w:rsidRPr="00DE68A5">
        <w:rPr>
          <w:rFonts w:ascii="Times New Roman" w:hAnsi="Times New Roman" w:cs="Times New Roman"/>
          <w:bCs/>
          <w:sz w:val="24"/>
          <w:szCs w:val="24"/>
        </w:rPr>
        <w:t xml:space="preserve">Head capsule length (µm) of the second, third and fourth larval instar of </w:t>
      </w:r>
      <w:r w:rsidRPr="00DE68A5">
        <w:rPr>
          <w:rFonts w:ascii="Times New Roman" w:hAnsi="Times New Roman" w:cs="Times New Roman"/>
          <w:bCs/>
          <w:i/>
          <w:iCs/>
          <w:sz w:val="24"/>
          <w:szCs w:val="24"/>
        </w:rPr>
        <w:t>Chironomus riparius</w:t>
      </w:r>
      <w:r w:rsidRPr="00DE68A5">
        <w:rPr>
          <w:rFonts w:ascii="Times New Roman" w:hAnsi="Times New Roman" w:cs="Times New Roman"/>
          <w:bCs/>
          <w:sz w:val="24"/>
          <w:szCs w:val="24"/>
        </w:rPr>
        <w:t xml:space="preserve"> under varying temperatures (A) and food sources (B). The data include both male and </w:t>
      </w:r>
      <w:bookmarkStart w:id="0" w:name="_GoBack"/>
      <w:bookmarkEnd w:id="0"/>
      <w:r w:rsidRPr="00DE68A5">
        <w:rPr>
          <w:rFonts w:ascii="Times New Roman" w:hAnsi="Times New Roman" w:cs="Times New Roman"/>
          <w:bCs/>
          <w:sz w:val="24"/>
          <w:szCs w:val="24"/>
        </w:rPr>
        <w:t xml:space="preserve">female specimens, which are undifferentiated in this analysis, across all treatments. Boxplots illustrate the relationship between head capsule length and larval instar, confirming Dyar’s rule by showing distinct, predictable differences between the second, third, and fourth instars. </w:t>
      </w:r>
    </w:p>
    <w:p w:rsidR="004C225B" w:rsidRPr="00DE68A5" w:rsidRDefault="004C225B" w:rsidP="004C225B">
      <w:pPr>
        <w:spacing w:line="480" w:lineRule="auto"/>
        <w:rPr>
          <w:rFonts w:ascii="Times New Roman" w:hAnsi="Times New Roman" w:cs="Times New Roman"/>
          <w:b/>
          <w:sz w:val="24"/>
          <w:szCs w:val="24"/>
        </w:rPr>
      </w:pPr>
    </w:p>
    <w:p w:rsidR="004C225B" w:rsidRPr="00DE68A5" w:rsidRDefault="004C225B" w:rsidP="004C225B">
      <w:pPr>
        <w:spacing w:line="480" w:lineRule="auto"/>
        <w:rPr>
          <w:rFonts w:ascii="Times New Roman" w:hAnsi="Times New Roman" w:cs="Times New Roman"/>
          <w:b/>
          <w:sz w:val="24"/>
          <w:szCs w:val="24"/>
          <w:lang w:val="sv-SE"/>
        </w:rPr>
      </w:pPr>
      <w:r w:rsidRPr="00DE68A5">
        <w:rPr>
          <w:rFonts w:ascii="Times New Roman" w:hAnsi="Times New Roman" w:cs="Times New Roman"/>
          <w:b/>
          <w:noProof/>
          <w:sz w:val="24"/>
          <w:szCs w:val="24"/>
          <w:lang w:eastAsia="en-IN"/>
        </w:rPr>
        <w:drawing>
          <wp:inline distT="0" distB="0" distL="0" distR="0" wp14:anchorId="7BEA0FFE" wp14:editId="5D746E1F">
            <wp:extent cx="3687775" cy="2182188"/>
            <wp:effectExtent l="0" t="0" r="8255" b="8890"/>
            <wp:docPr id="801927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27202" name="Picture 801927202"/>
                    <pic:cNvPicPr/>
                  </pic:nvPicPr>
                  <pic:blipFill>
                    <a:blip r:embed="rId4">
                      <a:extLst>
                        <a:ext uri="{28A0092B-C50C-407E-A947-70E740481C1C}">
                          <a14:useLocalDpi xmlns:a14="http://schemas.microsoft.com/office/drawing/2010/main" val="0"/>
                        </a:ext>
                      </a:extLst>
                    </a:blip>
                    <a:stretch>
                      <a:fillRect/>
                    </a:stretch>
                  </pic:blipFill>
                  <pic:spPr>
                    <a:xfrm>
                      <a:off x="0" y="0"/>
                      <a:ext cx="3687775" cy="2182188"/>
                    </a:xfrm>
                    <a:prstGeom prst="rect">
                      <a:avLst/>
                    </a:prstGeom>
                  </pic:spPr>
                </pic:pic>
              </a:graphicData>
            </a:graphic>
          </wp:inline>
        </w:drawing>
      </w:r>
    </w:p>
    <w:p w:rsidR="004C225B" w:rsidRPr="00DE68A5" w:rsidRDefault="004C225B" w:rsidP="004C225B">
      <w:pPr>
        <w:spacing w:line="480" w:lineRule="auto"/>
        <w:rPr>
          <w:rFonts w:ascii="Times New Roman" w:hAnsi="Times New Roman" w:cs="Times New Roman"/>
          <w:bCs/>
          <w:sz w:val="24"/>
          <w:szCs w:val="24"/>
        </w:rPr>
      </w:pPr>
      <w:r w:rsidRPr="00DE68A5">
        <w:rPr>
          <w:rFonts w:ascii="Times New Roman" w:hAnsi="Times New Roman" w:cs="Times New Roman"/>
          <w:b/>
          <w:sz w:val="24"/>
          <w:szCs w:val="24"/>
        </w:rPr>
        <w:t xml:space="preserve">ESM2 </w:t>
      </w:r>
      <w:r w:rsidRPr="00DE68A5">
        <w:rPr>
          <w:rFonts w:ascii="Times New Roman" w:hAnsi="Times New Roman" w:cs="Times New Roman"/>
          <w:bCs/>
          <w:sz w:val="24"/>
          <w:szCs w:val="24"/>
        </w:rPr>
        <w:t xml:space="preserve">Temporal dynamics of sex-based adult emergence across temperatures at low larval density at (A) 20°C, (B) 22°C, and (C) 24°C. The emergence patterns of male and female individuals were observed across three temperature treatments, with a distinct trend of later emergence for females at all temperatures, as anticipated. At lower temperatures (20°C), both sexes emerged more slowly, while at higher temperatures (22°C and 24°C), the timing of emergence accelerated. The pronounced delay in female emergence relative to males was consistent across all conditions, indicating temperature-dependent regulation of sex-specific </w:t>
      </w:r>
      <w:r w:rsidRPr="00DE68A5">
        <w:rPr>
          <w:rFonts w:ascii="Times New Roman" w:hAnsi="Times New Roman" w:cs="Times New Roman"/>
          <w:bCs/>
          <w:sz w:val="24"/>
          <w:szCs w:val="24"/>
        </w:rPr>
        <w:lastRenderedPageBreak/>
        <w:t xml:space="preserve">developmental timing. In each panel, males are represented by blue bars, while females are represented by red bars. </w:t>
      </w:r>
    </w:p>
    <w:p w:rsidR="004C225B" w:rsidRPr="00DE68A5" w:rsidRDefault="004C225B" w:rsidP="004C225B">
      <w:pPr>
        <w:spacing w:line="480" w:lineRule="auto"/>
        <w:rPr>
          <w:rFonts w:ascii="Times New Roman" w:hAnsi="Times New Roman" w:cs="Times New Roman"/>
          <w:bCs/>
          <w:sz w:val="24"/>
          <w:szCs w:val="24"/>
        </w:rPr>
      </w:pPr>
    </w:p>
    <w:p w:rsidR="004C225B" w:rsidRPr="00DE68A5" w:rsidRDefault="004C225B" w:rsidP="004C225B">
      <w:pPr>
        <w:spacing w:line="480" w:lineRule="auto"/>
        <w:rPr>
          <w:rFonts w:ascii="Times New Roman" w:hAnsi="Times New Roman" w:cs="Times New Roman"/>
          <w:b/>
          <w:sz w:val="24"/>
          <w:szCs w:val="24"/>
        </w:rPr>
      </w:pPr>
      <w:r w:rsidRPr="00DE68A5">
        <w:rPr>
          <w:rFonts w:ascii="Times New Roman" w:hAnsi="Times New Roman" w:cs="Times New Roman"/>
          <w:b/>
          <w:noProof/>
          <w:sz w:val="24"/>
          <w:szCs w:val="24"/>
          <w:lang w:eastAsia="en-IN"/>
        </w:rPr>
        <w:drawing>
          <wp:inline distT="0" distB="0" distL="0" distR="0" wp14:anchorId="56B17600" wp14:editId="7108B690">
            <wp:extent cx="5943600" cy="3439160"/>
            <wp:effectExtent l="0" t="0" r="0" b="8890"/>
            <wp:docPr id="5580933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93300" name="Picture 558093300"/>
                    <pic:cNvPicPr/>
                  </pic:nvPicPr>
                  <pic:blipFill>
                    <a:blip r:embed="rId5">
                      <a:extLst>
                        <a:ext uri="{28A0092B-C50C-407E-A947-70E740481C1C}">
                          <a14:useLocalDpi xmlns:a14="http://schemas.microsoft.com/office/drawing/2010/main" val="0"/>
                        </a:ext>
                      </a:extLst>
                    </a:blip>
                    <a:stretch>
                      <a:fillRect/>
                    </a:stretch>
                  </pic:blipFill>
                  <pic:spPr>
                    <a:xfrm>
                      <a:off x="0" y="0"/>
                      <a:ext cx="5943600" cy="3439160"/>
                    </a:xfrm>
                    <a:prstGeom prst="rect">
                      <a:avLst/>
                    </a:prstGeom>
                  </pic:spPr>
                </pic:pic>
              </a:graphicData>
            </a:graphic>
          </wp:inline>
        </w:drawing>
      </w:r>
    </w:p>
    <w:p w:rsidR="002C7C44" w:rsidRDefault="002C7C44" w:rsidP="004C225B"/>
    <w:sectPr w:rsidR="002C7C44" w:rsidSect="00DE68A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10985"/>
      <w:docPartObj>
        <w:docPartGallery w:val="Page Numbers (Bottom of Page)"/>
        <w:docPartUnique/>
      </w:docPartObj>
    </w:sdtPr>
    <w:sdtEndPr>
      <w:rPr>
        <w:noProof/>
      </w:rPr>
    </w:sdtEndPr>
    <w:sdtContent>
      <w:p w:rsidR="00A126AD" w:rsidRDefault="004C22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126AD" w:rsidRDefault="004C225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25B"/>
    <w:rsid w:val="000253CD"/>
    <w:rsid w:val="00042565"/>
    <w:rsid w:val="000874AD"/>
    <w:rsid w:val="000A0C8E"/>
    <w:rsid w:val="000A1376"/>
    <w:rsid w:val="00122803"/>
    <w:rsid w:val="00140B9A"/>
    <w:rsid w:val="00152CA5"/>
    <w:rsid w:val="00193F9E"/>
    <w:rsid w:val="001F03DE"/>
    <w:rsid w:val="001F58C7"/>
    <w:rsid w:val="001F69A2"/>
    <w:rsid w:val="001F69AC"/>
    <w:rsid w:val="002059EB"/>
    <w:rsid w:val="00214C8F"/>
    <w:rsid w:val="00226992"/>
    <w:rsid w:val="002433AC"/>
    <w:rsid w:val="00250155"/>
    <w:rsid w:val="00273B78"/>
    <w:rsid w:val="00280795"/>
    <w:rsid w:val="00286E6C"/>
    <w:rsid w:val="002A4ED6"/>
    <w:rsid w:val="002A6F32"/>
    <w:rsid w:val="002C7C44"/>
    <w:rsid w:val="002D417F"/>
    <w:rsid w:val="002F21F9"/>
    <w:rsid w:val="003052D1"/>
    <w:rsid w:val="00354BFC"/>
    <w:rsid w:val="00397504"/>
    <w:rsid w:val="004074CA"/>
    <w:rsid w:val="00447D8A"/>
    <w:rsid w:val="00450A04"/>
    <w:rsid w:val="0045551D"/>
    <w:rsid w:val="004702E1"/>
    <w:rsid w:val="004A139D"/>
    <w:rsid w:val="004A51A1"/>
    <w:rsid w:val="004B5A30"/>
    <w:rsid w:val="004C225B"/>
    <w:rsid w:val="00530571"/>
    <w:rsid w:val="005305F5"/>
    <w:rsid w:val="0055573A"/>
    <w:rsid w:val="005B2446"/>
    <w:rsid w:val="00610C5D"/>
    <w:rsid w:val="00614342"/>
    <w:rsid w:val="00661EF8"/>
    <w:rsid w:val="00687649"/>
    <w:rsid w:val="006B1806"/>
    <w:rsid w:val="006C2C2A"/>
    <w:rsid w:val="006F1EC3"/>
    <w:rsid w:val="00702335"/>
    <w:rsid w:val="0070745E"/>
    <w:rsid w:val="0072326D"/>
    <w:rsid w:val="0072383F"/>
    <w:rsid w:val="00724A22"/>
    <w:rsid w:val="00730581"/>
    <w:rsid w:val="007333CF"/>
    <w:rsid w:val="00735807"/>
    <w:rsid w:val="00742830"/>
    <w:rsid w:val="00743913"/>
    <w:rsid w:val="00764D77"/>
    <w:rsid w:val="007745F8"/>
    <w:rsid w:val="00790E94"/>
    <w:rsid w:val="007A159E"/>
    <w:rsid w:val="00806DDC"/>
    <w:rsid w:val="00871F07"/>
    <w:rsid w:val="008932B9"/>
    <w:rsid w:val="008A27E9"/>
    <w:rsid w:val="008C7753"/>
    <w:rsid w:val="008D0F06"/>
    <w:rsid w:val="008E2BC0"/>
    <w:rsid w:val="008F1DBC"/>
    <w:rsid w:val="00934983"/>
    <w:rsid w:val="009536F0"/>
    <w:rsid w:val="009769DC"/>
    <w:rsid w:val="00980126"/>
    <w:rsid w:val="00985183"/>
    <w:rsid w:val="009877E1"/>
    <w:rsid w:val="009B7DB0"/>
    <w:rsid w:val="009C3C1E"/>
    <w:rsid w:val="009D0DDE"/>
    <w:rsid w:val="009D47FA"/>
    <w:rsid w:val="00A13933"/>
    <w:rsid w:val="00A355A8"/>
    <w:rsid w:val="00A45D58"/>
    <w:rsid w:val="00A81F78"/>
    <w:rsid w:val="00AA6334"/>
    <w:rsid w:val="00AC5CDA"/>
    <w:rsid w:val="00AE6165"/>
    <w:rsid w:val="00AF704B"/>
    <w:rsid w:val="00B0116B"/>
    <w:rsid w:val="00B47445"/>
    <w:rsid w:val="00B767E9"/>
    <w:rsid w:val="00B76CD2"/>
    <w:rsid w:val="00BA5FDF"/>
    <w:rsid w:val="00BC6FF5"/>
    <w:rsid w:val="00BD5EB2"/>
    <w:rsid w:val="00BF0F22"/>
    <w:rsid w:val="00C023B3"/>
    <w:rsid w:val="00C25B85"/>
    <w:rsid w:val="00C35966"/>
    <w:rsid w:val="00C44D38"/>
    <w:rsid w:val="00C574C2"/>
    <w:rsid w:val="00C92F92"/>
    <w:rsid w:val="00CA15DF"/>
    <w:rsid w:val="00CA66D5"/>
    <w:rsid w:val="00CA7072"/>
    <w:rsid w:val="00CC4CEC"/>
    <w:rsid w:val="00CE4C4A"/>
    <w:rsid w:val="00D13685"/>
    <w:rsid w:val="00D50135"/>
    <w:rsid w:val="00D5446E"/>
    <w:rsid w:val="00D6438B"/>
    <w:rsid w:val="00D70EFE"/>
    <w:rsid w:val="00D81FAA"/>
    <w:rsid w:val="00D872A2"/>
    <w:rsid w:val="00D9344C"/>
    <w:rsid w:val="00DC6311"/>
    <w:rsid w:val="00DC6F56"/>
    <w:rsid w:val="00DD5E55"/>
    <w:rsid w:val="00E12E37"/>
    <w:rsid w:val="00E503C0"/>
    <w:rsid w:val="00EA0BF0"/>
    <w:rsid w:val="00EA27F7"/>
    <w:rsid w:val="00EA511C"/>
    <w:rsid w:val="00EB5224"/>
    <w:rsid w:val="00ED2918"/>
    <w:rsid w:val="00F00027"/>
    <w:rsid w:val="00F258D6"/>
    <w:rsid w:val="00F34E60"/>
    <w:rsid w:val="00F41482"/>
    <w:rsid w:val="00F527C1"/>
    <w:rsid w:val="00F607A7"/>
    <w:rsid w:val="00F64C92"/>
    <w:rsid w:val="00FA7925"/>
    <w:rsid w:val="00FE26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BC6D1-2399-42BC-B286-527AD4D6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225B"/>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25B"/>
    <w:rPr>
      <w:rFonts w:asciiTheme="majorHAnsi" w:eastAsiaTheme="majorEastAsia" w:hAnsiTheme="majorHAnsi" w:cstheme="majorBidi"/>
      <w:color w:val="2E74B5" w:themeColor="accent1" w:themeShade="BF"/>
      <w:sz w:val="32"/>
      <w:szCs w:val="32"/>
      <w:lang w:val="en-US"/>
    </w:rPr>
  </w:style>
  <w:style w:type="paragraph" w:styleId="Footer">
    <w:name w:val="footer"/>
    <w:basedOn w:val="Normal"/>
    <w:link w:val="FooterChar"/>
    <w:uiPriority w:val="99"/>
    <w:unhideWhenUsed/>
    <w:rsid w:val="004C225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C225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R</dc:creator>
  <cp:keywords/>
  <dc:description/>
  <cp:lastModifiedBy>Priyanka R</cp:lastModifiedBy>
  <cp:revision>1</cp:revision>
  <dcterms:created xsi:type="dcterms:W3CDTF">2026-05-25T11:17:00Z</dcterms:created>
  <dcterms:modified xsi:type="dcterms:W3CDTF">2026-05-25T11:19:00Z</dcterms:modified>
</cp:coreProperties>
</file>