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1982"/>
        <w:gridCol w:w="1415"/>
        <w:gridCol w:w="1437"/>
        <w:gridCol w:w="1400"/>
        <w:gridCol w:w="911"/>
      </w:tblGrid>
      <w:tr w:rsidR="0085022F" w:rsidRPr="00D6229A" w:rsidTr="00104D4B">
        <w:trPr>
          <w:trHeight w:val="30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noWrap/>
          </w:tcPr>
          <w:p w:rsidR="0085022F" w:rsidRPr="00D6229A" w:rsidRDefault="0085022F" w:rsidP="00104D4B">
            <w:pPr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 xml:space="preserve">Supplementary table 3. Baseline characteristics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>chemo-naive</w:t>
            </w:r>
            <w:r w:rsidRPr="00D6229A">
              <w:rPr>
                <w:rFonts w:eastAsia="Times New Roman" w:cs="Times New Roman"/>
                <w:b/>
                <w:bCs/>
                <w:sz w:val="20"/>
                <w:szCs w:val="20"/>
                <w:lang w:val="en-GB"/>
              </w:rPr>
              <w:t xml:space="preserve"> versus pre-treated patients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Total</w:t>
            </w:r>
          </w:p>
          <w:p w:rsidR="0085022F" w:rsidRPr="00D6229A" w:rsidRDefault="0085022F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N=732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>
              <w:rPr>
                <w:rFonts w:eastAsia="Times New Roman" w:cs="Arial"/>
                <w:b/>
                <w:sz w:val="20"/>
                <w:szCs w:val="20"/>
                <w:lang w:val="en-GB"/>
              </w:rPr>
              <w:t>Chemo-naive</w:t>
            </w:r>
          </w:p>
          <w:p w:rsidR="0085022F" w:rsidRPr="00D6229A" w:rsidRDefault="0085022F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N=367 (50%)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Pre-treated</w:t>
            </w:r>
          </w:p>
          <w:p w:rsidR="0085022F" w:rsidRPr="00D6229A" w:rsidRDefault="0085022F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N=365 (50%)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P- value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tcBorders>
              <w:top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092" w:type="pct"/>
            <w:tcBorders>
              <w:top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754" w:type="pct"/>
            <w:tcBorders>
              <w:top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469 (64%)</w:t>
            </w:r>
          </w:p>
        </w:tc>
        <w:tc>
          <w:tcPr>
            <w:tcW w:w="767" w:type="pct"/>
            <w:tcBorders>
              <w:top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233 (64%)</w:t>
            </w:r>
          </w:p>
        </w:tc>
        <w:tc>
          <w:tcPr>
            <w:tcW w:w="745" w:type="pct"/>
            <w:tcBorders>
              <w:top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236 (65%)</w:t>
            </w:r>
          </w:p>
        </w:tc>
        <w:tc>
          <w:tcPr>
            <w:tcW w:w="454" w:type="pct"/>
            <w:tcBorders>
              <w:top w:val="single" w:sz="4" w:space="0" w:color="auto"/>
            </w:tcBorders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0.742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263 (36%)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134 (37%)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129 (35%)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64 (58-71)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66 (59-73)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63 (56-69)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ASA</w:t>
            </w: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ASA I-II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656 (91%)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322 (90%)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334 (92%)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0.398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ASA &gt; II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66 (9%)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36 (10</w:t>
            </w:r>
            <w:r w:rsidRPr="00D6229A" w:rsidDel="008B4236">
              <w:rPr>
                <w:rFonts w:eastAsia="Times New Roman" w:cs="Arial"/>
                <w:sz w:val="20"/>
                <w:szCs w:val="20"/>
                <w:lang w:val="en-GB"/>
              </w:rPr>
              <w:t xml:space="preserve"> </w:t>
            </w: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30 (8%)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10 patients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600"/>
        </w:trPr>
        <w:tc>
          <w:tcPr>
            <w:tcW w:w="1188" w:type="pct"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Primary tumour characteristics</w:t>
            </w: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 xml:space="preserve">Location 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Right-sided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120 (16%)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62 (17%)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58 (16</w:t>
            </w:r>
            <w:r w:rsidRPr="00D6229A" w:rsidDel="001B1D20">
              <w:rPr>
                <w:rFonts w:eastAsia="Times New Roman" w:cs="Arial"/>
                <w:sz w:val="20"/>
                <w:szCs w:val="20"/>
                <w:lang w:val="en-GB"/>
              </w:rPr>
              <w:t xml:space="preserve"> </w:t>
            </w: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0.194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Left-sided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307 (42%)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147 (40%)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160 (44%)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Rectum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289 (40%)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146 (40%)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143 (39%)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Double tumour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16 (2%)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12 (3%)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4 (1%)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proofErr w:type="spellStart"/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pTumour</w:t>
            </w:r>
            <w:proofErr w:type="spellEnd"/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 xml:space="preserve"> stage</w:t>
            </w: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pT0-2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136 (20%)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80 (22%)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56 (17%)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0.082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pT3-4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562 (81%)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284 (78.0%)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278 (83.2%)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34 patients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Nodal status</w:t>
            </w: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N0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274 (40%)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153 (42%)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121 (36%)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0.104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N+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420 (61%)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208 (58%)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212 (64%)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38 patients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Adjuvant chemotherapy</w:t>
            </w: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623 (86%)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290 (79%)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333 (92%)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105 (14%)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77 (21%)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28 (8%)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4 patients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274"/>
        </w:trPr>
        <w:tc>
          <w:tcPr>
            <w:tcW w:w="1188" w:type="pct"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b/>
                <w:sz w:val="20"/>
                <w:szCs w:val="20"/>
                <w:lang w:val="en-GB"/>
              </w:rPr>
              <w:t>CRLM characteristics</w:t>
            </w: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Synchronous CRLM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337 (46%)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255 (70%)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82 (23%)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395 (54%)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112 (31%)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283 (78%)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Disease-free interval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 (0-17)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13 (0-25)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 (0-2)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Number of CRLM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 (1-4)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 (1-2)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 (2-5)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 xml:space="preserve">Size of largest CRLM 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3.1 (2.1-4.7)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3.0 (3.0-4.0)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3.2 (2.3-5.2)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0.002*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2 patients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 xml:space="preserve">Preoperative CEA 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Median (IQR)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14.7 (4.8-51.8)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11.0 (4.2-29.8)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19.7 (5.3-74.0)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  <w:t>32 patients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lastRenderedPageBreak/>
              <w:t>Fong CRS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Low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420 (60%)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283 (79%)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137 (40%)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High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280 (40%)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76 (21%)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204 (60%)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  <w:t>Incomplete CRS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  <w:t>32 patients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Bilobar metastases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435 (59%)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286 (78%)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149 (41%)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297 (41%)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81 (22%)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Cs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Cs/>
                <w:sz w:val="20"/>
                <w:szCs w:val="20"/>
                <w:lang w:val="en-GB"/>
              </w:rPr>
              <w:t>216 (59%)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Resection margin</w:t>
            </w: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R0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621 (85%)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324 (89%)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297 (82%)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0.006*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  <w:hideMark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R1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108 (15%)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41 (11%)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67 (18%)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3 patients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HGP type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Desmoplastic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177 (24%)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68 (19%)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109 (30%)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Replacement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86 (12%)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73 (20%)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13 (4%)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469 (64%)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226 (62%)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243 (67%)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Extra Hepatic Disease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648 (89%)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341 (93%)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307 (84%)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84 (12%)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26 (7%)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58 (16%)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Major liver resection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&lt;3 complete segments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481 (66%)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285 (78%)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196 (54%)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&lt;0.001*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≥3 complete segments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251 (34%)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82 (22%)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169 (46%)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Major complications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665 (91%)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338 (92%)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327 (90%)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0.193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66 (9%)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28 (8%)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38 (10%)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i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i/>
                <w:sz w:val="20"/>
                <w:szCs w:val="20"/>
                <w:lang w:val="en-GB"/>
              </w:rPr>
              <w:t>1 patient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Postoperative death</w:t>
            </w:r>
          </w:p>
        </w:tc>
        <w:tc>
          <w:tcPr>
            <w:tcW w:w="1092" w:type="pct"/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754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718 (98%)</w:t>
            </w:r>
          </w:p>
        </w:tc>
        <w:tc>
          <w:tcPr>
            <w:tcW w:w="767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360 (98%)</w:t>
            </w:r>
          </w:p>
        </w:tc>
        <w:tc>
          <w:tcPr>
            <w:tcW w:w="745" w:type="pct"/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358 (98%)</w:t>
            </w:r>
          </w:p>
        </w:tc>
        <w:tc>
          <w:tcPr>
            <w:tcW w:w="454" w:type="pct"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0.992</w:t>
            </w:r>
          </w:p>
        </w:tc>
      </w:tr>
      <w:tr w:rsidR="0085022F" w:rsidRPr="00D6229A" w:rsidTr="00104D4B">
        <w:trPr>
          <w:trHeight w:val="300"/>
        </w:trPr>
        <w:tc>
          <w:tcPr>
            <w:tcW w:w="1188" w:type="pct"/>
            <w:tcBorders>
              <w:bottom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  <w:tc>
          <w:tcPr>
            <w:tcW w:w="1092" w:type="pct"/>
            <w:tcBorders>
              <w:bottom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14 (2%)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7 (2%)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>7 (2%)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85022F" w:rsidRPr="00D6229A" w:rsidRDefault="0085022F" w:rsidP="00104D4B">
            <w:pPr>
              <w:jc w:val="center"/>
              <w:rPr>
                <w:rFonts w:eastAsia="Times New Roman" w:cs="Arial"/>
                <w:sz w:val="20"/>
                <w:szCs w:val="20"/>
                <w:lang w:val="en-GB"/>
              </w:rPr>
            </w:pPr>
          </w:p>
        </w:tc>
      </w:tr>
      <w:tr w:rsidR="0085022F" w:rsidRPr="00D6229A" w:rsidTr="00104D4B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noWrap/>
            <w:vAlign w:val="center"/>
          </w:tcPr>
          <w:p w:rsidR="0085022F" w:rsidRPr="00D6229A" w:rsidRDefault="0085022F" w:rsidP="00104D4B">
            <w:pPr>
              <w:jc w:val="both"/>
              <w:rPr>
                <w:rFonts w:eastAsia="Times New Roman" w:cs="Arial"/>
                <w:sz w:val="20"/>
                <w:szCs w:val="20"/>
                <w:lang w:val="en-GB"/>
              </w:rPr>
            </w:pPr>
            <w:r w:rsidRPr="00D6229A">
              <w:rPr>
                <w:rFonts w:eastAsia="Times New Roman" w:cs="Arial"/>
                <w:sz w:val="20"/>
                <w:szCs w:val="20"/>
                <w:lang w:val="en-GB"/>
              </w:rPr>
              <w:t xml:space="preserve">Percentages do not always add up to 100% due to rounding. </w:t>
            </w:r>
            <w:r w:rsidRPr="00D6229A">
              <w:rPr>
                <w:rFonts w:eastAsia="Times New Roman" w:cs="Arial"/>
                <w:bCs/>
                <w:sz w:val="20"/>
                <w:szCs w:val="20"/>
                <w:lang w:val="en-GB"/>
              </w:rPr>
              <w:t>Abbreviations in alphabetical order:</w:t>
            </w:r>
            <w:r w:rsidRPr="00D6229A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D6229A">
              <w:rPr>
                <w:rFonts w:eastAsia="Times New Roman" w:cs="Arial"/>
                <w:bCs/>
                <w:sz w:val="20"/>
                <w:szCs w:val="20"/>
                <w:lang w:val="en-GB"/>
              </w:rPr>
              <w:t>ASA: American Society of Anaesthesiologists; CEA: carcinoembryonic antigen; CRLM: colorectal liver metastases; CRS: clinical risk score; HGP: histopathological growth pattern; IQR: interquartile range; R1: irradical resection margin</w:t>
            </w:r>
          </w:p>
        </w:tc>
      </w:tr>
    </w:tbl>
    <w:p w:rsidR="004F72A3" w:rsidRDefault="004F72A3">
      <w:bookmarkStart w:id="0" w:name="_GoBack"/>
      <w:bookmarkEnd w:id="0"/>
    </w:p>
    <w:sectPr w:rsidR="004F7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2F"/>
    <w:rsid w:val="004F72A3"/>
    <w:rsid w:val="0085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22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2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22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2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Nierop</dc:creator>
  <cp:lastModifiedBy>Nierop</cp:lastModifiedBy>
  <cp:revision>1</cp:revision>
  <dcterms:created xsi:type="dcterms:W3CDTF">2018-08-06T08:47:00Z</dcterms:created>
  <dcterms:modified xsi:type="dcterms:W3CDTF">2018-08-06T08:48:00Z</dcterms:modified>
</cp:coreProperties>
</file>