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31EB0" w14:textId="77777777" w:rsidR="0027410F" w:rsidRPr="0027410F" w:rsidRDefault="0027410F" w:rsidP="0027410F">
      <w:pPr>
        <w:rPr>
          <w:rFonts w:ascii="Arial" w:hAnsi="Arial" w:cs="Arial"/>
          <w:b/>
          <w:sz w:val="24"/>
          <w:szCs w:val="24"/>
        </w:rPr>
      </w:pPr>
      <w:r w:rsidRPr="0027410F">
        <w:rPr>
          <w:rFonts w:ascii="Arial" w:hAnsi="Arial" w:cs="Arial"/>
          <w:b/>
          <w:sz w:val="24"/>
          <w:szCs w:val="24"/>
        </w:rPr>
        <w:t xml:space="preserve">Inhibition of the prolyl isomerase Pin1 improves endothelial function and attenuates vascular remodelling in pulmonary hypertension by inhibiting TGF-β </w:t>
      </w:r>
      <w:proofErr w:type="gramStart"/>
      <w:r w:rsidRPr="0027410F">
        <w:rPr>
          <w:rFonts w:ascii="Arial" w:hAnsi="Arial" w:cs="Arial"/>
          <w:b/>
          <w:sz w:val="24"/>
          <w:szCs w:val="24"/>
        </w:rPr>
        <w:t>signalling</w:t>
      </w:r>
      <w:proofErr w:type="gramEnd"/>
    </w:p>
    <w:p w14:paraId="6DD6F572" w14:textId="77777777" w:rsidR="0027410F" w:rsidRPr="0027410F" w:rsidRDefault="0027410F" w:rsidP="0027410F">
      <w:pPr>
        <w:rPr>
          <w:rFonts w:ascii="Arial" w:hAnsi="Arial" w:cs="Arial"/>
          <w:lang w:val="nl-NL"/>
        </w:rPr>
      </w:pPr>
      <w:r w:rsidRPr="0027410F">
        <w:rPr>
          <w:rFonts w:ascii="Arial" w:hAnsi="Arial" w:cs="Arial"/>
          <w:lang w:val="nl-NL"/>
        </w:rPr>
        <w:t>Kondababu Kurakula</w:t>
      </w:r>
      <w:r w:rsidRPr="0027410F">
        <w:rPr>
          <w:rFonts w:ascii="Arial" w:hAnsi="Arial" w:cs="Arial"/>
          <w:vertAlign w:val="superscript"/>
          <w:lang w:val="nl-NL"/>
        </w:rPr>
        <w:t>1</w:t>
      </w:r>
      <w:r w:rsidRPr="0027410F">
        <w:rPr>
          <w:rFonts w:ascii="Arial" w:hAnsi="Arial" w:cs="Arial"/>
          <w:lang w:val="nl-NL"/>
        </w:rPr>
        <w:t>, Quint A.J. Hagdorn</w:t>
      </w:r>
      <w:r w:rsidRPr="0027410F">
        <w:rPr>
          <w:rFonts w:ascii="Arial" w:hAnsi="Arial" w:cs="Arial"/>
          <w:vertAlign w:val="superscript"/>
          <w:lang w:val="nl-NL"/>
        </w:rPr>
        <w:t>2</w:t>
      </w:r>
      <w:r w:rsidRPr="0027410F">
        <w:rPr>
          <w:rFonts w:ascii="Arial" w:hAnsi="Arial" w:cs="Arial"/>
          <w:lang w:val="nl-NL"/>
        </w:rPr>
        <w:t>, Diederik E. van der Feen</w:t>
      </w:r>
      <w:r w:rsidRPr="0027410F">
        <w:rPr>
          <w:rFonts w:ascii="Arial" w:hAnsi="Arial" w:cs="Arial"/>
          <w:vertAlign w:val="superscript"/>
          <w:lang w:val="nl-NL"/>
        </w:rPr>
        <w:t>2</w:t>
      </w:r>
      <w:r w:rsidRPr="0027410F">
        <w:rPr>
          <w:rFonts w:ascii="Arial" w:hAnsi="Arial" w:cs="Arial"/>
          <w:lang w:val="nl-NL"/>
        </w:rPr>
        <w:t>, Anton Vonk Noordegraaf</w:t>
      </w:r>
      <w:r w:rsidRPr="0027410F">
        <w:rPr>
          <w:rFonts w:ascii="Arial" w:hAnsi="Arial" w:cs="Arial"/>
          <w:vertAlign w:val="superscript"/>
          <w:lang w:val="nl-NL"/>
        </w:rPr>
        <w:t>3</w:t>
      </w:r>
      <w:r w:rsidRPr="0027410F">
        <w:rPr>
          <w:rFonts w:ascii="Arial" w:hAnsi="Arial" w:cs="Arial"/>
          <w:lang w:val="nl-NL"/>
        </w:rPr>
        <w:t>, Peter ten Dijke</w:t>
      </w:r>
      <w:r w:rsidRPr="0027410F">
        <w:rPr>
          <w:rFonts w:ascii="Arial" w:hAnsi="Arial" w:cs="Arial"/>
          <w:vertAlign w:val="superscript"/>
          <w:lang w:val="nl-NL"/>
        </w:rPr>
        <w:t>4</w:t>
      </w:r>
      <w:r w:rsidRPr="0027410F">
        <w:rPr>
          <w:rFonts w:ascii="Arial" w:hAnsi="Arial" w:cs="Arial"/>
          <w:lang w:val="nl-NL"/>
        </w:rPr>
        <w:t>, Rudolf A. de Boer</w:t>
      </w:r>
      <w:r w:rsidRPr="0027410F">
        <w:rPr>
          <w:rFonts w:ascii="Arial" w:hAnsi="Arial" w:cs="Arial"/>
          <w:vertAlign w:val="superscript"/>
          <w:lang w:val="nl-NL"/>
        </w:rPr>
        <w:t>5</w:t>
      </w:r>
      <w:r w:rsidRPr="0027410F">
        <w:rPr>
          <w:rFonts w:ascii="Arial" w:hAnsi="Arial" w:cs="Arial"/>
          <w:lang w:val="nl-NL"/>
        </w:rPr>
        <w:t>, Harm Jan Bogaard</w:t>
      </w:r>
      <w:r w:rsidRPr="0027410F">
        <w:rPr>
          <w:rFonts w:ascii="Arial" w:hAnsi="Arial" w:cs="Arial"/>
          <w:vertAlign w:val="superscript"/>
          <w:lang w:val="nl-NL"/>
        </w:rPr>
        <w:t>3</w:t>
      </w:r>
      <w:r w:rsidRPr="0027410F">
        <w:rPr>
          <w:rFonts w:ascii="Arial" w:hAnsi="Arial" w:cs="Arial"/>
          <w:lang w:val="nl-NL"/>
        </w:rPr>
        <w:t>, Marie-José Goumans</w:t>
      </w:r>
      <w:r w:rsidRPr="0027410F">
        <w:rPr>
          <w:rFonts w:ascii="Arial" w:hAnsi="Arial" w:cs="Arial"/>
          <w:vertAlign w:val="superscript"/>
          <w:lang w:val="nl-NL"/>
        </w:rPr>
        <w:t>1*</w:t>
      </w:r>
      <w:r w:rsidRPr="0027410F">
        <w:rPr>
          <w:rFonts w:ascii="Arial" w:hAnsi="Arial" w:cs="Arial"/>
          <w:lang w:val="nl-NL"/>
        </w:rPr>
        <w:t>, Rolf M.F. Berger</w:t>
      </w:r>
      <w:r w:rsidRPr="0027410F">
        <w:rPr>
          <w:rFonts w:ascii="Arial" w:hAnsi="Arial" w:cs="Arial"/>
          <w:vertAlign w:val="superscript"/>
          <w:lang w:val="nl-NL"/>
        </w:rPr>
        <w:t>2*</w:t>
      </w:r>
    </w:p>
    <w:p w14:paraId="27F43BDB" w14:textId="77777777" w:rsidR="0027410F" w:rsidRPr="0027410F" w:rsidRDefault="0027410F" w:rsidP="0027410F">
      <w:pPr>
        <w:rPr>
          <w:rFonts w:ascii="Arial" w:hAnsi="Arial" w:cs="Arial"/>
        </w:rPr>
      </w:pPr>
      <w:r w:rsidRPr="0027410F">
        <w:rPr>
          <w:rFonts w:ascii="Arial" w:hAnsi="Arial" w:cs="Arial"/>
          <w:vertAlign w:val="superscript"/>
        </w:rPr>
        <w:t>1</w:t>
      </w:r>
      <w:r w:rsidRPr="0027410F">
        <w:rPr>
          <w:rFonts w:ascii="Arial" w:hAnsi="Arial" w:cs="Arial"/>
        </w:rPr>
        <w:t xml:space="preserve">Department of Cell and Chemical Biology, Leiden University Medical </w:t>
      </w:r>
      <w:proofErr w:type="spellStart"/>
      <w:r w:rsidRPr="0027410F">
        <w:rPr>
          <w:rFonts w:ascii="Arial" w:hAnsi="Arial" w:cs="Arial"/>
        </w:rPr>
        <w:t>Center</w:t>
      </w:r>
      <w:proofErr w:type="spellEnd"/>
      <w:r w:rsidRPr="0027410F">
        <w:rPr>
          <w:rFonts w:ascii="Arial" w:hAnsi="Arial" w:cs="Arial"/>
        </w:rPr>
        <w:t xml:space="preserve">, Leiden, The Netherlands. </w:t>
      </w:r>
      <w:r w:rsidRPr="0027410F">
        <w:rPr>
          <w:rFonts w:ascii="Arial" w:hAnsi="Arial" w:cs="Arial"/>
          <w:vertAlign w:val="superscript"/>
        </w:rPr>
        <w:t>2</w:t>
      </w:r>
      <w:r w:rsidRPr="0027410F">
        <w:rPr>
          <w:rFonts w:ascii="Arial" w:hAnsi="Arial" w:cs="Arial"/>
        </w:rPr>
        <w:t xml:space="preserve">Center for Congenital Heart Diseases, Department of Paediatric Cardiology, Beatrix Children’s Hospital, University Medical </w:t>
      </w:r>
      <w:proofErr w:type="spellStart"/>
      <w:r w:rsidRPr="0027410F">
        <w:rPr>
          <w:rFonts w:ascii="Arial" w:hAnsi="Arial" w:cs="Arial"/>
        </w:rPr>
        <w:t>Center</w:t>
      </w:r>
      <w:proofErr w:type="spellEnd"/>
      <w:r w:rsidRPr="0027410F">
        <w:rPr>
          <w:rFonts w:ascii="Arial" w:hAnsi="Arial" w:cs="Arial"/>
        </w:rPr>
        <w:t xml:space="preserve"> Groningen, University of Groningen, the Netherlands. </w:t>
      </w:r>
      <w:r w:rsidRPr="0027410F">
        <w:rPr>
          <w:rFonts w:ascii="Arial" w:hAnsi="Arial" w:cs="Arial"/>
          <w:vertAlign w:val="superscript"/>
        </w:rPr>
        <w:t>3</w:t>
      </w:r>
      <w:r w:rsidRPr="0027410F">
        <w:rPr>
          <w:rFonts w:ascii="Arial" w:hAnsi="Arial" w:cs="Arial"/>
        </w:rPr>
        <w:t>Department of Pulmonary Medicine, Amsterdam Cardiovascular Sciences, Amsterdam UMC, Vrije Universiteit Amsterdam, Amsterdam, The Netherlands.</w:t>
      </w:r>
      <w:r w:rsidRPr="0027410F">
        <w:rPr>
          <w:rFonts w:ascii="Arial" w:hAnsi="Arial" w:cs="Arial"/>
          <w:vertAlign w:val="superscript"/>
        </w:rPr>
        <w:t>4</w:t>
      </w:r>
      <w:r w:rsidRPr="0027410F">
        <w:rPr>
          <w:rFonts w:ascii="Arial" w:hAnsi="Arial" w:cs="Arial"/>
        </w:rPr>
        <w:t xml:space="preserve">Department of Cell and Chemical Biology, </w:t>
      </w:r>
      <w:proofErr w:type="spellStart"/>
      <w:r w:rsidRPr="0027410F">
        <w:rPr>
          <w:rFonts w:ascii="Arial" w:hAnsi="Arial" w:cs="Arial"/>
        </w:rPr>
        <w:t>Oncode</w:t>
      </w:r>
      <w:proofErr w:type="spellEnd"/>
      <w:r w:rsidRPr="0027410F">
        <w:rPr>
          <w:rFonts w:ascii="Arial" w:hAnsi="Arial" w:cs="Arial"/>
        </w:rPr>
        <w:t xml:space="preserve"> institute, Leiden University Medical </w:t>
      </w:r>
      <w:proofErr w:type="spellStart"/>
      <w:r w:rsidRPr="0027410F">
        <w:rPr>
          <w:rFonts w:ascii="Arial" w:hAnsi="Arial" w:cs="Arial"/>
        </w:rPr>
        <w:t>Center</w:t>
      </w:r>
      <w:proofErr w:type="spellEnd"/>
      <w:r w:rsidRPr="0027410F">
        <w:rPr>
          <w:rFonts w:ascii="Arial" w:hAnsi="Arial" w:cs="Arial"/>
        </w:rPr>
        <w:t xml:space="preserve">, Leiden, The Netherlands. </w:t>
      </w:r>
      <w:r w:rsidRPr="0027410F">
        <w:rPr>
          <w:rFonts w:ascii="Arial" w:hAnsi="Arial" w:cs="Arial"/>
          <w:vertAlign w:val="superscript"/>
        </w:rPr>
        <w:t>5</w:t>
      </w:r>
      <w:r w:rsidRPr="0027410F">
        <w:rPr>
          <w:rFonts w:ascii="Arial" w:hAnsi="Arial" w:cs="Arial"/>
        </w:rPr>
        <w:t xml:space="preserve">Department of Cardiology, University Medical </w:t>
      </w:r>
      <w:proofErr w:type="spellStart"/>
      <w:r w:rsidRPr="0027410F">
        <w:rPr>
          <w:rFonts w:ascii="Arial" w:hAnsi="Arial" w:cs="Arial"/>
        </w:rPr>
        <w:t>Center</w:t>
      </w:r>
      <w:proofErr w:type="spellEnd"/>
      <w:r w:rsidRPr="0027410F">
        <w:rPr>
          <w:rFonts w:ascii="Arial" w:hAnsi="Arial" w:cs="Arial"/>
        </w:rPr>
        <w:t xml:space="preserve"> Groningen, University of Groningen, Groningen, The Netherlands. </w:t>
      </w:r>
    </w:p>
    <w:p w14:paraId="5FA8F7B4" w14:textId="77777777" w:rsidR="0027410F" w:rsidRPr="0027410F" w:rsidRDefault="0027410F" w:rsidP="0027410F">
      <w:pPr>
        <w:rPr>
          <w:rFonts w:ascii="Arial" w:hAnsi="Arial" w:cs="Arial"/>
        </w:rPr>
      </w:pPr>
    </w:p>
    <w:p w14:paraId="7033A89A" w14:textId="77777777" w:rsidR="0027410F" w:rsidRPr="0027410F" w:rsidRDefault="0027410F" w:rsidP="0027410F">
      <w:pPr>
        <w:rPr>
          <w:rFonts w:ascii="Arial" w:hAnsi="Arial" w:cs="Arial"/>
        </w:rPr>
      </w:pPr>
      <w:r w:rsidRPr="0027410F">
        <w:rPr>
          <w:rFonts w:ascii="Arial" w:hAnsi="Arial" w:cs="Arial"/>
        </w:rPr>
        <w:t xml:space="preserve">*These two authors jointly supervised this work. </w:t>
      </w:r>
    </w:p>
    <w:p w14:paraId="7F194BFA" w14:textId="77777777" w:rsidR="0027410F" w:rsidRPr="0027410F" w:rsidRDefault="0027410F" w:rsidP="0076761F">
      <w:pPr>
        <w:autoSpaceDE w:val="0"/>
        <w:autoSpaceDN w:val="0"/>
        <w:adjustRightInd w:val="0"/>
        <w:spacing w:line="480" w:lineRule="auto"/>
        <w:rPr>
          <w:rFonts w:ascii="Arial" w:hAnsi="Arial" w:cs="Arial"/>
          <w:b/>
        </w:rPr>
      </w:pPr>
    </w:p>
    <w:p w14:paraId="768B6F02" w14:textId="5D436F7F" w:rsidR="000D2EAA" w:rsidRPr="0027410F" w:rsidRDefault="000D2EAA" w:rsidP="0076761F">
      <w:pPr>
        <w:autoSpaceDE w:val="0"/>
        <w:autoSpaceDN w:val="0"/>
        <w:adjustRightInd w:val="0"/>
        <w:spacing w:line="480" w:lineRule="auto"/>
        <w:rPr>
          <w:rFonts w:ascii="Arial" w:eastAsia="Calibri" w:hAnsi="Arial" w:cs="Arial"/>
          <w:b/>
          <w:bCs/>
          <w:lang w:eastAsia="en-GB"/>
        </w:rPr>
      </w:pPr>
      <w:r w:rsidRPr="0027410F">
        <w:rPr>
          <w:rFonts w:ascii="Arial" w:hAnsi="Arial" w:cs="Arial"/>
          <w:b/>
        </w:rPr>
        <w:t>Supplemental methods</w:t>
      </w:r>
      <w:r w:rsidRPr="0027410F">
        <w:rPr>
          <w:rFonts w:ascii="Arial" w:eastAsia="Calibri" w:hAnsi="Arial" w:cs="Arial"/>
          <w:b/>
          <w:bCs/>
          <w:lang w:eastAsia="en-GB"/>
        </w:rPr>
        <w:t>:</w:t>
      </w:r>
    </w:p>
    <w:p w14:paraId="5E2E8FE5" w14:textId="77777777" w:rsidR="000D2EAA" w:rsidRPr="0027410F" w:rsidRDefault="000D2EAA" w:rsidP="0076761F">
      <w:pPr>
        <w:pStyle w:val="Paragraph"/>
        <w:spacing w:line="480" w:lineRule="auto"/>
        <w:ind w:firstLine="0"/>
        <w:rPr>
          <w:rFonts w:ascii="Arial" w:hAnsi="Arial" w:cs="Arial"/>
          <w:b/>
          <w:sz w:val="22"/>
          <w:szCs w:val="22"/>
        </w:rPr>
      </w:pPr>
      <w:r w:rsidRPr="0027410F">
        <w:rPr>
          <w:rFonts w:ascii="Arial" w:hAnsi="Arial" w:cs="Arial"/>
          <w:b/>
          <w:sz w:val="22"/>
          <w:szCs w:val="22"/>
        </w:rPr>
        <w:t>Cell culture and tissue sections</w:t>
      </w:r>
    </w:p>
    <w:p w14:paraId="3B531AE2" w14:textId="5F2C41DD" w:rsidR="000D2EAA" w:rsidRPr="0027410F" w:rsidRDefault="000D2EAA" w:rsidP="0076761F">
      <w:pPr>
        <w:pStyle w:val="Paragraph"/>
        <w:spacing w:before="0" w:line="480" w:lineRule="auto"/>
        <w:ind w:firstLine="0"/>
        <w:rPr>
          <w:rFonts w:ascii="Arial" w:hAnsi="Arial" w:cs="Arial"/>
          <w:bCs/>
          <w:sz w:val="22"/>
          <w:szCs w:val="22"/>
        </w:rPr>
      </w:pPr>
      <w:r w:rsidRPr="0027410F">
        <w:rPr>
          <w:rFonts w:ascii="Arial" w:hAnsi="Arial" w:cs="Arial"/>
          <w:sz w:val="22"/>
          <w:szCs w:val="22"/>
        </w:rPr>
        <w:t xml:space="preserve">Collection of lung specimens was approved by the local ethical committee and written informed consent from patients was obtained. </w:t>
      </w:r>
      <w:r w:rsidRPr="0027410F">
        <w:rPr>
          <w:rFonts w:ascii="Arial" w:hAnsi="Arial" w:cs="Arial"/>
          <w:bCs/>
          <w:sz w:val="22"/>
          <w:szCs w:val="22"/>
        </w:rPr>
        <w:t>Human pulmonary artery microvascular endothelial cells (MVECs) and smooth muscle cells (PASMCs) were isolated and cultured from idiopathic PAH patients and control lung explant tissue as previously described.</w:t>
      </w:r>
      <w:r w:rsidRPr="0027410F">
        <w:rPr>
          <w:rFonts w:ascii="Arial" w:hAnsi="Arial" w:cs="Arial"/>
          <w:bCs/>
          <w:sz w:val="22"/>
          <w:szCs w:val="22"/>
        </w:rPr>
        <w:fldChar w:fldCharType="begin" w:fldLock="1"/>
      </w:r>
      <w:r w:rsidR="0027410F" w:rsidRPr="0027410F">
        <w:rPr>
          <w:rFonts w:ascii="Arial" w:hAnsi="Arial" w:cs="Arial"/>
          <w:bCs/>
          <w:sz w:val="22"/>
          <w:szCs w:val="22"/>
        </w:rPr>
        <w:instrText>ADDIN CSL_CITATION {"citationItems":[{"id":"ITEM-1","itemData":{"DOI":"10.1183/13993003.02400-2018","ISSN":"0903-1936","abstract":"Pulmonary arterial hypertension (PAH) is a progressive fatal disease characterised by abnormal remodelling of pulmonary vessels, leading to increased vascular resistance and right ventricle failure. This abnormal vascular remodelling is associated with endothelial cell dysfunction, increased proliferation of smooth muscle cells, inflammation, and impaired bone morphogenetic protein (BMP) signalling. Orphan nuclear receptor Nur77 is a key regulator of proliferation and inflammation in vascular cells, but its role in the impaired BMP signaling and vascular remodelling in PAH is unknown.We hypothesised that activation of Nur77 by 6-mercaptopurine would improve the PAH by inhibiting endothelial cell dysfunction and vascular remodelling.Nur77 expression is decreased in cultured pulmonary microvascular endothelial cells (MVECs) and lungs of PAH patients. Nur77 significantly increased BMP signaling and strongly decreased proliferation and inflammation in MVECs. In addition, conditioned medium from PAH MVECs overexpressing Nur77 inhibited the growth of healthy smooth muscle cells. Pharmacological activation of Nur77 by 6-mercaptopurine markedly restored MVEC function by normalising proliferation, inflammation and BMP signaling. Finally, 6-mercaptopurine prevented and reversed abnormal vascular remodelling and right ventricle hypertrophy in the sugen-hypoxia rat model of severe angioproliferative PAH.Our data demonstrate that Nur77 is a critical modulator in PAH by inhibiting vascular remodelling and increasing BMP signalling, and activation of Nur77 could be a promising option for the treatment of PAH.","author":[{"dropping-particle":"","family":"Kurakula","given":"Kondababu","non-dropping-particle":"","parse-names":false,"suffix":""},{"dropping-particle":"","family":"Sun","given":"Xiao-Qing","non-dropping-particle":"","parse-names":false,"suffix":""},{"dropping-particle":"","family":"Happé","given":"Chris","non-dropping-particle":"","parse-names":false,"suffix":""},{"dropping-particle":"","family":"Silva Goncalves Bos","given":"Denielli","non-dropping-particle":"da","parse-names":false,"suffix":""},{"dropping-particle":"","family":"Szulcek","given":"Robert","non-dropping-particle":"","parse-names":false,"suffix":""},{"dropping-particle":"","family":"Schalij","given":"Ingrid","non-dropping-particle":"","parse-names":false,"suffix":""},{"dropping-particle":"","family":"Wiesmeijer","given":"Karien C.","non-dropping-particle":"","parse-names":false,"suffix":""},{"dropping-particle":"","family":"Lodder","given":"Kirsten","non-dropping-particle":"","parse-names":false,"suffix":""},{"dropping-particle":"","family":"Tu","given":"Ly","non-dropping-particle":"","parse-names":false,"suffix":""},{"dropping-particle":"","family":"Guignabert","given":"Christophe","non-dropping-particle":"","parse-names":false,"suffix":""},{"dropping-particle":"","family":"Vries","given":"Carlie J. M.","non-dropping-particle":"de","parse-names":false,"suffix":""},{"dropping-particle":"","family":"Man","given":"Frances S.","non-dropping-particle":"de","parse-names":false,"suffix":""},{"dropping-particle":"","family":"Noordegraaf","given":"Anton Vonk","non-dropping-particle":"","parse-names":false,"suffix":""},{"dropping-particle":"","family":"Dijke","given":"Peter","non-dropping-particle":"ten","parse-names":false,"suffix":""},{"dropping-particle":"","family":"Goumans","given":"Marie-José","non-dropping-particle":"","parse-names":false,"suffix":""},{"dropping-particle":"","family":"Bogaard","given":"Harm Jan","non-dropping-particle":"","parse-names":false,"suffix":""}],"container-title":"European Respiratory Journal","id":"ITEM-1","issue":"June 2019","issued":{"date-parts":[["2019"]]},"page":"1802400","title":"Prevention of progression of pulmonary hypertension by the Nur77 agonist 6-mercaptopurine: role of BMP signalling Kondababu","type":"article-journal"},"uris":["http://www.mendeley.com/documents/?uuid=e6732b22-8672-4cc5-8a2b-f5a54ada4380"]}],"mendeley":{"formattedCitation":"[1]","plainTextFormattedCitation":"[1]","previouslyFormattedCitation":"[1]"},"properties":{"noteIndex":0},"schema":"https://github.com/citation-style-language/schema/raw/master/csl-citation.json"}</w:instrText>
      </w:r>
      <w:r w:rsidRPr="0027410F">
        <w:rPr>
          <w:rFonts w:ascii="Arial" w:hAnsi="Arial" w:cs="Arial"/>
          <w:bCs/>
          <w:sz w:val="22"/>
          <w:szCs w:val="22"/>
        </w:rPr>
        <w:fldChar w:fldCharType="separate"/>
      </w:r>
      <w:r w:rsidR="001E6AAB" w:rsidRPr="0027410F">
        <w:rPr>
          <w:rFonts w:ascii="Arial" w:hAnsi="Arial" w:cs="Arial"/>
          <w:bCs/>
          <w:noProof/>
          <w:sz w:val="22"/>
          <w:szCs w:val="22"/>
        </w:rPr>
        <w:t>[1]</w:t>
      </w:r>
      <w:r w:rsidRPr="0027410F">
        <w:rPr>
          <w:rFonts w:ascii="Arial" w:hAnsi="Arial" w:cs="Arial"/>
          <w:bCs/>
          <w:sz w:val="22"/>
          <w:szCs w:val="22"/>
        </w:rPr>
        <w:fldChar w:fldCharType="end"/>
      </w:r>
      <w:r w:rsidRPr="0027410F">
        <w:rPr>
          <w:rFonts w:ascii="Arial" w:hAnsi="Arial" w:cs="Arial"/>
          <w:bCs/>
          <w:sz w:val="22"/>
          <w:szCs w:val="22"/>
        </w:rPr>
        <w:t xml:space="preserve"> Cells between passage 5 and 8 were used for experiments. Lung tissue sections from untreated monocrotaline (MCT) and </w:t>
      </w:r>
      <w:proofErr w:type="spellStart"/>
      <w:r w:rsidRPr="0027410F">
        <w:rPr>
          <w:rFonts w:ascii="Arial" w:hAnsi="Arial" w:cs="Arial"/>
          <w:bCs/>
          <w:sz w:val="22"/>
          <w:szCs w:val="22"/>
        </w:rPr>
        <w:t>Sugen</w:t>
      </w:r>
      <w:proofErr w:type="spellEnd"/>
      <w:r w:rsidRPr="0027410F">
        <w:rPr>
          <w:rFonts w:ascii="Arial" w:hAnsi="Arial" w:cs="Arial"/>
          <w:bCs/>
          <w:sz w:val="22"/>
          <w:szCs w:val="22"/>
        </w:rPr>
        <w:t>-hypoxia (</w:t>
      </w:r>
      <w:proofErr w:type="spellStart"/>
      <w:r w:rsidRPr="0027410F">
        <w:rPr>
          <w:rFonts w:ascii="Arial" w:hAnsi="Arial" w:cs="Arial"/>
          <w:bCs/>
          <w:sz w:val="22"/>
          <w:szCs w:val="22"/>
        </w:rPr>
        <w:t>SuHx</w:t>
      </w:r>
      <w:proofErr w:type="spellEnd"/>
      <w:r w:rsidRPr="0027410F">
        <w:rPr>
          <w:rFonts w:ascii="Arial" w:hAnsi="Arial" w:cs="Arial"/>
          <w:bCs/>
          <w:sz w:val="22"/>
          <w:szCs w:val="22"/>
        </w:rPr>
        <w:t>) induced PH rat models were used, as described previously.</w:t>
      </w:r>
      <w:r w:rsidRPr="0027410F">
        <w:rPr>
          <w:rFonts w:ascii="Arial" w:hAnsi="Arial" w:cs="Arial"/>
          <w:bCs/>
          <w:sz w:val="22"/>
          <w:szCs w:val="22"/>
        </w:rPr>
        <w:fldChar w:fldCharType="begin" w:fldLock="1"/>
      </w:r>
      <w:r w:rsidR="0027410F" w:rsidRPr="0027410F">
        <w:rPr>
          <w:rFonts w:ascii="Arial" w:hAnsi="Arial" w:cs="Arial"/>
          <w:bCs/>
          <w:sz w:val="22"/>
          <w:szCs w:val="22"/>
        </w:rPr>
        <w:instrText>ADDIN CSL_CITATION {"citationItems":[{"id":"ITEM-1","itemData":{"DOI":"10.1016/j.jacbts.2016.09.007","ISSN":"2452-302X (Print)","PMID":"29034356","abstract":"Neurohormonal overactivation plays an important role in pulmonary hypertension (PH). In this context, renal denervation, which aims to inhibit the neurohormonal systems, may be a promising adjunct therapy in PH. In this proof-of-concept study, we have demonstrated in 2 experimental models of PH that renal denervation delayed disease progression, reduced pulmonary vascular remodeling, lowered right ventricular afterload, and decreased right ventricular diastolic stiffness, most likely by suppression of the renin-angiotensin-aldosterone system.","author":[{"dropping-particle":"","family":"Silva Goncalves Bos","given":"Denielli","non-dropping-particle":"da","parse-names":false,"suffix":""},{"dropping-particle":"","family":"Happe","given":"Chris","non-dropping-particle":"","parse-names":false,"suffix":""},{"dropping-particle":"","family":"Schalij","given":"Ingrid","non-dropping-particle":"","parse-names":false,"suffix":""},{"dropping-particle":"","family":"Pijacka","given":"Wioletta","non-dropping-particle":"","parse-names":false,"suffix":""},{"dropping-particle":"","family":"Paton","given":"Julian F R","non-dropping-particle":"","parse-names":false,"suffix":""},{"dropping-particle":"","family":"Guignabert","given":"Christophe","non-dropping-particle":"","parse-names":false,"suffix":""},{"dropping-particle":"","family":"Tu","given":"Ly","non-dropping-particle":"","parse-names":false,"suffix":""},{"dropping-particle":"","family":"Thuillet","given":"Raphael","non-dropping-particle":"","parse-names":false,"suffix":""},{"dropping-particle":"","family":"Bogaard","given":"Harm-Jan","non-dropping-particle":"","parse-names":false,"suffix":""},{"dropping-particle":"","family":"Rossum","given":"Albert C","non-dropping-particle":"van","parse-names":false,"suffix":""},{"dropping-particle":"","family":"Vonk-Noordegraaf","given":"Anton","non-dropping-particle":"","parse-names":false,"suffix":""},{"dropping-particle":"","family":"Man","given":"Frances S","non-dropping-particle":"de","parse-names":false,"suffix":""},{"dropping-particle":"","family":"Handoko","given":"M Louis","non-dropping-particle":"","parse-names":false,"suffix":""}],"container-title":"JACC. Basic to translational science","id":"ITEM-1","issue":"1","issued":{"date-parts":[["2017","2"]]},"language":"eng","page":"22-35","publisher-place":"United States","title":"Renal Denervation Reduces Pulmonary Vascular Remodeling and Right Ventricular Diastolic Stiffness in Experimental Pulmonary Hypertension.","type":"article-journal","volume":"2"},"uris":["http://www.mendeley.com/documents/?uuid=6966f196-8820-4202-86ea-b8e35afda742"]},{"id":"ITEM-2","itemData":{"DOI":"10.1183/13993003.02400-2018","ISSN":"0903-1936","abstract":"Pulmonary arterial hypertension (PAH) is a progressive fatal disease characterised by abnormal remodelling of pulmonary vessels, leading to increased vascular resistance and right ventricle failure. This abnormal vascular remodelling is associated with endothelial cell dysfunction, increased proliferation of smooth muscle cells, inflammation, and impaired bone morphogenetic protein (BMP) signalling. Orphan nuclear receptor Nur77 is a key regulator of proliferation and inflammation in vascular cells, but its role in the impaired BMP signaling and vascular remodelling in PAH is unknown.We hypothesised that activation of Nur77 by 6-mercaptopurine would improve the PAH by inhibiting endothelial cell dysfunction and vascular remodelling.Nur77 expression is decreased in cultured pulmonary microvascular endothelial cells (MVECs) and lungs of PAH patients. Nur77 significantly increased BMP signaling and strongly decreased proliferation and inflammation in MVECs. In addition, conditioned medium from PAH MVECs overexpressing Nur77 inhibited the growth of healthy smooth muscle cells. Pharmacological activation of Nur77 by 6-mercaptopurine markedly restored MVEC function by normalising proliferation, inflammation and BMP signaling. Finally, 6-mercaptopurine prevented and reversed abnormal vascular remodelling and right ventricle hypertrophy in the sugen-hypoxia rat model of severe angioproliferative PAH.Our data demonstrate that Nur77 is a critical modulator in PAH by inhibiting vascular remodelling and increasing BMP signalling, and activation of Nur77 could be a promising option for the treatment of PAH.","author":[{"dropping-particle":"","family":"Kurakula","given":"Kondababu","non-dropping-particle":"","parse-names":false,"suffix":""},{"dropping-particle":"","family":"Sun","given":"Xiao-Qing","non-dropping-particle":"","parse-names":false,"suffix":""},{"dropping-particle":"","family":"Happé","given":"Chris","non-dropping-particle":"","parse-names":false,"suffix":""},{"dropping-particle":"","family":"Silva Goncalves Bos","given":"Denielli","non-dropping-particle":"da","parse-names":false,"suffix":""},{"dropping-particle":"","family":"Szulcek","given":"Robert","non-dropping-particle":"","parse-names":false,"suffix":""},{"dropping-particle":"","family":"Schalij","given":"Ingrid","non-dropping-particle":"","parse-names":false,"suffix":""},{"dropping-particle":"","family":"Wiesmeijer","given":"Karien C.","non-dropping-particle":"","parse-names":false,"suffix":""},{"dropping-particle":"","family":"Lodder","given":"Kirsten","non-dropping-particle":"","parse-names":false,"suffix":""},{"dropping-particle":"","family":"Tu","given":"Ly","non-dropping-particle":"","parse-names":false,"suffix":""},{"dropping-particle":"","family":"Guignabert","given":"Christophe","non-dropping-particle":"","parse-names":false,"suffix":""},{"dropping-particle":"","family":"Vries","given":"Carlie J. M.","non-dropping-particle":"de","parse-names":false,"suffix":""},{"dropping-particle":"","family":"Man","given":"Frances S.","non-dropping-particle":"de","parse-names":false,"suffix":""},{"dropping-particle":"","family":"Noordegraaf","given":"Anton Vonk","non-dropping-particle":"","parse-names":false,"suffix":""},{"dropping-particle":"","family":"Dijke","given":"Peter","non-dropping-particle":"ten","parse-names":false,"suffix":""},{"dropping-particle":"","family":"Goumans","given":"Marie-José","non-dropping-particle":"","parse-names":false,"suffix":""},{"dropping-particle":"","family":"Bogaard","given":"Harm Jan","non-dropping-particle":"","parse-names":false,"suffix":""}],"container-title":"European Respiratory Journal","id":"ITEM-2","issue":"June 2019","issued":{"date-parts":[["2019"]]},"page":"1802400","title":"Prevention of progression of pulmonary hypertension by the Nur77 agonist 6-mercaptopurine: role of BMP signalling Kondababu","type":"article-journal"},"uris":["http://www.mendeley.com/documents/?uuid=e6732b22-8672-4cc5-8a2b-f5a54ada4380"]}],"mendeley":{"formattedCitation":"[1, 2]","plainTextFormattedCitation":"[1, 2]","previouslyFormattedCitation":"[1, 2]"},"properties":{"noteIndex":0},"schema":"https://github.com/citation-style-language/schema/raw/master/csl-citation.json"}</w:instrText>
      </w:r>
      <w:r w:rsidRPr="0027410F">
        <w:rPr>
          <w:rFonts w:ascii="Arial" w:hAnsi="Arial" w:cs="Arial"/>
          <w:bCs/>
          <w:sz w:val="22"/>
          <w:szCs w:val="22"/>
        </w:rPr>
        <w:fldChar w:fldCharType="separate"/>
      </w:r>
      <w:r w:rsidR="001E6AAB" w:rsidRPr="0027410F">
        <w:rPr>
          <w:rFonts w:ascii="Arial" w:hAnsi="Arial" w:cs="Arial"/>
          <w:bCs/>
          <w:noProof/>
          <w:sz w:val="22"/>
          <w:szCs w:val="22"/>
        </w:rPr>
        <w:t>[1, 2]</w:t>
      </w:r>
      <w:r w:rsidRPr="0027410F">
        <w:rPr>
          <w:rFonts w:ascii="Arial" w:hAnsi="Arial" w:cs="Arial"/>
          <w:bCs/>
          <w:sz w:val="22"/>
          <w:szCs w:val="22"/>
        </w:rPr>
        <w:fldChar w:fldCharType="end"/>
      </w:r>
      <w:r w:rsidR="007F2933" w:rsidRPr="0027410F">
        <w:rPr>
          <w:rFonts w:ascii="Arial" w:hAnsi="Arial" w:cs="Arial"/>
          <w:sz w:val="22"/>
          <w:szCs w:val="22"/>
        </w:rPr>
        <w:t xml:space="preserve"> </w:t>
      </w:r>
      <w:r w:rsidR="007F2933" w:rsidRPr="0027410F">
        <w:rPr>
          <w:rFonts w:ascii="Arial" w:hAnsi="Arial" w:cs="Arial"/>
          <w:bCs/>
          <w:sz w:val="22"/>
          <w:szCs w:val="22"/>
        </w:rPr>
        <w:t>HEK293T cells were cultured in Dulbecco's modified Eagle's medium (DMEM) with 20 mM glucose, supplemented with 10% serum and penicillin-streptomycin (Invitrogen).</w:t>
      </w:r>
    </w:p>
    <w:p w14:paraId="7E3B3002" w14:textId="77777777" w:rsidR="000D2EAA" w:rsidRPr="0027410F" w:rsidRDefault="000D2EAA" w:rsidP="0076761F">
      <w:pPr>
        <w:pStyle w:val="Paragraph"/>
        <w:spacing w:before="0" w:line="480" w:lineRule="auto"/>
        <w:ind w:firstLine="0"/>
        <w:rPr>
          <w:rFonts w:ascii="Arial" w:hAnsi="Arial" w:cs="Arial"/>
          <w:b/>
          <w:sz w:val="22"/>
          <w:szCs w:val="22"/>
        </w:rPr>
      </w:pPr>
      <w:r w:rsidRPr="0027410F">
        <w:rPr>
          <w:rFonts w:ascii="Arial" w:hAnsi="Arial" w:cs="Arial"/>
          <w:b/>
          <w:sz w:val="22"/>
          <w:szCs w:val="22"/>
        </w:rPr>
        <w:t>Quantitative Real Time-PCR (</w:t>
      </w:r>
      <w:proofErr w:type="spellStart"/>
      <w:r w:rsidRPr="0027410F">
        <w:rPr>
          <w:rFonts w:ascii="Arial" w:hAnsi="Arial" w:cs="Arial"/>
          <w:b/>
          <w:sz w:val="22"/>
          <w:szCs w:val="22"/>
        </w:rPr>
        <w:t>qRT</w:t>
      </w:r>
      <w:proofErr w:type="spellEnd"/>
      <w:r w:rsidRPr="0027410F">
        <w:rPr>
          <w:rFonts w:ascii="Arial" w:hAnsi="Arial" w:cs="Arial"/>
          <w:b/>
          <w:sz w:val="22"/>
          <w:szCs w:val="22"/>
        </w:rPr>
        <w:t>-PCR)</w:t>
      </w:r>
    </w:p>
    <w:p w14:paraId="3FADA9BF" w14:textId="77777777"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bCs/>
          <w:sz w:val="22"/>
          <w:szCs w:val="22"/>
        </w:rPr>
        <w:t xml:space="preserve">Total RNA from cultured cells was isolated using </w:t>
      </w:r>
      <w:proofErr w:type="spellStart"/>
      <w:r w:rsidRPr="0027410F">
        <w:rPr>
          <w:rFonts w:ascii="Arial" w:hAnsi="Arial" w:cs="Arial"/>
          <w:bCs/>
          <w:sz w:val="22"/>
          <w:szCs w:val="22"/>
        </w:rPr>
        <w:t>NucleoSpin</w:t>
      </w:r>
      <w:proofErr w:type="spellEnd"/>
      <w:r w:rsidRPr="0027410F">
        <w:rPr>
          <w:rFonts w:ascii="Arial" w:hAnsi="Arial" w:cs="Arial"/>
          <w:bCs/>
          <w:sz w:val="22"/>
          <w:szCs w:val="22"/>
        </w:rPr>
        <w:t xml:space="preserve"> RNA II isolation kit (</w:t>
      </w:r>
      <w:proofErr w:type="spellStart"/>
      <w:r w:rsidRPr="0027410F">
        <w:rPr>
          <w:rFonts w:ascii="Arial" w:hAnsi="Arial" w:cs="Arial"/>
          <w:bCs/>
          <w:sz w:val="22"/>
          <w:szCs w:val="22"/>
        </w:rPr>
        <w:t>Machery</w:t>
      </w:r>
      <w:proofErr w:type="spellEnd"/>
      <w:r w:rsidRPr="0027410F">
        <w:rPr>
          <w:rFonts w:ascii="Arial" w:hAnsi="Arial" w:cs="Arial"/>
          <w:bCs/>
          <w:sz w:val="22"/>
          <w:szCs w:val="22"/>
        </w:rPr>
        <w:t xml:space="preserve"> Nagel, </w:t>
      </w:r>
      <w:proofErr w:type="spellStart"/>
      <w:r w:rsidRPr="0027410F">
        <w:rPr>
          <w:rFonts w:ascii="Arial" w:hAnsi="Arial" w:cs="Arial"/>
          <w:bCs/>
          <w:sz w:val="22"/>
          <w:szCs w:val="22"/>
        </w:rPr>
        <w:t>Düren</w:t>
      </w:r>
      <w:proofErr w:type="spellEnd"/>
      <w:r w:rsidRPr="0027410F">
        <w:rPr>
          <w:rFonts w:ascii="Arial" w:hAnsi="Arial" w:cs="Arial"/>
          <w:bCs/>
          <w:sz w:val="22"/>
          <w:szCs w:val="22"/>
        </w:rPr>
        <w:t xml:space="preserve">) according to the manufacturer’s instructions. Total RNA from rat lung and RV </w:t>
      </w:r>
      <w:r w:rsidRPr="0027410F">
        <w:rPr>
          <w:rFonts w:ascii="Arial" w:hAnsi="Arial" w:cs="Arial"/>
          <w:bCs/>
          <w:sz w:val="22"/>
          <w:szCs w:val="22"/>
        </w:rPr>
        <w:lastRenderedPageBreak/>
        <w:t xml:space="preserve">tissue was isolated using TRIPURE (Roche). All the cDNA was synthesized with the </w:t>
      </w:r>
      <w:proofErr w:type="spellStart"/>
      <w:r w:rsidRPr="0027410F">
        <w:rPr>
          <w:rFonts w:ascii="Arial" w:hAnsi="Arial" w:cs="Arial"/>
          <w:bCs/>
          <w:sz w:val="22"/>
          <w:szCs w:val="22"/>
        </w:rPr>
        <w:t>iScript</w:t>
      </w:r>
      <w:proofErr w:type="spellEnd"/>
      <w:r w:rsidRPr="0027410F">
        <w:rPr>
          <w:rFonts w:ascii="Arial" w:hAnsi="Arial" w:cs="Arial"/>
          <w:bCs/>
          <w:sz w:val="22"/>
          <w:szCs w:val="22"/>
        </w:rPr>
        <w:t xml:space="preserve"> cDNA kit (Bio-Rad) following the manufacturer's instructions. RT-qPCR was performed with SYBR Green </w:t>
      </w:r>
      <w:proofErr w:type="spellStart"/>
      <w:r w:rsidRPr="0027410F">
        <w:rPr>
          <w:rFonts w:ascii="Arial" w:hAnsi="Arial" w:cs="Arial"/>
          <w:bCs/>
          <w:sz w:val="22"/>
          <w:szCs w:val="22"/>
        </w:rPr>
        <w:t>Supermix</w:t>
      </w:r>
      <w:proofErr w:type="spellEnd"/>
      <w:r w:rsidRPr="0027410F">
        <w:rPr>
          <w:rFonts w:ascii="Arial" w:hAnsi="Arial" w:cs="Arial"/>
          <w:bCs/>
          <w:sz w:val="22"/>
          <w:szCs w:val="22"/>
        </w:rPr>
        <w:t xml:space="preserve"> (Bio-Rad) using specific primers on CFX Real-Time PCR detection System (Bio-Rad). Analysis of qPCR results was done using the delta </w:t>
      </w:r>
      <w:proofErr w:type="spellStart"/>
      <w:r w:rsidRPr="0027410F">
        <w:rPr>
          <w:rFonts w:ascii="Arial" w:hAnsi="Arial" w:cs="Arial"/>
          <w:bCs/>
          <w:sz w:val="22"/>
          <w:szCs w:val="22"/>
        </w:rPr>
        <w:t>delta</w:t>
      </w:r>
      <w:proofErr w:type="spellEnd"/>
      <w:r w:rsidRPr="0027410F">
        <w:rPr>
          <w:rFonts w:ascii="Arial" w:hAnsi="Arial" w:cs="Arial"/>
          <w:bCs/>
          <w:sz w:val="22"/>
          <w:szCs w:val="22"/>
        </w:rPr>
        <w:t xml:space="preserve"> Ct method. GAPDH was used as an internal control </w:t>
      </w:r>
      <w:proofErr w:type="gramStart"/>
      <w:r w:rsidRPr="0027410F">
        <w:rPr>
          <w:rFonts w:ascii="Arial" w:hAnsi="Arial" w:cs="Arial"/>
          <w:bCs/>
          <w:sz w:val="22"/>
          <w:szCs w:val="22"/>
        </w:rPr>
        <w:t xml:space="preserve">for </w:t>
      </w:r>
      <w:r w:rsidRPr="0027410F">
        <w:rPr>
          <w:rFonts w:ascii="Arial" w:hAnsi="Arial" w:cs="Arial"/>
          <w:sz w:val="22"/>
          <w:szCs w:val="22"/>
        </w:rPr>
        <w:t>the amount of</w:t>
      </w:r>
      <w:proofErr w:type="gramEnd"/>
      <w:r w:rsidRPr="0027410F">
        <w:rPr>
          <w:rFonts w:ascii="Arial" w:hAnsi="Arial" w:cs="Arial"/>
          <w:sz w:val="22"/>
          <w:szCs w:val="22"/>
        </w:rPr>
        <w:t xml:space="preserve"> cDNA present in each sample. Primers used for real-time PCR are detailed in supplementary table 1.</w:t>
      </w:r>
    </w:p>
    <w:p w14:paraId="0455E952" w14:textId="77777777"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b/>
          <w:sz w:val="22"/>
          <w:szCs w:val="22"/>
        </w:rPr>
        <w:t xml:space="preserve">Western blot </w:t>
      </w:r>
    </w:p>
    <w:p w14:paraId="6EE49599" w14:textId="2E6CA082" w:rsidR="000D2EAA" w:rsidRPr="0027410F" w:rsidRDefault="000D2EAA" w:rsidP="0076761F">
      <w:pPr>
        <w:pStyle w:val="Paragraph"/>
        <w:spacing w:before="0" w:line="480" w:lineRule="auto"/>
        <w:ind w:firstLine="0"/>
        <w:rPr>
          <w:rFonts w:ascii="Arial" w:hAnsi="Arial" w:cs="Arial"/>
          <w:sz w:val="22"/>
          <w:szCs w:val="22"/>
        </w:rPr>
      </w:pPr>
      <w:r w:rsidRPr="0027410F">
        <w:rPr>
          <w:rFonts w:ascii="Arial" w:hAnsi="Arial" w:cs="Arial"/>
          <w:sz w:val="22"/>
          <w:szCs w:val="22"/>
        </w:rPr>
        <w:t>Whole cell and lung lysates were prepared with NP-40 lysis buffer containing phosphatase and protease inhibitors (Sigma-Aldrich), and western blotting was performed as described.</w:t>
      </w:r>
      <w:r w:rsidRPr="0027410F">
        <w:rPr>
          <w:rFonts w:ascii="Arial" w:hAnsi="Arial" w:cs="Arial"/>
          <w:sz w:val="22"/>
          <w:szCs w:val="22"/>
        </w:rPr>
        <w:fldChar w:fldCharType="begin" w:fldLock="1"/>
      </w:r>
      <w:r w:rsidR="0027410F" w:rsidRPr="0027410F">
        <w:rPr>
          <w:rFonts w:ascii="Arial" w:hAnsi="Arial" w:cs="Arial"/>
          <w:sz w:val="22"/>
          <w:szCs w:val="22"/>
        </w:rPr>
        <w:instrText>ADDIN CSL_CITATION {"citationItems":[{"id":"ITEM-1","itemData":{"DOI":"10.1183/13993003.02400-2018","ISSN":"0903-1936","abstract":"Pulmonary arterial hypertension (PAH) is a progressive fatal disease characterised by abnormal remodelling of pulmonary vessels, leading to increased vascular resistance and right ventricle failure. This abnormal vascular remodelling is associated with endothelial cell dysfunction, increased proliferation of smooth muscle cells, inflammation, and impaired bone morphogenetic protein (BMP) signalling. Orphan nuclear receptor Nur77 is a key regulator of proliferation and inflammation in vascular cells, but its role in the impaired BMP signaling and vascular remodelling in PAH is unknown.We hypothesised that activation of Nur77 by 6-mercaptopurine would improve the PAH by inhibiting endothelial cell dysfunction and vascular remodelling.Nur77 expression is decreased in cultured pulmonary microvascular endothelial cells (MVECs) and lungs of PAH patients. Nur77 significantly increased BMP signaling and strongly decreased proliferation and inflammation in MVECs. In addition, conditioned medium from PAH MVECs overexpressing Nur77 inhibited the growth of healthy smooth muscle cells. Pharmacological activation of Nur77 by 6-mercaptopurine markedly restored MVEC function by normalising proliferation, inflammation and BMP signaling. Finally, 6-mercaptopurine prevented and reversed abnormal vascular remodelling and right ventricle hypertrophy in the sugen-hypoxia rat model of severe angioproliferative PAH.Our data demonstrate that Nur77 is a critical modulator in PAH by inhibiting vascular remodelling and increasing BMP signalling, and activation of Nur77 could be a promising option for the treatment of PAH.","author":[{"dropping-particle":"","family":"Kurakula","given":"Kondababu","non-dropping-particle":"","parse-names":false,"suffix":""},{"dropping-particle":"","family":"Sun","given":"Xiao-Qing","non-dropping-particle":"","parse-names":false,"suffix":""},{"dropping-particle":"","family":"Happé","given":"Chris","non-dropping-particle":"","parse-names":false,"suffix":""},{"dropping-particle":"","family":"Silva Goncalves Bos","given":"Denielli","non-dropping-particle":"da","parse-names":false,"suffix":""},{"dropping-particle":"","family":"Szulcek","given":"Robert","non-dropping-particle":"","parse-names":false,"suffix":""},{"dropping-particle":"","family":"Schalij","given":"Ingrid","non-dropping-particle":"","parse-names":false,"suffix":""},{"dropping-particle":"","family":"Wiesmeijer","given":"Karien C.","non-dropping-particle":"","parse-names":false,"suffix":""},{"dropping-particle":"","family":"Lodder","given":"Kirsten","non-dropping-particle":"","parse-names":false,"suffix":""},{"dropping-particle":"","family":"Tu","given":"Ly","non-dropping-particle":"","parse-names":false,"suffix":""},{"dropping-particle":"","family":"Guignabert","given":"Christophe","non-dropping-particle":"","parse-names":false,"suffix":""},{"dropping-particle":"","family":"Vries","given":"Carlie J. M.","non-dropping-particle":"de","parse-names":false,"suffix":""},{"dropping-particle":"","family":"Man","given":"Frances S.","non-dropping-particle":"de","parse-names":false,"suffix":""},{"dropping-particle":"","family":"Noordegraaf","given":"Anton Vonk","non-dropping-particle":"","parse-names":false,"suffix":""},{"dropping-particle":"","family":"Dijke","given":"Peter","non-dropping-particle":"ten","parse-names":false,"suffix":""},{"dropping-particle":"","family":"Goumans","given":"Marie-José","non-dropping-particle":"","parse-names":false,"suffix":""},{"dropping-particle":"","family":"Bogaard","given":"Harm Jan","non-dropping-particle":"","parse-names":false,"suffix":""}],"container-title":"European Respiratory Journal","id":"ITEM-1","issue":"June 2019","issued":{"date-parts":[["2019"]]},"page":"1802400","title":"Prevention of progression of pulmonary hypertension by the Nur77 agonist 6-mercaptopurine: role of BMP signalling Kondababu","type":"article-journal"},"uris":["http://www.mendeley.com/documents/?uuid=e6732b22-8672-4cc5-8a2b-f5a54ada4380"]}],"mendeley":{"formattedCitation":"[1]","plainTextFormattedCitation":"[1]","previouslyFormattedCitation":"[1]"},"properties":{"noteIndex":0},"schema":"https://github.com/citation-style-language/schema/raw/master/csl-citation.json"}</w:instrText>
      </w:r>
      <w:r w:rsidRPr="0027410F">
        <w:rPr>
          <w:rFonts w:ascii="Arial" w:hAnsi="Arial" w:cs="Arial"/>
          <w:sz w:val="22"/>
          <w:szCs w:val="22"/>
        </w:rPr>
        <w:fldChar w:fldCharType="separate"/>
      </w:r>
      <w:r w:rsidR="001E6AAB" w:rsidRPr="0027410F">
        <w:rPr>
          <w:rFonts w:ascii="Arial" w:hAnsi="Arial" w:cs="Arial"/>
          <w:noProof/>
          <w:sz w:val="22"/>
          <w:szCs w:val="22"/>
        </w:rPr>
        <w:t>[1]</w:t>
      </w:r>
      <w:r w:rsidRPr="0027410F">
        <w:rPr>
          <w:rFonts w:ascii="Arial" w:hAnsi="Arial" w:cs="Arial"/>
          <w:sz w:val="22"/>
          <w:szCs w:val="22"/>
        </w:rPr>
        <w:fldChar w:fldCharType="end"/>
      </w:r>
      <w:r w:rsidRPr="0027410F">
        <w:rPr>
          <w:rFonts w:ascii="Arial" w:hAnsi="Arial" w:cs="Arial"/>
          <w:sz w:val="22"/>
          <w:szCs w:val="22"/>
        </w:rPr>
        <w:t xml:space="preserve"> Briefly, equal amount of protein was resolved by SDS-PAGE and transferred to polyvinylidene difluoride (PVDF) membranes (Millipore). Blots were blocked with 5% non-fat dry milk in PBS/TBS with 0.1% Tween 20 (PBST/TBST) for 1 hour at RT and incubated with primary antibodies overnight at 4°C. After washing with TBST buffer, membranes were incubated with appropriate horseradish peroxidase (HRP)-conjugated anti-mouse or anti-rabbit (GE Healthcare) secondary antibodies for 1 hour at RT in 5% non-fat milk. Antibodies were revealed using an ECL system (Fisher Scientific) and labeled proteins were detected with the imaging </w:t>
      </w:r>
      <w:proofErr w:type="spellStart"/>
      <w:r w:rsidRPr="0027410F">
        <w:rPr>
          <w:rFonts w:ascii="Arial" w:hAnsi="Arial" w:cs="Arial"/>
          <w:sz w:val="22"/>
          <w:szCs w:val="22"/>
        </w:rPr>
        <w:t>Chemidoc</w:t>
      </w:r>
      <w:proofErr w:type="spellEnd"/>
      <w:r w:rsidRPr="0027410F">
        <w:rPr>
          <w:rFonts w:ascii="Arial" w:hAnsi="Arial" w:cs="Arial"/>
          <w:sz w:val="22"/>
          <w:szCs w:val="22"/>
        </w:rPr>
        <w:t xml:space="preserve"> MP system (Bio-Rad). Protein expression was quantified using Image J software and normalized to GAPDH or Vinculin as previously described. The following antibodies directed against Pin1 (1:500; </w:t>
      </w:r>
      <w:proofErr w:type="spellStart"/>
      <w:r w:rsidRPr="0027410F">
        <w:rPr>
          <w:rFonts w:ascii="Arial" w:hAnsi="Arial" w:cs="Arial"/>
          <w:sz w:val="22"/>
          <w:szCs w:val="22"/>
        </w:rPr>
        <w:t>Proteintech</w:t>
      </w:r>
      <w:proofErr w:type="spellEnd"/>
      <w:r w:rsidRPr="0027410F">
        <w:rPr>
          <w:rFonts w:ascii="Arial" w:hAnsi="Arial" w:cs="Arial"/>
          <w:sz w:val="22"/>
          <w:szCs w:val="22"/>
        </w:rPr>
        <w:t>, 10495-1-AP), pSmad2/3 (1:1000; pS2 antibody), pSmad1/5/8 (1:1000; pS1 antibody)</w:t>
      </w:r>
      <w:r w:rsidR="0076761F" w:rsidRPr="0027410F">
        <w:rPr>
          <w:rFonts w:ascii="Arial" w:hAnsi="Arial" w:cs="Arial"/>
          <w:sz w:val="22"/>
          <w:szCs w:val="22"/>
        </w:rPr>
        <w:fldChar w:fldCharType="begin" w:fldLock="1"/>
      </w:r>
      <w:r w:rsidR="0027410F" w:rsidRPr="0027410F">
        <w:rPr>
          <w:rFonts w:ascii="Arial" w:hAnsi="Arial" w:cs="Arial"/>
          <w:sz w:val="22"/>
          <w:szCs w:val="22"/>
        </w:rPr>
        <w:instrText>ADDIN CSL_CITATION {"citationItems":[{"id":"ITEM-1","itemData":{"DOI":"10.1016/s0014-5793(98)00954-5","ISSN":"0014-5793 (Print)","PMID":"9738456","abstract":"Transforming growth factor-beta (TGF-beta) and bone morphogenetic proteins (BMPs) signal via distinct type I and type II receptors and Smad proteins. A nine amino acid sequence between kinase subdomains IV and V in type I receptors, termed the L45 loop, has been shown to be important in conferring signalling specificity. We examined the responses of a mutant TGF-beta type I receptor (TbetaR-I) and a mutant BMPR-IB, in which the L45 regions of these two receptors were exchanged. Swapping the four amino acid residues that are different in BMPR-IB for those in TbetaR-I, and vice versa, switched their type I receptor-restricted Smad activation and specificity in transcriptional responses. These studies identify the L45 loop regions in type I receptors as critical determinants in specifying Smad isoform activation.","author":[{"dropping-particle":"","family":"Persson","given":"U","non-dropping-particle":"","parse-names":false,"suffix":""},{"dropping-particle":"","family":"Izumi","given":"H","non-dropping-particle":"","parse-names":false,"suffix":""},{"dropping-particle":"","family":"Souchelnytskyi","given":"S","non-dropping-particle":"","parse-names":false,"suffix":""},{"dropping-particle":"","family":"Itoh","given":"S","non-dropping-particle":"","parse-names":false,"suffix":""},{"dropping-particle":"","family":"Grimsby","given":"S","non-dropping-particle":"","parse-names":false,"suffix":""},{"dropping-particle":"","family":"Engstrom","given":"U","non-dropping-particle":"","parse-names":false,"suffix":""},{"dropping-particle":"","family":"Heldin","given":"C H","non-dropping-particle":"","parse-names":false,"suffix":""},{"dropping-particle":"","family":"Funa","given":"K","non-dropping-particle":"","parse-names":false,"suffix":""},{"dropping-particle":"","family":"Dijke","given":"P","non-dropping-particle":"ten","parse-names":false,"suffix":""}],"container-title":"FEBS letters","id":"ITEM-1","issue":"1-2","issued":{"date-parts":[["1998","8"]]},"language":"eng","page":"83-87","publisher-place":"England","title":"The L45 loop in type I receptors for TGF-beta family members is a critical determinant in specifying Smad isoform activation.","type":"article-journal","volume":"434"},"uris":["http://www.mendeley.com/documents/?uuid=dad6f590-090c-45de-9c42-e1b43aad1c8e"]}],"mendeley":{"formattedCitation":"[3]","plainTextFormattedCitation":"[3]","previouslyFormattedCitation":"[3]"},"properties":{"noteIndex":0},"schema":"https://github.com/citation-style-language/schema/raw/master/csl-citation.json"}</w:instrText>
      </w:r>
      <w:r w:rsidR="0076761F" w:rsidRPr="0027410F">
        <w:rPr>
          <w:rFonts w:ascii="Arial" w:hAnsi="Arial" w:cs="Arial"/>
          <w:sz w:val="22"/>
          <w:szCs w:val="22"/>
        </w:rPr>
        <w:fldChar w:fldCharType="separate"/>
      </w:r>
      <w:r w:rsidR="001E6AAB" w:rsidRPr="0027410F">
        <w:rPr>
          <w:rFonts w:ascii="Arial" w:hAnsi="Arial" w:cs="Arial"/>
          <w:noProof/>
          <w:sz w:val="22"/>
          <w:szCs w:val="22"/>
        </w:rPr>
        <w:t>[3]</w:t>
      </w:r>
      <w:r w:rsidR="0076761F" w:rsidRPr="0027410F">
        <w:rPr>
          <w:rFonts w:ascii="Arial" w:hAnsi="Arial" w:cs="Arial"/>
          <w:sz w:val="22"/>
          <w:szCs w:val="22"/>
        </w:rPr>
        <w:fldChar w:fldCharType="end"/>
      </w:r>
      <w:r w:rsidRPr="0027410F">
        <w:rPr>
          <w:rFonts w:ascii="Arial" w:hAnsi="Arial" w:cs="Arial"/>
          <w:sz w:val="22"/>
          <w:szCs w:val="22"/>
        </w:rPr>
        <w:t xml:space="preserve">, BMPR2 (1:1000; Thermo Scientific, MA5-15827), ID3 (1:200; Santa Cruz, sc-490), and Vinculin (1: 1000; H300; Santa Cruz) were used. </w:t>
      </w:r>
    </w:p>
    <w:p w14:paraId="524C123B" w14:textId="77777777" w:rsidR="000D2EAA" w:rsidRPr="0027410F" w:rsidRDefault="000D2EAA" w:rsidP="0076761F">
      <w:pPr>
        <w:pStyle w:val="Paragraph"/>
        <w:spacing w:line="480" w:lineRule="auto"/>
        <w:ind w:firstLine="0"/>
        <w:rPr>
          <w:rFonts w:ascii="Arial" w:hAnsi="Arial" w:cs="Arial"/>
          <w:b/>
          <w:sz w:val="22"/>
          <w:szCs w:val="22"/>
        </w:rPr>
      </w:pPr>
      <w:r w:rsidRPr="0027410F">
        <w:rPr>
          <w:rFonts w:ascii="Arial" w:hAnsi="Arial" w:cs="Arial"/>
          <w:b/>
          <w:sz w:val="22"/>
          <w:szCs w:val="22"/>
        </w:rPr>
        <w:t>Cell viability assays</w:t>
      </w:r>
    </w:p>
    <w:p w14:paraId="4B6440D1" w14:textId="66906A9F"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bCs/>
          <w:sz w:val="22"/>
          <w:szCs w:val="22"/>
        </w:rPr>
        <w:t>Cell viability was determined by 3-(4,5-dimethyl-2-thiazolyl)-2,5-diphenyl-2H-tetrazolium bromide (MTT) assays and were performed as described previously.</w:t>
      </w:r>
      <w:r w:rsidRPr="0027410F">
        <w:rPr>
          <w:rFonts w:ascii="Arial" w:hAnsi="Arial" w:cs="Arial"/>
          <w:bCs/>
          <w:sz w:val="22"/>
          <w:szCs w:val="22"/>
        </w:rPr>
        <w:fldChar w:fldCharType="begin" w:fldLock="1"/>
      </w:r>
      <w:r w:rsidR="0027410F" w:rsidRPr="0027410F">
        <w:rPr>
          <w:rFonts w:ascii="Arial" w:hAnsi="Arial" w:cs="Arial"/>
          <w:bCs/>
          <w:sz w:val="22"/>
          <w:szCs w:val="22"/>
        </w:rPr>
        <w:instrText>ADDIN CSL_CITATION {"citationItems":[{"id":"ITEM-1","itemData":{"DOI":"10.1186/s12931-015-0236-0","ISSN":"1465-993X (Electronic)","PMID":"26084512","abstract":"BACKGROUND: Mucus hypersecretion and excessive cytokine synthesis is associated with many of the pathologic features of chronic airway diseases such as asthma. 6-Mercaptopurine (6-MP) is an immunosuppressive drug that is widely used in several inflammatory disorders. Although 6-MP has been used to treat asthma, its function and mechanism of action in airway epithelial cells is unknown. METHODS: Confluent NCI-H292 and MLE-12 epithelial cells were pretreated with 6-MP followed by stimulation with TNFalpha or PMA. mRNA levels of cytokines and mucins were measured by RT-PCR. Western blot analysis was performed to assess the phosphorylation of IkappaBalpha and luciferase assays were performed using an NFkappaB reporter plasmid to determine NFkappaB activity. Periodic Acid Schiff staining was used to assess the production of mucus. RESULTS: 6-MP displayed no effect on cell viability up to a concentration of 15 muM. RT-PCR analysis showed that 6-MP significantly reduces TNFalpha- and PMA-induced expression of several proinflammatory cytokines in NCI-H292 and MLE-12 cells. Consistent with this, we demonstrated that 6-MP strongly inhibits TNFalpha-induced phosphorylation of IkappaBalpha and thus attenuates NFkappaB luciferase reporter activity. In addition, 6-MP decreases Rac1 activity in MLE-12 cells. 6-MP down-regulates gene expression of the mucin Muc5ac, but not Muc2, through inhibition of activation of the NFkappaB pathway. Furthermore, PMA- and TNFalpha-induced mucus production, as visualized by Periodic Acid Schiff (PAS) staining, is decreased by 6-MP. CONCLUSIONS: Our data demonstrate that 6-MP inhibits Muc5ac gene expression and mucus production in airway epithelial cells through inhibition of the NFkappaB pathway, and 6-MP may represent a novel therapeutic target for mucus hypersecretion in airway diseases.","author":[{"dropping-particle":"","family":"Kurakula","given":"Kondababu","non-dropping-particle":"","parse-names":false,"suffix":""},{"dropping-particle":"","family":"Hamers","given":"Anouk A","non-dropping-particle":"","parse-names":false,"suffix":""},{"dropping-particle":"","family":"Loenen","given":"Pieter","non-dropping-particle":"van","parse-names":false,"suffix":""},{"dropping-particle":"","family":"Vries","given":"Carlie J M","non-dropping-particle":"de","parse-names":false,"suffix":""}],"container-title":"Respiratory research","id":"ITEM-1","issued":{"date-parts":[["2015","6"]]},"language":"eng","page":"73","publisher-place":"England","title":"6-Mercaptopurine reduces cytokine and Muc5ac expression involving inhibition of NFkappaB activation in airway epithelial cells.","type":"article-journal","volume":"16"},"uris":["http://www.mendeley.com/documents/?uuid=e7ec304a-e770-413f-8399-4150564296c1","http://www.mendeley.com/documents/?uuid=a64c7a22-4d11-426e-8182-bc8064337527"]}],"mendeley":{"formattedCitation":"[4]","plainTextFormattedCitation":"[4]","previouslyFormattedCitation":"[4]"},"properties":{"noteIndex":0},"schema":"https://github.com/citation-style-language/schema/raw/master/csl-citation.json"}</w:instrText>
      </w:r>
      <w:r w:rsidRPr="0027410F">
        <w:rPr>
          <w:rFonts w:ascii="Arial" w:hAnsi="Arial" w:cs="Arial"/>
          <w:bCs/>
          <w:sz w:val="22"/>
          <w:szCs w:val="22"/>
        </w:rPr>
        <w:fldChar w:fldCharType="separate"/>
      </w:r>
      <w:r w:rsidR="001E6AAB" w:rsidRPr="0027410F">
        <w:rPr>
          <w:rFonts w:ascii="Arial" w:hAnsi="Arial" w:cs="Arial"/>
          <w:bCs/>
          <w:noProof/>
          <w:sz w:val="22"/>
          <w:szCs w:val="22"/>
        </w:rPr>
        <w:t>[4]</w:t>
      </w:r>
      <w:r w:rsidRPr="0027410F">
        <w:rPr>
          <w:rFonts w:ascii="Arial" w:hAnsi="Arial" w:cs="Arial"/>
          <w:bCs/>
          <w:sz w:val="22"/>
          <w:szCs w:val="22"/>
        </w:rPr>
        <w:fldChar w:fldCharType="end"/>
      </w:r>
      <w:r w:rsidRPr="0027410F">
        <w:rPr>
          <w:rFonts w:ascii="Arial" w:hAnsi="Arial" w:cs="Arial"/>
          <w:bCs/>
          <w:sz w:val="22"/>
          <w:szCs w:val="22"/>
        </w:rPr>
        <w:t xml:space="preserve"> Briefly, cells were seeded in a 96-well plate at a density of </w:t>
      </w:r>
      <w:r w:rsidRPr="0027410F">
        <w:rPr>
          <w:rFonts w:ascii="Arial" w:hAnsi="Arial" w:cs="Arial"/>
          <w:sz w:val="22"/>
          <w:szCs w:val="22"/>
        </w:rPr>
        <w:t>3×10</w:t>
      </w:r>
      <w:r w:rsidRPr="0027410F">
        <w:rPr>
          <w:rFonts w:ascii="Arial" w:hAnsi="Arial" w:cs="Arial"/>
          <w:sz w:val="22"/>
          <w:szCs w:val="22"/>
          <w:vertAlign w:val="superscript"/>
        </w:rPr>
        <w:t>3</w:t>
      </w:r>
      <w:r w:rsidRPr="0027410F">
        <w:rPr>
          <w:rFonts w:ascii="Arial" w:hAnsi="Arial" w:cs="Arial"/>
          <w:sz w:val="22"/>
          <w:szCs w:val="22"/>
        </w:rPr>
        <w:t xml:space="preserve"> cells</w:t>
      </w:r>
      <w:r w:rsidRPr="0027410F">
        <w:rPr>
          <w:rFonts w:ascii="Arial" w:hAnsi="Arial" w:cs="Arial"/>
          <w:bCs/>
          <w:sz w:val="22"/>
          <w:szCs w:val="22"/>
        </w:rPr>
        <w:t>/well in ECM medium (</w:t>
      </w:r>
      <w:proofErr w:type="spellStart"/>
      <w:r w:rsidRPr="0027410F">
        <w:rPr>
          <w:rFonts w:ascii="Arial" w:hAnsi="Arial" w:cs="Arial"/>
          <w:bCs/>
          <w:sz w:val="22"/>
          <w:szCs w:val="22"/>
        </w:rPr>
        <w:t>Sciencell</w:t>
      </w:r>
      <w:proofErr w:type="spellEnd"/>
      <w:r w:rsidRPr="0027410F">
        <w:rPr>
          <w:rFonts w:ascii="Arial" w:hAnsi="Arial" w:cs="Arial"/>
          <w:bCs/>
          <w:sz w:val="22"/>
          <w:szCs w:val="22"/>
        </w:rPr>
        <w:t xml:space="preserve">, Catalog#1001) and incubated overnight. Cells were made synchronized by incubation in </w:t>
      </w:r>
      <w:r w:rsidRPr="0027410F">
        <w:rPr>
          <w:rFonts w:ascii="Arial" w:hAnsi="Arial" w:cs="Arial"/>
          <w:bCs/>
          <w:sz w:val="22"/>
          <w:szCs w:val="22"/>
        </w:rPr>
        <w:lastRenderedPageBreak/>
        <w:t xml:space="preserve">medium without FCS for 6 h and then incubated overnight with FCS (10% [vol/vol]) and vehicle or juglone (1uM) for 24 h. After the incubation time, 10μl of MTT reagent (5 mg/ml) was added to the cells for 3 h at 37°C. 100μl of isopropanol was added to each well and incubated for 15 min at RT. Colorimetric analysis was performed with a </w:t>
      </w:r>
      <w:r w:rsidR="0076761F" w:rsidRPr="0027410F">
        <w:rPr>
          <w:rFonts w:ascii="Arial" w:hAnsi="Arial" w:cs="Arial"/>
          <w:bCs/>
          <w:sz w:val="22"/>
          <w:szCs w:val="22"/>
        </w:rPr>
        <w:t xml:space="preserve">spectrophotometer. </w:t>
      </w:r>
      <w:r w:rsidRPr="0027410F">
        <w:rPr>
          <w:rFonts w:ascii="Arial" w:hAnsi="Arial" w:cs="Arial"/>
          <w:bCs/>
          <w:sz w:val="22"/>
          <w:szCs w:val="22"/>
        </w:rPr>
        <w:t>Each experiment (in quadruplicate) was repeated at least three times.</w:t>
      </w:r>
    </w:p>
    <w:p w14:paraId="60177488" w14:textId="77777777"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b/>
          <w:bCs/>
          <w:sz w:val="22"/>
          <w:szCs w:val="22"/>
        </w:rPr>
        <w:t>Cell count analysis</w:t>
      </w:r>
    </w:p>
    <w:p w14:paraId="7EDE60BE" w14:textId="77777777"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bCs/>
          <w:sz w:val="22"/>
          <w:szCs w:val="22"/>
        </w:rPr>
        <w:t>MVECs and PASMCs were pretreated with vehicle or juglone (1uM) for 48h and the number of cells was counted using a TC20™ Automated Cell Counter (Bio-Rad).</w:t>
      </w:r>
    </w:p>
    <w:p w14:paraId="343242F9" w14:textId="77777777" w:rsidR="000D2EAA" w:rsidRPr="0027410F" w:rsidRDefault="000D2EAA" w:rsidP="0076761F">
      <w:pPr>
        <w:pStyle w:val="Paragraph"/>
        <w:spacing w:line="480" w:lineRule="auto"/>
        <w:ind w:firstLine="0"/>
        <w:rPr>
          <w:rFonts w:ascii="Arial" w:hAnsi="Arial" w:cs="Arial"/>
          <w:b/>
          <w:sz w:val="22"/>
          <w:szCs w:val="22"/>
        </w:rPr>
      </w:pPr>
      <w:r w:rsidRPr="0027410F">
        <w:rPr>
          <w:rFonts w:ascii="Arial" w:hAnsi="Arial" w:cs="Arial"/>
          <w:b/>
          <w:sz w:val="22"/>
          <w:szCs w:val="22"/>
        </w:rPr>
        <w:t>Determination of PASMC growth in cultured medium of MVECs</w:t>
      </w:r>
    </w:p>
    <w:p w14:paraId="07401E4E" w14:textId="77777777" w:rsidR="000D2EAA" w:rsidRPr="0027410F" w:rsidRDefault="000D2EAA" w:rsidP="0076761F">
      <w:pPr>
        <w:pStyle w:val="Paragraph"/>
        <w:spacing w:line="480" w:lineRule="auto"/>
        <w:ind w:firstLine="0"/>
        <w:rPr>
          <w:rFonts w:ascii="Arial" w:hAnsi="Arial" w:cs="Arial"/>
          <w:bCs/>
          <w:sz w:val="22"/>
          <w:szCs w:val="22"/>
        </w:rPr>
      </w:pPr>
      <w:r w:rsidRPr="0027410F">
        <w:rPr>
          <w:rFonts w:ascii="Arial" w:hAnsi="Arial" w:cs="Arial"/>
          <w:bCs/>
          <w:sz w:val="22"/>
          <w:szCs w:val="22"/>
        </w:rPr>
        <w:t>PAH MVECs were pretreated with vehicle or juglone (1uM) for 24 h. Conditioned medium from these cells was added to control PASMCs and incubated for 48 hours after which the number of cells were counted using TC20™ Automated Cell Counter (Bio-Rad). Of note, the half-life of juglone is 2 hours.</w:t>
      </w:r>
    </w:p>
    <w:p w14:paraId="41D753A1" w14:textId="77777777" w:rsidR="000D2EAA" w:rsidRPr="0027410F" w:rsidRDefault="000D2EAA" w:rsidP="0076761F">
      <w:pPr>
        <w:pStyle w:val="Paragraph"/>
        <w:spacing w:before="0" w:line="480" w:lineRule="auto"/>
        <w:ind w:firstLine="0"/>
        <w:rPr>
          <w:rFonts w:ascii="Arial" w:hAnsi="Arial" w:cs="Arial"/>
          <w:b/>
          <w:sz w:val="22"/>
          <w:szCs w:val="22"/>
        </w:rPr>
      </w:pPr>
      <w:r w:rsidRPr="0027410F">
        <w:rPr>
          <w:rFonts w:ascii="Arial" w:hAnsi="Arial" w:cs="Arial"/>
          <w:b/>
          <w:sz w:val="22"/>
          <w:szCs w:val="22"/>
        </w:rPr>
        <w:t>Transient transfection and luciferase assays</w:t>
      </w:r>
    </w:p>
    <w:p w14:paraId="7CB0114A" w14:textId="77777777" w:rsidR="000D2EAA" w:rsidRPr="0027410F" w:rsidRDefault="000D2EAA" w:rsidP="0076761F">
      <w:pPr>
        <w:pStyle w:val="Paragraph"/>
        <w:spacing w:before="0" w:line="480" w:lineRule="auto"/>
        <w:ind w:firstLine="0"/>
        <w:rPr>
          <w:rFonts w:ascii="Arial" w:hAnsi="Arial" w:cs="Arial"/>
          <w:sz w:val="22"/>
          <w:szCs w:val="22"/>
        </w:rPr>
      </w:pPr>
      <w:r w:rsidRPr="0027410F">
        <w:rPr>
          <w:rFonts w:ascii="Arial" w:hAnsi="Arial" w:cs="Arial"/>
          <w:sz w:val="22"/>
          <w:szCs w:val="22"/>
        </w:rPr>
        <w:t>HEK293T cells were transiently transfected with the indicated luciferase reporter plasmids in the absence or presence of Pin1 using PEI transfection reagent (</w:t>
      </w:r>
      <w:proofErr w:type="spellStart"/>
      <w:r w:rsidRPr="0027410F">
        <w:rPr>
          <w:rFonts w:ascii="Arial" w:hAnsi="Arial" w:cs="Arial"/>
          <w:sz w:val="22"/>
          <w:szCs w:val="22"/>
        </w:rPr>
        <w:t>Polysciences</w:t>
      </w:r>
      <w:proofErr w:type="spellEnd"/>
      <w:r w:rsidRPr="0027410F">
        <w:rPr>
          <w:rFonts w:ascii="Arial" w:hAnsi="Arial" w:cs="Arial"/>
          <w:sz w:val="22"/>
          <w:szCs w:val="22"/>
        </w:rPr>
        <w:t xml:space="preserve">), following the recommendations of the manufacturer. Primary MVECs were transfected using Lipofectamine 3000 (Thermo Scientific) as per the instructions of the manufacturer. </w:t>
      </w:r>
      <w:proofErr w:type="spellStart"/>
      <w:r w:rsidRPr="0027410F">
        <w:rPr>
          <w:rFonts w:ascii="Arial" w:hAnsi="Arial" w:cs="Arial"/>
          <w:sz w:val="22"/>
          <w:szCs w:val="22"/>
        </w:rPr>
        <w:t>Renilla</w:t>
      </w:r>
      <w:proofErr w:type="spellEnd"/>
      <w:r w:rsidRPr="0027410F">
        <w:rPr>
          <w:rFonts w:ascii="Arial" w:hAnsi="Arial" w:cs="Arial"/>
          <w:sz w:val="22"/>
          <w:szCs w:val="22"/>
        </w:rPr>
        <w:t xml:space="preserve"> plasmid was co-transfected as an internal control in both HEK293T cells and MVECs. 48 hours post-transfection, cells were harvested and lysed to measure the luciferase activity using the dual luciferase reporter assay system (Promega) by a Perkin Elmer luminometer Victor3 1420. An empty vector was used to equalize the total amount of plasmid DNA in each well when necessary and each experiment (in triplicate) was repeated at least three times.</w:t>
      </w:r>
    </w:p>
    <w:p w14:paraId="099440DE" w14:textId="77777777" w:rsidR="000D2EAA" w:rsidRPr="0027410F" w:rsidRDefault="000D2EAA" w:rsidP="0076761F">
      <w:pPr>
        <w:pStyle w:val="Paragraph"/>
        <w:spacing w:before="0" w:line="480" w:lineRule="auto"/>
        <w:ind w:firstLine="0"/>
        <w:rPr>
          <w:rFonts w:ascii="Arial" w:hAnsi="Arial" w:cs="Arial"/>
          <w:b/>
          <w:sz w:val="22"/>
          <w:szCs w:val="22"/>
        </w:rPr>
      </w:pPr>
      <w:r w:rsidRPr="0027410F">
        <w:rPr>
          <w:rFonts w:ascii="Arial" w:hAnsi="Arial" w:cs="Arial"/>
          <w:b/>
          <w:sz w:val="22"/>
          <w:szCs w:val="22"/>
        </w:rPr>
        <w:t>Plasmids and chemicals</w:t>
      </w:r>
    </w:p>
    <w:p w14:paraId="1789373A" w14:textId="4EFBED26" w:rsidR="000D2EAA" w:rsidRPr="0027410F" w:rsidRDefault="000D2EAA" w:rsidP="0076761F">
      <w:pPr>
        <w:pStyle w:val="Paragraph"/>
        <w:spacing w:before="0" w:line="480" w:lineRule="auto"/>
        <w:ind w:firstLine="0"/>
        <w:rPr>
          <w:rFonts w:ascii="Arial" w:hAnsi="Arial" w:cs="Arial"/>
          <w:sz w:val="22"/>
          <w:szCs w:val="22"/>
        </w:rPr>
      </w:pPr>
      <w:r w:rsidRPr="0027410F">
        <w:rPr>
          <w:rFonts w:ascii="Arial" w:hAnsi="Arial" w:cs="Arial"/>
          <w:sz w:val="22"/>
          <w:szCs w:val="22"/>
        </w:rPr>
        <w:t>Pin1 over-expression plasmids, luciferase reporter constructs: BMP response element (BRE)-</w:t>
      </w:r>
      <w:proofErr w:type="spellStart"/>
      <w:r w:rsidRPr="0027410F">
        <w:rPr>
          <w:rFonts w:ascii="Arial" w:hAnsi="Arial" w:cs="Arial"/>
          <w:sz w:val="22"/>
          <w:szCs w:val="22"/>
        </w:rPr>
        <w:t>luc</w:t>
      </w:r>
      <w:proofErr w:type="spellEnd"/>
      <w:r w:rsidRPr="0027410F">
        <w:rPr>
          <w:rFonts w:ascii="Arial" w:hAnsi="Arial" w:cs="Arial"/>
          <w:sz w:val="22"/>
          <w:szCs w:val="22"/>
        </w:rPr>
        <w:t>, TGF-β–responsive CAGA-</w:t>
      </w:r>
      <w:proofErr w:type="spellStart"/>
      <w:r w:rsidRPr="0027410F">
        <w:rPr>
          <w:rFonts w:ascii="Arial" w:hAnsi="Arial" w:cs="Arial"/>
          <w:sz w:val="22"/>
          <w:szCs w:val="22"/>
        </w:rPr>
        <w:t>luc</w:t>
      </w:r>
      <w:proofErr w:type="spellEnd"/>
      <w:r w:rsidRPr="0027410F">
        <w:rPr>
          <w:rFonts w:ascii="Arial" w:hAnsi="Arial" w:cs="Arial"/>
          <w:sz w:val="22"/>
          <w:szCs w:val="22"/>
        </w:rPr>
        <w:t xml:space="preserve">, CyclinD1-luc, and </w:t>
      </w:r>
      <w:proofErr w:type="spellStart"/>
      <w:r w:rsidRPr="0027410F">
        <w:rPr>
          <w:rFonts w:ascii="Arial" w:hAnsi="Arial" w:cs="Arial"/>
          <w:sz w:val="22"/>
          <w:szCs w:val="22"/>
        </w:rPr>
        <w:t>NFκB-luc</w:t>
      </w:r>
      <w:proofErr w:type="spellEnd"/>
      <w:r w:rsidRPr="0027410F">
        <w:rPr>
          <w:rFonts w:ascii="Arial" w:hAnsi="Arial" w:cs="Arial"/>
          <w:sz w:val="22"/>
          <w:szCs w:val="22"/>
        </w:rPr>
        <w:t xml:space="preserve"> have been described </w:t>
      </w:r>
      <w:r w:rsidRPr="0027410F">
        <w:rPr>
          <w:rFonts w:ascii="Arial" w:hAnsi="Arial" w:cs="Arial"/>
          <w:sz w:val="22"/>
          <w:szCs w:val="22"/>
        </w:rPr>
        <w:lastRenderedPageBreak/>
        <w:t>before.</w:t>
      </w:r>
      <w:r w:rsidRPr="0027410F">
        <w:rPr>
          <w:rFonts w:ascii="Arial" w:hAnsi="Arial" w:cs="Arial"/>
          <w:sz w:val="22"/>
          <w:szCs w:val="22"/>
        </w:rPr>
        <w:fldChar w:fldCharType="begin" w:fldLock="1"/>
      </w:r>
      <w:r w:rsidR="0027410F" w:rsidRPr="0027410F">
        <w:rPr>
          <w:rFonts w:ascii="Arial" w:hAnsi="Arial" w:cs="Arial"/>
          <w:sz w:val="22"/>
          <w:szCs w:val="22"/>
        </w:rPr>
        <w:instrText>ADDIN CSL_CITATION {"citationItems":[{"id":"ITEM-1","itemData":{"DOI":"10.1093/emboj/17.11.3091","ISSN":"0261-4189 (Print)","PMID":"9606191","abstract":"Smad proteins play a key role in the intracellular signalling of transforming growth factor beta (TGF beta), which elicits a large variety of cellular responses. Upon TGF beta receptor activation, Smad2 and Smad3 become phosphorylated and form heteromeric complexes with Smad4. These complexes translocate to the nucleus where they control expression of target genes. However, the mechanism by which Smads mediate transcriptional regulation is largely unknown. Human plasminogen activator inhibitor-1 (PAI-1) is a gene that is potently induced by TGF beta. Here we report the identification of Smad3/Smad4 binding sequences, termed CAGA boxes, within the promoter of the human PAI-1 gene. The CAGA boxes confer TGF beta and activin, but not bone morphogenetic protein (BMP) stimulation to a heterologous promoter reporter construct. Importantly, mutation of the three CAGA boxes present in the PAI-1 promoter was found to abolish TGF beta responsiveness. Thus, CAGA elements are essential and sufficient for the induction by TGF beta. In addition, TGFbeta induces the binding of a Smad3/Smad4-containing nuclear complex to CAGA boxes. Furthermore, bacterially expressed Smad3 and Smad4 proteins, but not Smad1 nor Smad2 protein, bind directly to this sequence in vitro. The presence of this box in TGF beta-responsive regions of several other genes suggests that this may be a widely used motif in TGF beta-regulated transcription.","author":[{"dropping-particle":"","family":"Dennler","given":"S","non-dropping-particle":"","parse-names":false,"suffix":""},{"dropping-particle":"","family":"Itoh","given":"S","non-dropping-particle":"","parse-names":false,"suffix":""},{"dropping-particle":"","family":"Vivien","given":"D","non-dropping-particle":"","parse-names":false,"suffix":""},{"dropping-particle":"","family":"Dijke","given":"P","non-dropping-particle":"ten","parse-names":false,"suffix":""},{"dropping-particle":"","family":"Huet","given":"S","non-dropping-particle":"","parse-names":false,"suffix":""},{"dropping-particle":"","family":"Gauthier","given":"J M","non-dropping-particle":"","parse-names":false,"suffix":""}],"container-title":"The EMBO journal","id":"ITEM-1","issue":"11","issued":{"date-parts":[["1998","6"]]},"language":"eng","page":"3091-3100","publisher-place":"England","title":"Direct binding of Smad3 and Smad4 to critical TGF beta-inducible elements in the  promoter of human plasminogen activator inhibitor-type 1 gene.","type":"article-journal","volume":"17"},"uris":["http://www.mendeley.com/documents/?uuid=b9dbc694-8689-44f2-b693-97b5a3784ca0","http://www.mendeley.com/documents/?uuid=72b4cc17-2e2d-4f6b-8a8d-61c4023480bd"]},{"id":"ITEM-2","itemData":{"DOI":"10.1183/13993003.02400-2018","ISSN":"0903-1936","abstract":"Pulmonary arterial hypertension (PAH) is a progressive fatal disease characterised by abnormal remodelling of pulmonary vessels, leading to increased vascular resistance and right ventricle failure. This abnormal vascular remodelling is associated with endothelial cell dysfunction, increased proliferation of smooth muscle cells, inflammation, and impaired bone morphogenetic protein (BMP) signalling. Orphan nuclear receptor Nur77 is a key regulator of proliferation and inflammation in vascular cells, but its role in the impaired BMP signaling and vascular remodelling in PAH is unknown.We hypothesised that activation of Nur77 by 6-mercaptopurine would improve the PAH by inhibiting endothelial cell dysfunction and vascular remodelling.Nur77 expression is decreased in cultured pulmonary microvascular endothelial cells (MVECs) and lungs of PAH patients. Nur77 significantly increased BMP signaling and strongly decreased proliferation and inflammation in MVECs. In addition, conditioned medium from PAH MVECs overexpressing Nur77 inhibited the growth of healthy smooth muscle cells. Pharmacological activation of Nur77 by 6-mercaptopurine markedly restored MVEC function by normalising proliferation, inflammation and BMP signaling. Finally, 6-mercaptopurine prevented and reversed abnormal vascular remodelling and right ventricle hypertrophy in the sugen-hypoxia rat model of severe angioproliferative PAH.Our data demonstrate that Nur77 is a critical modulator in PAH by inhibiting vascular remodelling and increasing BMP signalling, and activation of Nur77 could be a promising option for the treatment of PAH.","author":[{"dropping-particle":"","family":"Kurakula","given":"Kondababu","non-dropping-particle":"","parse-names":false,"suffix":""},{"dropping-particle":"","family":"Sun","given":"Xiao-Qing","non-dropping-particle":"","parse-names":false,"suffix":""},{"dropping-particle":"","family":"Happé","given":"Chris","non-dropping-particle":"","parse-names":false,"suffix":""},{"dropping-particle":"","family":"Silva Goncalves Bos","given":"Denielli","non-dropping-particle":"da","parse-names":false,"suffix":""},{"dropping-particle":"","family":"Szulcek","given":"Robert","non-dropping-particle":"","parse-names":false,"suffix":""},{"dropping-particle":"","family":"Schalij","given":"Ingrid","non-dropping-particle":"","parse-names":false,"suffix":""},{"dropping-particle":"","family":"Wiesmeijer","given":"Karien C.","non-dropping-particle":"","parse-names":false,"suffix":""},{"dropping-particle":"","family":"Lodder","given":"Kirsten","non-dropping-particle":"","parse-names":false,"suffix":""},{"dropping-particle":"","family":"Tu","given":"Ly","non-dropping-particle":"","parse-names":false,"suffix":""},{"dropping-particle":"","family":"Guignabert","given":"Christophe","non-dropping-particle":"","parse-names":false,"suffix":""},{"dropping-particle":"","family":"Vries","given":"Carlie J. M.","non-dropping-particle":"de","parse-names":false,"suffix":""},{"dropping-particle":"","family":"Man","given":"Frances S.","non-dropping-particle":"de","parse-names":false,"suffix":""},{"dropping-particle":"","family":"Noordegraaf","given":"Anton Vonk","non-dropping-particle":"","parse-names":false,"suffix":""},{"dropping-particle":"","family":"Dijke","given":"Peter","non-dropping-particle":"ten","parse-names":false,"suffix":""},{"dropping-particle":"","family":"Goumans","given":"Marie-José","non-dropping-particle":"","parse-names":false,"suffix":""},{"dropping-particle":"","family":"Bogaard","given":"Harm Jan","non-dropping-particle":"","parse-names":false,"suffix":""}],"container-title":"European Respiratory Journal","id":"ITEM-2","issue":"June 2019","issued":{"date-parts":[["2019"]]},"page":"1802400","title":"Prevention of progression of pulmonary hypertension by the Nur77 agonist 6-mercaptopurine: role of BMP signalling Kondababu","type":"article-journal"},"uris":["http://www.mendeley.com/documents/?uuid=e6732b22-8672-4cc5-8a2b-f5a54ada4380"]}],"mendeley":{"formattedCitation":"[1, 5]","plainTextFormattedCitation":"[1, 5]","previouslyFormattedCitation":"[1, 5]"},"properties":{"noteIndex":0},"schema":"https://github.com/citation-style-language/schema/raw/master/csl-citation.json"}</w:instrText>
      </w:r>
      <w:r w:rsidRPr="0027410F">
        <w:rPr>
          <w:rFonts w:ascii="Arial" w:hAnsi="Arial" w:cs="Arial"/>
          <w:sz w:val="22"/>
          <w:szCs w:val="22"/>
        </w:rPr>
        <w:fldChar w:fldCharType="separate"/>
      </w:r>
      <w:r w:rsidR="001E6AAB" w:rsidRPr="0027410F">
        <w:rPr>
          <w:rFonts w:ascii="Arial" w:hAnsi="Arial" w:cs="Arial"/>
          <w:noProof/>
          <w:sz w:val="22"/>
          <w:szCs w:val="22"/>
        </w:rPr>
        <w:t>[1, 5]</w:t>
      </w:r>
      <w:r w:rsidRPr="0027410F">
        <w:rPr>
          <w:rFonts w:ascii="Arial" w:hAnsi="Arial" w:cs="Arial"/>
          <w:sz w:val="22"/>
          <w:szCs w:val="22"/>
        </w:rPr>
        <w:fldChar w:fldCharType="end"/>
      </w:r>
      <w:r w:rsidRPr="0027410F">
        <w:rPr>
          <w:rFonts w:ascii="Arial" w:hAnsi="Arial" w:cs="Arial"/>
          <w:sz w:val="22"/>
          <w:szCs w:val="22"/>
        </w:rPr>
        <w:t xml:space="preserve"> TNFα (</w:t>
      </w:r>
      <w:proofErr w:type="spellStart"/>
      <w:r w:rsidRPr="0027410F">
        <w:rPr>
          <w:rFonts w:ascii="Arial" w:hAnsi="Arial" w:cs="Arial"/>
          <w:sz w:val="22"/>
          <w:szCs w:val="22"/>
        </w:rPr>
        <w:t>Peprotech</w:t>
      </w:r>
      <w:proofErr w:type="spellEnd"/>
      <w:r w:rsidRPr="0027410F">
        <w:rPr>
          <w:rFonts w:ascii="Arial" w:hAnsi="Arial" w:cs="Arial"/>
          <w:sz w:val="22"/>
          <w:szCs w:val="22"/>
        </w:rPr>
        <w:t xml:space="preserve">; cat#300-01A) and TGFβ3 ( 8420-B3, R&amp;D SYSTEMS and Andrew P. </w:t>
      </w:r>
      <w:proofErr w:type="spellStart"/>
      <w:r w:rsidRPr="0027410F">
        <w:rPr>
          <w:rFonts w:ascii="Arial" w:hAnsi="Arial" w:cs="Arial"/>
          <w:sz w:val="22"/>
          <w:szCs w:val="22"/>
        </w:rPr>
        <w:t>Hinck</w:t>
      </w:r>
      <w:proofErr w:type="spellEnd"/>
      <w:r w:rsidRPr="0027410F">
        <w:rPr>
          <w:rFonts w:ascii="Arial" w:hAnsi="Arial" w:cs="Arial"/>
          <w:sz w:val="22"/>
          <w:szCs w:val="22"/>
        </w:rPr>
        <w:t>, University of Pittsburg, USA) were used. Lentiviral shRNA plasmids targeting Pin1 [shPIN1</w:t>
      </w:r>
      <w:r w:rsidR="0076761F" w:rsidRPr="0027410F">
        <w:rPr>
          <w:rFonts w:ascii="Arial" w:hAnsi="Arial" w:cs="Arial"/>
          <w:sz w:val="22"/>
          <w:szCs w:val="22"/>
        </w:rPr>
        <w:t>#</w:t>
      </w:r>
      <w:r w:rsidRPr="0027410F">
        <w:rPr>
          <w:rFonts w:ascii="Arial" w:hAnsi="Arial" w:cs="Arial"/>
          <w:sz w:val="22"/>
          <w:szCs w:val="22"/>
        </w:rPr>
        <w:t xml:space="preserve">1-5] were ordered from a shRNA library (shPin1-1: TRCN0000010577, shPin1-2: TRCN0000001036, shPin1-3: TRCN0000001033, shPin1-4: TRCN0000001034, shPin1-5: TRCN0000001035; Sigma-Aldrich, Cat No: SHCLND-NM_006221, Missouri, USA). </w:t>
      </w:r>
    </w:p>
    <w:p w14:paraId="061876DA" w14:textId="77777777" w:rsidR="000D2EAA" w:rsidRPr="0027410F" w:rsidRDefault="000D2EAA" w:rsidP="0076761F">
      <w:pPr>
        <w:pStyle w:val="Paragraph"/>
        <w:spacing w:before="0" w:line="480" w:lineRule="auto"/>
        <w:ind w:firstLine="0"/>
        <w:rPr>
          <w:rFonts w:ascii="Arial" w:hAnsi="Arial" w:cs="Arial"/>
          <w:b/>
          <w:sz w:val="22"/>
          <w:szCs w:val="22"/>
        </w:rPr>
      </w:pPr>
      <w:proofErr w:type="spellStart"/>
      <w:r w:rsidRPr="0027410F">
        <w:rPr>
          <w:rFonts w:ascii="Arial" w:hAnsi="Arial" w:cs="Arial"/>
          <w:b/>
          <w:sz w:val="22"/>
          <w:szCs w:val="22"/>
        </w:rPr>
        <w:t>Lenti</w:t>
      </w:r>
      <w:proofErr w:type="spellEnd"/>
      <w:r w:rsidRPr="0027410F">
        <w:rPr>
          <w:rFonts w:ascii="Arial" w:hAnsi="Arial" w:cs="Arial"/>
          <w:b/>
          <w:sz w:val="22"/>
          <w:szCs w:val="22"/>
        </w:rPr>
        <w:t xml:space="preserve">-viral transduction </w:t>
      </w:r>
    </w:p>
    <w:p w14:paraId="7394474F" w14:textId="5B530686" w:rsidR="000D2EAA" w:rsidRPr="0027410F" w:rsidRDefault="000D2EAA" w:rsidP="0076761F">
      <w:pPr>
        <w:pStyle w:val="Paragraph"/>
        <w:spacing w:before="0" w:line="480" w:lineRule="auto"/>
        <w:ind w:firstLine="0"/>
        <w:rPr>
          <w:rFonts w:ascii="Arial" w:hAnsi="Arial" w:cs="Arial"/>
          <w:sz w:val="22"/>
          <w:szCs w:val="22"/>
        </w:rPr>
      </w:pPr>
      <w:r w:rsidRPr="0027410F">
        <w:rPr>
          <w:rFonts w:ascii="Arial" w:hAnsi="Arial" w:cs="Arial"/>
          <w:sz w:val="22"/>
          <w:szCs w:val="22"/>
        </w:rPr>
        <w:t xml:space="preserve">Recombinant lentiviral particles of overexpression of Pin1 and </w:t>
      </w:r>
      <w:proofErr w:type="spellStart"/>
      <w:r w:rsidRPr="0027410F">
        <w:rPr>
          <w:rFonts w:ascii="Arial" w:hAnsi="Arial" w:cs="Arial"/>
          <w:sz w:val="22"/>
          <w:szCs w:val="22"/>
        </w:rPr>
        <w:t>shRNAs</w:t>
      </w:r>
      <w:proofErr w:type="spellEnd"/>
      <w:r w:rsidRPr="0027410F">
        <w:rPr>
          <w:rFonts w:ascii="Arial" w:hAnsi="Arial" w:cs="Arial"/>
          <w:sz w:val="22"/>
          <w:szCs w:val="22"/>
        </w:rPr>
        <w:t xml:space="preserve"> targeting Pin1 were produced, concentrated, and titrated as described previously.</w:t>
      </w:r>
      <w:r w:rsidRPr="0027410F">
        <w:rPr>
          <w:rFonts w:ascii="Arial" w:hAnsi="Arial" w:cs="Arial"/>
          <w:sz w:val="22"/>
          <w:szCs w:val="22"/>
        </w:rPr>
        <w:fldChar w:fldCharType="begin" w:fldLock="1"/>
      </w:r>
      <w:r w:rsidR="0027410F" w:rsidRPr="0027410F">
        <w:rPr>
          <w:rFonts w:ascii="Arial" w:hAnsi="Arial" w:cs="Arial"/>
          <w:sz w:val="22"/>
          <w:szCs w:val="22"/>
        </w:rPr>
        <w:instrText>ADDIN CSL_CITATION {"citationItems":[{"id":"ITEM-1","itemData":{"DOI":"10.1183/13993003.02400-2018","ISSN":"0903-1936","abstract":"Pulmonary arterial hypertension (PAH) is a progressive fatal disease characterised by abnormal remodelling of pulmonary vessels, leading to increased vascular resistance and right ventricle failure. This abnormal vascular remodelling is associated with endothelial cell dysfunction, increased proliferation of smooth muscle cells, inflammation, and impaired bone morphogenetic protein (BMP) signalling. Orphan nuclear receptor Nur77 is a key regulator of proliferation and inflammation in vascular cells, but its role in the impaired BMP signaling and vascular remodelling in PAH is unknown.We hypothesised that activation of Nur77 by 6-mercaptopurine would improve the PAH by inhibiting endothelial cell dysfunction and vascular remodelling.Nur77 expression is decreased in cultured pulmonary microvascular endothelial cells (MVECs) and lungs of PAH patients. Nur77 significantly increased BMP signaling and strongly decreased proliferation and inflammation in MVECs. In addition, conditioned medium from PAH MVECs overexpressing Nur77 inhibited the growth of healthy smooth muscle cells. Pharmacological activation of Nur77 by 6-mercaptopurine markedly restored MVEC function by normalising proliferation, inflammation and BMP signaling. Finally, 6-mercaptopurine prevented and reversed abnormal vascular remodelling and right ventricle hypertrophy in the sugen-hypoxia rat model of severe angioproliferative PAH.Our data demonstrate that Nur77 is a critical modulator in PAH by inhibiting vascular remodelling and increasing BMP signalling, and activation of Nur77 could be a promising option for the treatment of PAH.","author":[{"dropping-particle":"","family":"Kurakula","given":"Kondababu","non-dropping-particle":"","parse-names":false,"suffix":""},{"dropping-particle":"","family":"Sun","given":"Xiao-Qing","non-dropping-particle":"","parse-names":false,"suffix":""},{"dropping-particle":"","family":"Happé","given":"Chris","non-dropping-particle":"","parse-names":false,"suffix":""},{"dropping-particle":"","family":"Silva Goncalves Bos","given":"Denielli","non-dropping-particle":"da","parse-names":false,"suffix":""},{"dropping-particle":"","family":"Szulcek","given":"Robert","non-dropping-particle":"","parse-names":false,"suffix":""},{"dropping-particle":"","family":"Schalij","given":"Ingrid","non-dropping-particle":"","parse-names":false,"suffix":""},{"dropping-particle":"","family":"Wiesmeijer","given":"Karien C.","non-dropping-particle":"","parse-names":false,"suffix":""},{"dropping-particle":"","family":"Lodder","given":"Kirsten","non-dropping-particle":"","parse-names":false,"suffix":""},{"dropping-particle":"","family":"Tu","given":"Ly","non-dropping-particle":"","parse-names":false,"suffix":""},{"dropping-particle":"","family":"Guignabert","given":"Christophe","non-dropping-particle":"","parse-names":false,"suffix":""},{"dropping-particle":"","family":"Vries","given":"Carlie J. M.","non-dropping-particle":"de","parse-names":false,"suffix":""},{"dropping-particle":"","family":"Man","given":"Frances S.","non-dropping-particle":"de","parse-names":false,"suffix":""},{"dropping-particle":"","family":"Noordegraaf","given":"Anton Vonk","non-dropping-particle":"","parse-names":false,"suffix":""},{"dropping-particle":"","family":"Dijke","given":"Peter","non-dropping-particle":"ten","parse-names":false,"suffix":""},{"dropping-particle":"","family":"Goumans","given":"Marie-José","non-dropping-particle":"","parse-names":false,"suffix":""},{"dropping-particle":"","family":"Bogaard","given":"Harm Jan","non-dropping-particle":"","parse-names":false,"suffix":""}],"container-title":"European Respiratory Journal","id":"ITEM-1","issue":"June 2019","issued":{"date-parts":[["2019"]]},"page":"1802400","title":"Prevention of progression of pulmonary hypertension by the Nur77 agonist 6-mercaptopurine: role of BMP signalling Kondababu","type":"article-journal"},"uris":["http://www.mendeley.com/documents/?uuid=e6732b22-8672-4cc5-8a2b-f5a54ada4380"]}],"mendeley":{"formattedCitation":"[1]","plainTextFormattedCitation":"[1]","previouslyFormattedCitation":"[1]"},"properties":{"noteIndex":0},"schema":"https://github.com/citation-style-language/schema/raw/master/csl-citation.json"}</w:instrText>
      </w:r>
      <w:r w:rsidRPr="0027410F">
        <w:rPr>
          <w:rFonts w:ascii="Arial" w:hAnsi="Arial" w:cs="Arial"/>
          <w:sz w:val="22"/>
          <w:szCs w:val="22"/>
        </w:rPr>
        <w:fldChar w:fldCharType="separate"/>
      </w:r>
      <w:r w:rsidR="001E6AAB" w:rsidRPr="0027410F">
        <w:rPr>
          <w:rFonts w:ascii="Arial" w:hAnsi="Arial" w:cs="Arial"/>
          <w:noProof/>
          <w:sz w:val="22"/>
          <w:szCs w:val="22"/>
        </w:rPr>
        <w:t>[1]</w:t>
      </w:r>
      <w:r w:rsidRPr="0027410F">
        <w:rPr>
          <w:rFonts w:ascii="Arial" w:hAnsi="Arial" w:cs="Arial"/>
          <w:sz w:val="22"/>
          <w:szCs w:val="22"/>
        </w:rPr>
        <w:fldChar w:fldCharType="end"/>
      </w:r>
      <w:r w:rsidRPr="0027410F">
        <w:rPr>
          <w:rFonts w:ascii="Arial" w:hAnsi="Arial" w:cs="Arial"/>
          <w:sz w:val="22"/>
          <w:szCs w:val="22"/>
        </w:rPr>
        <w:t xml:space="preserve"> Five different human </w:t>
      </w:r>
      <w:proofErr w:type="spellStart"/>
      <w:r w:rsidRPr="0027410F">
        <w:rPr>
          <w:rFonts w:ascii="Arial" w:hAnsi="Arial" w:cs="Arial"/>
          <w:sz w:val="22"/>
          <w:szCs w:val="22"/>
        </w:rPr>
        <w:t>shRNAs</w:t>
      </w:r>
      <w:proofErr w:type="spellEnd"/>
      <w:r w:rsidRPr="0027410F">
        <w:rPr>
          <w:rFonts w:ascii="Arial" w:hAnsi="Arial" w:cs="Arial"/>
          <w:sz w:val="22"/>
          <w:szCs w:val="22"/>
        </w:rPr>
        <w:t xml:space="preserve"> that target different regions in the Pin1 mRNA were tested and two </w:t>
      </w:r>
      <w:proofErr w:type="spellStart"/>
      <w:r w:rsidRPr="0027410F">
        <w:rPr>
          <w:rFonts w:ascii="Arial" w:hAnsi="Arial" w:cs="Arial"/>
          <w:sz w:val="22"/>
          <w:szCs w:val="22"/>
        </w:rPr>
        <w:t>shRNAs</w:t>
      </w:r>
      <w:proofErr w:type="spellEnd"/>
      <w:r w:rsidRPr="0027410F">
        <w:rPr>
          <w:rFonts w:ascii="Arial" w:hAnsi="Arial" w:cs="Arial"/>
          <w:sz w:val="22"/>
          <w:szCs w:val="22"/>
        </w:rPr>
        <w:t xml:space="preserve"> (TRCN0000010577, TRCN0000001036) were chosen for generation of lentiviruses based on the efficiency of the knockdown. Lentiviral transduction in cultured MVECs was performed as described previously.</w:t>
      </w:r>
      <w:r w:rsidRPr="0027410F">
        <w:rPr>
          <w:rFonts w:ascii="Arial" w:hAnsi="Arial" w:cs="Arial"/>
          <w:sz w:val="22"/>
          <w:szCs w:val="22"/>
        </w:rPr>
        <w:fldChar w:fldCharType="begin" w:fldLock="1"/>
      </w:r>
      <w:r w:rsidR="0027410F" w:rsidRPr="0027410F">
        <w:rPr>
          <w:rFonts w:ascii="Arial" w:hAnsi="Arial" w:cs="Arial"/>
          <w:sz w:val="22"/>
          <w:szCs w:val="22"/>
        </w:rPr>
        <w:instrText>ADDIN CSL_CITATION {"citationItems":[{"id":"ITEM-1","itemData":{"DOI":"10.1183/13993003.02400-2018","ISSN":"0903-1936","abstract":"Pulmonary arterial hypertension (PAH) is a progressive fatal disease characterised by abnormal remodelling of pulmonary vessels, leading to increased vascular resistance and right ventricle failure. This abnormal vascular remodelling is associated with endothelial cell dysfunction, increased proliferation of smooth muscle cells, inflammation, and impaired bone morphogenetic protein (BMP) signalling. Orphan nuclear receptor Nur77 is a key regulator of proliferation and inflammation in vascular cells, but its role in the impaired BMP signaling and vascular remodelling in PAH is unknown.We hypothesised that activation of Nur77 by 6-mercaptopurine would improve the PAH by inhibiting endothelial cell dysfunction and vascular remodelling.Nur77 expression is decreased in cultured pulmonary microvascular endothelial cells (MVECs) and lungs of PAH patients. Nur77 significantly increased BMP signaling and strongly decreased proliferation and inflammation in MVECs. In addition, conditioned medium from PAH MVECs overexpressing Nur77 inhibited the growth of healthy smooth muscle cells. Pharmacological activation of Nur77 by 6-mercaptopurine markedly restored MVEC function by normalising proliferation, inflammation and BMP signaling. Finally, 6-mercaptopurine prevented and reversed abnormal vascular remodelling and right ventricle hypertrophy in the sugen-hypoxia rat model of severe angioproliferative PAH.Our data demonstrate that Nur77 is a critical modulator in PAH by inhibiting vascular remodelling and increasing BMP signalling, and activation of Nur77 could be a promising option for the treatment of PAH.","author":[{"dropping-particle":"","family":"Kurakula","given":"Kondababu","non-dropping-particle":"","parse-names":false,"suffix":""},{"dropping-particle":"","family":"Sun","given":"Xiao-Qing","non-dropping-particle":"","parse-names":false,"suffix":""},{"dropping-particle":"","family":"Happé","given":"Chris","non-dropping-particle":"","parse-names":false,"suffix":""},{"dropping-particle":"","family":"Silva Goncalves Bos","given":"Denielli","non-dropping-particle":"da","parse-names":false,"suffix":""},{"dropping-particle":"","family":"Szulcek","given":"Robert","non-dropping-particle":"","parse-names":false,"suffix":""},{"dropping-particle":"","family":"Schalij","given":"Ingrid","non-dropping-particle":"","parse-names":false,"suffix":""},{"dropping-particle":"","family":"Wiesmeijer","given":"Karien C.","non-dropping-particle":"","parse-names":false,"suffix":""},{"dropping-particle":"","family":"Lodder","given":"Kirsten","non-dropping-particle":"","parse-names":false,"suffix":""},{"dropping-particle":"","family":"Tu","given":"Ly","non-dropping-particle":"","parse-names":false,"suffix":""},{"dropping-particle":"","family":"Guignabert","given":"Christophe","non-dropping-particle":"","parse-names":false,"suffix":""},{"dropping-particle":"","family":"Vries","given":"Carlie J. M.","non-dropping-particle":"de","parse-names":false,"suffix":""},{"dropping-particle":"","family":"Man","given":"Frances S.","non-dropping-particle":"de","parse-names":false,"suffix":""},{"dropping-particle":"","family":"Noordegraaf","given":"Anton Vonk","non-dropping-particle":"","parse-names":false,"suffix":""},{"dropping-particle":"","family":"Dijke","given":"Peter","non-dropping-particle":"ten","parse-names":false,"suffix":""},{"dropping-particle":"","family":"Goumans","given":"Marie-José","non-dropping-particle":"","parse-names":false,"suffix":""},{"dropping-particle":"","family":"Bogaard","given":"Harm Jan","non-dropping-particle":"","parse-names":false,"suffix":""}],"container-title":"European Respiratory Journal","id":"ITEM-1","issue":"June 2019","issued":{"date-parts":[["2019"]]},"page":"1802400","title":"Prevention of progression of pulmonary hypertension by the Nur77 agonist 6-mercaptopurine: role of BMP signalling Kondababu","type":"article-journal"},"uris":["http://www.mendeley.com/documents/?uuid=e6732b22-8672-4cc5-8a2b-f5a54ada4380"]}],"mendeley":{"formattedCitation":"[1]","plainTextFormattedCitation":"[1]","previouslyFormattedCitation":"[1]"},"properties":{"noteIndex":0},"schema":"https://github.com/citation-style-language/schema/raw/master/csl-citation.json"}</w:instrText>
      </w:r>
      <w:r w:rsidRPr="0027410F">
        <w:rPr>
          <w:rFonts w:ascii="Arial" w:hAnsi="Arial" w:cs="Arial"/>
          <w:sz w:val="22"/>
          <w:szCs w:val="22"/>
        </w:rPr>
        <w:fldChar w:fldCharType="separate"/>
      </w:r>
      <w:r w:rsidR="001E6AAB" w:rsidRPr="0027410F">
        <w:rPr>
          <w:rFonts w:ascii="Arial" w:hAnsi="Arial" w:cs="Arial"/>
          <w:noProof/>
          <w:sz w:val="22"/>
          <w:szCs w:val="22"/>
        </w:rPr>
        <w:t>[1]</w:t>
      </w:r>
      <w:r w:rsidRPr="0027410F">
        <w:rPr>
          <w:rFonts w:ascii="Arial" w:hAnsi="Arial" w:cs="Arial"/>
          <w:sz w:val="22"/>
          <w:szCs w:val="22"/>
        </w:rPr>
        <w:fldChar w:fldCharType="end"/>
      </w:r>
      <w:r w:rsidRPr="0027410F">
        <w:rPr>
          <w:rFonts w:ascii="Arial" w:hAnsi="Arial" w:cs="Arial"/>
          <w:sz w:val="22"/>
          <w:szCs w:val="22"/>
        </w:rPr>
        <w:t xml:space="preserve"> Knockdown efficiency was determined by </w:t>
      </w:r>
      <w:proofErr w:type="spellStart"/>
      <w:r w:rsidRPr="0027410F">
        <w:rPr>
          <w:rFonts w:ascii="Arial" w:hAnsi="Arial" w:cs="Arial"/>
          <w:sz w:val="22"/>
          <w:szCs w:val="22"/>
        </w:rPr>
        <w:t>qRT</w:t>
      </w:r>
      <w:proofErr w:type="spellEnd"/>
      <w:r w:rsidRPr="0027410F">
        <w:rPr>
          <w:rFonts w:ascii="Arial" w:hAnsi="Arial" w:cs="Arial"/>
          <w:sz w:val="22"/>
          <w:szCs w:val="22"/>
        </w:rPr>
        <w:t>-PCR and western blot.</w:t>
      </w:r>
    </w:p>
    <w:p w14:paraId="1A8091CB" w14:textId="77777777" w:rsidR="000D2EAA" w:rsidRPr="0027410F" w:rsidRDefault="000D2EAA" w:rsidP="0076761F">
      <w:pPr>
        <w:pStyle w:val="Paragraph"/>
        <w:spacing w:line="480" w:lineRule="auto"/>
        <w:ind w:firstLine="0"/>
        <w:rPr>
          <w:rFonts w:ascii="Arial" w:hAnsi="Arial" w:cs="Arial"/>
          <w:b/>
          <w:bCs/>
          <w:sz w:val="22"/>
          <w:szCs w:val="22"/>
        </w:rPr>
      </w:pPr>
      <w:r w:rsidRPr="0027410F">
        <w:rPr>
          <w:rFonts w:ascii="Arial" w:hAnsi="Arial" w:cs="Arial"/>
          <w:b/>
          <w:bCs/>
          <w:sz w:val="22"/>
          <w:szCs w:val="22"/>
        </w:rPr>
        <w:t xml:space="preserve">Juglone treatment in the </w:t>
      </w:r>
      <w:proofErr w:type="spellStart"/>
      <w:r w:rsidRPr="0027410F">
        <w:rPr>
          <w:rFonts w:ascii="Arial" w:hAnsi="Arial" w:cs="Arial"/>
          <w:b/>
          <w:bCs/>
          <w:sz w:val="22"/>
          <w:szCs w:val="22"/>
        </w:rPr>
        <w:t>MCT+Shunt</w:t>
      </w:r>
      <w:proofErr w:type="spellEnd"/>
      <w:r w:rsidRPr="0027410F">
        <w:rPr>
          <w:rFonts w:ascii="Arial" w:hAnsi="Arial" w:cs="Arial"/>
          <w:b/>
          <w:bCs/>
          <w:sz w:val="22"/>
          <w:szCs w:val="22"/>
        </w:rPr>
        <w:t xml:space="preserve"> rat PAH model</w:t>
      </w:r>
    </w:p>
    <w:p w14:paraId="5165E865" w14:textId="02CDCD99"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sz w:val="22"/>
          <w:szCs w:val="22"/>
        </w:rPr>
        <w:t>All animal experiments were approved by the Dutch Central Ethical Committee for Animal Experiments and the Animal Care Committee of the University Medical Center Groningen and were carried out in compliance with guidelines issued by the Dutch government (permit numbers AVD105002015129 and AVD105002015134). All experiments were conducted according to published standards for preclinical and translational research in PAH.</w:t>
      </w:r>
      <w:r w:rsidRPr="0027410F">
        <w:rPr>
          <w:rFonts w:ascii="Arial" w:hAnsi="Arial" w:cs="Arial"/>
          <w:sz w:val="22"/>
          <w:szCs w:val="22"/>
        </w:rPr>
        <w:fldChar w:fldCharType="begin" w:fldLock="1"/>
      </w:r>
      <w:r w:rsidR="0027410F" w:rsidRPr="0027410F">
        <w:rPr>
          <w:rFonts w:ascii="Arial" w:hAnsi="Arial" w:cs="Arial"/>
          <w:sz w:val="22"/>
          <w:szCs w:val="22"/>
        </w:rPr>
        <w:instrText>ADDIN CSL_CITATION {"citationItems":[{"id":"ITEM-1","itemData":{"DOI":"10.1161/CIRCRESAHA.117.312579","ISSN":"1524-4571 (Electronic)","PMID":"29599278","abstract":"Despite advances in our understanding of the pathophysiology and the management of pulmonary arterial hypertension (PAH), significant therapeutic gaps remain for this devastating disease. Yet, few innovative therapies beyond the traditional pathways of endothelial dysfunction have reached clinical trial phases in PAH. Although there are inherent limitations of the currently available models of PAH, the leaky pipeline of innovative therapies relates, in part, to flawed preclinical research methodology, including lack of rigour in trial design, incomplete invasive hemodynamic assessment, and lack of careful translational studies that replicate randomized controlled trials in humans with attention to adverse effects and benefits. Rigorous methodology should include the use of prespecified eligibility criteria, sample sizes that permit valid statistical analysis, randomization, blinded assessment of standardized outcomes, and transparent reporting of results. Better design and implementation of preclinical studies can minimize inherent flaws in the models of PAH, reduce the risk of bias, and enhance external validity and our ability to distinguish truly promising therapies form many false-positive or overstated leads. Ideally, preclinical studies should use advanced imaging, study several preclinical pulmonary hypertension models, or correlate rodent and human findings and consider the fate of the right ventricle, which is the major determinant of prognosis in human PAH. Although these principles are widely endorsed, empirical evidence suggests that such rigor is often lacking in pulmonary hypertension preclinical research. The present article discusses the pitfalls in the design of preclinical pulmonary hypertension trials and discusses opportunities to create preclinical trials with improved predictive value in guiding early-phase drug development in patients with PAH, which will need support not only from researchers, peer reviewers, and editors but also from academic institutions, funding agencies, and animal ethics authorities.","author":[{"dropping-particle":"","family":"Provencher","given":"Steeve","non-dropping-particle":"","parse-names":false,"suffix":""},{"dropping-particle":"","family":"Archer","given":"Stephen L","non-dropping-particle":"","parse-names":false,"suffix":""},{"dropping-particle":"","family":"Ramirez","given":"F Daniel","non-dropping-particle":"","parse-names":false,"suffix":""},{"dropping-particle":"","family":"Hibbert","given":"Benjamin","non-dropping-particle":"","parse-names":false,"suffix":""},{"dropping-particle":"","family":"Paulin","given":"Roxane","non-dropping-particle":"","parse-names":false,"suffix":""},{"dropping-particle":"","family":"Boucherat","given":"Olivier","non-dropping-particle":"","parse-names":false,"suffix":""},{"dropping-particle":"","family":"Lacasse","given":"Yves","non-dropping-particle":"","parse-names":false,"suffix":""},{"dropping-particle":"","family":"Bonnet","given":"Sebastien","non-dropping-particle":"","parse-names":false,"suffix":""}],"container-title":"Circulation research","id":"ITEM-1","issue":"7","issued":{"date-parts":[["2018","3"]]},"language":"eng","page":"1021-1032","publisher-place":"United States","title":"Standards and Methodological Rigor in Pulmonary Arterial Hypertension Preclinical and Translational Research.","type":"article-journal","volume":"122"},"uris":["http://www.mendeley.com/documents/?uuid=b93cdc9f-0d4e-45d0-a2c9-d0e66ba439b3"]}],"mendeley":{"formattedCitation":"[6]","plainTextFormattedCitation":"[6]","previouslyFormattedCitation":"[6]"},"properties":{"noteIndex":0},"schema":"https://github.com/citation-style-language/schema/raw/master/csl-citation.json"}</w:instrText>
      </w:r>
      <w:r w:rsidRPr="0027410F">
        <w:rPr>
          <w:rFonts w:ascii="Arial" w:hAnsi="Arial" w:cs="Arial"/>
          <w:sz w:val="22"/>
          <w:szCs w:val="22"/>
        </w:rPr>
        <w:fldChar w:fldCharType="separate"/>
      </w:r>
      <w:r w:rsidR="001E6AAB" w:rsidRPr="0027410F">
        <w:rPr>
          <w:rFonts w:ascii="Arial" w:hAnsi="Arial" w:cs="Arial"/>
          <w:noProof/>
          <w:sz w:val="22"/>
          <w:szCs w:val="22"/>
        </w:rPr>
        <w:t>[6]</w:t>
      </w:r>
      <w:r w:rsidRPr="0027410F">
        <w:rPr>
          <w:rFonts w:ascii="Arial" w:hAnsi="Arial" w:cs="Arial"/>
          <w:sz w:val="22"/>
          <w:szCs w:val="22"/>
        </w:rPr>
        <w:fldChar w:fldCharType="end"/>
      </w:r>
      <w:r w:rsidRPr="0027410F">
        <w:rPr>
          <w:rFonts w:ascii="Arial" w:hAnsi="Arial" w:cs="Arial"/>
          <w:sz w:val="22"/>
          <w:szCs w:val="22"/>
        </w:rPr>
        <w:t xml:space="preserve"> The </w:t>
      </w:r>
      <w:proofErr w:type="spellStart"/>
      <w:r w:rsidRPr="0027410F">
        <w:rPr>
          <w:rFonts w:ascii="Arial" w:hAnsi="Arial" w:cs="Arial"/>
          <w:sz w:val="22"/>
          <w:szCs w:val="22"/>
        </w:rPr>
        <w:t>MCT+Shunt</w:t>
      </w:r>
      <w:proofErr w:type="spellEnd"/>
      <w:r w:rsidRPr="0027410F">
        <w:rPr>
          <w:rFonts w:ascii="Arial" w:hAnsi="Arial" w:cs="Arial"/>
          <w:sz w:val="22"/>
          <w:szCs w:val="22"/>
        </w:rPr>
        <w:t xml:space="preserve"> rat PAH model was used to study pulmonary vascular remodeling and was performed as described previously.</w:t>
      </w:r>
      <w:r w:rsidRPr="0027410F">
        <w:rPr>
          <w:rFonts w:ascii="Arial" w:hAnsi="Arial" w:cs="Arial"/>
          <w:sz w:val="22"/>
          <w:szCs w:val="22"/>
        </w:rPr>
        <w:fldChar w:fldCharType="begin" w:fldLock="1"/>
      </w:r>
      <w:r w:rsidR="0027410F" w:rsidRPr="0027410F">
        <w:rPr>
          <w:rFonts w:ascii="Arial" w:hAnsi="Arial" w:cs="Arial"/>
          <w:sz w:val="22"/>
          <w:szCs w:val="22"/>
        </w:rPr>
        <w:instrText>ADDIN CSL_CITATION {"citationItems":[{"id":"ITEM-1","itemData":{"DOI":"10.3791/55065","ISSN":"1940-087X","PMID":"28287603","abstract":"© 2017 Journal of Visualized Experiments.In this protocol, PAH is induced by combining a 60 mg/kg monocrotalin (MCT) injection with increased pulmonary blood flow through an aorto-caval shunt (MCT+Flow). The shunt is created by inserting an 18-G needle from the abdominal aorta into the adjacent caval vein. Increased pulmonary flow has been demonstrated as an essential trigger for a severe form of PAH with distinct phases of disease progression, characterized by early medial hypertrophy followed by neointimal lesions and the progressive occlusion of the small pulmonary vessels. To measure the right heart and pulmonary hemodynamics in this model, right heart catheterization is performed by inserting a rigid cannula containing a flexible ball-tip catheter via the right jugular vein into the right ventricle. The catheter is then advanced into the main and the more distal pulmonary arteries. The histopathology of the pulmonary vasculature is assessed qualitatively, by scoring the pre- and intra-acinar vessels on the degree of muscularization and the presence of a neointima, and quantitatively, by measuring the wall thickness, the wall-lumen ratios, and the occlusion score.","author":[{"dropping-particle":"","family":"Feen","given":"Diederik E.","non-dropping-particle":"van der","parse-names":false,"suffix":""},{"dropping-particle":"","family":"Weij","given":"Michel","non-dropping-particle":"","parse-names":false,"suffix":""},{"dropping-particle":"","family":"Smit-van Oosten","given":"Annemieke","non-dropping-particle":"","parse-names":false,"suffix":""},{"dropping-particle":"","family":"Jorna","given":"Lysanne M.","non-dropping-particle":"","parse-names":false,"suffix":""},{"dropping-particle":"","family":"Hagdorn","given":"Quint A.J.","non-dropping-particle":"","parse-names":false,"suffix":""},{"dropping-particle":"","family":"Bartelds","given":"Beatrijs","non-dropping-particle":"","parse-names":false,"suffix":""},{"dropping-particle":"","family":"Berger","given":"Rolf M.F.","non-dropping-particle":"","parse-names":false,"suffix":""}],"container-title":"Journal of Visualized Experiments","id":"ITEM-1","issue":"120","issued":{"date-parts":[["2017"]]},"page":"1-11","title":"Shunt Surgery, Right Heart Catheterization, and Vascular Morphometry in a Rat Model for Flow-induced Pulmonary Arterial Hypertension","type":"article-journal"},"uris":["http://www.mendeley.com/documents/?uuid=7f5806a0-0dc6-4453-9e1a-79b9fbc41a25"]}],"mendeley":{"formattedCitation":"[7]","plainTextFormattedCitation":"[7]","previouslyFormattedCitation":"[7]"},"properties":{"noteIndex":0},"schema":"https://github.com/citation-style-language/schema/raw/master/csl-citation.json"}</w:instrText>
      </w:r>
      <w:r w:rsidRPr="0027410F">
        <w:rPr>
          <w:rFonts w:ascii="Arial" w:hAnsi="Arial" w:cs="Arial"/>
          <w:sz w:val="22"/>
          <w:szCs w:val="22"/>
        </w:rPr>
        <w:fldChar w:fldCharType="separate"/>
      </w:r>
      <w:r w:rsidR="001E6AAB" w:rsidRPr="0027410F">
        <w:rPr>
          <w:rFonts w:ascii="Arial" w:hAnsi="Arial" w:cs="Arial"/>
          <w:noProof/>
          <w:sz w:val="22"/>
          <w:szCs w:val="22"/>
        </w:rPr>
        <w:t>[7]</w:t>
      </w:r>
      <w:r w:rsidRPr="0027410F">
        <w:rPr>
          <w:rFonts w:ascii="Arial" w:hAnsi="Arial" w:cs="Arial"/>
          <w:sz w:val="22"/>
          <w:szCs w:val="22"/>
        </w:rPr>
        <w:fldChar w:fldCharType="end"/>
      </w:r>
      <w:r w:rsidRPr="0027410F">
        <w:rPr>
          <w:rFonts w:ascii="Arial" w:hAnsi="Arial" w:cs="Arial"/>
          <w:sz w:val="22"/>
          <w:szCs w:val="22"/>
        </w:rPr>
        <w:t xml:space="preserve"> Briefly, 25 Wistar male rats (±200g; Charles River, Fr) were  kept in a 12-hour </w:t>
      </w:r>
      <w:proofErr w:type="spellStart"/>
      <w:r w:rsidRPr="0027410F">
        <w:rPr>
          <w:rFonts w:ascii="Arial" w:hAnsi="Arial" w:cs="Arial"/>
          <w:sz w:val="22"/>
          <w:szCs w:val="22"/>
        </w:rPr>
        <w:t>light</w:t>
      </w:r>
      <w:r w:rsidRPr="0027410F">
        <w:rPr>
          <w:rFonts w:ascii="Cambria Math" w:hAnsi="Cambria Math" w:cs="Cambria Math"/>
          <w:sz w:val="22"/>
          <w:szCs w:val="22"/>
        </w:rPr>
        <w:t>∶</w:t>
      </w:r>
      <w:r w:rsidRPr="0027410F">
        <w:rPr>
          <w:rFonts w:ascii="Arial" w:hAnsi="Arial" w:cs="Arial"/>
          <w:sz w:val="22"/>
          <w:szCs w:val="22"/>
        </w:rPr>
        <w:t>dark</w:t>
      </w:r>
      <w:proofErr w:type="spellEnd"/>
      <w:r w:rsidRPr="0027410F">
        <w:rPr>
          <w:rFonts w:ascii="Arial" w:hAnsi="Arial" w:cs="Arial"/>
          <w:sz w:val="22"/>
          <w:szCs w:val="22"/>
        </w:rPr>
        <w:t xml:space="preserve"> cycle and received standard rodent food and water ad lib. Flow-induced PAH was induced by a subcutaneous 60 mg/kg injection of monocrotaline (MCT, Sigma) at T0 days, followed at T7 by aorto-</w:t>
      </w:r>
      <w:proofErr w:type="spellStart"/>
      <w:r w:rsidRPr="0027410F">
        <w:rPr>
          <w:rFonts w:ascii="Arial" w:hAnsi="Arial" w:cs="Arial"/>
          <w:sz w:val="22"/>
          <w:szCs w:val="22"/>
        </w:rPr>
        <w:t>caval</w:t>
      </w:r>
      <w:proofErr w:type="spellEnd"/>
      <w:r w:rsidRPr="0027410F">
        <w:rPr>
          <w:rFonts w:ascii="Arial" w:hAnsi="Arial" w:cs="Arial"/>
          <w:sz w:val="22"/>
          <w:szCs w:val="22"/>
        </w:rPr>
        <w:t xml:space="preserve"> shunt surgery, which approximately doubles pulmonary blood flow. </w:t>
      </w:r>
      <w:proofErr w:type="spellStart"/>
      <w:r w:rsidRPr="0027410F">
        <w:rPr>
          <w:rFonts w:ascii="Arial" w:hAnsi="Arial" w:cs="Arial"/>
          <w:sz w:val="22"/>
          <w:szCs w:val="22"/>
        </w:rPr>
        <w:t>MCT+Shunt</w:t>
      </w:r>
      <w:proofErr w:type="spellEnd"/>
      <w:r w:rsidRPr="0027410F">
        <w:rPr>
          <w:rFonts w:ascii="Arial" w:hAnsi="Arial" w:cs="Arial"/>
          <w:sz w:val="22"/>
          <w:szCs w:val="22"/>
        </w:rPr>
        <w:t xml:space="preserve"> (MS) induces </w:t>
      </w:r>
      <w:proofErr w:type="spellStart"/>
      <w:r w:rsidRPr="0027410F">
        <w:rPr>
          <w:rFonts w:ascii="Arial" w:hAnsi="Arial" w:cs="Arial"/>
          <w:sz w:val="22"/>
          <w:szCs w:val="22"/>
        </w:rPr>
        <w:t>neomuscularization</w:t>
      </w:r>
      <w:proofErr w:type="spellEnd"/>
      <w:r w:rsidRPr="0027410F">
        <w:rPr>
          <w:rFonts w:ascii="Arial" w:hAnsi="Arial" w:cs="Arial"/>
          <w:sz w:val="22"/>
          <w:szCs w:val="22"/>
        </w:rPr>
        <w:t xml:space="preserve"> and medial hypertrophy from T7 to T14, neointimal lesions from T14 to T21 and RV failure from T21 to </w:t>
      </w:r>
      <w:r w:rsidRPr="0027410F">
        <w:rPr>
          <w:rFonts w:ascii="Arial" w:hAnsi="Arial" w:cs="Arial"/>
          <w:sz w:val="22"/>
          <w:szCs w:val="22"/>
        </w:rPr>
        <w:lastRenderedPageBreak/>
        <w:t xml:space="preserve">T28. Rats were randomly assigned to 3 groups: 1) </w:t>
      </w:r>
      <w:proofErr w:type="spellStart"/>
      <w:r w:rsidRPr="0027410F">
        <w:rPr>
          <w:rFonts w:ascii="Arial" w:hAnsi="Arial" w:cs="Arial"/>
          <w:sz w:val="22"/>
          <w:szCs w:val="22"/>
        </w:rPr>
        <w:t>MCT+Shunt</w:t>
      </w:r>
      <w:proofErr w:type="spellEnd"/>
      <w:r w:rsidRPr="0027410F">
        <w:rPr>
          <w:rFonts w:ascii="Arial" w:hAnsi="Arial" w:cs="Arial"/>
          <w:sz w:val="22"/>
          <w:szCs w:val="22"/>
        </w:rPr>
        <w:t xml:space="preserve"> sacrificed at T21 (MS21) as a baseline group; 2) treatment with vehicle (5% DMSO in drinking water) from T21, with sacrifice at T35 (MS35Veh); 3) treatment from T21 with 5mg/kg juglone in vehicle (5%DMSO in drinking water) with sacrifice at T35 (MS35Juglone). Echocardiography was also performed before the </w:t>
      </w:r>
      <w:proofErr w:type="gramStart"/>
      <w:r w:rsidRPr="0027410F">
        <w:rPr>
          <w:rFonts w:ascii="Arial" w:hAnsi="Arial" w:cs="Arial"/>
          <w:sz w:val="22"/>
          <w:szCs w:val="22"/>
        </w:rPr>
        <w:t>treatment(</w:t>
      </w:r>
      <w:proofErr w:type="gramEnd"/>
      <w:r w:rsidRPr="0027410F">
        <w:rPr>
          <w:rFonts w:ascii="Arial" w:hAnsi="Arial" w:cs="Arial"/>
          <w:sz w:val="22"/>
          <w:szCs w:val="22"/>
        </w:rPr>
        <w:t>at day 21) started to determine baseline cardiac function. At the end of the study period, before sacrifice the animals, rats were anesthetized and subjected to hemodynamic evaluation by echocardiography and right heart catheterization. The lungs and heart were collected for further analysis. All measurements and analyses were done in a blinded manner.</w:t>
      </w:r>
    </w:p>
    <w:p w14:paraId="4D9147C0" w14:textId="77777777" w:rsidR="000D2EAA" w:rsidRPr="0027410F" w:rsidRDefault="000D2EAA" w:rsidP="0076761F">
      <w:pPr>
        <w:pStyle w:val="Paragraph"/>
        <w:spacing w:line="480" w:lineRule="auto"/>
        <w:ind w:firstLine="0"/>
        <w:rPr>
          <w:rFonts w:ascii="Arial" w:hAnsi="Arial" w:cs="Arial"/>
          <w:b/>
          <w:bCs/>
          <w:sz w:val="22"/>
          <w:szCs w:val="22"/>
        </w:rPr>
      </w:pPr>
      <w:r w:rsidRPr="0027410F">
        <w:rPr>
          <w:rFonts w:ascii="Arial" w:hAnsi="Arial" w:cs="Arial"/>
          <w:b/>
          <w:bCs/>
          <w:sz w:val="22"/>
          <w:szCs w:val="22"/>
        </w:rPr>
        <w:t>Juglone treatment in the PAB rat RV pressure load model</w:t>
      </w:r>
      <w:r w:rsidRPr="0027410F">
        <w:rPr>
          <w:rFonts w:ascii="Arial" w:hAnsi="Arial" w:cs="Arial"/>
          <w:b/>
          <w:bCs/>
          <w:sz w:val="22"/>
          <w:szCs w:val="22"/>
        </w:rPr>
        <w:tab/>
      </w:r>
    </w:p>
    <w:p w14:paraId="597A8184" w14:textId="77777777"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sz w:val="22"/>
          <w:szCs w:val="22"/>
        </w:rPr>
        <w:t xml:space="preserve">In models of PAH, it is difficult to dissect whether effects of therapy on the RV result from a direct therapeutic effect on RV myocardium, or an indirect effect caused by modulated afterload. Therefore, to assess direct myocardial effects of juglone in this setting, isolated RV pressure load was created in 16 </w:t>
      </w:r>
      <w:proofErr w:type="gramStart"/>
      <w:r w:rsidRPr="0027410F">
        <w:rPr>
          <w:rFonts w:ascii="Arial" w:hAnsi="Arial" w:cs="Arial"/>
          <w:sz w:val="22"/>
          <w:szCs w:val="22"/>
        </w:rPr>
        <w:t>adult</w:t>
      </w:r>
      <w:proofErr w:type="gramEnd"/>
      <w:r w:rsidRPr="0027410F">
        <w:rPr>
          <w:rFonts w:ascii="Arial" w:hAnsi="Arial" w:cs="Arial"/>
          <w:sz w:val="22"/>
          <w:szCs w:val="22"/>
        </w:rPr>
        <w:t xml:space="preserve"> male Wistar rats (±200g, Charles River, Fr) by main pulmonary artery banding (PAB) surgery at T0, with a tight constriction at the size of an 18G needle. One rat died within the first hour after surgery. One rat was excluded due to a non-significant degree of pressure load, defined as a minimum systolic PAB gradient of 40mmHg on echocardiography at day 14. All rats showed to be subjected to effective RV pressure load (defined as a minimum systolic pressure difference of 40mmHg). PAB gradient was assessed by means of echocardiography at T14, where after rats were grouped into two groups with equal mean PAB gradient. Rats were randomly assigned to 1) treatment with vehicle (5% DMSO in drinking water) from T28 with sacrifice at T56 (PABveh56), or 2) treatment with 5mg/kg Juglone in vehicle (5% DMSO in drinking water) from T28 with sacrifice at T56. Before sacrifice, all rats underwent </w:t>
      </w:r>
      <w:proofErr w:type="spellStart"/>
      <w:r w:rsidRPr="0027410F">
        <w:rPr>
          <w:rFonts w:ascii="Arial" w:hAnsi="Arial" w:cs="Arial"/>
          <w:sz w:val="22"/>
          <w:szCs w:val="22"/>
        </w:rPr>
        <w:t>haemodynamic</w:t>
      </w:r>
      <w:proofErr w:type="spellEnd"/>
      <w:r w:rsidRPr="0027410F">
        <w:rPr>
          <w:rFonts w:ascii="Arial" w:hAnsi="Arial" w:cs="Arial"/>
          <w:sz w:val="22"/>
          <w:szCs w:val="22"/>
        </w:rPr>
        <w:t xml:space="preserve"> evaluation by echocardiography, after which lungs and hearts were collected for histopathologic evaluation. To assess the extent of RV hypertrophy, the RV free wall was separated from the left ventricle (LV) and ventricular septum. Wet weights of the RV, free LV and septum were </w:t>
      </w:r>
      <w:r w:rsidRPr="0027410F">
        <w:rPr>
          <w:rFonts w:ascii="Arial" w:hAnsi="Arial" w:cs="Arial"/>
          <w:sz w:val="22"/>
          <w:szCs w:val="22"/>
        </w:rPr>
        <w:lastRenderedPageBreak/>
        <w:t xml:space="preserve">determined separately, and the ratio of RV weight to LV plus interventricular septum weight (Fulton index: RV/[LV+IVS]) was calculated for RV hypertrophy. For further analysis of RV dimensions, 5-µm-thick paraffin sections of cardiac tissues were stained with </w:t>
      </w:r>
      <w:proofErr w:type="spellStart"/>
      <w:r w:rsidRPr="0027410F">
        <w:rPr>
          <w:rFonts w:ascii="Arial" w:hAnsi="Arial" w:cs="Arial"/>
          <w:sz w:val="22"/>
          <w:szCs w:val="22"/>
        </w:rPr>
        <w:t>haematoxylin</w:t>
      </w:r>
      <w:proofErr w:type="spellEnd"/>
      <w:r w:rsidRPr="0027410F">
        <w:rPr>
          <w:rFonts w:ascii="Arial" w:hAnsi="Arial" w:cs="Arial"/>
          <w:sz w:val="22"/>
          <w:szCs w:val="22"/>
        </w:rPr>
        <w:t xml:space="preserve"> and eosin, and a mean transversal cardiomyocyte cross-sectional area (CSA) was assessed. </w:t>
      </w:r>
    </w:p>
    <w:p w14:paraId="4BC78CF4" w14:textId="77777777" w:rsidR="000D2EAA" w:rsidRPr="0027410F" w:rsidRDefault="000D2EAA" w:rsidP="0076761F">
      <w:pPr>
        <w:pStyle w:val="Paragraph"/>
        <w:spacing w:line="480" w:lineRule="auto"/>
        <w:ind w:firstLine="0"/>
        <w:rPr>
          <w:rFonts w:ascii="Arial" w:hAnsi="Arial" w:cs="Arial"/>
          <w:b/>
          <w:bCs/>
          <w:sz w:val="22"/>
          <w:szCs w:val="22"/>
        </w:rPr>
      </w:pPr>
      <w:r w:rsidRPr="0027410F">
        <w:rPr>
          <w:rFonts w:ascii="Arial" w:hAnsi="Arial" w:cs="Arial"/>
          <w:b/>
          <w:bCs/>
          <w:sz w:val="22"/>
          <w:szCs w:val="22"/>
        </w:rPr>
        <w:t>Quantitative pulmonary vascular morphometry</w:t>
      </w:r>
    </w:p>
    <w:p w14:paraId="41774AFA" w14:textId="31C812DA"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sz w:val="22"/>
          <w:szCs w:val="22"/>
        </w:rPr>
        <w:t xml:space="preserve">5 µm paraffin-embedded lung sections were stained according to the </w:t>
      </w:r>
      <w:proofErr w:type="spellStart"/>
      <w:r w:rsidRPr="0027410F">
        <w:rPr>
          <w:rFonts w:ascii="Arial" w:hAnsi="Arial" w:cs="Arial"/>
          <w:sz w:val="22"/>
          <w:szCs w:val="22"/>
        </w:rPr>
        <w:t>Elastica</w:t>
      </w:r>
      <w:proofErr w:type="spellEnd"/>
      <w:r w:rsidRPr="0027410F">
        <w:rPr>
          <w:rFonts w:ascii="Arial" w:hAnsi="Arial" w:cs="Arial"/>
          <w:sz w:val="22"/>
          <w:szCs w:val="22"/>
        </w:rPr>
        <w:t xml:space="preserve">-Van </w:t>
      </w:r>
      <w:proofErr w:type="spellStart"/>
      <w:r w:rsidRPr="0027410F">
        <w:rPr>
          <w:rFonts w:ascii="Arial" w:hAnsi="Arial" w:cs="Arial"/>
          <w:sz w:val="22"/>
          <w:szCs w:val="22"/>
        </w:rPr>
        <w:t>Gieson</w:t>
      </w:r>
      <w:proofErr w:type="spellEnd"/>
      <w:r w:rsidRPr="0027410F">
        <w:rPr>
          <w:rFonts w:ascii="Arial" w:hAnsi="Arial" w:cs="Arial"/>
          <w:sz w:val="22"/>
          <w:szCs w:val="22"/>
        </w:rPr>
        <w:t xml:space="preserve"> protocol and scanned on 40x magnification (Hamamatsu </w:t>
      </w:r>
      <w:proofErr w:type="spellStart"/>
      <w:r w:rsidRPr="0027410F">
        <w:rPr>
          <w:rFonts w:ascii="Arial" w:hAnsi="Arial" w:cs="Arial"/>
          <w:sz w:val="22"/>
          <w:szCs w:val="22"/>
        </w:rPr>
        <w:t>nanoviewer</w:t>
      </w:r>
      <w:proofErr w:type="spellEnd"/>
      <w:r w:rsidRPr="0027410F">
        <w:rPr>
          <w:rFonts w:ascii="Arial" w:hAnsi="Arial" w:cs="Arial"/>
          <w:sz w:val="22"/>
          <w:szCs w:val="22"/>
        </w:rPr>
        <w:t>, Japan). All slides were masked, blinding the investigator for the experimental group. 40 vessels (diameter &lt;50 µm) per lung were analyzed according to a standardized pulmonary vascular morphometry protocol, described in detail previously.</w:t>
      </w:r>
      <w:r w:rsidRPr="0027410F">
        <w:rPr>
          <w:rFonts w:ascii="Arial" w:hAnsi="Arial" w:cs="Arial"/>
          <w:sz w:val="22"/>
          <w:szCs w:val="22"/>
        </w:rPr>
        <w:fldChar w:fldCharType="begin" w:fldLock="1"/>
      </w:r>
      <w:r w:rsidR="0027410F" w:rsidRPr="0027410F">
        <w:rPr>
          <w:rFonts w:ascii="Arial" w:hAnsi="Arial" w:cs="Arial"/>
          <w:sz w:val="22"/>
          <w:szCs w:val="22"/>
        </w:rPr>
        <w:instrText>ADDIN CSL_CITATION {"citationItems":[{"id":"ITEM-1","itemData":{"DOI":"10.1164/rccm.201812-2275OC","ISSN":"15354970","abstract":"Rationale: Pulmonary arterial hypertension (PAH) is a degenerative arteriopathy that leads to right ventricular (RV) failure. BRD4 (bromodomain-containing protein 4), a member of the BET (bromodomain and extra-terminal motif) family, has been identified as a critical epigenetic driver for cardiovascular diseases. Objectives: To explore the therapeutic potential inPAHof RVX208, a clinically available BET inhibitor. Methods: Microvascular endothelial cells, smooth muscle cells isolated fromdistal pulmonary arteries of patientswith PAH, rats with Sugen54161hypoxia- ormonocrotaline1shunt-induced PAH, and rats with RV pressure overload induced by pulmonary artery banding were treated with RVX208 in three independent laboratories. Measurements and Main Results: BRD4 is upregulated in the remodeled pulmonary vasculature of patients with PAH, where it regulates FoxM1 and PLK1, proteins implicated in the DNA damage response. RVX208 normalized the hyperproliferative, apoptosisresistant, and inflammatory phenotype of microvascular endothelial cells and smooth muscle cells isolated from patients with PAH. Oral treatment with RVX208 reversed vascular remodeling and improved pulmonary hemodynamics in two independent trials in Sugen54161hypoxia-PAH and in monocrotaline1shunt-PAH. RVX208 could be combined safely with contemporaryPAHstandard of care. RVX208 treatment also supported the pressure-loaded RV in pulmonary artery banding rats. Conclusions: RVX208, a clinically available BET inhibitor, modulates proproliferative, prosurvival, and proinflammatory pathways, potentially through interactions with FoxM1 and PLK1. This reversed the PAH phenotype in isolated PAH microvascular endothelial cells and smooth muscle cells in vitro, and in diversePAH rat models. RVX208 also supported the pressure-loaded RV in vivo. Together, these data support the establishment of a clinical trial with RVX208 in patients with PAH.","author":[{"dropping-particle":"","family":"Feen","given":"Diederik E.","non-dropping-particle":"Van Der","parse-names":false,"suffix":""},{"dropping-particle":"","family":"Kurakula","given":"Kondababu","non-dropping-particle":"","parse-names":false,"suffix":""},{"dropping-particle":"","family":"Tremblay","given":"Eve","non-dropping-particle":"","parse-names":false,"suffix":""},{"dropping-particle":"","family":"Boucherat","given":"Olivier","non-dropping-particle":"","parse-names":false,"suffix":""},{"dropping-particle":"","family":"Bossers","given":"Guido P.L.","non-dropping-particle":"","parse-names":false,"suffix":""},{"dropping-particle":"","family":"Szulcek","given":"Robert","non-dropping-particle":"","parse-names":false,"suffix":""},{"dropping-particle":"","family":"Bourgeois","given":"Alice","non-dropping-particle":"","parse-names":false,"suffix":""},{"dropping-particle":"","family":"Lampron","given":"Marie Claude","non-dropping-particle":"","parse-names":false,"suffix":""},{"dropping-particle":"","family":"Habbout","given":"Karima","non-dropping-particle":"","parse-names":false,"suffix":""},{"dropping-particle":"","family":"Martineau","given":"Sandra","non-dropping-particle":"","parse-names":false,"suffix":""},{"dropping-particle":"","family":"Paulin","given":"Roxane","non-dropping-particle":"","parse-names":false,"suffix":""},{"dropping-particle":"","family":"Kulikowski","given":"Ewelina","non-dropping-particle":"","parse-names":false,"suffix":""},{"dropping-particle":"","family":"Jahagirdar","given":"Ravi","non-dropping-particle":"","parse-names":false,"suffix":""},{"dropping-particle":"","family":"Schalij","given":"Ingrid","non-dropping-particle":"","parse-names":false,"suffix":""},{"dropping-particle":"","family":"Bogaard","given":"Harm Jan","non-dropping-particle":"","parse-names":false,"suffix":""},{"dropping-particle":"","family":"Bartelds","given":"Beatrijs","non-dropping-particle":"","parse-names":false,"suffix":""},{"dropping-particle":"","family":"Provencher","given":"Steeve","non-dropping-particle":"","parse-names":false,"suffix":""},{"dropping-particle":"","family":"Berger","given":"Rolf M.F.","non-dropping-particle":"","parse-names":false,"suffix":""},{"dropping-particle":"","family":"Bonnet","given":"Sébastien","non-dropping-particle":"","parse-names":false,"suffix":""},{"dropping-particle":"","family":"Goumans","given":"Marie José","non-dropping-particle":"","parse-names":false,"suffix":""}],"container-title":"American Journal of Respiratory and Critical Care Medicine","id":"ITEM-1","issue":"7","issued":{"date-parts":[["2019"]]},"page":"910-920","title":"Multicenter preclinical validation of BET inhibition for the treatment of pulmonary arterial hypertension","type":"article-journal","volume":"200"},"uris":["http://www.mendeley.com/documents/?uuid=a5e1b30b-f57f-4d6c-9c54-ceafdcad76c8"]},{"id":"ITEM-2","itemData":{"DOI":"10.3791/55065","ISSN":"1940-087X","PMID":"28287603","abstract":"© 2017 Journal of Visualized Experiments.In this protocol, PAH is induced by combining a 60 mg/kg monocrotalin (MCT) injection with increased pulmonary blood flow through an aorto-caval shunt (MCT+Flow). The shunt is created by inserting an 18-G needle from the abdominal aorta into the adjacent caval vein. Increased pulmonary flow has been demonstrated as an essential trigger for a severe form of PAH with distinct phases of disease progression, characterized by early medial hypertrophy followed by neointimal lesions and the progressive occlusion of the small pulmonary vessels. To measure the right heart and pulmonary hemodynamics in this model, right heart catheterization is performed by inserting a rigid cannula containing a flexible ball-tip catheter via the right jugular vein into the right ventricle. The catheter is then advanced into the main and the more distal pulmonary arteries. The histopathology of the pulmonary vasculature is assessed qualitatively, by scoring the pre- and intra-acinar vessels on the degree of muscularization and the presence of a neointima, and quantitatively, by measuring the wall thickness, the wall-lumen ratios, and the occlusion score.","author":[{"dropping-particle":"","family":"Feen","given":"Diederik E.","non-dropping-particle":"van der","parse-names":false,"suffix":""},{"dropping-particle":"","family":"Weij","given":"Michel","non-dropping-particle":"","parse-names":false,"suffix":""},{"dropping-particle":"","family":"Smit-van Oosten","given":"Annemieke","non-dropping-particle":"","parse-names":false,"suffix":""},{"dropping-particle":"","family":"Jorna","given":"Lysanne M.","non-dropping-particle":"","parse-names":false,"suffix":""},{"dropping-particle":"","family":"Hagdorn","given":"Quint A.J.","non-dropping-particle":"","parse-names":false,"suffix":""},{"dropping-particle":"","family":"Bartelds","given":"Beatrijs","non-dropping-particle":"","parse-names":false,"suffix":""},{"dropping-particle":"","family":"Berger","given":"Rolf M.F.","non-dropping-particle":"","parse-names":false,"suffix":""}],"container-title":"Journal of Visualized Experiments","id":"ITEM-2","issue":"120","issued":{"date-parts":[["2017"]]},"page":"1-11","title":"Shunt Surgery, Right Heart Catheterization, and Vascular Morphometry in a Rat Model for Flow-induced Pulmonary Arterial Hypertension","type":"article-journal"},"uris":["http://www.mendeley.com/documents/?uuid=7f5806a0-0dc6-4453-9e1a-79b9fbc41a25"]}],"mendeley":{"formattedCitation":"[7, 8]","plainTextFormattedCitation":"[7, 8]","previouslyFormattedCitation":"[7, 8]"},"properties":{"noteIndex":0},"schema":"https://github.com/citation-style-language/schema/raw/master/csl-citation.json"}</w:instrText>
      </w:r>
      <w:r w:rsidRPr="0027410F">
        <w:rPr>
          <w:rFonts w:ascii="Arial" w:hAnsi="Arial" w:cs="Arial"/>
          <w:sz w:val="22"/>
          <w:szCs w:val="22"/>
        </w:rPr>
        <w:fldChar w:fldCharType="separate"/>
      </w:r>
      <w:r w:rsidR="001E6AAB" w:rsidRPr="0027410F">
        <w:rPr>
          <w:rFonts w:ascii="Arial" w:hAnsi="Arial" w:cs="Arial"/>
          <w:noProof/>
          <w:sz w:val="22"/>
          <w:szCs w:val="22"/>
        </w:rPr>
        <w:t>[7, 8]</w:t>
      </w:r>
      <w:r w:rsidRPr="0027410F">
        <w:rPr>
          <w:rFonts w:ascii="Arial" w:hAnsi="Arial" w:cs="Arial"/>
          <w:sz w:val="22"/>
          <w:szCs w:val="22"/>
        </w:rPr>
        <w:fldChar w:fldCharType="end"/>
      </w:r>
    </w:p>
    <w:p w14:paraId="18842699" w14:textId="77777777" w:rsidR="000D2EAA" w:rsidRPr="0027410F" w:rsidRDefault="000D2EAA" w:rsidP="0076761F">
      <w:pPr>
        <w:pStyle w:val="Paragraph"/>
        <w:spacing w:line="480" w:lineRule="auto"/>
        <w:ind w:firstLine="0"/>
        <w:rPr>
          <w:rFonts w:ascii="Arial" w:hAnsi="Arial" w:cs="Arial"/>
          <w:b/>
          <w:bCs/>
          <w:sz w:val="22"/>
          <w:szCs w:val="22"/>
        </w:rPr>
      </w:pPr>
      <w:r w:rsidRPr="0027410F">
        <w:rPr>
          <w:rFonts w:ascii="Arial" w:hAnsi="Arial" w:cs="Arial"/>
          <w:b/>
          <w:bCs/>
          <w:sz w:val="22"/>
          <w:szCs w:val="22"/>
        </w:rPr>
        <w:t xml:space="preserve">Measurement of RV fibrosis </w:t>
      </w:r>
    </w:p>
    <w:p w14:paraId="20C983E4" w14:textId="77777777"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sz w:val="22"/>
          <w:szCs w:val="22"/>
        </w:rPr>
        <w:t xml:space="preserve">For measurement of tissue fibrosis, 5 µm paraffin-embedded RV sections were stained according to the Masson protocol and scanned on 40x magnification (Hamamatsu </w:t>
      </w:r>
      <w:proofErr w:type="spellStart"/>
      <w:r w:rsidRPr="0027410F">
        <w:rPr>
          <w:rFonts w:ascii="Arial" w:hAnsi="Arial" w:cs="Arial"/>
          <w:sz w:val="22"/>
          <w:szCs w:val="22"/>
        </w:rPr>
        <w:t>nanoviewer</w:t>
      </w:r>
      <w:proofErr w:type="spellEnd"/>
      <w:r w:rsidRPr="0027410F">
        <w:rPr>
          <w:rFonts w:ascii="Arial" w:hAnsi="Arial" w:cs="Arial"/>
          <w:sz w:val="22"/>
          <w:szCs w:val="22"/>
        </w:rPr>
        <w:t>, Japan). Then, % fibrosis was calculated using the positive pixel count algorithm (V9) on image scope V12.3.</w:t>
      </w:r>
    </w:p>
    <w:p w14:paraId="6DD5802A" w14:textId="77777777" w:rsidR="000D2EAA" w:rsidRPr="0027410F" w:rsidRDefault="000D2EAA" w:rsidP="0076761F">
      <w:pPr>
        <w:pStyle w:val="Paragraph"/>
        <w:spacing w:line="480" w:lineRule="auto"/>
        <w:ind w:firstLine="0"/>
        <w:rPr>
          <w:rFonts w:ascii="Arial" w:hAnsi="Arial" w:cs="Arial"/>
          <w:b/>
          <w:bCs/>
          <w:sz w:val="22"/>
          <w:szCs w:val="22"/>
        </w:rPr>
      </w:pPr>
      <w:r w:rsidRPr="0027410F">
        <w:rPr>
          <w:rFonts w:ascii="Arial" w:hAnsi="Arial" w:cs="Arial"/>
          <w:b/>
          <w:bCs/>
          <w:sz w:val="22"/>
          <w:szCs w:val="22"/>
        </w:rPr>
        <w:t>Immunofluorescence (IF) and immunohistochemistry (IHC)</w:t>
      </w:r>
      <w:r w:rsidRPr="0027410F">
        <w:rPr>
          <w:rFonts w:ascii="Arial" w:hAnsi="Arial" w:cs="Arial"/>
          <w:b/>
          <w:bCs/>
          <w:sz w:val="22"/>
          <w:szCs w:val="22"/>
        </w:rPr>
        <w:tab/>
      </w:r>
    </w:p>
    <w:p w14:paraId="32A2D042" w14:textId="77777777"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sz w:val="22"/>
          <w:szCs w:val="22"/>
        </w:rPr>
        <w:t xml:space="preserve">Paraffin-embedded lung or RV tissues were sectioned at 5µm, deparaffinized, rehydrated in graded washes of xylene to ethanol, and then subjected to heat-induced epitope retrieval using citrate buffer. Following antigen retrieval, the sections were blocked with 1% BSA in 0.1% Tween-PBS for 1h at room temperature. Then, sections were incubated with primary antibodies at 4°C overnight. Hematoxylin and eosin staining was performed for the morphometric assessment of pulmonary vessels. All sections were mounted with </w:t>
      </w:r>
      <w:proofErr w:type="spellStart"/>
      <w:r w:rsidRPr="0027410F">
        <w:rPr>
          <w:rFonts w:ascii="Arial" w:hAnsi="Arial" w:cs="Arial"/>
          <w:sz w:val="22"/>
          <w:szCs w:val="22"/>
        </w:rPr>
        <w:t>ProLong</w:t>
      </w:r>
      <w:proofErr w:type="spellEnd"/>
      <w:r w:rsidRPr="0027410F">
        <w:rPr>
          <w:rFonts w:ascii="Arial" w:hAnsi="Arial" w:cs="Arial"/>
          <w:sz w:val="22"/>
          <w:szCs w:val="22"/>
        </w:rPr>
        <w:t xml:space="preserve">® Gold antifade reagent (Invitrogen) containing DAPI. Rabbit polyclonal anti-Ki67 (1:400, Millipore, ab9260), rabbit polyclonal anti-cleaved Caspase 3 (1:100, Cell Signaling, #9661), mouse monoclonal anti-alpha smooth muscle actin (αSMA, 1:200, Sigma, A2547), and </w:t>
      </w:r>
      <w:r w:rsidRPr="0027410F">
        <w:rPr>
          <w:rFonts w:ascii="Arial" w:hAnsi="Arial" w:cs="Arial"/>
          <w:sz w:val="22"/>
          <w:szCs w:val="22"/>
        </w:rPr>
        <w:lastRenderedPageBreak/>
        <w:t xml:space="preserve">rabbit polyclonal anti-αSMA (1:200, Abcam, ab5694) were used as primary antibodies. For IF, proteins were detected using appropriate fluorescent-dye conjugated secondary antibodies (Thermo Fisher Scientific). IF slides were analyzed under Zeiss </w:t>
      </w:r>
      <w:proofErr w:type="spellStart"/>
      <w:r w:rsidRPr="0027410F">
        <w:rPr>
          <w:rFonts w:ascii="Arial" w:hAnsi="Arial" w:cs="Arial"/>
          <w:sz w:val="22"/>
          <w:szCs w:val="22"/>
        </w:rPr>
        <w:t>AxioObserver</w:t>
      </w:r>
      <w:proofErr w:type="spellEnd"/>
      <w:r w:rsidRPr="0027410F">
        <w:rPr>
          <w:rFonts w:ascii="Arial" w:hAnsi="Arial" w:cs="Arial"/>
          <w:sz w:val="22"/>
          <w:szCs w:val="22"/>
        </w:rPr>
        <w:t xml:space="preserve"> Z1 inverted microscope. For IHC, species-specific immunoglobulin G coupled to peroxidase were used as secondary antibody and then stained by diaminobenzidine. All slides were masked and scanned on 40x magnification. </w:t>
      </w:r>
    </w:p>
    <w:p w14:paraId="2B1C3757" w14:textId="77777777" w:rsidR="000D2EAA" w:rsidRPr="0027410F" w:rsidRDefault="000D2EAA" w:rsidP="0076761F">
      <w:pPr>
        <w:pStyle w:val="Paragraph"/>
        <w:spacing w:line="480" w:lineRule="auto"/>
        <w:ind w:firstLine="0"/>
        <w:rPr>
          <w:rFonts w:ascii="Arial" w:hAnsi="Arial" w:cs="Arial"/>
          <w:b/>
          <w:bCs/>
          <w:sz w:val="22"/>
          <w:szCs w:val="22"/>
        </w:rPr>
      </w:pPr>
      <w:r w:rsidRPr="0027410F">
        <w:rPr>
          <w:rFonts w:ascii="Arial" w:hAnsi="Arial" w:cs="Arial"/>
          <w:b/>
          <w:bCs/>
          <w:sz w:val="22"/>
          <w:szCs w:val="22"/>
        </w:rPr>
        <w:t>Statistical analysis</w:t>
      </w:r>
    </w:p>
    <w:p w14:paraId="7483C364" w14:textId="201A5351" w:rsidR="000D2EAA" w:rsidRPr="0027410F" w:rsidRDefault="000D2EAA" w:rsidP="0076761F">
      <w:pPr>
        <w:pStyle w:val="Paragraph"/>
        <w:spacing w:line="480" w:lineRule="auto"/>
        <w:ind w:firstLine="0"/>
        <w:rPr>
          <w:rFonts w:ascii="Arial" w:hAnsi="Arial" w:cs="Arial"/>
          <w:sz w:val="22"/>
          <w:szCs w:val="22"/>
        </w:rPr>
      </w:pPr>
      <w:r w:rsidRPr="0027410F">
        <w:rPr>
          <w:rFonts w:ascii="Arial" w:hAnsi="Arial" w:cs="Arial"/>
          <w:sz w:val="22"/>
          <w:szCs w:val="22"/>
        </w:rPr>
        <w:t xml:space="preserve">Statistical analyses were performed using the GraphPad Prism software for windows, version 7.0. The mean value (± SEM) was calculated for all samples, and significance was determined by either the unpaired t-test or analysis of variance (one- way ANOVA). Bonferroni multiple comparison test was applied to correct for multiple testing. A value of P &lt; 0.05 was considered significant. </w:t>
      </w:r>
    </w:p>
    <w:p w14:paraId="2CFB16A1" w14:textId="77777777" w:rsidR="0076761F" w:rsidRPr="0027410F" w:rsidRDefault="0076761F" w:rsidP="0076761F">
      <w:pPr>
        <w:pStyle w:val="Paragraph"/>
        <w:spacing w:line="480" w:lineRule="auto"/>
        <w:ind w:firstLine="0"/>
        <w:rPr>
          <w:rFonts w:ascii="Arial" w:hAnsi="Arial" w:cs="Arial"/>
          <w:b/>
          <w:sz w:val="22"/>
          <w:szCs w:val="22"/>
        </w:rPr>
      </w:pPr>
    </w:p>
    <w:p w14:paraId="4307DF9D" w14:textId="77777777" w:rsidR="0076761F" w:rsidRPr="0027410F" w:rsidRDefault="0076761F" w:rsidP="0076761F">
      <w:pPr>
        <w:spacing w:line="480" w:lineRule="auto"/>
        <w:rPr>
          <w:rFonts w:ascii="Arial" w:hAnsi="Arial" w:cs="Arial"/>
        </w:rPr>
      </w:pPr>
      <w:r w:rsidRPr="0027410F">
        <w:rPr>
          <w:rFonts w:ascii="Arial" w:hAnsi="Arial" w:cs="Arial"/>
          <w:b/>
          <w:bCs/>
        </w:rPr>
        <w:t>Supplemental References</w:t>
      </w:r>
    </w:p>
    <w:p w14:paraId="1BAE9514" w14:textId="5649E2AD" w:rsidR="0027410F" w:rsidRPr="0027410F" w:rsidRDefault="0076761F" w:rsidP="0027410F">
      <w:pPr>
        <w:widowControl w:val="0"/>
        <w:autoSpaceDE w:val="0"/>
        <w:autoSpaceDN w:val="0"/>
        <w:adjustRightInd w:val="0"/>
        <w:spacing w:line="480" w:lineRule="auto"/>
        <w:ind w:left="640" w:hanging="640"/>
        <w:rPr>
          <w:rFonts w:ascii="Arial" w:hAnsi="Arial" w:cs="Arial"/>
          <w:noProof/>
        </w:rPr>
      </w:pPr>
      <w:r w:rsidRPr="0027410F">
        <w:rPr>
          <w:rFonts w:ascii="Arial" w:hAnsi="Arial" w:cs="Arial"/>
          <w:b/>
          <w:bCs/>
        </w:rPr>
        <w:fldChar w:fldCharType="begin" w:fldLock="1"/>
      </w:r>
      <w:r w:rsidRPr="0027410F">
        <w:rPr>
          <w:rFonts w:ascii="Arial" w:hAnsi="Arial" w:cs="Arial"/>
          <w:b/>
          <w:bCs/>
        </w:rPr>
        <w:instrText xml:space="preserve">ADDIN Mendeley Bibliography CSL_BIBLIOGRAPHY </w:instrText>
      </w:r>
      <w:r w:rsidRPr="0027410F">
        <w:rPr>
          <w:rFonts w:ascii="Arial" w:hAnsi="Arial" w:cs="Arial"/>
          <w:b/>
          <w:bCs/>
        </w:rPr>
        <w:fldChar w:fldCharType="separate"/>
      </w:r>
      <w:r w:rsidR="0027410F" w:rsidRPr="0027410F">
        <w:rPr>
          <w:rFonts w:ascii="Arial" w:hAnsi="Arial" w:cs="Arial"/>
          <w:noProof/>
        </w:rPr>
        <w:t xml:space="preserve">1. </w:t>
      </w:r>
      <w:r w:rsidR="0027410F" w:rsidRPr="0027410F">
        <w:rPr>
          <w:rFonts w:ascii="Arial" w:hAnsi="Arial" w:cs="Arial"/>
          <w:noProof/>
        </w:rPr>
        <w:tab/>
        <w:t>Kurakula K, Sun X-Q, Happé C, et al (2019) Prevention of progression of pulmonary hypertension by the Nur77 agonist 6-mercaptopurine: role of BMP signalling Kondababu. Eur Respir J 1802400. https://doi.org/10.1183/13993003.02400-2018</w:t>
      </w:r>
    </w:p>
    <w:p w14:paraId="1399F0F7" w14:textId="77777777" w:rsidR="0027410F" w:rsidRPr="0027410F" w:rsidRDefault="0027410F" w:rsidP="0027410F">
      <w:pPr>
        <w:widowControl w:val="0"/>
        <w:autoSpaceDE w:val="0"/>
        <w:autoSpaceDN w:val="0"/>
        <w:adjustRightInd w:val="0"/>
        <w:spacing w:line="480" w:lineRule="auto"/>
        <w:ind w:left="640" w:hanging="640"/>
        <w:rPr>
          <w:rFonts w:ascii="Arial" w:hAnsi="Arial" w:cs="Arial"/>
          <w:noProof/>
        </w:rPr>
      </w:pPr>
      <w:r w:rsidRPr="0027410F">
        <w:rPr>
          <w:rFonts w:ascii="Arial" w:hAnsi="Arial" w:cs="Arial"/>
          <w:noProof/>
        </w:rPr>
        <w:t xml:space="preserve">2. </w:t>
      </w:r>
      <w:r w:rsidRPr="0027410F">
        <w:rPr>
          <w:rFonts w:ascii="Arial" w:hAnsi="Arial" w:cs="Arial"/>
          <w:noProof/>
        </w:rPr>
        <w:tab/>
        <w:t>da Silva Goncalves Bos D, Happe C, Schalij I, et al (2017) Renal Denervation Reduces Pulmonary Vascular Remodeling and Right Ventricular Diastolic Stiffness in Experimental Pulmonary Hypertension. JACC Basic to Transl Sci 2:22–35. https://doi.org/10.1016/j.jacbts.2016.09.007</w:t>
      </w:r>
    </w:p>
    <w:p w14:paraId="13BDFF43" w14:textId="77777777" w:rsidR="0027410F" w:rsidRPr="0027410F" w:rsidRDefault="0027410F" w:rsidP="0027410F">
      <w:pPr>
        <w:widowControl w:val="0"/>
        <w:autoSpaceDE w:val="0"/>
        <w:autoSpaceDN w:val="0"/>
        <w:adjustRightInd w:val="0"/>
        <w:spacing w:line="480" w:lineRule="auto"/>
        <w:ind w:left="640" w:hanging="640"/>
        <w:rPr>
          <w:rFonts w:ascii="Arial" w:hAnsi="Arial" w:cs="Arial"/>
          <w:noProof/>
        </w:rPr>
      </w:pPr>
      <w:r w:rsidRPr="0027410F">
        <w:rPr>
          <w:rFonts w:ascii="Arial" w:hAnsi="Arial" w:cs="Arial"/>
          <w:noProof/>
        </w:rPr>
        <w:t xml:space="preserve">3. </w:t>
      </w:r>
      <w:r w:rsidRPr="0027410F">
        <w:rPr>
          <w:rFonts w:ascii="Arial" w:hAnsi="Arial" w:cs="Arial"/>
          <w:noProof/>
        </w:rPr>
        <w:tab/>
        <w:t>Persson U, Izumi H, Souchelnytskyi S, et al (1998) The L45 loop in type I receptors for TGF-beta family members is a critical determinant in specifying Smad isoform activation. FEBS Lett 434:83–87. https://doi.org/10.1016/s0014-5793(98)00954-5</w:t>
      </w:r>
    </w:p>
    <w:p w14:paraId="7AF66469" w14:textId="77777777" w:rsidR="0027410F" w:rsidRPr="0027410F" w:rsidRDefault="0027410F" w:rsidP="0027410F">
      <w:pPr>
        <w:widowControl w:val="0"/>
        <w:autoSpaceDE w:val="0"/>
        <w:autoSpaceDN w:val="0"/>
        <w:adjustRightInd w:val="0"/>
        <w:spacing w:line="480" w:lineRule="auto"/>
        <w:ind w:left="640" w:hanging="640"/>
        <w:rPr>
          <w:rFonts w:ascii="Arial" w:hAnsi="Arial" w:cs="Arial"/>
          <w:noProof/>
        </w:rPr>
      </w:pPr>
      <w:r w:rsidRPr="0027410F">
        <w:rPr>
          <w:rFonts w:ascii="Arial" w:hAnsi="Arial" w:cs="Arial"/>
          <w:noProof/>
        </w:rPr>
        <w:t xml:space="preserve">4. </w:t>
      </w:r>
      <w:r w:rsidRPr="0027410F">
        <w:rPr>
          <w:rFonts w:ascii="Arial" w:hAnsi="Arial" w:cs="Arial"/>
          <w:noProof/>
        </w:rPr>
        <w:tab/>
        <w:t xml:space="preserve">Kurakula K, Hamers AA, van Loenen P, de Vries CJM (2015) 6-Mercaptopurine </w:t>
      </w:r>
      <w:r w:rsidRPr="0027410F">
        <w:rPr>
          <w:rFonts w:ascii="Arial" w:hAnsi="Arial" w:cs="Arial"/>
          <w:noProof/>
        </w:rPr>
        <w:lastRenderedPageBreak/>
        <w:t>reduces cytokine and Muc5ac expression involving inhibition of NFkappaB activation in airway epithelial cells. Respir Res 16:73. https://doi.org/10.1186/s12931-015-0236-0</w:t>
      </w:r>
    </w:p>
    <w:p w14:paraId="5976FD64" w14:textId="77777777" w:rsidR="0027410F" w:rsidRPr="0027410F" w:rsidRDefault="0027410F" w:rsidP="0027410F">
      <w:pPr>
        <w:widowControl w:val="0"/>
        <w:autoSpaceDE w:val="0"/>
        <w:autoSpaceDN w:val="0"/>
        <w:adjustRightInd w:val="0"/>
        <w:spacing w:line="480" w:lineRule="auto"/>
        <w:ind w:left="640" w:hanging="640"/>
        <w:rPr>
          <w:rFonts w:ascii="Arial" w:hAnsi="Arial" w:cs="Arial"/>
          <w:noProof/>
        </w:rPr>
      </w:pPr>
      <w:r w:rsidRPr="0027410F">
        <w:rPr>
          <w:rFonts w:ascii="Arial" w:hAnsi="Arial" w:cs="Arial"/>
          <w:noProof/>
        </w:rPr>
        <w:t xml:space="preserve">5. </w:t>
      </w:r>
      <w:r w:rsidRPr="0027410F">
        <w:rPr>
          <w:rFonts w:ascii="Arial" w:hAnsi="Arial" w:cs="Arial"/>
          <w:noProof/>
        </w:rPr>
        <w:tab/>
        <w:t>Dennler S, Itoh S, Vivien D, et al (1998) Direct binding of Smad3 and Smad4 to critical TGF beta-inducible elements in the  promoter of human plasminogen activator inhibitor-type 1 gene. EMBO J 17:3091–3100. https://doi.org/10.1093/emboj/17.11.3091</w:t>
      </w:r>
    </w:p>
    <w:p w14:paraId="44E3B8E0" w14:textId="77777777" w:rsidR="0027410F" w:rsidRPr="0027410F" w:rsidRDefault="0027410F" w:rsidP="0027410F">
      <w:pPr>
        <w:widowControl w:val="0"/>
        <w:autoSpaceDE w:val="0"/>
        <w:autoSpaceDN w:val="0"/>
        <w:adjustRightInd w:val="0"/>
        <w:spacing w:line="480" w:lineRule="auto"/>
        <w:ind w:left="640" w:hanging="640"/>
        <w:rPr>
          <w:rFonts w:ascii="Arial" w:hAnsi="Arial" w:cs="Arial"/>
          <w:noProof/>
        </w:rPr>
      </w:pPr>
      <w:r w:rsidRPr="0027410F">
        <w:rPr>
          <w:rFonts w:ascii="Arial" w:hAnsi="Arial" w:cs="Arial"/>
          <w:noProof/>
        </w:rPr>
        <w:t xml:space="preserve">6. </w:t>
      </w:r>
      <w:r w:rsidRPr="0027410F">
        <w:rPr>
          <w:rFonts w:ascii="Arial" w:hAnsi="Arial" w:cs="Arial"/>
          <w:noProof/>
        </w:rPr>
        <w:tab/>
        <w:t>Provencher S, Archer SL, Ramirez FD, et al (2018) Standards and Methodological Rigor in Pulmonary Arterial Hypertension Preclinical and Translational Research. Circ Res 122:1021–1032. https://doi.org/10.1161/CIRCRESAHA.117.312579</w:t>
      </w:r>
    </w:p>
    <w:p w14:paraId="6F383127" w14:textId="77777777" w:rsidR="0027410F" w:rsidRPr="0027410F" w:rsidRDefault="0027410F" w:rsidP="0027410F">
      <w:pPr>
        <w:widowControl w:val="0"/>
        <w:autoSpaceDE w:val="0"/>
        <w:autoSpaceDN w:val="0"/>
        <w:adjustRightInd w:val="0"/>
        <w:spacing w:line="480" w:lineRule="auto"/>
        <w:ind w:left="640" w:hanging="640"/>
        <w:rPr>
          <w:rFonts w:ascii="Arial" w:hAnsi="Arial" w:cs="Arial"/>
          <w:noProof/>
        </w:rPr>
      </w:pPr>
      <w:r w:rsidRPr="0027410F">
        <w:rPr>
          <w:rFonts w:ascii="Arial" w:hAnsi="Arial" w:cs="Arial"/>
          <w:noProof/>
        </w:rPr>
        <w:t xml:space="preserve">7. </w:t>
      </w:r>
      <w:r w:rsidRPr="0027410F">
        <w:rPr>
          <w:rFonts w:ascii="Arial" w:hAnsi="Arial" w:cs="Arial"/>
          <w:noProof/>
        </w:rPr>
        <w:tab/>
        <w:t>van der Feen DE, Weij M, Smit-van Oosten A, et al (2017) Shunt Surgery, Right Heart Catheterization, and Vascular Morphometry in a Rat Model for Flow-induced Pulmonary Arterial Hypertension. J Vis Exp 1–11. https://doi.org/10.3791/55065</w:t>
      </w:r>
    </w:p>
    <w:p w14:paraId="59C2A5D2" w14:textId="77777777" w:rsidR="0027410F" w:rsidRPr="0027410F" w:rsidRDefault="0027410F" w:rsidP="0027410F">
      <w:pPr>
        <w:widowControl w:val="0"/>
        <w:autoSpaceDE w:val="0"/>
        <w:autoSpaceDN w:val="0"/>
        <w:adjustRightInd w:val="0"/>
        <w:spacing w:line="480" w:lineRule="auto"/>
        <w:ind w:left="640" w:hanging="640"/>
        <w:rPr>
          <w:rFonts w:ascii="Arial" w:hAnsi="Arial" w:cs="Arial"/>
          <w:noProof/>
        </w:rPr>
      </w:pPr>
      <w:r w:rsidRPr="0027410F">
        <w:rPr>
          <w:rFonts w:ascii="Arial" w:hAnsi="Arial" w:cs="Arial"/>
          <w:noProof/>
        </w:rPr>
        <w:t xml:space="preserve">8. </w:t>
      </w:r>
      <w:r w:rsidRPr="0027410F">
        <w:rPr>
          <w:rFonts w:ascii="Arial" w:hAnsi="Arial" w:cs="Arial"/>
          <w:noProof/>
        </w:rPr>
        <w:tab/>
        <w:t>Van Der Feen DE, Kurakula K, Tremblay E, et al (2019) Multicenter preclinical validation of BET inhibition for the treatment of pulmonary arterial hypertension. Am J Respir Crit Care Med 200:910–920. https://doi.org/10.1164/rccm.201812-2275OC</w:t>
      </w:r>
    </w:p>
    <w:p w14:paraId="2284219B" w14:textId="59E50BF0" w:rsidR="009800D1" w:rsidRPr="0027410F" w:rsidRDefault="0076761F" w:rsidP="0076761F">
      <w:pPr>
        <w:spacing w:line="480" w:lineRule="auto"/>
        <w:rPr>
          <w:rFonts w:ascii="Arial" w:hAnsi="Arial" w:cs="Arial"/>
        </w:rPr>
      </w:pPr>
      <w:r w:rsidRPr="0027410F">
        <w:rPr>
          <w:rFonts w:ascii="Arial" w:hAnsi="Arial" w:cs="Arial"/>
          <w:b/>
          <w:bCs/>
        </w:rPr>
        <w:fldChar w:fldCharType="end"/>
      </w:r>
    </w:p>
    <w:p w14:paraId="1B365D53" w14:textId="648CDAE4" w:rsidR="004F2510" w:rsidRDefault="004F2510" w:rsidP="0076761F">
      <w:pPr>
        <w:spacing w:line="480" w:lineRule="auto"/>
        <w:ind w:hanging="142"/>
        <w:rPr>
          <w:rFonts w:ascii="Arial" w:hAnsi="Arial" w:cs="Arial"/>
          <w:b/>
          <w:lang w:val="en-US"/>
        </w:rPr>
      </w:pPr>
    </w:p>
    <w:p w14:paraId="0AB63C37" w14:textId="0C30C63A" w:rsidR="0027410F" w:rsidRDefault="0027410F" w:rsidP="0076761F">
      <w:pPr>
        <w:spacing w:line="480" w:lineRule="auto"/>
        <w:ind w:hanging="142"/>
        <w:rPr>
          <w:rFonts w:ascii="Arial" w:hAnsi="Arial" w:cs="Arial"/>
          <w:b/>
          <w:lang w:val="en-US"/>
        </w:rPr>
      </w:pPr>
    </w:p>
    <w:p w14:paraId="4631540B" w14:textId="6D7213F1" w:rsidR="0027410F" w:rsidRDefault="0027410F" w:rsidP="0076761F">
      <w:pPr>
        <w:spacing w:line="480" w:lineRule="auto"/>
        <w:ind w:hanging="142"/>
        <w:rPr>
          <w:rFonts w:ascii="Arial" w:hAnsi="Arial" w:cs="Arial"/>
          <w:b/>
          <w:lang w:val="en-US"/>
        </w:rPr>
      </w:pPr>
    </w:p>
    <w:p w14:paraId="4C73FE9C" w14:textId="18FB7C78" w:rsidR="0027410F" w:rsidRDefault="0027410F" w:rsidP="0076761F">
      <w:pPr>
        <w:spacing w:line="480" w:lineRule="auto"/>
        <w:ind w:hanging="142"/>
        <w:rPr>
          <w:rFonts w:ascii="Arial" w:hAnsi="Arial" w:cs="Arial"/>
          <w:b/>
          <w:lang w:val="en-US"/>
        </w:rPr>
      </w:pPr>
    </w:p>
    <w:p w14:paraId="02E2BA40" w14:textId="4F0FD4A2" w:rsidR="0027410F" w:rsidRDefault="0027410F" w:rsidP="0076761F">
      <w:pPr>
        <w:spacing w:line="480" w:lineRule="auto"/>
        <w:ind w:hanging="142"/>
        <w:rPr>
          <w:rFonts w:ascii="Arial" w:hAnsi="Arial" w:cs="Arial"/>
          <w:b/>
          <w:lang w:val="en-US"/>
        </w:rPr>
      </w:pPr>
    </w:p>
    <w:p w14:paraId="2D5D2B37" w14:textId="6A4F97B9" w:rsidR="0027410F" w:rsidRDefault="0027410F" w:rsidP="0076761F">
      <w:pPr>
        <w:spacing w:line="480" w:lineRule="auto"/>
        <w:ind w:hanging="142"/>
        <w:rPr>
          <w:rFonts w:ascii="Arial" w:hAnsi="Arial" w:cs="Arial"/>
          <w:b/>
          <w:lang w:val="en-US"/>
        </w:rPr>
      </w:pPr>
    </w:p>
    <w:p w14:paraId="3CD7C953" w14:textId="766B927D" w:rsidR="007524DF" w:rsidRPr="0027410F" w:rsidRDefault="007524DF" w:rsidP="00F46608">
      <w:pPr>
        <w:spacing w:line="480" w:lineRule="auto"/>
        <w:rPr>
          <w:rFonts w:ascii="Arial" w:hAnsi="Arial" w:cs="Arial"/>
          <w:b/>
        </w:rPr>
      </w:pPr>
      <w:r w:rsidRPr="0027410F">
        <w:rPr>
          <w:rFonts w:ascii="Arial" w:hAnsi="Arial" w:cs="Arial"/>
          <w:b/>
        </w:rPr>
        <w:lastRenderedPageBreak/>
        <w:t xml:space="preserve">Supplementary Table 1: </w:t>
      </w:r>
      <w:r w:rsidR="00054880" w:rsidRPr="0027410F">
        <w:rPr>
          <w:rFonts w:ascii="Arial" w:hAnsi="Arial" w:cs="Arial"/>
          <w:b/>
        </w:rPr>
        <w:t>P</w:t>
      </w:r>
      <w:r w:rsidRPr="0027410F">
        <w:rPr>
          <w:rFonts w:ascii="Arial" w:hAnsi="Arial" w:cs="Arial"/>
          <w:b/>
        </w:rPr>
        <w:t xml:space="preserve">rimer sequences for </w:t>
      </w:r>
      <w:proofErr w:type="spellStart"/>
      <w:r w:rsidRPr="0027410F">
        <w:rPr>
          <w:rFonts w:ascii="Arial" w:hAnsi="Arial" w:cs="Arial"/>
          <w:b/>
        </w:rPr>
        <w:t>qRT</w:t>
      </w:r>
      <w:proofErr w:type="spellEnd"/>
      <w:r w:rsidRPr="0027410F">
        <w:rPr>
          <w:rFonts w:ascii="Arial" w:hAnsi="Arial" w:cs="Arial"/>
          <w:b/>
        </w:rPr>
        <w:t>-PCR</w:t>
      </w:r>
    </w:p>
    <w:tbl>
      <w:tblPr>
        <w:tblStyle w:val="PlainTable1"/>
        <w:tblW w:w="0" w:type="auto"/>
        <w:tblLook w:val="04A0" w:firstRow="1" w:lastRow="0" w:firstColumn="1" w:lastColumn="0" w:noHBand="0" w:noVBand="1"/>
      </w:tblPr>
      <w:tblGrid>
        <w:gridCol w:w="4461"/>
        <w:gridCol w:w="4555"/>
      </w:tblGrid>
      <w:tr w:rsidR="00054880" w:rsidRPr="0027410F" w14:paraId="5AF9139E" w14:textId="77777777" w:rsidTr="00B36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3D5357AF" w14:textId="77777777" w:rsidR="00054880" w:rsidRPr="0027410F" w:rsidRDefault="00054880" w:rsidP="0076761F">
            <w:pPr>
              <w:spacing w:line="480" w:lineRule="auto"/>
              <w:jc w:val="center"/>
              <w:rPr>
                <w:rFonts w:ascii="Arial" w:hAnsi="Arial" w:cs="Arial"/>
                <w:b w:val="0"/>
              </w:rPr>
            </w:pPr>
            <w:r w:rsidRPr="0027410F">
              <w:rPr>
                <w:rFonts w:ascii="Arial" w:hAnsi="Arial" w:cs="Arial"/>
                <w:b w:val="0"/>
              </w:rPr>
              <w:t>Gene</w:t>
            </w:r>
          </w:p>
        </w:tc>
        <w:tc>
          <w:tcPr>
            <w:tcW w:w="4583" w:type="dxa"/>
          </w:tcPr>
          <w:p w14:paraId="4157A8F2" w14:textId="77777777" w:rsidR="00054880" w:rsidRPr="0027410F" w:rsidRDefault="00054880" w:rsidP="0076761F">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7410F">
              <w:rPr>
                <w:rFonts w:ascii="Arial" w:hAnsi="Arial" w:cs="Arial"/>
                <w:b w:val="0"/>
              </w:rPr>
              <w:t>Primers</w:t>
            </w:r>
          </w:p>
        </w:tc>
      </w:tr>
      <w:tr w:rsidR="00054880" w:rsidRPr="0027410F" w14:paraId="108130F8" w14:textId="77777777" w:rsidTr="00B3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20728E16" w14:textId="77777777" w:rsidR="00054880" w:rsidRPr="0027410F" w:rsidRDefault="00054880" w:rsidP="0076761F">
            <w:pPr>
              <w:spacing w:line="480" w:lineRule="auto"/>
              <w:rPr>
                <w:rFonts w:ascii="Arial" w:hAnsi="Arial" w:cs="Arial"/>
                <w:b w:val="0"/>
              </w:rPr>
            </w:pPr>
            <w:r w:rsidRPr="0027410F">
              <w:rPr>
                <w:rFonts w:ascii="Arial" w:hAnsi="Arial" w:cs="Arial"/>
                <w:b w:val="0"/>
                <w:bCs w:val="0"/>
              </w:rPr>
              <w:t>Human Pin1</w:t>
            </w:r>
            <w:r w:rsidRPr="0027410F">
              <w:rPr>
                <w:rFonts w:ascii="Arial" w:hAnsi="Arial" w:cs="Arial"/>
                <w:b w:val="0"/>
              </w:rPr>
              <w:t xml:space="preserve">  </w:t>
            </w:r>
          </w:p>
        </w:tc>
        <w:tc>
          <w:tcPr>
            <w:tcW w:w="4583" w:type="dxa"/>
          </w:tcPr>
          <w:p w14:paraId="65C194DE"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27410F">
              <w:rPr>
                <w:rFonts w:ascii="Arial" w:hAnsi="Arial" w:cs="Arial"/>
                <w:bCs/>
              </w:rPr>
              <w:t>Fw</w:t>
            </w:r>
            <w:proofErr w:type="spellEnd"/>
            <w:r w:rsidRPr="0027410F">
              <w:rPr>
                <w:rFonts w:ascii="Arial" w:hAnsi="Arial" w:cs="Arial"/>
                <w:bCs/>
              </w:rPr>
              <w:t>: CAGAGCGCGTCTAGCCAA</w:t>
            </w:r>
          </w:p>
          <w:p w14:paraId="4E78EF4D"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27410F">
              <w:rPr>
                <w:rFonts w:ascii="Arial" w:hAnsi="Arial" w:cs="Arial"/>
                <w:bCs/>
              </w:rPr>
              <w:t>Rv</w:t>
            </w:r>
            <w:proofErr w:type="spellEnd"/>
            <w:r w:rsidRPr="0027410F">
              <w:rPr>
                <w:rFonts w:ascii="Arial" w:hAnsi="Arial" w:cs="Arial"/>
                <w:bCs/>
              </w:rPr>
              <w:t>: AGGAGCGTGGCCTAACTAGA</w:t>
            </w:r>
          </w:p>
        </w:tc>
      </w:tr>
      <w:tr w:rsidR="00054880" w:rsidRPr="0027410F" w14:paraId="53DE1FBA" w14:textId="77777777" w:rsidTr="00B36B05">
        <w:tc>
          <w:tcPr>
            <w:cnfStyle w:val="001000000000" w:firstRow="0" w:lastRow="0" w:firstColumn="1" w:lastColumn="0" w:oddVBand="0" w:evenVBand="0" w:oddHBand="0" w:evenHBand="0" w:firstRowFirstColumn="0" w:firstRowLastColumn="0" w:lastRowFirstColumn="0" w:lastRowLastColumn="0"/>
            <w:tcW w:w="4583" w:type="dxa"/>
          </w:tcPr>
          <w:p w14:paraId="47406552" w14:textId="77777777" w:rsidR="00054880" w:rsidRPr="0027410F" w:rsidRDefault="00054880" w:rsidP="0076761F">
            <w:pPr>
              <w:spacing w:line="480" w:lineRule="auto"/>
              <w:rPr>
                <w:rFonts w:ascii="Arial" w:hAnsi="Arial" w:cs="Arial"/>
                <w:b w:val="0"/>
              </w:rPr>
            </w:pPr>
            <w:r w:rsidRPr="0027410F">
              <w:rPr>
                <w:rFonts w:ascii="Arial" w:hAnsi="Arial" w:cs="Arial"/>
                <w:b w:val="0"/>
                <w:bCs w:val="0"/>
              </w:rPr>
              <w:t xml:space="preserve">Human </w:t>
            </w:r>
            <w:r w:rsidRPr="0027410F">
              <w:rPr>
                <w:rFonts w:ascii="Arial" w:hAnsi="Arial" w:cs="Arial"/>
                <w:b w:val="0"/>
              </w:rPr>
              <w:t xml:space="preserve">RANTES                        </w:t>
            </w:r>
            <w:r w:rsidRPr="0027410F">
              <w:rPr>
                <w:rFonts w:ascii="Arial" w:hAnsi="Arial" w:cs="Arial"/>
                <w:b w:val="0"/>
                <w:bCs w:val="0"/>
              </w:rPr>
              <w:t xml:space="preserve"> </w:t>
            </w:r>
          </w:p>
        </w:tc>
        <w:tc>
          <w:tcPr>
            <w:tcW w:w="4583" w:type="dxa"/>
          </w:tcPr>
          <w:p w14:paraId="0C7BE2B8" w14:textId="77777777" w:rsidR="00054880" w:rsidRPr="0027410F" w:rsidRDefault="00054880" w:rsidP="0076761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proofErr w:type="spellStart"/>
            <w:r w:rsidRPr="0027410F">
              <w:rPr>
                <w:rFonts w:ascii="Arial" w:hAnsi="Arial" w:cs="Arial"/>
                <w:bCs/>
              </w:rPr>
              <w:t>Fw</w:t>
            </w:r>
            <w:proofErr w:type="spellEnd"/>
            <w:r w:rsidRPr="0027410F">
              <w:rPr>
                <w:rFonts w:ascii="Arial" w:hAnsi="Arial" w:cs="Arial"/>
                <w:bCs/>
              </w:rPr>
              <w:t>: CGCTGTCATCCTCATTGCTA</w:t>
            </w:r>
          </w:p>
          <w:p w14:paraId="07B55DDA" w14:textId="77777777" w:rsidR="00054880" w:rsidRPr="0027410F" w:rsidRDefault="00054880" w:rsidP="0076761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27410F">
              <w:rPr>
                <w:rFonts w:ascii="Arial" w:hAnsi="Arial" w:cs="Arial"/>
                <w:bCs/>
              </w:rPr>
              <w:t>Rv</w:t>
            </w:r>
            <w:proofErr w:type="spellEnd"/>
            <w:r w:rsidRPr="0027410F">
              <w:rPr>
                <w:rFonts w:ascii="Arial" w:hAnsi="Arial" w:cs="Arial"/>
                <w:bCs/>
              </w:rPr>
              <w:t>: TGTACTCCCGAACCCATTTC</w:t>
            </w:r>
          </w:p>
        </w:tc>
      </w:tr>
      <w:tr w:rsidR="00054880" w:rsidRPr="0027410F" w14:paraId="278FB928" w14:textId="77777777" w:rsidTr="00B3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0B7410DE" w14:textId="77777777" w:rsidR="00054880" w:rsidRPr="0027410F" w:rsidRDefault="00054880" w:rsidP="0076761F">
            <w:pPr>
              <w:spacing w:line="480" w:lineRule="auto"/>
              <w:rPr>
                <w:rFonts w:ascii="Arial" w:hAnsi="Arial" w:cs="Arial"/>
                <w:b w:val="0"/>
              </w:rPr>
            </w:pPr>
            <w:r w:rsidRPr="0027410F">
              <w:rPr>
                <w:rFonts w:ascii="Arial" w:hAnsi="Arial" w:cs="Arial"/>
                <w:b w:val="0"/>
              </w:rPr>
              <w:t xml:space="preserve">Human TNF-α                               </w:t>
            </w:r>
          </w:p>
        </w:tc>
        <w:tc>
          <w:tcPr>
            <w:tcW w:w="4583" w:type="dxa"/>
          </w:tcPr>
          <w:p w14:paraId="7EB7D682"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27410F">
              <w:rPr>
                <w:rFonts w:ascii="Arial" w:hAnsi="Arial" w:cs="Arial"/>
                <w:bCs/>
              </w:rPr>
              <w:t>Fw</w:t>
            </w:r>
            <w:proofErr w:type="spellEnd"/>
            <w:r w:rsidRPr="0027410F">
              <w:rPr>
                <w:rFonts w:ascii="Arial" w:hAnsi="Arial" w:cs="Arial"/>
                <w:bCs/>
              </w:rPr>
              <w:t>: AGGACACCATGAGCACTGAAAG</w:t>
            </w:r>
          </w:p>
          <w:p w14:paraId="6DAD2C77"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27410F">
              <w:rPr>
                <w:rFonts w:ascii="Arial" w:hAnsi="Arial" w:cs="Arial"/>
                <w:bCs/>
              </w:rPr>
              <w:t>Rv</w:t>
            </w:r>
            <w:proofErr w:type="spellEnd"/>
            <w:r w:rsidRPr="0027410F">
              <w:rPr>
                <w:rFonts w:ascii="Arial" w:hAnsi="Arial" w:cs="Arial"/>
                <w:bCs/>
              </w:rPr>
              <w:t>: AGGAGAGGCTGAGGAACAAG</w:t>
            </w:r>
          </w:p>
        </w:tc>
      </w:tr>
      <w:tr w:rsidR="00054880" w:rsidRPr="0027410F" w14:paraId="371DB00B" w14:textId="77777777" w:rsidTr="00B36B05">
        <w:tc>
          <w:tcPr>
            <w:cnfStyle w:val="001000000000" w:firstRow="0" w:lastRow="0" w:firstColumn="1" w:lastColumn="0" w:oddVBand="0" w:evenVBand="0" w:oddHBand="0" w:evenHBand="0" w:firstRowFirstColumn="0" w:firstRowLastColumn="0" w:lastRowFirstColumn="0" w:lastRowLastColumn="0"/>
            <w:tcW w:w="4583" w:type="dxa"/>
          </w:tcPr>
          <w:p w14:paraId="4FBF0AF9" w14:textId="77777777" w:rsidR="00054880" w:rsidRPr="0027410F" w:rsidRDefault="00054880" w:rsidP="0076761F">
            <w:pPr>
              <w:spacing w:line="480" w:lineRule="auto"/>
              <w:rPr>
                <w:rFonts w:ascii="Arial" w:hAnsi="Arial" w:cs="Arial"/>
                <w:b w:val="0"/>
              </w:rPr>
            </w:pPr>
            <w:r w:rsidRPr="0027410F">
              <w:rPr>
                <w:rFonts w:ascii="Arial" w:hAnsi="Arial" w:cs="Arial"/>
                <w:b w:val="0"/>
              </w:rPr>
              <w:t>Human PAI-1</w:t>
            </w:r>
          </w:p>
        </w:tc>
        <w:tc>
          <w:tcPr>
            <w:tcW w:w="4583" w:type="dxa"/>
          </w:tcPr>
          <w:p w14:paraId="6F14CB52" w14:textId="77777777" w:rsidR="00054880" w:rsidRPr="0027410F" w:rsidRDefault="00054880" w:rsidP="0076761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proofErr w:type="spellStart"/>
            <w:r w:rsidRPr="0027410F">
              <w:rPr>
                <w:rFonts w:ascii="Arial" w:hAnsi="Arial" w:cs="Arial"/>
                <w:bCs/>
              </w:rPr>
              <w:t>Fw</w:t>
            </w:r>
            <w:proofErr w:type="spellEnd"/>
            <w:r w:rsidRPr="0027410F">
              <w:rPr>
                <w:rFonts w:ascii="Arial" w:hAnsi="Arial" w:cs="Arial"/>
                <w:bCs/>
              </w:rPr>
              <w:t>: CACAAATCAGACGGCAGCACT</w:t>
            </w:r>
          </w:p>
          <w:p w14:paraId="0BC8F2F7" w14:textId="77777777" w:rsidR="00054880" w:rsidRPr="0027410F" w:rsidRDefault="00054880" w:rsidP="0076761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27410F">
              <w:rPr>
                <w:rFonts w:ascii="Arial" w:hAnsi="Arial" w:cs="Arial"/>
                <w:bCs/>
              </w:rPr>
              <w:t>Rv</w:t>
            </w:r>
            <w:proofErr w:type="spellEnd"/>
            <w:r w:rsidRPr="0027410F">
              <w:rPr>
                <w:rFonts w:ascii="Arial" w:hAnsi="Arial" w:cs="Arial"/>
                <w:bCs/>
              </w:rPr>
              <w:t>: CATCGGGCGTGGTGAACTC</w:t>
            </w:r>
          </w:p>
        </w:tc>
      </w:tr>
      <w:tr w:rsidR="00054880" w:rsidRPr="0027410F" w14:paraId="64E7D107" w14:textId="77777777" w:rsidTr="00B3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08F76653" w14:textId="77777777" w:rsidR="00054880" w:rsidRPr="0027410F" w:rsidRDefault="00054880" w:rsidP="0076761F">
            <w:pPr>
              <w:spacing w:line="480" w:lineRule="auto"/>
              <w:rPr>
                <w:rFonts w:ascii="Arial" w:hAnsi="Arial" w:cs="Arial"/>
                <w:b w:val="0"/>
              </w:rPr>
            </w:pPr>
            <w:r w:rsidRPr="0027410F">
              <w:rPr>
                <w:rFonts w:ascii="Arial" w:hAnsi="Arial" w:cs="Arial"/>
                <w:b w:val="0"/>
              </w:rPr>
              <w:t>Human Id1</w:t>
            </w:r>
          </w:p>
        </w:tc>
        <w:tc>
          <w:tcPr>
            <w:tcW w:w="4583" w:type="dxa"/>
          </w:tcPr>
          <w:p w14:paraId="161D26D7"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27410F">
              <w:rPr>
                <w:rFonts w:ascii="Arial" w:hAnsi="Arial" w:cs="Arial"/>
                <w:bCs/>
              </w:rPr>
              <w:t>Fw</w:t>
            </w:r>
            <w:proofErr w:type="spellEnd"/>
            <w:r w:rsidRPr="0027410F">
              <w:rPr>
                <w:rFonts w:ascii="Arial" w:hAnsi="Arial" w:cs="Arial"/>
                <w:bCs/>
              </w:rPr>
              <w:t>: CTGCTCTACGACATGAACGG</w:t>
            </w:r>
          </w:p>
          <w:p w14:paraId="7767D1C8"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27410F">
              <w:rPr>
                <w:rFonts w:ascii="Arial" w:hAnsi="Arial" w:cs="Arial"/>
                <w:bCs/>
              </w:rPr>
              <w:t>Rv</w:t>
            </w:r>
            <w:proofErr w:type="spellEnd"/>
            <w:r w:rsidRPr="0027410F">
              <w:rPr>
                <w:rFonts w:ascii="Arial" w:hAnsi="Arial" w:cs="Arial"/>
                <w:bCs/>
              </w:rPr>
              <w:t>: GAAGGTCCCTGATGTAGTCGAT</w:t>
            </w:r>
          </w:p>
        </w:tc>
      </w:tr>
      <w:tr w:rsidR="00054880" w:rsidRPr="0027410F" w14:paraId="6944EAED" w14:textId="77777777" w:rsidTr="00B36B05">
        <w:tc>
          <w:tcPr>
            <w:cnfStyle w:val="001000000000" w:firstRow="0" w:lastRow="0" w:firstColumn="1" w:lastColumn="0" w:oddVBand="0" w:evenVBand="0" w:oddHBand="0" w:evenHBand="0" w:firstRowFirstColumn="0" w:firstRowLastColumn="0" w:lastRowFirstColumn="0" w:lastRowLastColumn="0"/>
            <w:tcW w:w="4583" w:type="dxa"/>
          </w:tcPr>
          <w:p w14:paraId="2C4ADE9F" w14:textId="77777777" w:rsidR="00054880" w:rsidRPr="0027410F" w:rsidRDefault="00054880" w:rsidP="0076761F">
            <w:pPr>
              <w:spacing w:line="480" w:lineRule="auto"/>
              <w:rPr>
                <w:rFonts w:ascii="Arial" w:hAnsi="Arial" w:cs="Arial"/>
                <w:b w:val="0"/>
              </w:rPr>
            </w:pPr>
            <w:r w:rsidRPr="0027410F">
              <w:rPr>
                <w:rFonts w:ascii="Arial" w:hAnsi="Arial" w:cs="Arial"/>
                <w:b w:val="0"/>
              </w:rPr>
              <w:t>Human MCP-1</w:t>
            </w:r>
          </w:p>
        </w:tc>
        <w:tc>
          <w:tcPr>
            <w:tcW w:w="4583" w:type="dxa"/>
          </w:tcPr>
          <w:p w14:paraId="4F4B54E0" w14:textId="77777777" w:rsidR="00054880" w:rsidRPr="0027410F" w:rsidRDefault="00054880" w:rsidP="0076761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27410F">
              <w:rPr>
                <w:rFonts w:ascii="Arial" w:hAnsi="Arial" w:cs="Arial"/>
              </w:rPr>
              <w:t>Fw</w:t>
            </w:r>
            <w:proofErr w:type="spellEnd"/>
            <w:r w:rsidRPr="0027410F">
              <w:rPr>
                <w:rFonts w:ascii="Arial" w:hAnsi="Arial" w:cs="Arial"/>
              </w:rPr>
              <w:t>: CCTAGCTTTCCCCAGACACC</w:t>
            </w:r>
          </w:p>
          <w:p w14:paraId="1803EA6C" w14:textId="77777777" w:rsidR="00054880" w:rsidRPr="0027410F" w:rsidRDefault="00054880" w:rsidP="0076761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27410F">
              <w:rPr>
                <w:rFonts w:ascii="Arial" w:hAnsi="Arial" w:cs="Arial"/>
              </w:rPr>
              <w:t>Rv</w:t>
            </w:r>
            <w:proofErr w:type="spellEnd"/>
            <w:r w:rsidRPr="0027410F">
              <w:rPr>
                <w:rFonts w:ascii="Arial" w:hAnsi="Arial" w:cs="Arial"/>
              </w:rPr>
              <w:t>: CCCAGGGGTAGAACTGTGG</w:t>
            </w:r>
          </w:p>
        </w:tc>
      </w:tr>
      <w:tr w:rsidR="00054880" w:rsidRPr="0027410F" w14:paraId="717E14E8" w14:textId="77777777" w:rsidTr="00B3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13F5810F" w14:textId="77777777" w:rsidR="00054880" w:rsidRPr="0027410F" w:rsidRDefault="00054880" w:rsidP="0076761F">
            <w:pPr>
              <w:spacing w:line="480" w:lineRule="auto"/>
              <w:rPr>
                <w:rFonts w:ascii="Arial" w:hAnsi="Arial" w:cs="Arial"/>
                <w:b w:val="0"/>
              </w:rPr>
            </w:pPr>
            <w:r w:rsidRPr="0027410F">
              <w:rPr>
                <w:rFonts w:ascii="Arial" w:hAnsi="Arial" w:cs="Arial"/>
                <w:b w:val="0"/>
              </w:rPr>
              <w:t>Human GAPDH</w:t>
            </w:r>
          </w:p>
        </w:tc>
        <w:tc>
          <w:tcPr>
            <w:tcW w:w="4583" w:type="dxa"/>
          </w:tcPr>
          <w:p w14:paraId="4C64D2B2"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27410F">
              <w:rPr>
                <w:rFonts w:ascii="Arial" w:hAnsi="Arial" w:cs="Arial"/>
                <w:bCs/>
              </w:rPr>
              <w:t>Fw</w:t>
            </w:r>
            <w:proofErr w:type="spellEnd"/>
            <w:r w:rsidRPr="0027410F">
              <w:rPr>
                <w:rFonts w:ascii="Arial" w:hAnsi="Arial" w:cs="Arial"/>
                <w:bCs/>
              </w:rPr>
              <w:t>: AGCCACATCGCTCAGACAC</w:t>
            </w:r>
          </w:p>
          <w:p w14:paraId="52F3E3FC"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27410F">
              <w:rPr>
                <w:rFonts w:ascii="Arial" w:hAnsi="Arial" w:cs="Arial"/>
                <w:bCs/>
              </w:rPr>
              <w:t>Rv</w:t>
            </w:r>
            <w:proofErr w:type="spellEnd"/>
            <w:r w:rsidRPr="0027410F">
              <w:rPr>
                <w:rFonts w:ascii="Arial" w:hAnsi="Arial" w:cs="Arial"/>
                <w:bCs/>
              </w:rPr>
              <w:t>: GCCCAATACGACCAAATCC</w:t>
            </w:r>
          </w:p>
        </w:tc>
      </w:tr>
      <w:tr w:rsidR="00054880" w:rsidRPr="0027410F" w14:paraId="250315FF" w14:textId="77777777" w:rsidTr="00B36B05">
        <w:tc>
          <w:tcPr>
            <w:cnfStyle w:val="001000000000" w:firstRow="0" w:lastRow="0" w:firstColumn="1" w:lastColumn="0" w:oddVBand="0" w:evenVBand="0" w:oddHBand="0" w:evenHBand="0" w:firstRowFirstColumn="0" w:firstRowLastColumn="0" w:lastRowFirstColumn="0" w:lastRowLastColumn="0"/>
            <w:tcW w:w="4583" w:type="dxa"/>
          </w:tcPr>
          <w:p w14:paraId="0CF50ABC" w14:textId="77777777" w:rsidR="00054880" w:rsidRPr="0027410F" w:rsidRDefault="00054880" w:rsidP="0076761F">
            <w:pPr>
              <w:spacing w:line="480" w:lineRule="auto"/>
              <w:rPr>
                <w:rFonts w:ascii="Arial" w:hAnsi="Arial" w:cs="Arial"/>
                <w:b w:val="0"/>
              </w:rPr>
            </w:pPr>
            <w:r w:rsidRPr="0027410F">
              <w:rPr>
                <w:rFonts w:ascii="Arial" w:hAnsi="Arial" w:cs="Arial"/>
                <w:b w:val="0"/>
              </w:rPr>
              <w:t>Rat VCAM-1</w:t>
            </w:r>
          </w:p>
        </w:tc>
        <w:tc>
          <w:tcPr>
            <w:tcW w:w="4583" w:type="dxa"/>
          </w:tcPr>
          <w:p w14:paraId="2FA98AEA" w14:textId="77777777" w:rsidR="00054880" w:rsidRPr="0027410F" w:rsidRDefault="00054880" w:rsidP="0076761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proofErr w:type="spellStart"/>
            <w:r w:rsidRPr="0027410F">
              <w:rPr>
                <w:rFonts w:ascii="Arial" w:hAnsi="Arial" w:cs="Arial"/>
                <w:bCs/>
              </w:rPr>
              <w:t>Fw</w:t>
            </w:r>
            <w:proofErr w:type="spellEnd"/>
            <w:r w:rsidRPr="0027410F">
              <w:rPr>
                <w:rFonts w:ascii="Arial" w:hAnsi="Arial" w:cs="Arial"/>
                <w:bCs/>
              </w:rPr>
              <w:t>: TGTGGAAGTGTGCCCGAAAT</w:t>
            </w:r>
          </w:p>
          <w:p w14:paraId="16430AD4" w14:textId="77777777" w:rsidR="00054880" w:rsidRPr="0027410F" w:rsidRDefault="00054880" w:rsidP="0076761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proofErr w:type="spellStart"/>
            <w:r w:rsidRPr="0027410F">
              <w:rPr>
                <w:rFonts w:ascii="Arial" w:hAnsi="Arial" w:cs="Arial"/>
                <w:bCs/>
              </w:rPr>
              <w:t>Rv</w:t>
            </w:r>
            <w:proofErr w:type="spellEnd"/>
            <w:r w:rsidRPr="0027410F">
              <w:rPr>
                <w:rFonts w:ascii="Arial" w:hAnsi="Arial" w:cs="Arial"/>
                <w:bCs/>
              </w:rPr>
              <w:t>: TGCCTTGCGGATGGTGTAC</w:t>
            </w:r>
          </w:p>
        </w:tc>
      </w:tr>
      <w:tr w:rsidR="00054880" w:rsidRPr="0027410F" w14:paraId="68933E6D" w14:textId="77777777" w:rsidTr="00B3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026FAD35" w14:textId="77777777" w:rsidR="00054880" w:rsidRPr="0027410F" w:rsidRDefault="00054880" w:rsidP="0076761F">
            <w:pPr>
              <w:spacing w:line="480" w:lineRule="auto"/>
              <w:rPr>
                <w:rFonts w:ascii="Arial" w:hAnsi="Arial" w:cs="Arial"/>
                <w:b w:val="0"/>
              </w:rPr>
            </w:pPr>
            <w:r w:rsidRPr="0027410F">
              <w:rPr>
                <w:rFonts w:ascii="Arial" w:hAnsi="Arial" w:cs="Arial"/>
                <w:b w:val="0"/>
              </w:rPr>
              <w:t>Rat ICAM-1</w:t>
            </w:r>
          </w:p>
        </w:tc>
        <w:tc>
          <w:tcPr>
            <w:tcW w:w="4583" w:type="dxa"/>
          </w:tcPr>
          <w:p w14:paraId="11548E5E"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27410F">
              <w:rPr>
                <w:rFonts w:ascii="Arial" w:hAnsi="Arial" w:cs="Arial"/>
                <w:bCs/>
              </w:rPr>
              <w:t>Fw</w:t>
            </w:r>
            <w:proofErr w:type="spellEnd"/>
            <w:r w:rsidRPr="0027410F">
              <w:rPr>
                <w:rFonts w:ascii="Arial" w:hAnsi="Arial" w:cs="Arial"/>
                <w:bCs/>
              </w:rPr>
              <w:t>: GGGCCCCCTACCTTAGGAA</w:t>
            </w:r>
          </w:p>
          <w:p w14:paraId="73E663E5"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27410F">
              <w:rPr>
                <w:rFonts w:ascii="Arial" w:hAnsi="Arial" w:cs="Arial"/>
                <w:bCs/>
              </w:rPr>
              <w:t>Rv</w:t>
            </w:r>
            <w:proofErr w:type="spellEnd"/>
            <w:r w:rsidRPr="0027410F">
              <w:rPr>
                <w:rFonts w:ascii="Arial" w:hAnsi="Arial" w:cs="Arial"/>
                <w:bCs/>
              </w:rPr>
              <w:t>: GGGACAGTGTCCCAGCTTTC</w:t>
            </w:r>
          </w:p>
        </w:tc>
      </w:tr>
      <w:tr w:rsidR="00054880" w:rsidRPr="0027410F" w14:paraId="0EE1883B" w14:textId="77777777" w:rsidTr="00B36B05">
        <w:tc>
          <w:tcPr>
            <w:cnfStyle w:val="001000000000" w:firstRow="0" w:lastRow="0" w:firstColumn="1" w:lastColumn="0" w:oddVBand="0" w:evenVBand="0" w:oddHBand="0" w:evenHBand="0" w:firstRowFirstColumn="0" w:firstRowLastColumn="0" w:lastRowFirstColumn="0" w:lastRowLastColumn="0"/>
            <w:tcW w:w="4583" w:type="dxa"/>
          </w:tcPr>
          <w:p w14:paraId="73CECDB6" w14:textId="77777777" w:rsidR="00054880" w:rsidRPr="0027410F" w:rsidRDefault="00054880" w:rsidP="0076761F">
            <w:pPr>
              <w:spacing w:line="480" w:lineRule="auto"/>
              <w:rPr>
                <w:rFonts w:ascii="Arial" w:hAnsi="Arial" w:cs="Arial"/>
                <w:b w:val="0"/>
              </w:rPr>
            </w:pPr>
            <w:r w:rsidRPr="0027410F">
              <w:rPr>
                <w:rFonts w:ascii="Arial" w:hAnsi="Arial" w:cs="Arial"/>
                <w:b w:val="0"/>
              </w:rPr>
              <w:t>Rat MCP-1</w:t>
            </w:r>
          </w:p>
        </w:tc>
        <w:tc>
          <w:tcPr>
            <w:tcW w:w="4583" w:type="dxa"/>
          </w:tcPr>
          <w:p w14:paraId="5FB6B175" w14:textId="77777777" w:rsidR="00054880" w:rsidRPr="0027410F" w:rsidRDefault="00054880" w:rsidP="0076761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proofErr w:type="spellStart"/>
            <w:r w:rsidRPr="0027410F">
              <w:rPr>
                <w:rFonts w:ascii="Arial" w:hAnsi="Arial" w:cs="Arial"/>
                <w:bCs/>
              </w:rPr>
              <w:t>Fw</w:t>
            </w:r>
            <w:proofErr w:type="spellEnd"/>
            <w:r w:rsidRPr="0027410F">
              <w:rPr>
                <w:rFonts w:ascii="Arial" w:hAnsi="Arial" w:cs="Arial"/>
                <w:bCs/>
              </w:rPr>
              <w:t>: ATGCAGTTAATGCCCCACTC</w:t>
            </w:r>
          </w:p>
          <w:p w14:paraId="7EC2B688" w14:textId="77777777" w:rsidR="00054880" w:rsidRPr="0027410F" w:rsidRDefault="00054880" w:rsidP="0076761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proofErr w:type="spellStart"/>
            <w:r w:rsidRPr="0027410F">
              <w:rPr>
                <w:rFonts w:ascii="Arial" w:hAnsi="Arial" w:cs="Arial"/>
                <w:bCs/>
              </w:rPr>
              <w:t>Rv</w:t>
            </w:r>
            <w:proofErr w:type="spellEnd"/>
            <w:r w:rsidRPr="0027410F">
              <w:rPr>
                <w:rFonts w:ascii="Arial" w:hAnsi="Arial" w:cs="Arial"/>
                <w:bCs/>
              </w:rPr>
              <w:t>: TTCCTTATTGGGGTCAGCAC</w:t>
            </w:r>
          </w:p>
        </w:tc>
      </w:tr>
      <w:tr w:rsidR="00054880" w:rsidRPr="0027410F" w14:paraId="632460A3" w14:textId="77777777" w:rsidTr="00B3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D33E69E" w14:textId="77777777" w:rsidR="00054880" w:rsidRPr="0027410F" w:rsidRDefault="00054880" w:rsidP="0076761F">
            <w:pPr>
              <w:spacing w:line="480" w:lineRule="auto"/>
              <w:rPr>
                <w:rFonts w:ascii="Arial" w:hAnsi="Arial" w:cs="Arial"/>
                <w:b w:val="0"/>
              </w:rPr>
            </w:pPr>
            <w:r w:rsidRPr="0027410F">
              <w:rPr>
                <w:rFonts w:ascii="Arial" w:hAnsi="Arial" w:cs="Arial"/>
                <w:b w:val="0"/>
              </w:rPr>
              <w:t>Rat GAPDH</w:t>
            </w:r>
          </w:p>
        </w:tc>
        <w:tc>
          <w:tcPr>
            <w:tcW w:w="4583" w:type="dxa"/>
          </w:tcPr>
          <w:p w14:paraId="4B233B87" w14:textId="7777777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27410F">
              <w:rPr>
                <w:rFonts w:ascii="Arial" w:hAnsi="Arial" w:cs="Arial"/>
                <w:bCs/>
              </w:rPr>
              <w:t>Fw</w:t>
            </w:r>
            <w:proofErr w:type="spellEnd"/>
            <w:r w:rsidRPr="0027410F">
              <w:rPr>
                <w:rFonts w:ascii="Arial" w:hAnsi="Arial" w:cs="Arial"/>
                <w:bCs/>
              </w:rPr>
              <w:t xml:space="preserve">: </w:t>
            </w:r>
            <w:r w:rsidRPr="0027410F">
              <w:rPr>
                <w:rFonts w:ascii="Arial" w:hAnsi="Arial" w:cs="Arial"/>
              </w:rPr>
              <w:t>GGTGGACCTCATGGCCTACA</w:t>
            </w:r>
          </w:p>
          <w:p w14:paraId="21AF74E6" w14:textId="27350C07" w:rsidR="00054880" w:rsidRPr="0027410F" w:rsidRDefault="00054880" w:rsidP="0076761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27410F">
              <w:rPr>
                <w:rFonts w:ascii="Arial" w:hAnsi="Arial" w:cs="Arial"/>
                <w:bCs/>
              </w:rPr>
              <w:t>Rv</w:t>
            </w:r>
            <w:proofErr w:type="spellEnd"/>
            <w:r w:rsidRPr="0027410F">
              <w:rPr>
                <w:rFonts w:ascii="Arial" w:hAnsi="Arial" w:cs="Arial"/>
                <w:bCs/>
              </w:rPr>
              <w:t xml:space="preserve">: </w:t>
            </w:r>
            <w:r w:rsidRPr="0027410F">
              <w:rPr>
                <w:rFonts w:ascii="Arial" w:hAnsi="Arial" w:cs="Arial"/>
              </w:rPr>
              <w:t>TCTCTTGCTCTCAGTATCCTTGCT</w:t>
            </w:r>
          </w:p>
        </w:tc>
      </w:tr>
    </w:tbl>
    <w:p w14:paraId="059C3931" w14:textId="6F876D39" w:rsidR="007524DF" w:rsidRDefault="007524DF" w:rsidP="0076761F">
      <w:pPr>
        <w:autoSpaceDE w:val="0"/>
        <w:autoSpaceDN w:val="0"/>
        <w:adjustRightInd w:val="0"/>
        <w:spacing w:line="480" w:lineRule="auto"/>
        <w:rPr>
          <w:rFonts w:ascii="Arial" w:hAnsi="Arial" w:cs="Arial"/>
          <w:b/>
        </w:rPr>
      </w:pPr>
    </w:p>
    <w:p w14:paraId="39761C91" w14:textId="0332C012" w:rsidR="003E75F6" w:rsidRDefault="003E75F6" w:rsidP="0076761F">
      <w:pPr>
        <w:autoSpaceDE w:val="0"/>
        <w:autoSpaceDN w:val="0"/>
        <w:adjustRightInd w:val="0"/>
        <w:spacing w:line="480" w:lineRule="auto"/>
        <w:rPr>
          <w:rFonts w:ascii="Arial" w:hAnsi="Arial" w:cs="Arial"/>
          <w:b/>
        </w:rPr>
      </w:pPr>
    </w:p>
    <w:p w14:paraId="014D187F" w14:textId="77777777" w:rsidR="003E75F6" w:rsidRPr="0076761F" w:rsidRDefault="003E75F6" w:rsidP="003E75F6">
      <w:pPr>
        <w:autoSpaceDE w:val="0"/>
        <w:autoSpaceDN w:val="0"/>
        <w:adjustRightInd w:val="0"/>
        <w:spacing w:line="480" w:lineRule="auto"/>
        <w:rPr>
          <w:rFonts w:ascii="Arial" w:eastAsia="Calibri" w:hAnsi="Arial" w:cs="Arial"/>
          <w:b/>
          <w:bCs/>
          <w:sz w:val="24"/>
          <w:szCs w:val="24"/>
          <w:lang w:eastAsia="en-GB"/>
        </w:rPr>
      </w:pPr>
      <w:r w:rsidRPr="0076761F">
        <w:rPr>
          <w:rFonts w:ascii="Arial" w:hAnsi="Arial" w:cs="Arial"/>
          <w:b/>
          <w:sz w:val="24"/>
          <w:szCs w:val="24"/>
        </w:rPr>
        <w:lastRenderedPageBreak/>
        <w:t xml:space="preserve">Supplemental </w:t>
      </w:r>
      <w:r w:rsidRPr="0076761F">
        <w:rPr>
          <w:rFonts w:ascii="Arial" w:eastAsia="Calibri" w:hAnsi="Arial" w:cs="Arial"/>
          <w:b/>
          <w:bCs/>
          <w:sz w:val="24"/>
          <w:szCs w:val="24"/>
          <w:lang w:eastAsia="en-GB"/>
        </w:rPr>
        <w:t>Figure Legends:</w:t>
      </w:r>
    </w:p>
    <w:p w14:paraId="05B16FDF" w14:textId="16C77877" w:rsidR="003E75F6" w:rsidRPr="0076761F" w:rsidRDefault="003E75F6" w:rsidP="003E75F6">
      <w:pPr>
        <w:autoSpaceDE w:val="0"/>
        <w:autoSpaceDN w:val="0"/>
        <w:adjustRightInd w:val="0"/>
        <w:spacing w:line="480" w:lineRule="auto"/>
        <w:rPr>
          <w:rFonts w:ascii="Arial" w:eastAsia="Calibri" w:hAnsi="Arial" w:cs="Arial"/>
          <w:b/>
          <w:bCs/>
          <w:sz w:val="24"/>
          <w:szCs w:val="24"/>
          <w:lang w:eastAsia="en-GB"/>
        </w:rPr>
      </w:pPr>
      <w:r w:rsidRPr="0076761F">
        <w:rPr>
          <w:rFonts w:ascii="Arial" w:eastAsia="Calibri" w:hAnsi="Arial" w:cs="Arial"/>
          <w:b/>
          <w:bCs/>
          <w:sz w:val="24"/>
          <w:szCs w:val="24"/>
          <w:lang w:eastAsia="en-GB"/>
        </w:rPr>
        <w:t xml:space="preserve">Figure </w:t>
      </w:r>
      <w:r>
        <w:rPr>
          <w:rFonts w:ascii="Arial" w:eastAsia="Calibri" w:hAnsi="Arial" w:cs="Arial"/>
          <w:b/>
          <w:bCs/>
          <w:sz w:val="24"/>
          <w:szCs w:val="24"/>
          <w:lang w:eastAsia="en-GB"/>
        </w:rPr>
        <w:t>S</w:t>
      </w:r>
      <w:r w:rsidRPr="0076761F">
        <w:rPr>
          <w:rFonts w:ascii="Arial" w:eastAsia="Calibri" w:hAnsi="Arial" w:cs="Arial"/>
          <w:b/>
          <w:bCs/>
          <w:sz w:val="24"/>
          <w:szCs w:val="24"/>
          <w:lang w:eastAsia="en-GB"/>
        </w:rPr>
        <w:t xml:space="preserve">1: Pin1 expression is increased in the lungs of experimentally induced PAH rat models. </w:t>
      </w:r>
      <w:r w:rsidRPr="0076761F">
        <w:rPr>
          <w:rFonts w:ascii="Arial" w:eastAsia="Calibri" w:hAnsi="Arial" w:cs="Arial"/>
          <w:bCs/>
          <w:sz w:val="24"/>
          <w:szCs w:val="24"/>
          <w:lang w:eastAsia="en-GB"/>
        </w:rPr>
        <w:t xml:space="preserve">(A-C) Representative immunofluorescence photomicrographs of Pin1 (red) and α-smooth muscle actin (SM-actin, white) in the lungs from control and monocrotaline (MCT) (A), </w:t>
      </w:r>
      <w:proofErr w:type="spellStart"/>
      <w:r w:rsidRPr="0076761F">
        <w:rPr>
          <w:rFonts w:ascii="Arial" w:eastAsia="Calibri" w:hAnsi="Arial" w:cs="Arial"/>
          <w:bCs/>
          <w:sz w:val="24"/>
          <w:szCs w:val="24"/>
          <w:lang w:eastAsia="en-GB"/>
        </w:rPr>
        <w:t>sugen</w:t>
      </w:r>
      <w:proofErr w:type="spellEnd"/>
      <w:r w:rsidRPr="0076761F">
        <w:rPr>
          <w:rFonts w:ascii="Arial" w:eastAsia="Calibri" w:hAnsi="Arial" w:cs="Arial"/>
          <w:bCs/>
          <w:sz w:val="24"/>
          <w:szCs w:val="24"/>
          <w:lang w:eastAsia="en-GB"/>
        </w:rPr>
        <w:t xml:space="preserve"> hypoxia (</w:t>
      </w:r>
      <w:proofErr w:type="spellStart"/>
      <w:r w:rsidRPr="0076761F">
        <w:rPr>
          <w:rFonts w:ascii="Arial" w:eastAsia="Calibri" w:hAnsi="Arial" w:cs="Arial"/>
          <w:bCs/>
          <w:sz w:val="24"/>
          <w:szCs w:val="24"/>
          <w:lang w:eastAsia="en-GB"/>
        </w:rPr>
        <w:t>SuHx</w:t>
      </w:r>
      <w:proofErr w:type="spellEnd"/>
      <w:r w:rsidRPr="0076761F">
        <w:rPr>
          <w:rFonts w:ascii="Arial" w:eastAsia="Calibri" w:hAnsi="Arial" w:cs="Arial"/>
          <w:bCs/>
          <w:sz w:val="24"/>
          <w:szCs w:val="24"/>
          <w:lang w:eastAsia="en-GB"/>
        </w:rPr>
        <w:t>) (B), and MCT-Shunt (C)</w:t>
      </w:r>
      <w:r>
        <w:rPr>
          <w:rFonts w:ascii="Arial" w:eastAsia="Calibri" w:hAnsi="Arial" w:cs="Arial"/>
          <w:bCs/>
          <w:sz w:val="24"/>
          <w:szCs w:val="24"/>
          <w:lang w:eastAsia="en-GB"/>
        </w:rPr>
        <w:t xml:space="preserve"> induced PAH rat models</w:t>
      </w:r>
      <w:r w:rsidRPr="0076761F">
        <w:rPr>
          <w:rFonts w:ascii="Arial" w:eastAsia="Calibri" w:hAnsi="Arial" w:cs="Arial"/>
          <w:bCs/>
          <w:sz w:val="24"/>
          <w:szCs w:val="24"/>
          <w:lang w:eastAsia="en-GB"/>
        </w:rPr>
        <w:t>. DAPI (blue).</w:t>
      </w:r>
      <w:r w:rsidRPr="0076761F">
        <w:rPr>
          <w:rFonts w:ascii="Arial" w:eastAsia="Calibri" w:hAnsi="Arial" w:cs="Arial"/>
          <w:b/>
          <w:bCs/>
          <w:sz w:val="24"/>
          <w:szCs w:val="24"/>
          <w:lang w:eastAsia="en-GB"/>
        </w:rPr>
        <w:t xml:space="preserve"> </w:t>
      </w:r>
    </w:p>
    <w:p w14:paraId="031D662E" w14:textId="2F4DA744" w:rsidR="003E75F6" w:rsidRPr="0076761F" w:rsidRDefault="003E75F6" w:rsidP="003E75F6">
      <w:pPr>
        <w:autoSpaceDE w:val="0"/>
        <w:autoSpaceDN w:val="0"/>
        <w:adjustRightInd w:val="0"/>
        <w:spacing w:line="480" w:lineRule="auto"/>
        <w:rPr>
          <w:rFonts w:ascii="Arial" w:eastAsia="Calibri" w:hAnsi="Arial" w:cs="Arial"/>
          <w:bCs/>
          <w:sz w:val="24"/>
          <w:szCs w:val="24"/>
          <w:lang w:eastAsia="en-GB"/>
        </w:rPr>
      </w:pPr>
      <w:r w:rsidRPr="0076761F">
        <w:rPr>
          <w:rFonts w:ascii="Arial" w:eastAsia="Calibri" w:hAnsi="Arial" w:cs="Arial"/>
          <w:b/>
          <w:bCs/>
          <w:sz w:val="24"/>
          <w:szCs w:val="24"/>
          <w:lang w:eastAsia="en-GB"/>
        </w:rPr>
        <w:t xml:space="preserve">Figure </w:t>
      </w:r>
      <w:r>
        <w:rPr>
          <w:rFonts w:ascii="Arial" w:eastAsia="Calibri" w:hAnsi="Arial" w:cs="Arial"/>
          <w:b/>
          <w:bCs/>
          <w:sz w:val="24"/>
          <w:szCs w:val="24"/>
          <w:lang w:eastAsia="en-GB"/>
        </w:rPr>
        <w:t>S</w:t>
      </w:r>
      <w:r w:rsidRPr="0076761F">
        <w:rPr>
          <w:rFonts w:ascii="Arial" w:eastAsia="Calibri" w:hAnsi="Arial" w:cs="Arial"/>
          <w:b/>
          <w:bCs/>
          <w:sz w:val="24"/>
          <w:szCs w:val="24"/>
          <w:lang w:eastAsia="en-GB"/>
        </w:rPr>
        <w:t>2: Pin1 modulates TGF</w:t>
      </w:r>
      <w:r>
        <w:rPr>
          <w:rFonts w:ascii="Arial" w:eastAsia="Calibri" w:hAnsi="Arial" w:cs="Arial"/>
          <w:b/>
          <w:bCs/>
          <w:sz w:val="24"/>
          <w:szCs w:val="24"/>
          <w:lang w:eastAsia="en-GB"/>
        </w:rPr>
        <w:t>-</w:t>
      </w:r>
      <w:r w:rsidRPr="0076761F">
        <w:rPr>
          <w:rFonts w:ascii="Arial" w:eastAsia="Calibri" w:hAnsi="Arial" w:cs="Arial"/>
          <w:b/>
          <w:bCs/>
          <w:sz w:val="24"/>
          <w:szCs w:val="24"/>
          <w:lang w:eastAsia="en-GB"/>
        </w:rPr>
        <w:t xml:space="preserve">β/BMP signalling in vitro. </w:t>
      </w:r>
      <w:r w:rsidRPr="0076761F">
        <w:rPr>
          <w:rFonts w:ascii="Arial" w:eastAsia="Calibri" w:hAnsi="Arial" w:cs="Arial"/>
          <w:bCs/>
          <w:sz w:val="24"/>
          <w:szCs w:val="24"/>
          <w:lang w:eastAsia="en-GB"/>
        </w:rPr>
        <w:t xml:space="preserve">(A) Knock-down efficiency of Pin1 with </w:t>
      </w:r>
      <w:r w:rsidRPr="0076761F">
        <w:rPr>
          <w:rFonts w:ascii="Arial" w:eastAsia="Calibri" w:hAnsi="Arial" w:cs="Arial"/>
          <w:sz w:val="24"/>
          <w:szCs w:val="24"/>
          <w:lang w:eastAsia="en-GB"/>
        </w:rPr>
        <w:t>lentiviruses encoding shRNA targeting Pin1 (shPin1#1-5) or a control shRNA (</w:t>
      </w:r>
      <w:proofErr w:type="spellStart"/>
      <w:r w:rsidRPr="0076761F">
        <w:rPr>
          <w:rFonts w:ascii="Arial" w:eastAsia="Calibri" w:hAnsi="Arial" w:cs="Arial"/>
          <w:sz w:val="24"/>
          <w:szCs w:val="24"/>
          <w:lang w:eastAsia="en-GB"/>
        </w:rPr>
        <w:t>shCtrl</w:t>
      </w:r>
      <w:proofErr w:type="spellEnd"/>
      <w:r w:rsidRPr="0076761F">
        <w:rPr>
          <w:rFonts w:ascii="Arial" w:eastAsia="Calibri" w:hAnsi="Arial" w:cs="Arial"/>
          <w:sz w:val="24"/>
          <w:szCs w:val="24"/>
          <w:lang w:eastAsia="en-GB"/>
        </w:rPr>
        <w:t xml:space="preserve">) in pulmonary microvascular endothelial cells (MVECs) was determined by </w:t>
      </w:r>
      <w:proofErr w:type="spellStart"/>
      <w:r w:rsidRPr="0076761F">
        <w:rPr>
          <w:rFonts w:ascii="Arial" w:eastAsia="Calibri" w:hAnsi="Arial" w:cs="Arial"/>
          <w:sz w:val="24"/>
          <w:szCs w:val="24"/>
          <w:lang w:eastAsia="en-GB"/>
        </w:rPr>
        <w:t>qRT</w:t>
      </w:r>
      <w:proofErr w:type="spellEnd"/>
      <w:r w:rsidRPr="0076761F">
        <w:rPr>
          <w:rFonts w:ascii="Arial" w:eastAsia="Calibri" w:hAnsi="Arial" w:cs="Arial"/>
          <w:sz w:val="24"/>
          <w:szCs w:val="24"/>
          <w:lang w:eastAsia="en-GB"/>
        </w:rPr>
        <w:t>-PCR. (B) Representative western blots showing pSmad2 in pulmonary artery smooth muscle cells (PASMCs) following knock-down of Pin1 and stimulation with TGFβ (1ng/ml) for 1 h. Vinculin served as a loading control. (C-D)</w:t>
      </w:r>
      <w:r w:rsidRPr="0076761F">
        <w:rPr>
          <w:rFonts w:ascii="Arial" w:hAnsi="Arial" w:cs="Arial"/>
          <w:sz w:val="24"/>
          <w:szCs w:val="24"/>
        </w:rPr>
        <w:t xml:space="preserve"> </w:t>
      </w:r>
      <w:r w:rsidRPr="0076761F">
        <w:rPr>
          <w:rFonts w:ascii="Arial" w:eastAsia="Calibri" w:hAnsi="Arial" w:cs="Arial"/>
          <w:sz w:val="24"/>
          <w:szCs w:val="24"/>
          <w:lang w:eastAsia="en-GB"/>
        </w:rPr>
        <w:t>BRE-luciferase activity in HEK293T cells was measured following over-expression of Pin1 (C) or treatment with Pin1 inhibitor, juglone (B) and stimulation with BMP6 (20ng/ml) for 24 h. (E) Representative western blots showing BMPR2, Id3 and Pin1 proteins relative to Tubulin as loading control following knock-down of Pin1 and stimulation with or without TNFα</w:t>
      </w:r>
      <w:r w:rsidRPr="0076761F">
        <w:rPr>
          <w:rFonts w:ascii="Arial" w:eastAsia="Calibri" w:hAnsi="Arial" w:cs="Arial"/>
          <w:bCs/>
          <w:sz w:val="24"/>
          <w:szCs w:val="24"/>
          <w:lang w:eastAsia="en-GB"/>
        </w:rPr>
        <w:t xml:space="preserve"> (50 ng/ml) for 6 h in MVECs. (F-H) HEK293T cells were transfected with expression plasmids coding for BMPR2 with or without Pin1. After 24h of transfection, the cells were treated with cycloheximide (CHX) to block the de novo protein synthesis for 16 h. BMPR2 expression was analysed by western blotting using anti-BMPR2 antibody (F) and quantified for BMPR2 170kDa (G) and BMPR2 115kDa protein. Vinculin was used as the loading control. </w:t>
      </w:r>
      <w:r w:rsidRPr="0076761F">
        <w:rPr>
          <w:rFonts w:ascii="Arial" w:eastAsia="Calibri" w:hAnsi="Arial" w:cs="Arial"/>
          <w:sz w:val="24"/>
          <w:szCs w:val="24"/>
          <w:lang w:eastAsia="en-GB"/>
        </w:rPr>
        <w:t xml:space="preserve">*p&lt;0.05 No CHX vs CHX treatment; #p&lt;0.05 empty vector vs Pin1 overexpression.  </w:t>
      </w:r>
    </w:p>
    <w:p w14:paraId="19E5991C" w14:textId="6F11693C" w:rsidR="003E75F6" w:rsidRPr="0076761F" w:rsidRDefault="003E75F6" w:rsidP="003E75F6">
      <w:pPr>
        <w:autoSpaceDE w:val="0"/>
        <w:autoSpaceDN w:val="0"/>
        <w:adjustRightInd w:val="0"/>
        <w:spacing w:line="480" w:lineRule="auto"/>
        <w:rPr>
          <w:rFonts w:ascii="Arial" w:hAnsi="Arial" w:cs="Arial"/>
          <w:sz w:val="24"/>
          <w:szCs w:val="24"/>
        </w:rPr>
      </w:pPr>
      <w:r w:rsidRPr="0076761F">
        <w:rPr>
          <w:rFonts w:ascii="Arial" w:eastAsia="Calibri" w:hAnsi="Arial" w:cs="Arial"/>
          <w:b/>
          <w:bCs/>
          <w:sz w:val="24"/>
          <w:szCs w:val="24"/>
          <w:lang w:eastAsia="en-GB"/>
        </w:rPr>
        <w:lastRenderedPageBreak/>
        <w:t xml:space="preserve">Figure </w:t>
      </w:r>
      <w:r>
        <w:rPr>
          <w:rFonts w:ascii="Arial" w:eastAsia="Calibri" w:hAnsi="Arial" w:cs="Arial"/>
          <w:b/>
          <w:bCs/>
          <w:sz w:val="24"/>
          <w:szCs w:val="24"/>
          <w:lang w:eastAsia="en-GB"/>
        </w:rPr>
        <w:t>S</w:t>
      </w:r>
      <w:r w:rsidRPr="0076761F">
        <w:rPr>
          <w:rFonts w:ascii="Arial" w:eastAsia="Calibri" w:hAnsi="Arial" w:cs="Arial"/>
          <w:b/>
          <w:bCs/>
          <w:sz w:val="24"/>
          <w:szCs w:val="24"/>
          <w:lang w:eastAsia="en-GB"/>
        </w:rPr>
        <w:t xml:space="preserve">3: Pin1 modulates </w:t>
      </w:r>
      <w:proofErr w:type="spellStart"/>
      <w:r w:rsidRPr="0076761F">
        <w:rPr>
          <w:rFonts w:ascii="Arial" w:eastAsia="Calibri" w:hAnsi="Arial" w:cs="Arial"/>
          <w:b/>
          <w:bCs/>
          <w:sz w:val="24"/>
          <w:szCs w:val="24"/>
          <w:lang w:eastAsia="en-GB"/>
        </w:rPr>
        <w:t>NFκB</w:t>
      </w:r>
      <w:proofErr w:type="spellEnd"/>
      <w:r w:rsidRPr="0076761F">
        <w:rPr>
          <w:rFonts w:ascii="Arial" w:eastAsia="Calibri" w:hAnsi="Arial" w:cs="Arial"/>
          <w:b/>
          <w:bCs/>
          <w:sz w:val="24"/>
          <w:szCs w:val="24"/>
          <w:lang w:eastAsia="en-GB"/>
        </w:rPr>
        <w:t xml:space="preserve"> reporter activity and endothelin 1 expression. </w:t>
      </w:r>
      <w:r w:rsidRPr="0076761F">
        <w:rPr>
          <w:rFonts w:ascii="Arial" w:eastAsia="Calibri" w:hAnsi="Arial" w:cs="Arial"/>
          <w:bCs/>
          <w:sz w:val="24"/>
          <w:szCs w:val="24"/>
          <w:lang w:eastAsia="en-GB"/>
        </w:rPr>
        <w:t xml:space="preserve">(A) </w:t>
      </w:r>
      <w:proofErr w:type="spellStart"/>
      <w:r w:rsidRPr="0076761F">
        <w:rPr>
          <w:rFonts w:ascii="Arial" w:hAnsi="Arial" w:cs="Arial"/>
          <w:sz w:val="24"/>
          <w:szCs w:val="24"/>
        </w:rPr>
        <w:t>NFκB</w:t>
      </w:r>
      <w:proofErr w:type="spellEnd"/>
      <w:r w:rsidRPr="0076761F">
        <w:rPr>
          <w:rFonts w:ascii="Arial" w:hAnsi="Arial" w:cs="Arial"/>
          <w:sz w:val="24"/>
          <w:szCs w:val="24"/>
        </w:rPr>
        <w:t>-luciferase activity</w:t>
      </w:r>
      <w:r w:rsidRPr="0076761F">
        <w:rPr>
          <w:rFonts w:ascii="Arial" w:eastAsia="Calibri" w:hAnsi="Arial" w:cs="Arial"/>
          <w:bCs/>
          <w:sz w:val="24"/>
          <w:szCs w:val="24"/>
          <w:lang w:eastAsia="en-GB"/>
        </w:rPr>
        <w:t xml:space="preserve"> in HEK293T cells was measured following over-expression of Pin1 and stimulation with </w:t>
      </w:r>
      <w:r w:rsidRPr="0076761F">
        <w:rPr>
          <w:rFonts w:ascii="Arial" w:eastAsia="Calibri" w:hAnsi="Arial" w:cs="Arial"/>
          <w:sz w:val="24"/>
          <w:szCs w:val="24"/>
          <w:lang w:eastAsia="en-GB"/>
        </w:rPr>
        <w:t>TNFα</w:t>
      </w:r>
      <w:r w:rsidRPr="0076761F">
        <w:rPr>
          <w:rFonts w:ascii="Arial" w:eastAsia="Calibri" w:hAnsi="Arial" w:cs="Arial"/>
          <w:bCs/>
          <w:sz w:val="24"/>
          <w:szCs w:val="24"/>
          <w:lang w:eastAsia="en-GB"/>
        </w:rPr>
        <w:t xml:space="preserve"> (50 ng/ml) for 6 h. (B) </w:t>
      </w:r>
      <w:proofErr w:type="spellStart"/>
      <w:r w:rsidRPr="0076761F">
        <w:rPr>
          <w:rFonts w:ascii="Arial" w:eastAsia="Calibri" w:hAnsi="Arial" w:cs="Arial"/>
          <w:sz w:val="24"/>
          <w:szCs w:val="24"/>
          <w:lang w:eastAsia="en-GB"/>
        </w:rPr>
        <w:t>qRT</w:t>
      </w:r>
      <w:proofErr w:type="spellEnd"/>
      <w:r w:rsidRPr="0076761F">
        <w:rPr>
          <w:rFonts w:ascii="Arial" w:eastAsia="Calibri" w:hAnsi="Arial" w:cs="Arial"/>
          <w:sz w:val="24"/>
          <w:szCs w:val="24"/>
          <w:lang w:eastAsia="en-GB"/>
        </w:rPr>
        <w:t xml:space="preserve">-PCR in MVECs was performed to assess mRNA expression of endothelin 1 following treatment with juglone for 6 h.  *p&lt;0.05. </w:t>
      </w:r>
      <w:r w:rsidRPr="0076761F">
        <w:rPr>
          <w:rFonts w:ascii="Arial" w:hAnsi="Arial" w:cs="Arial"/>
          <w:sz w:val="24"/>
          <w:szCs w:val="24"/>
        </w:rPr>
        <w:t xml:space="preserve">Student’s t-tests were used for comparisons between two groups. Error bars, mean ± </w:t>
      </w:r>
      <w:proofErr w:type="spellStart"/>
      <w:r w:rsidRPr="0076761F">
        <w:rPr>
          <w:rFonts w:ascii="Arial" w:hAnsi="Arial" w:cs="Arial"/>
          <w:sz w:val="24"/>
          <w:szCs w:val="24"/>
        </w:rPr>
        <w:t>s.e.m.</w:t>
      </w:r>
      <w:proofErr w:type="spellEnd"/>
    </w:p>
    <w:p w14:paraId="4CFF1A67" w14:textId="1A3F5C26" w:rsidR="003E75F6" w:rsidRPr="0027410F" w:rsidRDefault="003E75F6" w:rsidP="003E75F6">
      <w:pPr>
        <w:autoSpaceDE w:val="0"/>
        <w:autoSpaceDN w:val="0"/>
        <w:adjustRightInd w:val="0"/>
        <w:spacing w:line="480" w:lineRule="auto"/>
        <w:rPr>
          <w:rFonts w:ascii="Arial" w:hAnsi="Arial" w:cs="Arial"/>
          <w:b/>
        </w:rPr>
      </w:pPr>
      <w:r w:rsidRPr="0076761F">
        <w:rPr>
          <w:rFonts w:ascii="Arial" w:eastAsia="Calibri" w:hAnsi="Arial" w:cs="Arial"/>
          <w:b/>
          <w:bCs/>
          <w:sz w:val="24"/>
          <w:szCs w:val="24"/>
          <w:lang w:eastAsia="en-GB"/>
        </w:rPr>
        <w:t xml:space="preserve">Figure </w:t>
      </w:r>
      <w:r>
        <w:rPr>
          <w:rFonts w:ascii="Arial" w:eastAsia="Calibri" w:hAnsi="Arial" w:cs="Arial"/>
          <w:b/>
          <w:bCs/>
          <w:sz w:val="24"/>
          <w:szCs w:val="24"/>
          <w:lang w:eastAsia="en-GB"/>
        </w:rPr>
        <w:t>S</w:t>
      </w:r>
      <w:r w:rsidRPr="0076761F">
        <w:rPr>
          <w:rFonts w:ascii="Arial" w:eastAsia="Calibri" w:hAnsi="Arial" w:cs="Arial"/>
          <w:b/>
          <w:bCs/>
          <w:sz w:val="24"/>
          <w:szCs w:val="24"/>
          <w:lang w:eastAsia="en-GB"/>
        </w:rPr>
        <w:t>4: Juglone effects on number of capillaries and blood cell composition in rats with RV pressure load induced by pulmonary artery banding (PAB) in vivo.  (</w:t>
      </w:r>
      <w:r w:rsidRPr="0076761F">
        <w:rPr>
          <w:rFonts w:ascii="Arial" w:eastAsia="Calibri" w:hAnsi="Arial" w:cs="Arial"/>
          <w:bCs/>
          <w:sz w:val="24"/>
          <w:szCs w:val="24"/>
          <w:lang w:eastAsia="en-GB"/>
        </w:rPr>
        <w:t>A) Pressure gradient was measured in PAB rats at Day 14 and Day 56 following treatment with or without juglone. (B-C) The number of CD31 positive capillaries were counted in RV (B) and LV (C). The data is represented as number of capillaries/mm</w:t>
      </w:r>
      <w:r w:rsidRPr="0076761F">
        <w:rPr>
          <w:rFonts w:ascii="Arial" w:eastAsia="Calibri" w:hAnsi="Arial" w:cs="Arial"/>
          <w:bCs/>
          <w:sz w:val="24"/>
          <w:szCs w:val="24"/>
          <w:vertAlign w:val="superscript"/>
          <w:lang w:eastAsia="en-GB"/>
        </w:rPr>
        <w:t>2</w:t>
      </w:r>
      <w:r w:rsidRPr="0076761F">
        <w:rPr>
          <w:rFonts w:ascii="Arial" w:eastAsia="Calibri" w:hAnsi="Arial" w:cs="Arial"/>
          <w:bCs/>
          <w:sz w:val="24"/>
          <w:szCs w:val="24"/>
          <w:lang w:eastAsia="en-GB"/>
        </w:rPr>
        <w:t>.</w:t>
      </w:r>
      <w:r w:rsidRPr="0076761F">
        <w:rPr>
          <w:rFonts w:ascii="Arial" w:eastAsia="Calibri" w:hAnsi="Arial" w:cs="Arial"/>
          <w:bCs/>
          <w:sz w:val="24"/>
          <w:szCs w:val="24"/>
          <w:vertAlign w:val="superscript"/>
          <w:lang w:eastAsia="en-GB"/>
        </w:rPr>
        <w:t xml:space="preserve"> </w:t>
      </w:r>
      <w:r w:rsidRPr="0076761F">
        <w:rPr>
          <w:rFonts w:ascii="Arial" w:eastAsia="Calibri" w:hAnsi="Arial" w:cs="Arial"/>
          <w:bCs/>
          <w:sz w:val="24"/>
          <w:szCs w:val="24"/>
          <w:lang w:eastAsia="en-GB"/>
        </w:rPr>
        <w:t>(</w:t>
      </w:r>
      <w:r w:rsidRPr="0076761F">
        <w:rPr>
          <w:rFonts w:ascii="Arial" w:eastAsia="Calibri" w:hAnsi="Arial" w:cs="Arial"/>
          <w:sz w:val="24"/>
          <w:szCs w:val="24"/>
          <w:lang w:eastAsia="en-GB"/>
        </w:rPr>
        <w:t xml:space="preserve">D-F) </w:t>
      </w:r>
      <w:proofErr w:type="spellStart"/>
      <w:r w:rsidRPr="0076761F">
        <w:rPr>
          <w:rFonts w:ascii="Arial" w:eastAsia="Calibri" w:hAnsi="Arial" w:cs="Arial"/>
          <w:sz w:val="24"/>
          <w:szCs w:val="24"/>
          <w:lang w:eastAsia="en-GB"/>
        </w:rPr>
        <w:t>Hemoglobin</w:t>
      </w:r>
      <w:proofErr w:type="spellEnd"/>
      <w:r w:rsidRPr="0076761F">
        <w:rPr>
          <w:rFonts w:ascii="Arial" w:eastAsia="Calibri" w:hAnsi="Arial" w:cs="Arial"/>
          <w:sz w:val="24"/>
          <w:szCs w:val="24"/>
          <w:lang w:eastAsia="en-GB"/>
        </w:rPr>
        <w:t xml:space="preserve"> (D), platelets (E) and White-blood cells (F) were counted using coulter counter after terminating the rats. *p&lt;0.05. </w:t>
      </w:r>
      <w:r w:rsidRPr="0076761F">
        <w:rPr>
          <w:rFonts w:ascii="Arial" w:hAnsi="Arial" w:cs="Arial"/>
          <w:sz w:val="24"/>
          <w:szCs w:val="24"/>
        </w:rPr>
        <w:t>Student’s t-tests were used for comparisons between two groups. Error b</w:t>
      </w:r>
    </w:p>
    <w:sectPr w:rsidR="003E75F6" w:rsidRPr="002741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4DF"/>
    <w:rsid w:val="00054880"/>
    <w:rsid w:val="000D2EAA"/>
    <w:rsid w:val="001E6AAB"/>
    <w:rsid w:val="0024663D"/>
    <w:rsid w:val="0027410F"/>
    <w:rsid w:val="0032795C"/>
    <w:rsid w:val="003E75F6"/>
    <w:rsid w:val="004F2510"/>
    <w:rsid w:val="00586DE2"/>
    <w:rsid w:val="005C7E66"/>
    <w:rsid w:val="00633395"/>
    <w:rsid w:val="007507FA"/>
    <w:rsid w:val="007524DF"/>
    <w:rsid w:val="0076761F"/>
    <w:rsid w:val="007F2933"/>
    <w:rsid w:val="009800D1"/>
    <w:rsid w:val="00AA0CA2"/>
    <w:rsid w:val="00B36B05"/>
    <w:rsid w:val="00BC792B"/>
    <w:rsid w:val="00DF6A9F"/>
    <w:rsid w:val="00E34938"/>
    <w:rsid w:val="00F17E8C"/>
    <w:rsid w:val="00F46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67B6F"/>
  <w15:chartTrackingRefBased/>
  <w15:docId w15:val="{4160D444-8424-493C-A2A2-3DE8657D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4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rsid w:val="004F2510"/>
    <w:pPr>
      <w:spacing w:before="120" w:after="0" w:line="240" w:lineRule="auto"/>
      <w:ind w:firstLine="720"/>
    </w:pPr>
    <w:rPr>
      <w:rFonts w:ascii="Times New Roman" w:eastAsia="Times New Roman" w:hAnsi="Times New Roman" w:cs="Times New Roman"/>
      <w:sz w:val="24"/>
      <w:szCs w:val="24"/>
      <w:lang w:val="en-US"/>
    </w:rPr>
  </w:style>
  <w:style w:type="character" w:customStyle="1" w:styleId="ParagraphChar">
    <w:name w:val="Paragraph Char"/>
    <w:basedOn w:val="DefaultParagraphFont"/>
    <w:link w:val="Paragraph"/>
    <w:rsid w:val="004F2510"/>
    <w:rPr>
      <w:rFonts w:ascii="Times New Roman" w:eastAsia="Times New Roman" w:hAnsi="Times New Roman" w:cs="Times New Roman"/>
      <w:sz w:val="24"/>
      <w:szCs w:val="24"/>
      <w:lang w:val="en-US"/>
    </w:rPr>
  </w:style>
  <w:style w:type="table" w:styleId="TableGrid">
    <w:name w:val="Table Grid"/>
    <w:basedOn w:val="TableNormal"/>
    <w:uiPriority w:val="59"/>
    <w:rsid w:val="00054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36B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rsid w:val="000D2EAA"/>
    <w:rPr>
      <w:color w:val="0563C1"/>
      <w:u w:val="single"/>
    </w:rPr>
  </w:style>
  <w:style w:type="paragraph" w:styleId="CommentText">
    <w:name w:val="annotation text"/>
    <w:basedOn w:val="Normal"/>
    <w:link w:val="CommentTextChar1"/>
    <w:uiPriority w:val="99"/>
    <w:semiHidden/>
    <w:unhideWhenUsed/>
    <w:rsid w:val="000D2EAA"/>
    <w:pPr>
      <w:suppressAutoHyphens/>
      <w:autoSpaceDN w:val="0"/>
      <w:spacing w:after="0" w:line="240" w:lineRule="auto"/>
      <w:textAlignment w:val="baseline"/>
    </w:pPr>
    <w:rPr>
      <w:rFonts w:ascii="Arial" w:eastAsia="Times New Roman" w:hAnsi="Arial" w:cs="Times New Roman"/>
      <w:sz w:val="20"/>
      <w:szCs w:val="20"/>
      <w:lang w:val="en-US" w:eastAsia="nl-NL"/>
    </w:rPr>
  </w:style>
  <w:style w:type="character" w:customStyle="1" w:styleId="CommentTextChar">
    <w:name w:val="Comment Text Char"/>
    <w:basedOn w:val="DefaultParagraphFont"/>
    <w:uiPriority w:val="99"/>
    <w:semiHidden/>
    <w:rsid w:val="000D2EAA"/>
    <w:rPr>
      <w:sz w:val="20"/>
      <w:szCs w:val="20"/>
    </w:rPr>
  </w:style>
  <w:style w:type="character" w:customStyle="1" w:styleId="CommentTextChar1">
    <w:name w:val="Comment Text Char1"/>
    <w:basedOn w:val="DefaultParagraphFont"/>
    <w:link w:val="CommentText"/>
    <w:uiPriority w:val="99"/>
    <w:semiHidden/>
    <w:rsid w:val="000D2EAA"/>
    <w:rPr>
      <w:rFonts w:ascii="Arial" w:eastAsia="Times New Roman" w:hAnsi="Arial" w:cs="Times New Roman"/>
      <w:sz w:val="20"/>
      <w:szCs w:val="20"/>
      <w:lang w:val="en-US" w:eastAsia="nl-NL"/>
    </w:rPr>
  </w:style>
  <w:style w:type="character" w:styleId="CommentReference">
    <w:name w:val="annotation reference"/>
    <w:basedOn w:val="DefaultParagraphFont"/>
    <w:uiPriority w:val="99"/>
    <w:semiHidden/>
    <w:unhideWhenUsed/>
    <w:rsid w:val="000D2EAA"/>
    <w:rPr>
      <w:sz w:val="16"/>
      <w:szCs w:val="16"/>
    </w:rPr>
  </w:style>
  <w:style w:type="paragraph" w:styleId="BalloonText">
    <w:name w:val="Balloon Text"/>
    <w:basedOn w:val="Normal"/>
    <w:link w:val="BalloonTextChar"/>
    <w:uiPriority w:val="99"/>
    <w:semiHidden/>
    <w:unhideWhenUsed/>
    <w:rsid w:val="000D2E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E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103483">
      <w:bodyDiv w:val="1"/>
      <w:marLeft w:val="0"/>
      <w:marRight w:val="0"/>
      <w:marTop w:val="0"/>
      <w:marBottom w:val="0"/>
      <w:divBdr>
        <w:top w:val="none" w:sz="0" w:space="0" w:color="auto"/>
        <w:left w:val="none" w:sz="0" w:space="0" w:color="auto"/>
        <w:bottom w:val="none" w:sz="0" w:space="0" w:color="auto"/>
        <w:right w:val="none" w:sz="0" w:space="0" w:color="auto"/>
      </w:divBdr>
    </w:div>
    <w:div w:id="1097756055">
      <w:bodyDiv w:val="1"/>
      <w:marLeft w:val="0"/>
      <w:marRight w:val="0"/>
      <w:marTop w:val="0"/>
      <w:marBottom w:val="0"/>
      <w:divBdr>
        <w:top w:val="none" w:sz="0" w:space="0" w:color="auto"/>
        <w:left w:val="none" w:sz="0" w:space="0" w:color="auto"/>
        <w:bottom w:val="none" w:sz="0" w:space="0" w:color="auto"/>
        <w:right w:val="none" w:sz="0" w:space="0" w:color="auto"/>
      </w:divBdr>
    </w:div>
    <w:div w:id="1160920991">
      <w:bodyDiv w:val="1"/>
      <w:marLeft w:val="0"/>
      <w:marRight w:val="0"/>
      <w:marTop w:val="0"/>
      <w:marBottom w:val="0"/>
      <w:divBdr>
        <w:top w:val="none" w:sz="0" w:space="0" w:color="auto"/>
        <w:left w:val="none" w:sz="0" w:space="0" w:color="auto"/>
        <w:bottom w:val="none" w:sz="0" w:space="0" w:color="auto"/>
        <w:right w:val="none" w:sz="0" w:space="0" w:color="auto"/>
      </w:divBdr>
    </w:div>
    <w:div w:id="209119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B8683-9D19-47EC-BE69-66CDF31A0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10587</Words>
  <Characters>60352</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Kurakula, K.B. (CCB)</dc:creator>
  <cp:keywords/>
  <dc:description/>
  <cp:lastModifiedBy>Babu Kurakula</cp:lastModifiedBy>
  <cp:revision>3</cp:revision>
  <dcterms:created xsi:type="dcterms:W3CDTF">2021-01-28T01:28:00Z</dcterms:created>
  <dcterms:modified xsi:type="dcterms:W3CDTF">2021-01-28T01:36:00Z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http://www.zotero.org/styles/angiogenesis</vt:lpwstr>
  </property>
  <property fmtid="{D5CDD505-2E9C-101B-9397-08002B2CF9AE}" pid="5" name="Mendeley Recent Style Name 1_1">
    <vt:lpwstr>Angiogenesis</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http://www.zotero.org/styles/european-respiratory-journal</vt:lpwstr>
  </property>
  <property fmtid="{D5CDD505-2E9C-101B-9397-08002B2CF9AE}" pid="11" name="Mendeley Recent Style Name 4_1">
    <vt:lpwstr>European Respiratory Journal</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5b5b1e1b-34ea-3967-bf15-0f1ee7f9145b</vt:lpwstr>
  </property>
  <property fmtid="{D5CDD505-2E9C-101B-9397-08002B2CF9AE}" pid="24" name="Mendeley Citation Style_1">
    <vt:lpwstr>http://www.zotero.org/styles/angiogenesis</vt:lpwstr>
  </property>
</Properties>
</file>