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101" w:rsidRDefault="00AD1101" w:rsidP="00AD1101">
      <w:pPr>
        <w:spacing w:line="480" w:lineRule="auto"/>
        <w:jc w:val="both"/>
        <w:rPr>
          <w:b/>
          <w:bCs/>
          <w:sz w:val="20"/>
          <w:szCs w:val="20"/>
        </w:rPr>
      </w:pPr>
      <w:proofErr w:type="gramStart"/>
      <w:r>
        <w:rPr>
          <w:rFonts w:ascii="Arial Unicode MS" w:cs="Arial Unicode MS"/>
          <w:b/>
          <w:bCs/>
          <w:sz w:val="20"/>
          <w:szCs w:val="20"/>
          <w:highlight w:val="yellow"/>
        </w:rPr>
        <w:t>Supplemental Fig.</w:t>
      </w:r>
      <w:r>
        <w:rPr>
          <w:rFonts w:ascii="Arial Unicode MS" w:cs="Arial Unicode MS"/>
          <w:b/>
          <w:bCs/>
          <w:sz w:val="20"/>
          <w:szCs w:val="20"/>
          <w:highlight w:val="yellow"/>
        </w:rPr>
        <w:t> </w:t>
      </w:r>
      <w:r>
        <w:rPr>
          <w:rFonts w:ascii="Arial Unicode MS" w:cs="Arial Unicode MS"/>
          <w:b/>
          <w:bCs/>
          <w:sz w:val="20"/>
          <w:szCs w:val="20"/>
          <w:highlight w:val="yellow"/>
        </w:rPr>
        <w:t>1.</w:t>
      </w:r>
      <w:proofErr w:type="gramEnd"/>
      <w:r>
        <w:rPr>
          <w:rFonts w:ascii="Arial Unicode MS" w:cs="Arial Unicode MS"/>
          <w:b/>
          <w:bCs/>
          <w:sz w:val="20"/>
          <w:szCs w:val="20"/>
          <w:highlight w:val="yellow"/>
        </w:rPr>
        <w:t xml:space="preserve"> </w:t>
      </w:r>
      <w:proofErr w:type="gramStart"/>
      <w:r>
        <w:rPr>
          <w:rFonts w:ascii="Arial Unicode MS" w:cs="Arial Unicode MS"/>
          <w:b/>
          <w:bCs/>
          <w:sz w:val="20"/>
          <w:szCs w:val="20"/>
          <w:highlight w:val="yellow"/>
        </w:rPr>
        <w:t>Reversibility of CD90 Surface Marker Expression.</w:t>
      </w:r>
      <w:proofErr w:type="gramEnd"/>
      <w:r>
        <w:rPr>
          <w:rFonts w:ascii="Arial Unicode MS" w:cs="Arial Unicode MS"/>
          <w:b/>
          <w:bCs/>
          <w:sz w:val="20"/>
          <w:szCs w:val="20"/>
          <w:highlight w:val="yellow"/>
        </w:rPr>
        <w:t xml:space="preserve"> (A) Experimental timeline and design schematic. ECFCs were treated with either vehicle or </w:t>
      </w:r>
      <w:proofErr w:type="spellStart"/>
      <w:r>
        <w:rPr>
          <w:rFonts w:ascii="Arial Unicode MS" w:cs="Arial Unicode MS"/>
          <w:b/>
          <w:bCs/>
          <w:sz w:val="20"/>
          <w:szCs w:val="20"/>
          <w:highlight w:val="yellow"/>
        </w:rPr>
        <w:t>oxLDL</w:t>
      </w:r>
      <w:proofErr w:type="spellEnd"/>
      <w:r>
        <w:rPr>
          <w:rFonts w:ascii="Arial Unicode MS" w:cs="Arial Unicode MS"/>
          <w:b/>
          <w:bCs/>
          <w:sz w:val="20"/>
          <w:szCs w:val="20"/>
          <w:highlight w:val="yellow"/>
        </w:rPr>
        <w:t xml:space="preserve"> </w:t>
      </w:r>
      <w:proofErr w:type="gramStart"/>
      <w:r>
        <w:rPr>
          <w:rFonts w:ascii="Arial Unicode MS" w:cs="Arial Unicode MS"/>
          <w:b/>
          <w:bCs/>
          <w:sz w:val="20"/>
          <w:szCs w:val="20"/>
          <w:highlight w:val="yellow"/>
        </w:rPr>
        <w:t xml:space="preserve">(25 </w:t>
      </w:r>
      <w:r>
        <w:rPr>
          <w:rFonts w:ascii="Arial Unicode MS" w:cs="Arial Unicode MS"/>
          <w:b/>
          <w:bCs/>
          <w:sz w:val="20"/>
          <w:szCs w:val="20"/>
          <w:highlight w:val="yellow"/>
        </w:rPr>
        <w:t>µ</w:t>
      </w:r>
      <w:r>
        <w:rPr>
          <w:rFonts w:ascii="Arial Unicode MS" w:cs="Arial Unicode MS"/>
          <w:b/>
          <w:bCs/>
          <w:sz w:val="20"/>
          <w:szCs w:val="20"/>
          <w:highlight w:val="yellow"/>
        </w:rPr>
        <w:t>g/mL)</w:t>
      </w:r>
      <w:proofErr w:type="gramEnd"/>
      <w:r>
        <w:rPr>
          <w:rFonts w:ascii="Arial Unicode MS" w:cs="Arial Unicode MS"/>
          <w:b/>
          <w:bCs/>
          <w:sz w:val="20"/>
          <w:szCs w:val="20"/>
          <w:highlight w:val="yellow"/>
        </w:rPr>
        <w:t xml:space="preserve"> for five days. CD90-positive </w:t>
      </w:r>
      <w:proofErr w:type="spellStart"/>
      <w:r>
        <w:rPr>
          <w:rFonts w:ascii="Arial Unicode MS" w:cs="Arial Unicode MS"/>
          <w:b/>
          <w:bCs/>
          <w:sz w:val="20"/>
          <w:szCs w:val="20"/>
          <w:highlight w:val="yellow"/>
        </w:rPr>
        <w:t>oxLDL</w:t>
      </w:r>
      <w:proofErr w:type="spellEnd"/>
      <w:r>
        <w:rPr>
          <w:rFonts w:ascii="Arial Unicode MS" w:cs="Arial Unicode MS"/>
          <w:b/>
          <w:bCs/>
          <w:sz w:val="20"/>
          <w:szCs w:val="20"/>
          <w:highlight w:val="yellow"/>
        </w:rPr>
        <w:t xml:space="preserve">-treated ECFCs were FACS sorted, cultured for 14 days in EGM2 medium without </w:t>
      </w:r>
      <w:proofErr w:type="spellStart"/>
      <w:r>
        <w:rPr>
          <w:rFonts w:ascii="Arial Unicode MS" w:cs="Arial Unicode MS"/>
          <w:b/>
          <w:bCs/>
          <w:sz w:val="20"/>
          <w:szCs w:val="20"/>
          <w:highlight w:val="yellow"/>
        </w:rPr>
        <w:t>oxLDL</w:t>
      </w:r>
      <w:proofErr w:type="spellEnd"/>
      <w:r>
        <w:rPr>
          <w:rFonts w:ascii="Arial Unicode MS" w:cs="Arial Unicode MS"/>
          <w:b/>
          <w:bCs/>
          <w:sz w:val="20"/>
          <w:szCs w:val="20"/>
          <w:highlight w:val="yellow"/>
        </w:rPr>
        <w:t xml:space="preserve">, and subsequently evaluated for CD90 expression using flow </w:t>
      </w:r>
      <w:proofErr w:type="spellStart"/>
      <w:r>
        <w:rPr>
          <w:rFonts w:ascii="Arial Unicode MS" w:cs="Arial Unicode MS"/>
          <w:b/>
          <w:bCs/>
          <w:sz w:val="20"/>
          <w:szCs w:val="20"/>
          <w:highlight w:val="yellow"/>
        </w:rPr>
        <w:t>cytometry</w:t>
      </w:r>
      <w:proofErr w:type="spellEnd"/>
      <w:r>
        <w:rPr>
          <w:rFonts w:ascii="Arial Unicode MS" w:cs="Arial Unicode MS"/>
          <w:b/>
          <w:bCs/>
          <w:sz w:val="20"/>
          <w:szCs w:val="20"/>
          <w:highlight w:val="yellow"/>
        </w:rPr>
        <w:t xml:space="preserve">. (B) Flow </w:t>
      </w:r>
      <w:proofErr w:type="spellStart"/>
      <w:r>
        <w:rPr>
          <w:rFonts w:ascii="Arial Unicode MS" w:cs="Arial Unicode MS"/>
          <w:b/>
          <w:bCs/>
          <w:sz w:val="20"/>
          <w:szCs w:val="20"/>
          <w:highlight w:val="yellow"/>
        </w:rPr>
        <w:t>cytometry</w:t>
      </w:r>
      <w:proofErr w:type="spellEnd"/>
      <w:r>
        <w:rPr>
          <w:rFonts w:ascii="Arial Unicode MS" w:cs="Arial Unicode MS"/>
          <w:b/>
          <w:bCs/>
          <w:sz w:val="20"/>
          <w:szCs w:val="20"/>
          <w:highlight w:val="yellow"/>
        </w:rPr>
        <w:t xml:space="preserve"> analysis results (n</w:t>
      </w:r>
      <w:r>
        <w:rPr>
          <w:rFonts w:ascii="Arial Unicode MS" w:cs="Arial Unicode MS"/>
          <w:b/>
          <w:bCs/>
          <w:sz w:val="20"/>
          <w:szCs w:val="20"/>
          <w:highlight w:val="yellow"/>
        </w:rPr>
        <w:t> </w:t>
      </w:r>
      <w:r>
        <w:rPr>
          <w:rFonts w:ascii="Arial Unicode MS" w:cs="Arial Unicode MS"/>
          <w:b/>
          <w:bCs/>
          <w:sz w:val="20"/>
          <w:szCs w:val="20"/>
          <w:highlight w:val="yellow"/>
        </w:rPr>
        <w:t>=</w:t>
      </w:r>
      <w:r>
        <w:rPr>
          <w:rFonts w:ascii="Arial Unicode MS" w:cs="Arial Unicode MS"/>
          <w:b/>
          <w:bCs/>
          <w:sz w:val="20"/>
          <w:szCs w:val="20"/>
          <w:highlight w:val="yellow"/>
        </w:rPr>
        <w:t> </w:t>
      </w:r>
      <w:r>
        <w:rPr>
          <w:rFonts w:ascii="Arial Unicode MS" w:cs="Arial Unicode MS"/>
          <w:b/>
          <w:bCs/>
          <w:sz w:val="20"/>
          <w:szCs w:val="20"/>
          <w:highlight w:val="yellow"/>
        </w:rPr>
        <w:t>3 ECFCs isolated from biologically independent donors; mean</w:t>
      </w:r>
      <w:r>
        <w:rPr>
          <w:rFonts w:ascii="Arial Unicode MS" w:cs="Arial Unicode MS"/>
          <w:b/>
          <w:bCs/>
          <w:sz w:val="20"/>
          <w:szCs w:val="20"/>
          <w:highlight w:val="yellow"/>
        </w:rPr>
        <w:t> ± </w:t>
      </w:r>
      <w:r>
        <w:rPr>
          <w:rFonts w:ascii="Arial Unicode MS" w:cs="Arial Unicode MS"/>
          <w:b/>
          <w:bCs/>
          <w:sz w:val="20"/>
          <w:szCs w:val="20"/>
          <w:highlight w:val="yellow"/>
        </w:rPr>
        <w:t>SD; p-value calculated using one-way ANOVA with multiple comparisons).</w:t>
      </w:r>
    </w:p>
    <w:p w:rsidR="00AD1101" w:rsidRDefault="00AD1101" w:rsidP="00AD1101">
      <w:pPr>
        <w:spacing w:line="480" w:lineRule="auto"/>
        <w:jc w:val="both"/>
        <w:rPr>
          <w:sz w:val="20"/>
          <w:szCs w:val="20"/>
        </w:rPr>
      </w:pPr>
      <w:proofErr w:type="gramStart"/>
      <w:r>
        <w:rPr>
          <w:rFonts w:ascii="Arial Unicode MS" w:cs="Arial Unicode MS"/>
          <w:b/>
          <w:bCs/>
          <w:sz w:val="20"/>
          <w:szCs w:val="20"/>
          <w:highlight w:val="yellow"/>
        </w:rPr>
        <w:t>Supplemental Fig.</w:t>
      </w:r>
      <w:r>
        <w:rPr>
          <w:rFonts w:ascii="Arial Unicode MS" w:cs="Arial Unicode MS"/>
          <w:b/>
          <w:bCs/>
          <w:sz w:val="20"/>
          <w:szCs w:val="20"/>
          <w:highlight w:val="yellow"/>
        </w:rPr>
        <w:t> </w:t>
      </w:r>
      <w:r>
        <w:rPr>
          <w:rFonts w:ascii="Arial Unicode MS" w:cs="Arial Unicode MS"/>
          <w:b/>
          <w:bCs/>
          <w:sz w:val="20"/>
          <w:szCs w:val="20"/>
          <w:highlight w:val="yellow"/>
        </w:rPr>
        <w:t>2</w:t>
      </w:r>
      <w:r>
        <w:rPr>
          <w:rFonts w:ascii="Arial Unicode MS" w:cs="Arial Unicode MS"/>
          <w:b/>
          <w:bCs/>
          <w:sz w:val="20"/>
          <w:szCs w:val="20"/>
        </w:rPr>
        <w:t>.</w:t>
      </w:r>
      <w:proofErr w:type="gramEnd"/>
      <w:r>
        <w:rPr>
          <w:rFonts w:ascii="Arial Unicode MS" w:cs="Arial Unicode MS"/>
          <w:b/>
          <w:bCs/>
          <w:sz w:val="20"/>
          <w:szCs w:val="20"/>
        </w:rPr>
        <w:t xml:space="preserve"> </w:t>
      </w:r>
      <w:proofErr w:type="spellStart"/>
      <w:proofErr w:type="gramStart"/>
      <w:r>
        <w:rPr>
          <w:rFonts w:ascii="Arial Unicode MS" w:cs="Arial Unicode MS"/>
          <w:b/>
          <w:bCs/>
          <w:sz w:val="20"/>
          <w:szCs w:val="20"/>
        </w:rPr>
        <w:t>RNAseq</w:t>
      </w:r>
      <w:proofErr w:type="spellEnd"/>
      <w:r>
        <w:rPr>
          <w:rFonts w:ascii="Arial Unicode MS" w:cs="Arial Unicode MS"/>
          <w:b/>
          <w:bCs/>
          <w:sz w:val="20"/>
          <w:szCs w:val="20"/>
        </w:rPr>
        <w:t xml:space="preserve"> dataset comparison and GSEA.</w:t>
      </w:r>
      <w:proofErr w:type="gramEnd"/>
      <w:r>
        <w:rPr>
          <w:rFonts w:ascii="Arial Unicode MS" w:cs="Arial Unicode MS"/>
          <w:b/>
          <w:bCs/>
          <w:sz w:val="20"/>
          <w:szCs w:val="20"/>
        </w:rPr>
        <w:t xml:space="preserve"> </w:t>
      </w:r>
      <w:r>
        <w:rPr>
          <w:rFonts w:ascii="Arial Unicode MS" w:cs="Arial Unicode MS"/>
          <w:sz w:val="20"/>
          <w:szCs w:val="20"/>
        </w:rPr>
        <w:t xml:space="preserve">(A and B) Gene Set Enrichment Analysis (GSEA) plot for </w:t>
      </w:r>
      <w:proofErr w:type="spellStart"/>
      <w:r>
        <w:rPr>
          <w:rFonts w:ascii="Arial Unicode MS" w:cs="Arial Unicode MS"/>
          <w:sz w:val="20"/>
          <w:szCs w:val="20"/>
        </w:rPr>
        <w:t>oxLDL</w:t>
      </w:r>
      <w:proofErr w:type="spellEnd"/>
      <w:r>
        <w:rPr>
          <w:rFonts w:ascii="Arial Unicode MS" w:cs="Arial Unicode MS"/>
          <w:sz w:val="20"/>
          <w:szCs w:val="20"/>
        </w:rPr>
        <w:t xml:space="preserve">-enriched hallmark Hypoxia and </w:t>
      </w:r>
      <w:proofErr w:type="spellStart"/>
      <w:r>
        <w:rPr>
          <w:rFonts w:ascii="Arial Unicode MS" w:cs="Arial Unicode MS"/>
          <w:sz w:val="20"/>
          <w:szCs w:val="20"/>
        </w:rPr>
        <w:t>TNFalpha</w:t>
      </w:r>
      <w:proofErr w:type="spellEnd"/>
      <w:r>
        <w:rPr>
          <w:rFonts w:ascii="Arial Unicode MS" w:cs="Arial Unicode MS"/>
          <w:sz w:val="20"/>
          <w:szCs w:val="20"/>
        </w:rPr>
        <w:t xml:space="preserve"> </w:t>
      </w:r>
      <w:proofErr w:type="spellStart"/>
      <w:r>
        <w:rPr>
          <w:rFonts w:ascii="Arial Unicode MS" w:cs="Arial Unicode MS"/>
          <w:sz w:val="20"/>
          <w:szCs w:val="20"/>
        </w:rPr>
        <w:t>signalling</w:t>
      </w:r>
      <w:proofErr w:type="spellEnd"/>
      <w:r>
        <w:rPr>
          <w:rFonts w:ascii="Arial Unicode MS" w:cs="Arial Unicode MS"/>
          <w:sz w:val="20"/>
          <w:szCs w:val="20"/>
        </w:rPr>
        <w:t xml:space="preserve"> (Molecular Signatures Database, </w:t>
      </w:r>
      <w:proofErr w:type="spellStart"/>
      <w:r>
        <w:rPr>
          <w:rFonts w:ascii="Arial Unicode MS" w:cs="Arial Unicode MS"/>
          <w:sz w:val="20"/>
          <w:szCs w:val="20"/>
        </w:rPr>
        <w:t>MSigDB</w:t>
      </w:r>
      <w:proofErr w:type="spellEnd"/>
      <w:r>
        <w:rPr>
          <w:rFonts w:ascii="Arial Unicode MS" w:cs="Arial Unicode MS"/>
          <w:sz w:val="20"/>
          <w:szCs w:val="20"/>
        </w:rPr>
        <w:t>) showing the profile of the running Enrichment Score (ES) and positions of gene set members on the rank ordered list. NES (</w:t>
      </w:r>
      <w:proofErr w:type="gramStart"/>
      <w:r>
        <w:rPr>
          <w:rFonts w:ascii="Arial Unicode MS" w:cs="Arial Unicode MS"/>
          <w:sz w:val="20"/>
          <w:szCs w:val="20"/>
        </w:rPr>
        <w:t>top),</w:t>
      </w:r>
      <w:proofErr w:type="gramEnd"/>
      <w:r>
        <w:rPr>
          <w:rFonts w:ascii="Arial Unicode MS" w:cs="Arial Unicode MS"/>
          <w:sz w:val="20"/>
          <w:szCs w:val="20"/>
        </w:rPr>
        <w:t xml:space="preserve"> and FDR q value (bottom rows) are indicated on GSEA plot. (C and D) Cross comparison between </w:t>
      </w:r>
      <w:proofErr w:type="spellStart"/>
      <w:r>
        <w:rPr>
          <w:rFonts w:ascii="Arial Unicode MS" w:cs="Arial Unicode MS"/>
          <w:sz w:val="20"/>
          <w:szCs w:val="20"/>
        </w:rPr>
        <w:t>oxLDL</w:t>
      </w:r>
      <w:proofErr w:type="spellEnd"/>
      <w:r>
        <w:rPr>
          <w:rFonts w:ascii="Arial Unicode MS" w:cs="Arial Unicode MS"/>
          <w:sz w:val="20"/>
          <w:szCs w:val="20"/>
        </w:rPr>
        <w:t xml:space="preserve"> vs. </w:t>
      </w:r>
      <w:proofErr w:type="spellStart"/>
      <w:r>
        <w:rPr>
          <w:rFonts w:ascii="Arial Unicode MS" w:cs="Arial Unicode MS"/>
          <w:sz w:val="20"/>
          <w:szCs w:val="20"/>
        </w:rPr>
        <w:t>Veh</w:t>
      </w:r>
      <w:proofErr w:type="spellEnd"/>
      <w:r>
        <w:rPr>
          <w:rFonts w:ascii="Arial Unicode MS" w:cs="Arial Unicode MS"/>
          <w:sz w:val="20"/>
          <w:szCs w:val="20"/>
        </w:rPr>
        <w:t xml:space="preserve"> and ECFC precursors vs. MSC </w:t>
      </w:r>
      <w:proofErr w:type="gramStart"/>
      <w:r>
        <w:rPr>
          <w:rFonts w:ascii="Arial Unicode MS" w:cs="Arial Unicode MS"/>
          <w:sz w:val="20"/>
          <w:szCs w:val="20"/>
        </w:rPr>
        <w:t>precursors</w:t>
      </w:r>
      <w:proofErr w:type="gramEnd"/>
      <w:r>
        <w:rPr>
          <w:rFonts w:ascii="Arial Unicode MS" w:cs="Arial Unicode MS"/>
          <w:sz w:val="20"/>
          <w:szCs w:val="20"/>
        </w:rPr>
        <w:t xml:space="preserve"> datasets from previously published bulk RNA sequencing dataset comparing human primary placental cells that gave rise in culture to ECFCs and </w:t>
      </w:r>
      <w:proofErr w:type="spellStart"/>
      <w:r>
        <w:rPr>
          <w:rFonts w:ascii="Arial Unicode MS" w:cs="Arial Unicode MS"/>
          <w:sz w:val="20"/>
          <w:szCs w:val="20"/>
        </w:rPr>
        <w:t>mesenchymal</w:t>
      </w:r>
      <w:proofErr w:type="spellEnd"/>
      <w:r>
        <w:rPr>
          <w:rFonts w:ascii="Arial Unicode MS" w:cs="Arial Unicode MS"/>
          <w:sz w:val="20"/>
          <w:szCs w:val="20"/>
        </w:rPr>
        <w:t xml:space="preserve"> stem cells (MSC). (E-H) GSEA cell signatures of genes </w:t>
      </w:r>
      <w:proofErr w:type="spellStart"/>
      <w:r>
        <w:rPr>
          <w:rFonts w:ascii="Arial Unicode MS" w:cs="Arial Unicode MS"/>
          <w:sz w:val="20"/>
          <w:szCs w:val="20"/>
        </w:rPr>
        <w:t>downregulated</w:t>
      </w:r>
      <w:proofErr w:type="spellEnd"/>
      <w:r>
        <w:rPr>
          <w:rFonts w:ascii="Arial Unicode MS" w:cs="Arial Unicode MS"/>
          <w:sz w:val="20"/>
          <w:szCs w:val="20"/>
        </w:rPr>
        <w:t xml:space="preserve"> (left) and </w:t>
      </w:r>
      <w:proofErr w:type="spellStart"/>
      <w:r>
        <w:rPr>
          <w:rFonts w:ascii="Arial Unicode MS" w:cs="Arial Unicode MS"/>
          <w:sz w:val="20"/>
          <w:szCs w:val="20"/>
        </w:rPr>
        <w:t>upregulated</w:t>
      </w:r>
      <w:proofErr w:type="spellEnd"/>
      <w:r>
        <w:rPr>
          <w:rFonts w:ascii="Arial Unicode MS" w:cs="Arial Unicode MS"/>
          <w:sz w:val="20"/>
          <w:szCs w:val="20"/>
        </w:rPr>
        <w:t xml:space="preserve"> (right) in </w:t>
      </w:r>
      <w:proofErr w:type="spellStart"/>
      <w:r>
        <w:rPr>
          <w:rFonts w:ascii="Arial Unicode MS" w:cs="Arial Unicode MS"/>
          <w:sz w:val="20"/>
          <w:szCs w:val="20"/>
        </w:rPr>
        <w:t>oxLDL</w:t>
      </w:r>
      <w:proofErr w:type="spellEnd"/>
      <w:r>
        <w:rPr>
          <w:rFonts w:ascii="Arial Unicode MS" w:cs="Arial Unicode MS"/>
          <w:sz w:val="20"/>
          <w:szCs w:val="20"/>
        </w:rPr>
        <w:t xml:space="preserve"> treated ECFCs.</w:t>
      </w:r>
    </w:p>
    <w:p w:rsidR="00AD1101" w:rsidRDefault="00AD1101" w:rsidP="00AD1101">
      <w:pPr>
        <w:spacing w:line="480" w:lineRule="auto"/>
        <w:jc w:val="both"/>
        <w:rPr>
          <w:sz w:val="20"/>
          <w:szCs w:val="20"/>
        </w:rPr>
      </w:pPr>
      <w:proofErr w:type="gramStart"/>
      <w:r>
        <w:rPr>
          <w:rFonts w:ascii="Arial Unicode MS" w:cs="Arial Unicode MS"/>
          <w:b/>
          <w:bCs/>
          <w:sz w:val="20"/>
          <w:szCs w:val="20"/>
          <w:highlight w:val="yellow"/>
        </w:rPr>
        <w:t>Supplemental Fig.</w:t>
      </w:r>
      <w:r>
        <w:rPr>
          <w:rFonts w:ascii="Arial Unicode MS" w:cs="Arial Unicode MS"/>
          <w:b/>
          <w:bCs/>
          <w:sz w:val="20"/>
          <w:szCs w:val="20"/>
          <w:highlight w:val="yellow"/>
        </w:rPr>
        <w:t> </w:t>
      </w:r>
      <w:r>
        <w:rPr>
          <w:rFonts w:ascii="Arial Unicode MS" w:cs="Arial Unicode MS"/>
          <w:b/>
          <w:bCs/>
          <w:sz w:val="20"/>
          <w:szCs w:val="20"/>
          <w:highlight w:val="yellow"/>
        </w:rPr>
        <w:t>3.</w:t>
      </w:r>
      <w:proofErr w:type="gramEnd"/>
      <w:r>
        <w:rPr>
          <w:rFonts w:ascii="Arial Unicode MS" w:cs="Arial Unicode MS"/>
          <w:b/>
          <w:bCs/>
          <w:sz w:val="20"/>
          <w:szCs w:val="20"/>
        </w:rPr>
        <w:t xml:space="preserve"> </w:t>
      </w:r>
      <w:proofErr w:type="gramStart"/>
      <w:r>
        <w:rPr>
          <w:rFonts w:ascii="Arial Unicode MS" w:cs="Arial Unicode MS"/>
          <w:b/>
          <w:bCs/>
          <w:sz w:val="20"/>
          <w:szCs w:val="20"/>
        </w:rPr>
        <w:t>ATAC-sequencing quality controls and analysis.</w:t>
      </w:r>
      <w:proofErr w:type="gramEnd"/>
      <w:r>
        <w:rPr>
          <w:rFonts w:ascii="Arial Unicode MS" w:cs="Arial Unicode MS"/>
          <w:b/>
          <w:bCs/>
          <w:sz w:val="20"/>
          <w:szCs w:val="20"/>
        </w:rPr>
        <w:t xml:space="preserve"> </w:t>
      </w:r>
      <w:r>
        <w:rPr>
          <w:rFonts w:ascii="Arial Unicode MS" w:cs="Arial Unicode MS"/>
          <w:sz w:val="20"/>
          <w:szCs w:val="20"/>
        </w:rPr>
        <w:t xml:space="preserve">(A) </w:t>
      </w:r>
      <w:proofErr w:type="spellStart"/>
      <w:r>
        <w:rPr>
          <w:rFonts w:ascii="Arial Unicode MS" w:cs="Arial Unicode MS"/>
          <w:sz w:val="20"/>
          <w:szCs w:val="20"/>
        </w:rPr>
        <w:t>Heatmap</w:t>
      </w:r>
      <w:proofErr w:type="spellEnd"/>
      <w:r>
        <w:rPr>
          <w:rFonts w:ascii="Arial Unicode MS" w:cs="Arial Unicode MS"/>
          <w:sz w:val="20"/>
          <w:szCs w:val="20"/>
        </w:rPr>
        <w:t xml:space="preserve"> showing the clusters based on the peaks, significantly different between treatment and controls (B) Principal component analysis. (C) ATAC-</w:t>
      </w:r>
      <w:proofErr w:type="spellStart"/>
      <w:r>
        <w:rPr>
          <w:rFonts w:ascii="Arial Unicode MS" w:cs="Arial Unicode MS"/>
          <w:sz w:val="20"/>
          <w:szCs w:val="20"/>
        </w:rPr>
        <w:t>seq</w:t>
      </w:r>
      <w:proofErr w:type="spellEnd"/>
      <w:r>
        <w:rPr>
          <w:rFonts w:ascii="Arial Unicode MS" w:cs="Arial Unicode MS"/>
          <w:sz w:val="20"/>
          <w:szCs w:val="20"/>
        </w:rPr>
        <w:t xml:space="preserve"> differential peaks distribution. (D) Profile of global enrichment for ATAC-</w:t>
      </w:r>
      <w:proofErr w:type="spellStart"/>
      <w:r>
        <w:rPr>
          <w:rFonts w:ascii="Arial Unicode MS" w:cs="Arial Unicode MS"/>
          <w:sz w:val="20"/>
          <w:szCs w:val="20"/>
        </w:rPr>
        <w:t>seq</w:t>
      </w:r>
      <w:proofErr w:type="spellEnd"/>
      <w:r>
        <w:rPr>
          <w:rFonts w:ascii="Arial Unicode MS" w:cs="Arial Unicode MS"/>
          <w:sz w:val="20"/>
          <w:szCs w:val="20"/>
        </w:rPr>
        <w:t xml:space="preserve"> peaks demonstrating chromatin accessibility at genome-wide transcription start sites (TSS)</w:t>
      </w:r>
      <w:r>
        <w:rPr>
          <w:rFonts w:ascii="Arial Unicode MS" w:cs="Arial Unicode MS"/>
          <w:sz w:val="20"/>
          <w:szCs w:val="20"/>
        </w:rPr>
        <w:t> ± </w:t>
      </w:r>
      <w:r>
        <w:rPr>
          <w:rFonts w:ascii="Arial Unicode MS" w:cs="Arial Unicode MS"/>
          <w:sz w:val="20"/>
          <w:szCs w:val="20"/>
        </w:rPr>
        <w:t>1 kb and at up-regulated gene promoters</w:t>
      </w:r>
      <w:r>
        <w:rPr>
          <w:rFonts w:ascii="Arial Unicode MS" w:cs="Arial Unicode MS"/>
          <w:sz w:val="20"/>
          <w:szCs w:val="20"/>
        </w:rPr>
        <w:t> ± </w:t>
      </w:r>
      <w:r>
        <w:rPr>
          <w:rFonts w:ascii="Arial Unicode MS" w:cs="Arial Unicode MS"/>
          <w:sz w:val="20"/>
          <w:szCs w:val="20"/>
        </w:rPr>
        <w:t xml:space="preserve">1 kb in each biological replicate per condition. (E) </w:t>
      </w:r>
      <w:r>
        <w:rPr>
          <w:rFonts w:ascii="Arial Unicode MS" w:cs="Arial Unicode MS"/>
          <w:sz w:val="20"/>
          <w:szCs w:val="20"/>
        </w:rPr>
        <w:lastRenderedPageBreak/>
        <w:t xml:space="preserve">Pathways and (F) Cell type gene set enrichment analysis from the list of up regulated genes in </w:t>
      </w:r>
      <w:proofErr w:type="spellStart"/>
      <w:r>
        <w:rPr>
          <w:rFonts w:ascii="Arial Unicode MS" w:cs="Arial Unicode MS"/>
          <w:sz w:val="20"/>
          <w:szCs w:val="20"/>
        </w:rPr>
        <w:t>oxLDL</w:t>
      </w:r>
      <w:proofErr w:type="spellEnd"/>
      <w:r>
        <w:rPr>
          <w:rFonts w:ascii="Arial Unicode MS" w:cs="Arial Unicode MS"/>
          <w:sz w:val="20"/>
          <w:szCs w:val="20"/>
        </w:rPr>
        <w:t xml:space="preserve"> treated cells containing one or more SOX9 binding motif overlapping open chromatin peaks in their promoter region (within 5kb) (G) Transcription factor motifs analysis showing the motifs found in treatment-dependent ATAC-</w:t>
      </w:r>
      <w:proofErr w:type="spellStart"/>
      <w:r>
        <w:rPr>
          <w:rFonts w:ascii="Arial Unicode MS" w:cs="Arial Unicode MS"/>
          <w:sz w:val="20"/>
          <w:szCs w:val="20"/>
        </w:rPr>
        <w:t>seq</w:t>
      </w:r>
      <w:proofErr w:type="spellEnd"/>
      <w:r>
        <w:rPr>
          <w:rFonts w:ascii="Arial Unicode MS" w:cs="Arial Unicode MS"/>
          <w:sz w:val="20"/>
          <w:szCs w:val="20"/>
        </w:rPr>
        <w:t xml:space="preserve"> peaks (n</w:t>
      </w:r>
      <w:r>
        <w:rPr>
          <w:rFonts w:ascii="Arial Unicode MS" w:cs="Arial Unicode MS"/>
          <w:sz w:val="20"/>
          <w:szCs w:val="20"/>
        </w:rPr>
        <w:t> </w:t>
      </w:r>
      <w:r>
        <w:rPr>
          <w:rFonts w:ascii="Arial Unicode MS" w:cs="Arial Unicode MS"/>
          <w:sz w:val="20"/>
          <w:szCs w:val="20"/>
        </w:rPr>
        <w:t>=</w:t>
      </w:r>
      <w:r>
        <w:rPr>
          <w:rFonts w:ascii="Arial Unicode MS" w:cs="Arial Unicode MS"/>
          <w:sz w:val="20"/>
          <w:szCs w:val="20"/>
        </w:rPr>
        <w:t> </w:t>
      </w:r>
      <w:r>
        <w:rPr>
          <w:rFonts w:ascii="Arial Unicode MS" w:cs="Arial Unicode MS"/>
          <w:sz w:val="20"/>
          <w:szCs w:val="20"/>
        </w:rPr>
        <w:t>3633). The ratio is the effect size, and color indicates statistical significance.</w:t>
      </w:r>
    </w:p>
    <w:p w:rsidR="00AD1101" w:rsidRDefault="00AD1101" w:rsidP="00AD1101">
      <w:pPr>
        <w:spacing w:line="480" w:lineRule="auto"/>
        <w:jc w:val="both"/>
        <w:rPr>
          <w:sz w:val="20"/>
          <w:szCs w:val="20"/>
        </w:rPr>
      </w:pPr>
      <w:proofErr w:type="gramStart"/>
      <w:r>
        <w:rPr>
          <w:rFonts w:ascii="Arial Unicode MS" w:cs="Arial Unicode MS"/>
          <w:b/>
          <w:bCs/>
          <w:sz w:val="20"/>
          <w:szCs w:val="20"/>
          <w:highlight w:val="yellow"/>
        </w:rPr>
        <w:t>Supplemental Fig.</w:t>
      </w:r>
      <w:r>
        <w:rPr>
          <w:rFonts w:ascii="Arial Unicode MS" w:cs="Arial Unicode MS"/>
          <w:b/>
          <w:bCs/>
          <w:sz w:val="20"/>
          <w:szCs w:val="20"/>
          <w:highlight w:val="yellow"/>
        </w:rPr>
        <w:t> </w:t>
      </w:r>
      <w:r>
        <w:rPr>
          <w:rFonts w:ascii="Arial Unicode MS" w:cs="Arial Unicode MS"/>
          <w:b/>
          <w:bCs/>
          <w:sz w:val="20"/>
          <w:szCs w:val="20"/>
          <w:highlight w:val="yellow"/>
        </w:rPr>
        <w:t>4.</w:t>
      </w:r>
      <w:proofErr w:type="gramEnd"/>
      <w:r>
        <w:rPr>
          <w:rFonts w:ascii="Arial Unicode MS" w:cs="Arial Unicode MS"/>
          <w:b/>
          <w:bCs/>
          <w:sz w:val="20"/>
          <w:szCs w:val="20"/>
        </w:rPr>
        <w:t xml:space="preserve"> </w:t>
      </w:r>
      <w:proofErr w:type="gramStart"/>
      <w:r>
        <w:rPr>
          <w:rFonts w:ascii="Arial Unicode MS" w:cs="Arial Unicode MS"/>
          <w:b/>
          <w:bCs/>
          <w:sz w:val="20"/>
          <w:szCs w:val="20"/>
        </w:rPr>
        <w:t xml:space="preserve">ECFCshSOX9 generation and ECFC functional </w:t>
      </w:r>
      <w:proofErr w:type="spellStart"/>
      <w:r>
        <w:rPr>
          <w:rFonts w:ascii="Arial Unicode MS" w:cs="Arial Unicode MS"/>
          <w:b/>
          <w:bCs/>
          <w:sz w:val="20"/>
          <w:szCs w:val="20"/>
        </w:rPr>
        <w:t>characterisation</w:t>
      </w:r>
      <w:proofErr w:type="spellEnd"/>
      <w:r>
        <w:rPr>
          <w:rFonts w:ascii="Arial Unicode MS" w:cs="Arial Unicode MS"/>
          <w:b/>
          <w:bCs/>
          <w:sz w:val="20"/>
          <w:szCs w:val="20"/>
        </w:rPr>
        <w:t xml:space="preserve"> </w:t>
      </w:r>
      <w:r>
        <w:rPr>
          <w:rFonts w:ascii="Arial Unicode MS" w:cs="Arial Unicode MS"/>
          <w:sz w:val="20"/>
          <w:szCs w:val="20"/>
        </w:rPr>
        <w:t xml:space="preserve">(A) </w:t>
      </w:r>
      <w:proofErr w:type="spellStart"/>
      <w:r>
        <w:rPr>
          <w:rFonts w:ascii="Arial Unicode MS" w:cs="Arial Unicode MS"/>
          <w:sz w:val="20"/>
          <w:szCs w:val="20"/>
        </w:rPr>
        <w:t>Immunoblotting</w:t>
      </w:r>
      <w:proofErr w:type="spellEnd"/>
      <w:r>
        <w:rPr>
          <w:rFonts w:ascii="Arial Unicode MS" w:cs="Arial Unicode MS"/>
          <w:sz w:val="20"/>
          <w:szCs w:val="20"/>
        </w:rPr>
        <w:t xml:space="preserve"> of SOX9 in varying concentration of tetracycline in both </w:t>
      </w:r>
      <w:proofErr w:type="spellStart"/>
      <w:r>
        <w:rPr>
          <w:rFonts w:ascii="Arial Unicode MS" w:cs="Arial Unicode MS"/>
          <w:sz w:val="20"/>
          <w:szCs w:val="20"/>
        </w:rPr>
        <w:t>ECFCshScr</w:t>
      </w:r>
      <w:proofErr w:type="spellEnd"/>
      <w:r>
        <w:rPr>
          <w:rFonts w:ascii="Arial Unicode MS" w:cs="Arial Unicode MS"/>
          <w:sz w:val="20"/>
          <w:szCs w:val="20"/>
        </w:rPr>
        <w:t xml:space="preserve"> and ECFCshSOX9.</w:t>
      </w:r>
      <w:proofErr w:type="gramEnd"/>
      <w:r>
        <w:rPr>
          <w:rFonts w:ascii="Arial Unicode MS" w:cs="Arial Unicode MS"/>
          <w:sz w:val="20"/>
          <w:szCs w:val="20"/>
        </w:rPr>
        <w:t xml:space="preserve"> The presence of the </w:t>
      </w:r>
      <w:proofErr w:type="spellStart"/>
      <w:r>
        <w:rPr>
          <w:rFonts w:ascii="Arial Unicode MS" w:cs="Arial Unicode MS"/>
          <w:sz w:val="20"/>
          <w:szCs w:val="20"/>
        </w:rPr>
        <w:t>Tet</w:t>
      </w:r>
      <w:proofErr w:type="spellEnd"/>
      <w:r>
        <w:rPr>
          <w:rFonts w:ascii="Arial Unicode MS" w:cs="Arial Unicode MS"/>
          <w:sz w:val="20"/>
          <w:szCs w:val="20"/>
        </w:rPr>
        <w:t xml:space="preserve"> repressor protein (20 </w:t>
      </w:r>
      <w:proofErr w:type="spellStart"/>
      <w:r>
        <w:rPr>
          <w:rFonts w:ascii="Arial Unicode MS" w:cs="Arial Unicode MS"/>
          <w:sz w:val="20"/>
          <w:szCs w:val="20"/>
        </w:rPr>
        <w:t>kDa</w:t>
      </w:r>
      <w:proofErr w:type="spellEnd"/>
      <w:r>
        <w:rPr>
          <w:rFonts w:ascii="Arial Unicode MS" w:cs="Arial Unicode MS"/>
          <w:sz w:val="20"/>
          <w:szCs w:val="20"/>
        </w:rPr>
        <w:t xml:space="preserve">) was verified to confirm the successful </w:t>
      </w:r>
      <w:proofErr w:type="spellStart"/>
      <w:r>
        <w:rPr>
          <w:rFonts w:ascii="Arial Unicode MS" w:cs="Arial Unicode MS"/>
          <w:sz w:val="20"/>
          <w:szCs w:val="20"/>
        </w:rPr>
        <w:t>lentiviral</w:t>
      </w:r>
      <w:proofErr w:type="spellEnd"/>
      <w:r>
        <w:rPr>
          <w:rFonts w:ascii="Arial Unicode MS" w:cs="Arial Unicode MS"/>
          <w:sz w:val="20"/>
          <w:szCs w:val="20"/>
        </w:rPr>
        <w:t xml:space="preserve"> transduction. (B) Protein and mRNA (C) expression level of SOX9 quantified by Western Blot and </w:t>
      </w:r>
      <w:proofErr w:type="spellStart"/>
      <w:r>
        <w:rPr>
          <w:rFonts w:ascii="Arial Unicode MS" w:cs="Arial Unicode MS"/>
          <w:sz w:val="20"/>
          <w:szCs w:val="20"/>
        </w:rPr>
        <w:t>qPCR</w:t>
      </w:r>
      <w:proofErr w:type="spellEnd"/>
      <w:r>
        <w:rPr>
          <w:rFonts w:ascii="Arial Unicode MS" w:cs="Arial Unicode MS"/>
          <w:sz w:val="20"/>
          <w:szCs w:val="20"/>
        </w:rPr>
        <w:t xml:space="preserve"> in ECFCshSOX9 compared to </w:t>
      </w:r>
      <w:proofErr w:type="spellStart"/>
      <w:r>
        <w:rPr>
          <w:rFonts w:ascii="Arial Unicode MS" w:cs="Arial Unicode MS"/>
          <w:sz w:val="20"/>
          <w:szCs w:val="20"/>
        </w:rPr>
        <w:t>ECFCshScr</w:t>
      </w:r>
      <w:proofErr w:type="spellEnd"/>
      <w:r>
        <w:rPr>
          <w:rFonts w:ascii="Arial Unicode MS" w:cs="Arial Unicode MS"/>
          <w:sz w:val="20"/>
          <w:szCs w:val="20"/>
        </w:rPr>
        <w:t xml:space="preserve"> in varying concentration of tetracycline.</w:t>
      </w:r>
    </w:p>
    <w:p w:rsidR="00AD1101" w:rsidRDefault="00AD1101" w:rsidP="00AD1101">
      <w:pPr>
        <w:spacing w:line="480" w:lineRule="auto"/>
        <w:jc w:val="both"/>
        <w:rPr>
          <w:b/>
          <w:bCs/>
          <w:sz w:val="20"/>
          <w:szCs w:val="20"/>
          <w:highlight w:val="yellow"/>
        </w:rPr>
      </w:pPr>
      <w:r>
        <w:rPr>
          <w:rFonts w:ascii="Arial Unicode MS" w:cs="Arial Unicode MS"/>
          <w:b/>
          <w:bCs/>
          <w:sz w:val="20"/>
          <w:szCs w:val="20"/>
          <w:highlight w:val="yellow"/>
        </w:rPr>
        <w:t>Supplemental Fig.</w:t>
      </w:r>
      <w:r>
        <w:rPr>
          <w:rFonts w:ascii="Arial Unicode MS" w:cs="Arial Unicode MS"/>
          <w:b/>
          <w:bCs/>
          <w:sz w:val="20"/>
          <w:szCs w:val="20"/>
          <w:highlight w:val="yellow"/>
        </w:rPr>
        <w:t> </w:t>
      </w:r>
      <w:r>
        <w:rPr>
          <w:rFonts w:ascii="Arial Unicode MS" w:cs="Arial Unicode MS"/>
          <w:b/>
          <w:bCs/>
          <w:sz w:val="20"/>
          <w:szCs w:val="20"/>
          <w:highlight w:val="yellow"/>
        </w:rPr>
        <w:t>5</w:t>
      </w:r>
      <w:r>
        <w:t xml:space="preserve"> </w:t>
      </w:r>
      <w:r>
        <w:rPr>
          <w:rFonts w:ascii="Arial Unicode MS" w:cs="Arial Unicode MS"/>
          <w:b/>
          <w:bCs/>
          <w:sz w:val="20"/>
          <w:szCs w:val="20"/>
          <w:highlight w:val="yellow"/>
        </w:rPr>
        <w:t xml:space="preserve">SOX9 overexpression in ECFCs induces progenitor dysfunction and </w:t>
      </w:r>
      <w:proofErr w:type="spellStart"/>
      <w:r>
        <w:rPr>
          <w:rFonts w:ascii="Arial Unicode MS" w:cs="Arial Unicode MS"/>
          <w:b/>
          <w:bCs/>
          <w:sz w:val="20"/>
          <w:szCs w:val="20"/>
          <w:highlight w:val="yellow"/>
        </w:rPr>
        <w:t>EndMT</w:t>
      </w:r>
      <w:proofErr w:type="spellEnd"/>
      <w:r>
        <w:rPr>
          <w:rFonts w:ascii="Arial Unicode MS" w:cs="Arial Unicode MS"/>
          <w:b/>
          <w:bCs/>
          <w:sz w:val="20"/>
          <w:szCs w:val="20"/>
          <w:highlight w:val="yellow"/>
        </w:rPr>
        <w:t xml:space="preserve"> (A) SOX9 mRNA expression assessed by </w:t>
      </w:r>
      <w:proofErr w:type="spellStart"/>
      <w:r>
        <w:rPr>
          <w:rFonts w:ascii="Arial Unicode MS" w:cs="Arial Unicode MS"/>
          <w:b/>
          <w:bCs/>
          <w:sz w:val="20"/>
          <w:szCs w:val="20"/>
          <w:highlight w:val="yellow"/>
        </w:rPr>
        <w:t>qPCR</w:t>
      </w:r>
      <w:proofErr w:type="spellEnd"/>
      <w:r>
        <w:rPr>
          <w:rFonts w:ascii="Arial Unicode MS" w:cs="Arial Unicode MS"/>
          <w:b/>
          <w:bCs/>
          <w:sz w:val="20"/>
          <w:szCs w:val="20"/>
          <w:highlight w:val="yellow"/>
        </w:rPr>
        <w:t xml:space="preserve">. (B) COL2A1 and </w:t>
      </w:r>
      <w:proofErr w:type="spellStart"/>
      <w:r>
        <w:rPr>
          <w:rFonts w:ascii="Arial Unicode MS" w:cs="Arial Unicode MS"/>
          <w:b/>
          <w:bCs/>
          <w:sz w:val="20"/>
          <w:szCs w:val="20"/>
          <w:highlight w:val="yellow"/>
        </w:rPr>
        <w:t>mesenchymal</w:t>
      </w:r>
      <w:proofErr w:type="spellEnd"/>
      <w:r>
        <w:rPr>
          <w:rFonts w:ascii="Arial Unicode MS" w:cs="Arial Unicode MS"/>
          <w:b/>
          <w:bCs/>
          <w:sz w:val="20"/>
          <w:szCs w:val="20"/>
          <w:highlight w:val="yellow"/>
        </w:rPr>
        <w:t xml:space="preserve"> genes (FSP1, SNAI1 and RUNX2) mRNA expression assessed by </w:t>
      </w:r>
      <w:proofErr w:type="spellStart"/>
      <w:r>
        <w:rPr>
          <w:rFonts w:ascii="Arial Unicode MS" w:cs="Arial Unicode MS"/>
          <w:b/>
          <w:bCs/>
          <w:sz w:val="20"/>
          <w:szCs w:val="20"/>
          <w:highlight w:val="yellow"/>
        </w:rPr>
        <w:t>qPCR</w:t>
      </w:r>
      <w:proofErr w:type="spellEnd"/>
      <w:r>
        <w:rPr>
          <w:rFonts w:ascii="Arial Unicode MS" w:cs="Arial Unicode MS"/>
          <w:b/>
          <w:bCs/>
          <w:sz w:val="20"/>
          <w:szCs w:val="20"/>
          <w:highlight w:val="yellow"/>
        </w:rPr>
        <w:t>. (C) Morphological differences between ECFCs overexpressing SOX9 and control ECFCs (EV). (D) Single-cell colony-forming assay. ECFCs were FACS sorted at a single-cell level and cultured for 14 days (</w:t>
      </w:r>
      <w:proofErr w:type="spellStart"/>
      <w:r>
        <w:rPr>
          <w:rFonts w:ascii="Arial Unicode MS" w:cs="Arial Unicode MS"/>
          <w:b/>
          <w:bCs/>
          <w:sz w:val="20"/>
          <w:szCs w:val="20"/>
          <w:highlight w:val="yellow"/>
        </w:rPr>
        <w:t>vs</w:t>
      </w:r>
      <w:proofErr w:type="spellEnd"/>
      <w:r>
        <w:rPr>
          <w:rFonts w:ascii="Arial Unicode MS" w:cs="Arial Unicode MS"/>
          <w:b/>
          <w:bCs/>
          <w:sz w:val="20"/>
          <w:szCs w:val="20"/>
          <w:highlight w:val="yellow"/>
        </w:rPr>
        <w:t xml:space="preserve"> EV; n</w:t>
      </w:r>
      <w:r>
        <w:rPr>
          <w:rFonts w:ascii="Arial Unicode MS" w:cs="Arial Unicode MS"/>
          <w:b/>
          <w:bCs/>
          <w:sz w:val="20"/>
          <w:szCs w:val="20"/>
          <w:highlight w:val="yellow"/>
        </w:rPr>
        <w:t> </w:t>
      </w:r>
      <w:r>
        <w:rPr>
          <w:rFonts w:ascii="Arial Unicode MS" w:cs="Arial Unicode MS"/>
          <w:b/>
          <w:bCs/>
          <w:sz w:val="20"/>
          <w:szCs w:val="20"/>
          <w:highlight w:val="yellow"/>
        </w:rPr>
        <w:t>=</w:t>
      </w:r>
      <w:r>
        <w:rPr>
          <w:rFonts w:ascii="Arial Unicode MS" w:cs="Arial Unicode MS"/>
          <w:b/>
          <w:bCs/>
          <w:sz w:val="20"/>
          <w:szCs w:val="20"/>
          <w:highlight w:val="yellow"/>
        </w:rPr>
        <w:t> </w:t>
      </w:r>
      <w:r>
        <w:rPr>
          <w:rFonts w:ascii="Arial Unicode MS" w:cs="Arial Unicode MS"/>
          <w:b/>
          <w:bCs/>
          <w:sz w:val="20"/>
          <w:szCs w:val="20"/>
          <w:highlight w:val="yellow"/>
        </w:rPr>
        <w:t>5 experimental replicates, mean</w:t>
      </w:r>
      <w:r>
        <w:rPr>
          <w:rFonts w:ascii="Arial Unicode MS" w:cs="Arial Unicode MS"/>
          <w:b/>
          <w:bCs/>
          <w:sz w:val="20"/>
          <w:szCs w:val="20"/>
          <w:highlight w:val="yellow"/>
        </w:rPr>
        <w:t> ± </w:t>
      </w:r>
      <w:r>
        <w:rPr>
          <w:rFonts w:ascii="Arial Unicode MS" w:cs="Arial Unicode MS"/>
          <w:b/>
          <w:bCs/>
          <w:sz w:val="20"/>
          <w:szCs w:val="20"/>
          <w:highlight w:val="yellow"/>
        </w:rPr>
        <w:t xml:space="preserve">SD; p value was calculated by two-way ANOVA with multiple comparison to EV). (E) CD90 surface marker expression assessed by flow </w:t>
      </w:r>
      <w:proofErr w:type="spellStart"/>
      <w:r>
        <w:rPr>
          <w:rFonts w:ascii="Arial Unicode MS" w:cs="Arial Unicode MS"/>
          <w:b/>
          <w:bCs/>
          <w:sz w:val="20"/>
          <w:szCs w:val="20"/>
          <w:highlight w:val="yellow"/>
        </w:rPr>
        <w:t>cytometry</w:t>
      </w:r>
      <w:proofErr w:type="spellEnd"/>
      <w:r>
        <w:rPr>
          <w:rFonts w:ascii="Arial Unicode MS" w:cs="Arial Unicode MS"/>
          <w:b/>
          <w:bCs/>
          <w:sz w:val="20"/>
          <w:szCs w:val="20"/>
          <w:highlight w:val="yellow"/>
        </w:rPr>
        <w:t xml:space="preserve"> in 2 biologically independent ECFC donors overexpressing SOX9 </w:t>
      </w:r>
      <w:proofErr w:type="spellStart"/>
      <w:r>
        <w:rPr>
          <w:rFonts w:ascii="Arial Unicode MS" w:cs="Arial Unicode MS"/>
          <w:b/>
          <w:bCs/>
          <w:sz w:val="20"/>
          <w:szCs w:val="20"/>
          <w:highlight w:val="yellow"/>
        </w:rPr>
        <w:t>vs</w:t>
      </w:r>
      <w:proofErr w:type="spellEnd"/>
      <w:r>
        <w:rPr>
          <w:rFonts w:ascii="Arial Unicode MS" w:cs="Arial Unicode MS"/>
          <w:b/>
          <w:bCs/>
          <w:sz w:val="20"/>
          <w:szCs w:val="20"/>
          <w:highlight w:val="yellow"/>
        </w:rPr>
        <w:t xml:space="preserve"> EV. (F) Capillary tube formation assessment of EV and OvSOX9 ECFCs. (G) Capillary networks quantification using </w:t>
      </w:r>
      <w:proofErr w:type="spellStart"/>
      <w:r>
        <w:rPr>
          <w:rFonts w:ascii="Arial Unicode MS" w:cs="Arial Unicode MS"/>
          <w:b/>
          <w:bCs/>
          <w:sz w:val="20"/>
          <w:szCs w:val="20"/>
          <w:highlight w:val="yellow"/>
        </w:rPr>
        <w:t>ImageJ</w:t>
      </w:r>
      <w:proofErr w:type="spellEnd"/>
      <w:r>
        <w:rPr>
          <w:rFonts w:ascii="Arial Unicode MS" w:cs="Arial Unicode MS"/>
          <w:b/>
          <w:bCs/>
          <w:sz w:val="20"/>
          <w:szCs w:val="20"/>
          <w:highlight w:val="yellow"/>
        </w:rPr>
        <w:t xml:space="preserve"> Angiogenesis Analyzer software.</w:t>
      </w:r>
    </w:p>
    <w:p w:rsidR="00AD1101" w:rsidRDefault="00AD1101" w:rsidP="00AD1101">
      <w:pPr>
        <w:spacing w:line="480" w:lineRule="auto"/>
        <w:jc w:val="both"/>
        <w:rPr>
          <w:sz w:val="20"/>
          <w:szCs w:val="20"/>
        </w:rPr>
      </w:pPr>
      <w:proofErr w:type="gramStart"/>
      <w:r>
        <w:rPr>
          <w:rFonts w:ascii="Arial Unicode MS" w:cs="Arial Unicode MS"/>
          <w:b/>
          <w:bCs/>
          <w:sz w:val="20"/>
          <w:szCs w:val="20"/>
          <w:highlight w:val="yellow"/>
        </w:rPr>
        <w:lastRenderedPageBreak/>
        <w:t>Supplemental Fig.</w:t>
      </w:r>
      <w:r>
        <w:rPr>
          <w:rFonts w:ascii="Arial Unicode MS" w:cs="Arial Unicode MS"/>
          <w:b/>
          <w:bCs/>
          <w:sz w:val="20"/>
          <w:szCs w:val="20"/>
          <w:highlight w:val="yellow"/>
        </w:rPr>
        <w:t> </w:t>
      </w:r>
      <w:r>
        <w:rPr>
          <w:rFonts w:ascii="Arial Unicode MS" w:cs="Arial Unicode MS"/>
          <w:b/>
          <w:bCs/>
          <w:sz w:val="20"/>
          <w:szCs w:val="20"/>
          <w:highlight w:val="yellow"/>
        </w:rPr>
        <w:t>6.</w:t>
      </w:r>
      <w:proofErr w:type="gramEnd"/>
      <w:r>
        <w:rPr>
          <w:rFonts w:ascii="Arial Unicode MS" w:cs="Arial Unicode MS"/>
          <w:b/>
          <w:bCs/>
          <w:sz w:val="20"/>
          <w:szCs w:val="20"/>
        </w:rPr>
        <w:t xml:space="preserve"> EVP hierarchy FMO controls and HFD-induced weight gains</w:t>
      </w:r>
      <w:r>
        <w:rPr>
          <w:rFonts w:ascii="Arial Unicode MS" w:cs="Arial Unicode MS"/>
          <w:sz w:val="20"/>
          <w:szCs w:val="20"/>
        </w:rPr>
        <w:t>. (A) Percentage weight gain of each respective mouse group demonstrated significant diet dependent increase within the HFD group compared to chow. Endothelial deletion of Sox9 did not significantly alter weight gain patterns compared to Sox9WT. (B) The gonadal fat pad weight was used to examine relative changes to visceral adipose tissue accumulation. HFD resulted in the significant increase of gonadal fat pad weight compared to control chow. (C) FMO of markers used to determine gating strategies of the murine endothelial hierarchy. Red dotted line signifies cut offs for positive populations.</w:t>
      </w:r>
    </w:p>
    <w:p w:rsidR="00AD1101" w:rsidRDefault="00AD1101" w:rsidP="00AD1101">
      <w:pPr>
        <w:spacing w:line="480" w:lineRule="auto"/>
        <w:jc w:val="both"/>
        <w:rPr>
          <w:rFonts w:ascii="Arial Unicode MS" w:cs="Arial Unicode MS"/>
          <w:b/>
          <w:bCs/>
          <w:sz w:val="20"/>
          <w:szCs w:val="20"/>
        </w:rPr>
      </w:pPr>
      <w:bookmarkStart w:id="0" w:name="_GoBack"/>
      <w:bookmarkEnd w:id="0"/>
    </w:p>
    <w:p w:rsidR="00AD1101" w:rsidRDefault="00AD1101" w:rsidP="00AD1101">
      <w:pPr>
        <w:spacing w:line="480" w:lineRule="auto"/>
        <w:jc w:val="both"/>
        <w:rPr>
          <w:b/>
          <w:bCs/>
          <w:sz w:val="20"/>
          <w:szCs w:val="20"/>
        </w:rPr>
      </w:pPr>
      <w:r>
        <w:rPr>
          <w:rFonts w:ascii="Arial Unicode MS" w:cs="Arial Unicode MS"/>
          <w:b/>
          <w:bCs/>
          <w:sz w:val="20"/>
          <w:szCs w:val="20"/>
        </w:rPr>
        <w:t>Supplemental Figures</w:t>
      </w:r>
    </w:p>
    <w:p w:rsidR="00AD1101" w:rsidRDefault="00AD1101" w:rsidP="00AD1101">
      <w:bookmarkStart w:id="1" w:name="[IMAGE-Fig7_Print.jpeg]"/>
      <w:r>
        <w:rPr>
          <w:noProof/>
          <w:lang w:val="en-IN" w:eastAsia="en-IN"/>
        </w:rPr>
        <w:drawing>
          <wp:inline distT="0" distB="0" distL="0" distR="0" wp14:anchorId="614239A4" wp14:editId="44AA43E9">
            <wp:extent cx="5715" cy="5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bookmarkEnd w:id="1"/>
    </w:p>
    <w:p w:rsidR="00AD1101" w:rsidRDefault="00AD1101" w:rsidP="00AD1101">
      <w:bookmarkStart w:id="2" w:name="[IMAGE-Fig8_Print.jpeg]"/>
      <w:r>
        <w:rPr>
          <w:noProof/>
          <w:lang w:val="en-IN" w:eastAsia="en-IN"/>
        </w:rPr>
        <w:lastRenderedPageBreak/>
        <w:drawing>
          <wp:inline distT="0" distB="0" distL="0" distR="0" wp14:anchorId="52FC1ABC" wp14:editId="2C9A7703">
            <wp:extent cx="9767570" cy="9862185"/>
            <wp:effectExtent l="0" t="0" r="508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67570" cy="9862185"/>
                    </a:xfrm>
                    <a:prstGeom prst="rect">
                      <a:avLst/>
                    </a:prstGeom>
                    <a:noFill/>
                    <a:ln>
                      <a:noFill/>
                    </a:ln>
                  </pic:spPr>
                </pic:pic>
              </a:graphicData>
            </a:graphic>
          </wp:inline>
        </w:drawing>
      </w:r>
      <w:bookmarkEnd w:id="2"/>
    </w:p>
    <w:p w:rsidR="00AD1101" w:rsidRDefault="00AD1101" w:rsidP="00AD1101">
      <w:bookmarkStart w:id="3" w:name="[IMAGE-Fig9_Print.jpeg]"/>
      <w:r>
        <w:rPr>
          <w:noProof/>
          <w:lang w:val="en-IN" w:eastAsia="en-IN"/>
        </w:rPr>
        <w:lastRenderedPageBreak/>
        <w:drawing>
          <wp:inline distT="0" distB="0" distL="0" distR="0" wp14:anchorId="3CD48A54" wp14:editId="40CB82FF">
            <wp:extent cx="5715" cy="57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bookmarkEnd w:id="3"/>
    </w:p>
    <w:p w:rsidR="00AD1101" w:rsidRDefault="00AD1101" w:rsidP="00AD1101">
      <w:bookmarkStart w:id="4" w:name="[IMAGE-Fig10_Print.jpeg]"/>
      <w:r>
        <w:rPr>
          <w:noProof/>
          <w:lang w:val="en-IN" w:eastAsia="en-IN"/>
        </w:rPr>
        <w:drawing>
          <wp:inline distT="0" distB="0" distL="0" distR="0" wp14:anchorId="5A6D393E" wp14:editId="2B39D9BD">
            <wp:extent cx="5729605" cy="8277225"/>
            <wp:effectExtent l="0" t="0" r="444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9605" cy="8277225"/>
                    </a:xfrm>
                    <a:prstGeom prst="rect">
                      <a:avLst/>
                    </a:prstGeom>
                    <a:noFill/>
                    <a:ln>
                      <a:noFill/>
                    </a:ln>
                  </pic:spPr>
                </pic:pic>
              </a:graphicData>
            </a:graphic>
          </wp:inline>
        </w:drawing>
      </w:r>
      <w:bookmarkEnd w:id="4"/>
    </w:p>
    <w:p w:rsidR="00AD1101" w:rsidRDefault="00AD1101" w:rsidP="00AD1101">
      <w:bookmarkStart w:id="5" w:name="[IMAGE-Fig11_Print.jpeg]"/>
      <w:r>
        <w:rPr>
          <w:noProof/>
          <w:lang w:val="en-IN" w:eastAsia="en-IN"/>
        </w:rPr>
        <w:drawing>
          <wp:inline distT="0" distB="0" distL="0" distR="0" wp14:anchorId="6562F5CF" wp14:editId="207CF159">
            <wp:extent cx="5715" cy="5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bookmarkEnd w:id="5"/>
    </w:p>
    <w:p w:rsidR="00AD1101" w:rsidRDefault="00AD1101" w:rsidP="00AD1101">
      <w:bookmarkStart w:id="6" w:name="[IMAGE-Fig12_Print.jpeg]"/>
      <w:r>
        <w:rPr>
          <w:noProof/>
          <w:lang w:val="en-IN" w:eastAsia="en-IN"/>
        </w:rPr>
        <w:lastRenderedPageBreak/>
        <w:drawing>
          <wp:inline distT="0" distB="0" distL="0" distR="0" wp14:anchorId="7443B36D" wp14:editId="64476377">
            <wp:extent cx="5883910" cy="82772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3910" cy="8277225"/>
                    </a:xfrm>
                    <a:prstGeom prst="rect">
                      <a:avLst/>
                    </a:prstGeom>
                    <a:noFill/>
                    <a:ln>
                      <a:noFill/>
                    </a:ln>
                  </pic:spPr>
                </pic:pic>
              </a:graphicData>
            </a:graphic>
          </wp:inline>
        </w:drawing>
      </w:r>
      <w:bookmarkEnd w:id="6"/>
    </w:p>
    <w:p w:rsidR="00AD1101" w:rsidRDefault="00AD1101" w:rsidP="00AD1101">
      <w:bookmarkStart w:id="7" w:name="[IMAGE-Fig13_Print.jpeg]"/>
      <w:r>
        <w:rPr>
          <w:noProof/>
          <w:lang w:val="en-IN" w:eastAsia="en-IN"/>
        </w:rPr>
        <w:drawing>
          <wp:inline distT="0" distB="0" distL="0" distR="0" wp14:anchorId="21BFCAA3" wp14:editId="55CD9319">
            <wp:extent cx="5715" cy="5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bookmarkEnd w:id="7"/>
    </w:p>
    <w:p w:rsidR="00AD1101" w:rsidRDefault="00AD1101" w:rsidP="00AD1101">
      <w:bookmarkStart w:id="8" w:name="[IMAGE-Fig14_Print.jpeg]"/>
      <w:r>
        <w:rPr>
          <w:noProof/>
          <w:lang w:val="en-IN" w:eastAsia="en-IN"/>
        </w:rPr>
        <w:lastRenderedPageBreak/>
        <w:drawing>
          <wp:inline distT="0" distB="0" distL="0" distR="0" wp14:anchorId="4A9115A6" wp14:editId="3AF86CE7">
            <wp:extent cx="5729605" cy="8277225"/>
            <wp:effectExtent l="0" t="0" r="444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605" cy="8277225"/>
                    </a:xfrm>
                    <a:prstGeom prst="rect">
                      <a:avLst/>
                    </a:prstGeom>
                    <a:noFill/>
                    <a:ln>
                      <a:noFill/>
                    </a:ln>
                  </pic:spPr>
                </pic:pic>
              </a:graphicData>
            </a:graphic>
          </wp:inline>
        </w:drawing>
      </w:r>
      <w:bookmarkEnd w:id="8"/>
    </w:p>
    <w:p w:rsidR="00AD1101" w:rsidRDefault="00AD1101" w:rsidP="00AD1101">
      <w:bookmarkStart w:id="9" w:name="[IMAGE-Fig15_Print.jpeg]"/>
      <w:r>
        <w:rPr>
          <w:noProof/>
          <w:lang w:val="en-IN" w:eastAsia="en-IN"/>
        </w:rPr>
        <w:lastRenderedPageBreak/>
        <w:drawing>
          <wp:inline distT="0" distB="0" distL="0" distR="0" wp14:anchorId="6776AD76" wp14:editId="4EE97603">
            <wp:extent cx="10657840" cy="827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7840" cy="8277225"/>
                    </a:xfrm>
                    <a:prstGeom prst="rect">
                      <a:avLst/>
                    </a:prstGeom>
                    <a:noFill/>
                    <a:ln>
                      <a:noFill/>
                    </a:ln>
                  </pic:spPr>
                </pic:pic>
              </a:graphicData>
            </a:graphic>
          </wp:inline>
        </w:drawing>
      </w:r>
      <w:bookmarkEnd w:id="9"/>
    </w:p>
    <w:p w:rsidR="00AD1101" w:rsidRDefault="00AD1101" w:rsidP="00AD1101">
      <w:bookmarkStart w:id="10" w:name="[IMAGE-Fig16_Print.jpeg]"/>
      <w:r>
        <w:rPr>
          <w:noProof/>
          <w:lang w:val="en-IN" w:eastAsia="en-IN"/>
        </w:rPr>
        <w:drawing>
          <wp:inline distT="0" distB="0" distL="0" distR="0" wp14:anchorId="6D612B60" wp14:editId="43C9FD5B">
            <wp:extent cx="5715" cy="5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bookmarkEnd w:id="10"/>
    </w:p>
    <w:p w:rsidR="00AD1101" w:rsidRDefault="00AD1101" w:rsidP="00AD1101">
      <w:pPr>
        <w:spacing w:line="480" w:lineRule="auto"/>
        <w:jc w:val="both"/>
      </w:pPr>
      <w:bookmarkStart w:id="11" w:name="[IMAGE-Fig17_Print.png]"/>
      <w:r>
        <w:rPr>
          <w:noProof/>
          <w:lang w:val="en-IN" w:eastAsia="en-IN"/>
        </w:rPr>
        <w:lastRenderedPageBreak/>
        <w:drawing>
          <wp:inline distT="0" distB="0" distL="0" distR="0" wp14:anchorId="37097316" wp14:editId="0090E378">
            <wp:extent cx="5731510" cy="8279130"/>
            <wp:effectExtent l="0" t="0" r="2540" b="7620"/>
            <wp:docPr id="16040206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20629" name=""/>
                    <pic:cNvPicPr/>
                  </pic:nvPicPr>
                  <pic:blipFill>
                    <a:blip r:embed="rId12">
                      <a:extLs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 r:embed="rId16"/>
                        </a:ext>
                      </a:extLst>
                    </a:blip>
                    <a:stretch>
                      <a:fillRect/>
                    </a:stretch>
                  </pic:blipFill>
                  <pic:spPr>
                    <a:xfrm>
                      <a:off x="0" y="0"/>
                      <a:ext cx="5731510" cy="8279130"/>
                    </a:xfrm>
                    <a:prstGeom prst="rect">
                      <a:avLst/>
                    </a:prstGeom>
                  </pic:spPr>
                </pic:pic>
              </a:graphicData>
            </a:graphic>
          </wp:inline>
        </w:drawing>
      </w:r>
      <w:bookmarkEnd w:id="11"/>
    </w:p>
    <w:p w:rsidR="00AD1101" w:rsidRDefault="00AD1101" w:rsidP="00AD1101">
      <w:pPr>
        <w:rPr>
          <w:b/>
          <w:bCs/>
          <w:sz w:val="20"/>
          <w:szCs w:val="20"/>
        </w:rPr>
      </w:pPr>
      <w:r>
        <w:rPr>
          <w:rFonts w:ascii="Arial Unicode MS" w:cs="Arial Unicode MS"/>
          <w:b/>
          <w:bCs/>
          <w:sz w:val="20"/>
          <w:szCs w:val="20"/>
        </w:rPr>
        <w:t>Supplemental Methods</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lastRenderedPageBreak/>
        <w:t>Immunofluorescence - mouse</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Dissected tissues were fixed for 30 </w:t>
      </w:r>
      <w:proofErr w:type="spellStart"/>
      <w:r>
        <w:rPr>
          <w:rFonts w:ascii="Arial Unicode MS" w:cs="Arial Unicode MS"/>
          <w:sz w:val="20"/>
          <w:szCs w:val="20"/>
        </w:rPr>
        <w:t>mins</w:t>
      </w:r>
      <w:proofErr w:type="spellEnd"/>
      <w:r>
        <w:rPr>
          <w:rFonts w:ascii="Arial Unicode MS" w:cs="Arial Unicode MS"/>
          <w:sz w:val="20"/>
          <w:szCs w:val="20"/>
        </w:rPr>
        <w:t xml:space="preserve"> at room temperature in 4% PFA. The fixative was removed with 3x washes of 1x PBS (</w:t>
      </w:r>
      <w:proofErr w:type="spellStart"/>
      <w:r>
        <w:rPr>
          <w:rFonts w:ascii="Arial Unicode MS" w:cs="Arial Unicode MS"/>
          <w:sz w:val="20"/>
          <w:szCs w:val="20"/>
        </w:rPr>
        <w:t>Amresco</w:t>
      </w:r>
      <w:proofErr w:type="spellEnd"/>
      <w:r>
        <w:rPr>
          <w:rFonts w:ascii="Arial Unicode MS" w:cs="Arial Unicode MS"/>
          <w:sz w:val="20"/>
          <w:szCs w:val="20"/>
        </w:rPr>
        <w:t xml:space="preserve">, Solon, Ohio, USA). Tissues were subsequently infused with sucrose before </w:t>
      </w:r>
      <w:proofErr w:type="spellStart"/>
      <w:r>
        <w:rPr>
          <w:rFonts w:ascii="Arial Unicode MS" w:cs="Arial Unicode MS"/>
          <w:sz w:val="20"/>
          <w:szCs w:val="20"/>
        </w:rPr>
        <w:t>cryo</w:t>
      </w:r>
      <w:proofErr w:type="spellEnd"/>
      <w:r>
        <w:rPr>
          <w:rFonts w:ascii="Arial Unicode MS" w:cs="Arial Unicode MS"/>
          <w:sz w:val="20"/>
          <w:szCs w:val="20"/>
        </w:rPr>
        <w:t xml:space="preserve">-embedding. For staining of specific antigens, </w:t>
      </w:r>
      <w:proofErr w:type="spellStart"/>
      <w:r>
        <w:rPr>
          <w:rFonts w:ascii="Arial Unicode MS" w:cs="Arial Unicode MS"/>
          <w:sz w:val="20"/>
          <w:szCs w:val="20"/>
        </w:rPr>
        <w:t>cryo</w:t>
      </w:r>
      <w:proofErr w:type="spellEnd"/>
      <w:r>
        <w:rPr>
          <w:rFonts w:ascii="Arial Unicode MS" w:cs="Arial Unicode MS"/>
          <w:sz w:val="20"/>
          <w:szCs w:val="20"/>
        </w:rPr>
        <w:t xml:space="preserve">-sections were </w:t>
      </w:r>
      <w:proofErr w:type="spellStart"/>
      <w:r>
        <w:rPr>
          <w:rFonts w:ascii="Arial Unicode MS" w:cs="Arial Unicode MS"/>
          <w:sz w:val="20"/>
          <w:szCs w:val="20"/>
        </w:rPr>
        <w:t>permeabilized</w:t>
      </w:r>
      <w:proofErr w:type="spellEnd"/>
      <w:r>
        <w:rPr>
          <w:rFonts w:ascii="Arial Unicode MS" w:cs="Arial Unicode MS"/>
          <w:sz w:val="20"/>
          <w:szCs w:val="20"/>
        </w:rPr>
        <w:t xml:space="preserve"> in 0.5% Triton-x-100 (</w:t>
      </w:r>
      <w:proofErr w:type="spellStart"/>
      <w:r>
        <w:rPr>
          <w:rFonts w:ascii="Arial Unicode MS" w:cs="Arial Unicode MS"/>
          <w:sz w:val="20"/>
          <w:szCs w:val="20"/>
        </w:rPr>
        <w:t>Chem</w:t>
      </w:r>
      <w:proofErr w:type="spellEnd"/>
      <w:r>
        <w:rPr>
          <w:rFonts w:ascii="Arial Unicode MS" w:cs="Arial Unicode MS"/>
          <w:sz w:val="20"/>
          <w:szCs w:val="20"/>
        </w:rPr>
        <w:t xml:space="preserve"> Supply, Gillman, South Australia) before blocking with 20% normal goat serum. Within this study, primary antibodies used for mouse experiments included rat anti-mouse CD31 (1:100), rabbit anti-FSP1 (1:200), rabbit anti-SOX9 (1:500), and chicken anti-GFP (1:300). Excess and unbound antibody was then removed with 3x 5mins washes in a solution containing 1x PBS/0.1% Tween-20 (</w:t>
      </w:r>
      <w:proofErr w:type="spellStart"/>
      <w:r>
        <w:rPr>
          <w:rFonts w:ascii="Arial Unicode MS" w:cs="Arial Unicode MS"/>
          <w:sz w:val="20"/>
          <w:szCs w:val="20"/>
        </w:rPr>
        <w:t>Amresco</w:t>
      </w:r>
      <w:proofErr w:type="spellEnd"/>
      <w:r>
        <w:rPr>
          <w:rFonts w:ascii="Arial Unicode MS" w:cs="Arial Unicode MS"/>
          <w:sz w:val="20"/>
          <w:szCs w:val="20"/>
        </w:rPr>
        <w:t xml:space="preserve">, Solon, Ohio, USA). Secondary antibodies conjugated with </w:t>
      </w:r>
      <w:proofErr w:type="spellStart"/>
      <w:r>
        <w:rPr>
          <w:rFonts w:ascii="Arial Unicode MS" w:cs="Arial Unicode MS"/>
          <w:sz w:val="20"/>
          <w:szCs w:val="20"/>
        </w:rPr>
        <w:t>Alexa-fluor</w:t>
      </w:r>
      <w:proofErr w:type="spellEnd"/>
      <w:r>
        <w:rPr>
          <w:rFonts w:ascii="Arial Unicode MS" w:cs="Arial Unicode MS"/>
          <w:sz w:val="20"/>
          <w:szCs w:val="20"/>
        </w:rPr>
        <w:t xml:space="preserve"> 488, 568, 647 (Invitrogen, Carlsbad, CA, USA) were used for fluorescence detection. Briefly, sections were incubated with secondary antibodies for 40mins at room temperature. Excess antibody was removed by 3x washes in PBS/0.1% Tween-20. Nuclear staining was revealed in specimens mounted with </w:t>
      </w:r>
      <w:proofErr w:type="spellStart"/>
      <w:r>
        <w:rPr>
          <w:rFonts w:ascii="Arial Unicode MS" w:cs="Arial Unicode MS"/>
          <w:sz w:val="20"/>
          <w:szCs w:val="20"/>
        </w:rPr>
        <w:t>ProLong</w:t>
      </w:r>
      <w:proofErr w:type="spellEnd"/>
      <w:r>
        <w:rPr>
          <w:rFonts w:ascii="Arial Unicode MS" w:cs="Arial Unicode MS"/>
          <w:sz w:val="20"/>
          <w:szCs w:val="20"/>
        </w:rPr>
        <w:t>®</w:t>
      </w:r>
      <w:r>
        <w:rPr>
          <w:rFonts w:ascii="Arial Unicode MS" w:cs="Arial Unicode MS"/>
          <w:sz w:val="20"/>
          <w:szCs w:val="20"/>
        </w:rPr>
        <w:t xml:space="preserve"> Gold mounting media containing DAPI (Invitrogen, Carlsbad, CA, USA).</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 xml:space="preserve">Immunofluorescence </w:t>
      </w:r>
      <w:r>
        <w:rPr>
          <w:rFonts w:ascii="Arial Unicode MS" w:cs="Arial Unicode MS"/>
          <w:b/>
          <w:bCs/>
          <w:sz w:val="20"/>
          <w:szCs w:val="20"/>
        </w:rPr>
        <w:t>–</w:t>
      </w:r>
      <w:r>
        <w:rPr>
          <w:rFonts w:ascii="Arial Unicode MS" w:cs="Arial Unicode MS"/>
          <w:b/>
          <w:bCs/>
          <w:sz w:val="20"/>
          <w:szCs w:val="20"/>
        </w:rPr>
        <w:t xml:space="preserve"> Human ECFCs</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ECFCs were cultured and treated on 6 mm glass coverslips coated with 1% collagen I. After the treatment period, cells were washed with PBS to remove excess media and serum, and then fixed in ice-cold 4% paraformaldehyde for 1 minute. The fixative was then removed with PBS washes. The cells were </w:t>
      </w:r>
      <w:proofErr w:type="spellStart"/>
      <w:r>
        <w:rPr>
          <w:rFonts w:ascii="Arial Unicode MS" w:cs="Arial Unicode MS"/>
          <w:sz w:val="20"/>
          <w:szCs w:val="20"/>
        </w:rPr>
        <w:t>permeabilised</w:t>
      </w:r>
      <w:proofErr w:type="spellEnd"/>
      <w:r>
        <w:rPr>
          <w:rFonts w:ascii="Arial Unicode MS" w:cs="Arial Unicode MS"/>
          <w:sz w:val="20"/>
          <w:szCs w:val="20"/>
        </w:rPr>
        <w:t xml:space="preserve"> and blocked with 0.1% TritonX-100 and 10% goat serum, 3% BSA in PBS respectively. Diluted primary antibodies were incubated overnight at 4 </w:t>
      </w:r>
      <w:proofErr w:type="spellStart"/>
      <w:r>
        <w:rPr>
          <w:rFonts w:ascii="Arial Unicode MS" w:cs="Arial Unicode MS"/>
          <w:sz w:val="20"/>
          <w:szCs w:val="20"/>
        </w:rPr>
        <w:t>oC</w:t>
      </w:r>
      <w:proofErr w:type="spellEnd"/>
      <w:r>
        <w:rPr>
          <w:rFonts w:ascii="Arial Unicode MS" w:cs="Arial Unicode MS"/>
          <w:sz w:val="20"/>
          <w:szCs w:val="20"/>
        </w:rPr>
        <w:t xml:space="preserve"> as follows: Rat anti-CD31 (#561653, BD Biosciences, CA, US, 1:100), rat anti-VE-Cadherin (1:50, BD Biosciences Cat# </w:t>
      </w:r>
      <w:r>
        <w:rPr>
          <w:rFonts w:ascii="Arial Unicode MS" w:cs="Arial Unicode MS"/>
          <w:sz w:val="20"/>
          <w:szCs w:val="20"/>
        </w:rPr>
        <w:lastRenderedPageBreak/>
        <w:t>560874, RRID:AB_10565967), rabbit anti-SOX9 (Millipore Cat# AB5535, RRID:AB_2239761), rabbit anti-RUNX2 (</w:t>
      </w:r>
      <w:proofErr w:type="spellStart"/>
      <w:r>
        <w:rPr>
          <w:rFonts w:ascii="Arial Unicode MS" w:cs="Arial Unicode MS"/>
          <w:sz w:val="20"/>
          <w:szCs w:val="20"/>
        </w:rPr>
        <w:t>Abcam</w:t>
      </w:r>
      <w:proofErr w:type="spellEnd"/>
      <w:r>
        <w:rPr>
          <w:rFonts w:ascii="Arial Unicode MS" w:cs="Arial Unicode MS"/>
          <w:sz w:val="20"/>
          <w:szCs w:val="20"/>
        </w:rPr>
        <w:t xml:space="preserve"> Cat# ab23981, RRID:AB_777785) and rat anti-CD90 (</w:t>
      </w:r>
      <w:proofErr w:type="spellStart"/>
      <w:r>
        <w:rPr>
          <w:rFonts w:ascii="Arial Unicode MS" w:cs="Arial Unicode MS"/>
          <w:sz w:val="20"/>
          <w:szCs w:val="20"/>
        </w:rPr>
        <w:t>BioLegend</w:t>
      </w:r>
      <w:proofErr w:type="spellEnd"/>
      <w:r>
        <w:rPr>
          <w:rFonts w:ascii="Arial Unicode MS" w:cs="Arial Unicode MS"/>
          <w:sz w:val="20"/>
          <w:szCs w:val="20"/>
        </w:rPr>
        <w:t xml:space="preserve"> Cat# 328111, RRID:AB_893441). After washing three times with PBS, diluted secondary antibody goat </w:t>
      </w:r>
      <w:proofErr w:type="spellStart"/>
      <w:r>
        <w:rPr>
          <w:rFonts w:ascii="Arial Unicode MS" w:cs="Arial Unicode MS"/>
          <w:sz w:val="20"/>
          <w:szCs w:val="20"/>
        </w:rPr>
        <w:t>Alexa</w:t>
      </w:r>
      <w:proofErr w:type="spellEnd"/>
      <w:r>
        <w:rPr>
          <w:rFonts w:ascii="Arial Unicode MS" w:cs="Arial Unicode MS"/>
          <w:sz w:val="20"/>
          <w:szCs w:val="20"/>
        </w:rPr>
        <w:t xml:space="preserve"> Fluor 488, 647 (Invitrogen, 1:500) was applied for 1 hour at room temperature. </w:t>
      </w:r>
      <w:proofErr w:type="gramStart"/>
      <w:r>
        <w:rPr>
          <w:rFonts w:ascii="Arial Unicode MS" w:cs="Arial Unicode MS"/>
          <w:sz w:val="20"/>
          <w:szCs w:val="20"/>
        </w:rPr>
        <w:t>Nuclei was</w:t>
      </w:r>
      <w:proofErr w:type="gramEnd"/>
      <w:r>
        <w:rPr>
          <w:rFonts w:ascii="Arial Unicode MS" w:cs="Arial Unicode MS"/>
          <w:sz w:val="20"/>
          <w:szCs w:val="20"/>
        </w:rPr>
        <w:t xml:space="preserve"> identified via DAPI (1:10,000) staining for 10 minutes at room temperature. Coverslips were mounted on to </w:t>
      </w:r>
      <w:proofErr w:type="spellStart"/>
      <w:r>
        <w:rPr>
          <w:rFonts w:ascii="Arial Unicode MS" w:cs="Arial Unicode MS"/>
          <w:sz w:val="20"/>
          <w:szCs w:val="20"/>
        </w:rPr>
        <w:t>Superfrost</w:t>
      </w:r>
      <w:proofErr w:type="spellEnd"/>
      <w:r>
        <w:rPr>
          <w:rFonts w:ascii="Arial Unicode MS" w:cs="Arial Unicode MS"/>
          <w:sz w:val="20"/>
          <w:szCs w:val="20"/>
        </w:rPr>
        <w:t>™</w:t>
      </w:r>
      <w:r>
        <w:rPr>
          <w:rFonts w:ascii="Arial Unicode MS" w:cs="Arial Unicode MS"/>
          <w:sz w:val="20"/>
          <w:szCs w:val="20"/>
        </w:rPr>
        <w:t xml:space="preserve"> Plus slides (Thermo Fisher Scientifics) using DAKO mounting medium (Agilent, CA, US). All images were obtained using the CSU-W1 </w:t>
      </w:r>
      <w:proofErr w:type="spellStart"/>
      <w:r>
        <w:rPr>
          <w:rFonts w:ascii="Arial Unicode MS" w:cs="Arial Unicode MS"/>
          <w:sz w:val="20"/>
          <w:szCs w:val="20"/>
        </w:rPr>
        <w:t>SoRa</w:t>
      </w:r>
      <w:proofErr w:type="spellEnd"/>
      <w:r>
        <w:rPr>
          <w:rFonts w:ascii="Arial Unicode MS" w:cs="Arial Unicode MS"/>
          <w:sz w:val="20"/>
          <w:szCs w:val="20"/>
        </w:rPr>
        <w:t xml:space="preserve"> Nikon Spinning Disk confocal microscope (Nikon, Japan). For cell counting and quantification, images were coded and </w:t>
      </w:r>
      <w:proofErr w:type="spellStart"/>
      <w:r>
        <w:rPr>
          <w:rFonts w:ascii="Arial Unicode MS" w:cs="Arial Unicode MS"/>
          <w:sz w:val="20"/>
          <w:szCs w:val="20"/>
        </w:rPr>
        <w:t>analysed</w:t>
      </w:r>
      <w:proofErr w:type="spellEnd"/>
      <w:r>
        <w:rPr>
          <w:rFonts w:ascii="Arial Unicode MS" w:cs="Arial Unicode MS"/>
          <w:sz w:val="20"/>
          <w:szCs w:val="20"/>
        </w:rPr>
        <w:t xml:space="preserve"> in a </w:t>
      </w:r>
      <w:proofErr w:type="spellStart"/>
      <w:r>
        <w:rPr>
          <w:rFonts w:ascii="Arial Unicode MS" w:cs="Arial Unicode MS"/>
          <w:sz w:val="20"/>
          <w:szCs w:val="20"/>
        </w:rPr>
        <w:t>blindered</w:t>
      </w:r>
      <w:proofErr w:type="spellEnd"/>
      <w:r>
        <w:rPr>
          <w:rFonts w:ascii="Arial Unicode MS" w:cs="Arial Unicode MS"/>
          <w:sz w:val="20"/>
          <w:szCs w:val="20"/>
        </w:rPr>
        <w:t xml:space="preserve"> manner. For quantification of transcription factor expression, at least 4 slides were evaluated per ECFC donor, with a minimum of 4 donors. Data were averaged per donor, to be used for statistical analyses.</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Microscopy</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Confocal images were acquired with either the Olympus FV3000 confocal microscope or CSU-W1 </w:t>
      </w:r>
      <w:proofErr w:type="spellStart"/>
      <w:r>
        <w:rPr>
          <w:rFonts w:ascii="Arial Unicode MS" w:cs="Arial Unicode MS"/>
          <w:sz w:val="20"/>
          <w:szCs w:val="20"/>
        </w:rPr>
        <w:t>SoRa</w:t>
      </w:r>
      <w:proofErr w:type="spellEnd"/>
      <w:r>
        <w:rPr>
          <w:rFonts w:ascii="Arial Unicode MS" w:cs="Arial Unicode MS"/>
          <w:sz w:val="20"/>
          <w:szCs w:val="20"/>
        </w:rPr>
        <w:t xml:space="preserve"> Nikon Spinning Disk microscopes using </w:t>
      </w:r>
      <w:proofErr w:type="spellStart"/>
      <w:r>
        <w:rPr>
          <w:rFonts w:ascii="Arial Unicode MS" w:cs="Arial Unicode MS"/>
          <w:sz w:val="20"/>
          <w:szCs w:val="20"/>
        </w:rPr>
        <w:t>Fluoview</w:t>
      </w:r>
      <w:proofErr w:type="spellEnd"/>
      <w:r>
        <w:rPr>
          <w:rFonts w:ascii="Arial Unicode MS" w:cs="Arial Unicode MS"/>
          <w:sz w:val="20"/>
          <w:szCs w:val="20"/>
        </w:rPr>
        <w:t xml:space="preserve"> FV3000 software v1.0 and NIS imaging software v4.5 respectively. Confocal images were acquired with a microscope equipped with Argon 561</w:t>
      </w:r>
      <w:r>
        <w:rPr>
          <w:rFonts w:ascii="Arial Unicode MS" w:cs="Arial Unicode MS"/>
          <w:sz w:val="20"/>
          <w:szCs w:val="20"/>
        </w:rPr>
        <w:t> − </w:t>
      </w:r>
      <w:r>
        <w:rPr>
          <w:rFonts w:ascii="Arial Unicode MS" w:cs="Arial Unicode MS"/>
          <w:sz w:val="20"/>
          <w:szCs w:val="20"/>
        </w:rPr>
        <w:t xml:space="preserve">10 nm DPSS and 633 nm </w:t>
      </w:r>
      <w:proofErr w:type="spellStart"/>
      <w:r>
        <w:rPr>
          <w:rFonts w:ascii="Arial Unicode MS" w:cs="Arial Unicode MS"/>
          <w:sz w:val="20"/>
          <w:szCs w:val="20"/>
        </w:rPr>
        <w:t>HeNe</w:t>
      </w:r>
      <w:proofErr w:type="spellEnd"/>
      <w:r>
        <w:rPr>
          <w:rFonts w:ascii="Arial Unicode MS" w:cs="Arial Unicode MS"/>
          <w:sz w:val="20"/>
          <w:szCs w:val="20"/>
        </w:rPr>
        <w:t xml:space="preserve"> lasers, and a 405</w:t>
      </w:r>
      <w:r>
        <w:rPr>
          <w:rFonts w:ascii="Arial Unicode MS" w:cs="Arial Unicode MS"/>
          <w:sz w:val="20"/>
          <w:szCs w:val="20"/>
        </w:rPr>
        <w:t> − </w:t>
      </w:r>
      <w:r>
        <w:rPr>
          <w:rFonts w:ascii="Arial Unicode MS" w:cs="Arial Unicode MS"/>
          <w:sz w:val="20"/>
          <w:szCs w:val="20"/>
        </w:rPr>
        <w:t xml:space="preserve">30 nm diode. Images were obtained at </w:t>
      </w:r>
      <w:proofErr w:type="gramStart"/>
      <w:r>
        <w:rPr>
          <w:rFonts w:ascii="Arial Unicode MS" w:cs="Arial Unicode MS"/>
          <w:sz w:val="20"/>
          <w:szCs w:val="20"/>
        </w:rPr>
        <w:t>20x</w:t>
      </w:r>
      <w:proofErr w:type="gramEnd"/>
      <w:r>
        <w:rPr>
          <w:rFonts w:ascii="Arial Unicode MS" w:cs="Arial Unicode MS"/>
          <w:sz w:val="20"/>
          <w:szCs w:val="20"/>
        </w:rPr>
        <w:t xml:space="preserve">, and 40x. Immunofluorescence vessel quantification was conducted using </w:t>
      </w:r>
      <w:proofErr w:type="spellStart"/>
      <w:r>
        <w:rPr>
          <w:rFonts w:ascii="Arial Unicode MS" w:cs="Arial Unicode MS"/>
          <w:sz w:val="20"/>
          <w:szCs w:val="20"/>
        </w:rPr>
        <w:t>ImageJ</w:t>
      </w:r>
      <w:proofErr w:type="spellEnd"/>
      <w:r>
        <w:rPr>
          <w:rFonts w:ascii="Arial Unicode MS" w:cs="Arial Unicode MS"/>
          <w:sz w:val="20"/>
          <w:szCs w:val="20"/>
        </w:rPr>
        <w:t xml:space="preserve"> v1.53 and NIS elements v4.60.00. PSR collagen quantification was conducted using </w:t>
      </w:r>
      <w:proofErr w:type="spellStart"/>
      <w:r>
        <w:rPr>
          <w:rFonts w:ascii="Arial Unicode MS" w:cs="Arial Unicode MS"/>
          <w:sz w:val="20"/>
          <w:szCs w:val="20"/>
        </w:rPr>
        <w:t>Olyvia</w:t>
      </w:r>
      <w:proofErr w:type="spellEnd"/>
      <w:r>
        <w:rPr>
          <w:rFonts w:ascii="Arial Unicode MS" w:cs="Arial Unicode MS"/>
          <w:sz w:val="20"/>
          <w:szCs w:val="20"/>
        </w:rPr>
        <w:t xml:space="preserve"> v3.2.1.</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Tissue processing and digestion</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Tissues were collected for ex vivo analyses at defined specific end time points (D5, 7, and D28). Aorta were first digested for 20 </w:t>
      </w:r>
      <w:proofErr w:type="spellStart"/>
      <w:r>
        <w:rPr>
          <w:rFonts w:ascii="Arial Unicode MS" w:cs="Arial Unicode MS"/>
          <w:sz w:val="20"/>
          <w:szCs w:val="20"/>
        </w:rPr>
        <w:t>mins</w:t>
      </w:r>
      <w:proofErr w:type="spellEnd"/>
      <w:r>
        <w:rPr>
          <w:rFonts w:ascii="Arial Unicode MS" w:cs="Arial Unicode MS"/>
          <w:sz w:val="20"/>
          <w:szCs w:val="20"/>
        </w:rPr>
        <w:t xml:space="preserve"> at 37</w:t>
      </w:r>
      <w:r>
        <w:rPr>
          <w:rFonts w:ascii="Arial Unicode MS" w:cs="Arial Unicode MS"/>
          <w:sz w:val="20"/>
          <w:szCs w:val="20"/>
        </w:rPr>
        <w:t>°</w:t>
      </w:r>
      <w:r>
        <w:rPr>
          <w:rFonts w:ascii="Arial Unicode MS" w:cs="Arial Unicode MS"/>
          <w:sz w:val="20"/>
          <w:szCs w:val="20"/>
        </w:rPr>
        <w:t>C in 1mg/ml collagenase I (</w:t>
      </w:r>
      <w:proofErr w:type="spellStart"/>
      <w:r>
        <w:rPr>
          <w:rFonts w:ascii="Arial Unicode MS" w:cs="Arial Unicode MS"/>
          <w:sz w:val="20"/>
          <w:szCs w:val="20"/>
        </w:rPr>
        <w:t>Gibco</w:t>
      </w:r>
      <w:proofErr w:type="spellEnd"/>
      <w:r>
        <w:rPr>
          <w:rFonts w:ascii="Arial Unicode MS" w:cs="Arial Unicode MS"/>
          <w:sz w:val="20"/>
          <w:szCs w:val="20"/>
        </w:rPr>
        <w:t xml:space="preserve">, Life Technologies, NY, </w:t>
      </w:r>
      <w:r>
        <w:rPr>
          <w:rFonts w:ascii="Arial Unicode MS" w:cs="Arial Unicode MS"/>
          <w:sz w:val="20"/>
          <w:szCs w:val="20"/>
        </w:rPr>
        <w:lastRenderedPageBreak/>
        <w:t xml:space="preserve">USA), 1mg/ml </w:t>
      </w:r>
      <w:proofErr w:type="spellStart"/>
      <w:r>
        <w:rPr>
          <w:rFonts w:ascii="Arial Unicode MS" w:cs="Arial Unicode MS"/>
          <w:sz w:val="20"/>
          <w:szCs w:val="20"/>
        </w:rPr>
        <w:t>dispase</w:t>
      </w:r>
      <w:proofErr w:type="spellEnd"/>
      <w:r>
        <w:rPr>
          <w:rFonts w:ascii="Arial Unicode MS" w:cs="Arial Unicode MS"/>
          <w:sz w:val="20"/>
          <w:szCs w:val="20"/>
        </w:rPr>
        <w:t xml:space="preserve"> (</w:t>
      </w:r>
      <w:proofErr w:type="spellStart"/>
      <w:r>
        <w:rPr>
          <w:rFonts w:ascii="Arial Unicode MS" w:cs="Arial Unicode MS"/>
          <w:sz w:val="20"/>
          <w:szCs w:val="20"/>
        </w:rPr>
        <w:t>Gibco</w:t>
      </w:r>
      <w:proofErr w:type="spellEnd"/>
      <w:r>
        <w:rPr>
          <w:rFonts w:ascii="Arial Unicode MS" w:cs="Arial Unicode MS"/>
          <w:sz w:val="20"/>
          <w:szCs w:val="20"/>
        </w:rPr>
        <w:t>, Life Technologies, NY, USA), 150</w:t>
      </w:r>
      <w:r>
        <w:rPr>
          <w:rFonts w:ascii="Symbol" w:hAnsi="Symbol" w:cs="Arial Unicode MS"/>
          <w:sz w:val="20"/>
          <w:szCs w:val="20"/>
        </w:rPr>
        <w:sym w:font="Symbol" w:char="F06D"/>
      </w:r>
      <w:r>
        <w:rPr>
          <w:rFonts w:ascii="Arial Unicode MS" w:cs="Arial Unicode MS"/>
          <w:sz w:val="20"/>
          <w:szCs w:val="20"/>
        </w:rPr>
        <w:t xml:space="preserve">g/ml </w:t>
      </w:r>
      <w:proofErr w:type="spellStart"/>
      <w:r>
        <w:rPr>
          <w:rFonts w:ascii="Arial Unicode MS" w:cs="Arial Unicode MS"/>
          <w:sz w:val="20"/>
          <w:szCs w:val="20"/>
        </w:rPr>
        <w:t>DNase</w:t>
      </w:r>
      <w:proofErr w:type="spellEnd"/>
      <w:r>
        <w:rPr>
          <w:rFonts w:ascii="Arial Unicode MS" w:cs="Arial Unicode MS"/>
          <w:sz w:val="20"/>
          <w:szCs w:val="20"/>
        </w:rPr>
        <w:t>-I (Sigma-Aldrich, St Louis, MO, USA) before passing the suspension through a 70</w:t>
      </w:r>
      <w:r>
        <w:rPr>
          <w:rFonts w:ascii="Symbol" w:hAnsi="Symbol" w:cs="Arial Unicode MS"/>
          <w:sz w:val="20"/>
          <w:szCs w:val="20"/>
        </w:rPr>
        <w:sym w:font="Symbol" w:char="F06D"/>
      </w:r>
      <w:r>
        <w:rPr>
          <w:rFonts w:ascii="Arial Unicode MS" w:cs="Arial Unicode MS"/>
          <w:sz w:val="20"/>
          <w:szCs w:val="20"/>
        </w:rPr>
        <w:t xml:space="preserve">M cell strainer. Cells were then washed and </w:t>
      </w:r>
      <w:proofErr w:type="spellStart"/>
      <w:r>
        <w:rPr>
          <w:rFonts w:ascii="Arial Unicode MS" w:cs="Arial Unicode MS"/>
          <w:sz w:val="20"/>
          <w:szCs w:val="20"/>
        </w:rPr>
        <w:t>resuspeneded</w:t>
      </w:r>
      <w:proofErr w:type="spellEnd"/>
      <w:r>
        <w:rPr>
          <w:rFonts w:ascii="Arial Unicode MS" w:cs="Arial Unicode MS"/>
          <w:sz w:val="20"/>
          <w:szCs w:val="20"/>
        </w:rPr>
        <w:t xml:space="preserve"> in 1x PBS 50</w:t>
      </w:r>
      <w:r>
        <w:rPr>
          <w:rFonts w:ascii="Arial Unicode MS" w:cs="Arial Unicode MS"/>
          <w:sz w:val="20"/>
          <w:szCs w:val="20"/>
        </w:rPr>
        <w:t>µ</w:t>
      </w:r>
      <w:r>
        <w:rPr>
          <w:rFonts w:ascii="Arial Unicode MS" w:cs="Arial Unicode MS"/>
          <w:sz w:val="20"/>
          <w:szCs w:val="20"/>
        </w:rPr>
        <w:t xml:space="preserve">M EDTA 0.5% BSA solution (FACS buffer). Single cell suspensions were then used for FACS sorting or analysis by flow </w:t>
      </w:r>
      <w:proofErr w:type="spellStart"/>
      <w:r>
        <w:rPr>
          <w:rFonts w:ascii="Arial Unicode MS" w:cs="Arial Unicode MS"/>
          <w:sz w:val="20"/>
          <w:szCs w:val="20"/>
        </w:rPr>
        <w:t>cytometry</w:t>
      </w:r>
      <w:proofErr w:type="spellEnd"/>
      <w:r>
        <w:rPr>
          <w:rFonts w:ascii="Arial Unicode MS" w:cs="Arial Unicode MS"/>
          <w:sz w:val="20"/>
          <w:szCs w:val="20"/>
        </w:rPr>
        <w:t>.</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 xml:space="preserve">Flow </w:t>
      </w:r>
      <w:proofErr w:type="spellStart"/>
      <w:r>
        <w:rPr>
          <w:rFonts w:ascii="Arial Unicode MS" w:cs="Arial Unicode MS"/>
          <w:b/>
          <w:bCs/>
          <w:sz w:val="20"/>
          <w:szCs w:val="20"/>
        </w:rPr>
        <w:t>Cytometry</w:t>
      </w:r>
      <w:proofErr w:type="spellEnd"/>
      <w:r>
        <w:rPr>
          <w:rFonts w:ascii="Arial Unicode MS" w:cs="Arial Unicode MS"/>
          <w:b/>
          <w:bCs/>
          <w:sz w:val="20"/>
          <w:szCs w:val="20"/>
        </w:rPr>
        <w:t xml:space="preserve"> - mouse</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Dissociated single cells in FACS buffer were then incubated with various antibody combinations for multi-parameter flow acquisition and analysis. A BD </w:t>
      </w:r>
      <w:proofErr w:type="spellStart"/>
      <w:r>
        <w:rPr>
          <w:rFonts w:ascii="Arial Unicode MS" w:cs="Arial Unicode MS"/>
          <w:sz w:val="20"/>
          <w:szCs w:val="20"/>
        </w:rPr>
        <w:t>LSRFortessa</w:t>
      </w:r>
      <w:proofErr w:type="spellEnd"/>
      <w:r>
        <w:rPr>
          <w:rFonts w:ascii="Arial Unicode MS" w:cs="Arial Unicode MS"/>
          <w:sz w:val="20"/>
          <w:szCs w:val="20"/>
        </w:rPr>
        <w:t>™</w:t>
      </w:r>
      <w:r>
        <w:rPr>
          <w:rFonts w:ascii="Arial Unicode MS" w:cs="Arial Unicode MS"/>
          <w:sz w:val="20"/>
          <w:szCs w:val="20"/>
        </w:rPr>
        <w:t xml:space="preserve"> X-20 Cell </w:t>
      </w:r>
      <w:proofErr w:type="spellStart"/>
      <w:r>
        <w:rPr>
          <w:rFonts w:ascii="Arial Unicode MS" w:cs="Arial Unicode MS"/>
          <w:sz w:val="20"/>
          <w:szCs w:val="20"/>
        </w:rPr>
        <w:t>Analyser</w:t>
      </w:r>
      <w:proofErr w:type="spellEnd"/>
      <w:r>
        <w:rPr>
          <w:rFonts w:ascii="Arial Unicode MS" w:cs="Arial Unicode MS"/>
          <w:sz w:val="20"/>
          <w:szCs w:val="20"/>
        </w:rPr>
        <w:t xml:space="preserve"> was used for sample acquisition, while unbiased data analyses were performed with </w:t>
      </w:r>
      <w:proofErr w:type="spellStart"/>
      <w:r>
        <w:rPr>
          <w:rFonts w:ascii="Arial Unicode MS" w:cs="Arial Unicode MS"/>
          <w:sz w:val="20"/>
          <w:szCs w:val="20"/>
        </w:rPr>
        <w:t>FlowJo</w:t>
      </w:r>
      <w:proofErr w:type="spellEnd"/>
      <w:r>
        <w:rPr>
          <w:rFonts w:ascii="Arial Unicode MS" w:cs="Arial Unicode MS"/>
          <w:sz w:val="20"/>
          <w:szCs w:val="20"/>
        </w:rPr>
        <w:t xml:space="preserve"> v10 software (Becton Dickinson, Franklin Lakes, NJ, </w:t>
      </w:r>
      <w:proofErr w:type="gramStart"/>
      <w:r>
        <w:rPr>
          <w:rFonts w:ascii="Arial Unicode MS" w:cs="Arial Unicode MS"/>
          <w:sz w:val="20"/>
          <w:szCs w:val="20"/>
        </w:rPr>
        <w:t>USA</w:t>
      </w:r>
      <w:proofErr w:type="gramEnd"/>
      <w:r>
        <w:rPr>
          <w:rFonts w:ascii="Arial Unicode MS" w:cs="Arial Unicode MS"/>
          <w:sz w:val="20"/>
          <w:szCs w:val="20"/>
        </w:rPr>
        <w:t xml:space="preserve">). FACS was performed by using a </w:t>
      </w:r>
      <w:proofErr w:type="spellStart"/>
      <w:r>
        <w:rPr>
          <w:rFonts w:ascii="Arial Unicode MS" w:cs="Arial Unicode MS"/>
          <w:sz w:val="20"/>
          <w:szCs w:val="20"/>
        </w:rPr>
        <w:t>FACSaria</w:t>
      </w:r>
      <w:proofErr w:type="spellEnd"/>
      <w:r>
        <w:rPr>
          <w:rFonts w:ascii="Arial Unicode MS" w:cs="Arial Unicode MS"/>
          <w:sz w:val="20"/>
          <w:szCs w:val="20"/>
        </w:rPr>
        <w:t xml:space="preserve"> cell sorter using </w:t>
      </w:r>
      <w:proofErr w:type="spellStart"/>
      <w:r>
        <w:rPr>
          <w:rFonts w:ascii="Arial Unicode MS" w:cs="Arial Unicode MS"/>
          <w:sz w:val="20"/>
          <w:szCs w:val="20"/>
        </w:rPr>
        <w:t>FACSDiva</w:t>
      </w:r>
      <w:proofErr w:type="spellEnd"/>
      <w:r>
        <w:rPr>
          <w:rFonts w:ascii="Arial Unicode MS" w:cs="Arial Unicode MS"/>
          <w:sz w:val="20"/>
          <w:szCs w:val="20"/>
        </w:rPr>
        <w:t xml:space="preserve"> v5.0.3 with subsequent analysis performed with </w:t>
      </w:r>
      <w:proofErr w:type="spellStart"/>
      <w:r>
        <w:rPr>
          <w:rFonts w:ascii="Arial Unicode MS" w:cs="Arial Unicode MS"/>
          <w:sz w:val="20"/>
          <w:szCs w:val="20"/>
        </w:rPr>
        <w:t>FlowJo</w:t>
      </w:r>
      <w:proofErr w:type="spellEnd"/>
      <w:r>
        <w:rPr>
          <w:rFonts w:ascii="Arial Unicode MS" w:cs="Arial Unicode MS"/>
          <w:sz w:val="20"/>
          <w:szCs w:val="20"/>
        </w:rPr>
        <w:t xml:space="preserve"> v10 (Becton Dickinson). Care was taken during cell sorting to ensure only </w:t>
      </w:r>
      <w:r>
        <w:rPr>
          <w:rFonts w:ascii="Arial Unicode MS" w:cs="Arial Unicode MS"/>
          <w:sz w:val="20"/>
          <w:szCs w:val="20"/>
        </w:rPr>
        <w:t>‘</w:t>
      </w:r>
      <w:proofErr w:type="spellStart"/>
      <w:r>
        <w:rPr>
          <w:rFonts w:ascii="Arial Unicode MS" w:cs="Arial Unicode MS"/>
          <w:sz w:val="20"/>
          <w:szCs w:val="20"/>
        </w:rPr>
        <w:t>singlets</w:t>
      </w:r>
      <w:proofErr w:type="spellEnd"/>
      <w:r>
        <w:rPr>
          <w:rFonts w:ascii="Arial Unicode MS" w:cs="Arial Unicode MS"/>
          <w:sz w:val="20"/>
          <w:szCs w:val="20"/>
        </w:rPr>
        <w:t>’</w:t>
      </w:r>
      <w:r>
        <w:rPr>
          <w:rFonts w:ascii="Arial Unicode MS" w:cs="Arial Unicode MS"/>
          <w:sz w:val="20"/>
          <w:szCs w:val="20"/>
        </w:rPr>
        <w:t xml:space="preserve"> were being gated and any potential </w:t>
      </w:r>
      <w:r>
        <w:rPr>
          <w:rFonts w:ascii="Arial Unicode MS" w:cs="Arial Unicode MS"/>
          <w:sz w:val="20"/>
          <w:szCs w:val="20"/>
        </w:rPr>
        <w:t>‘</w:t>
      </w:r>
      <w:r>
        <w:rPr>
          <w:rFonts w:ascii="Arial Unicode MS" w:cs="Arial Unicode MS"/>
          <w:sz w:val="20"/>
          <w:szCs w:val="20"/>
        </w:rPr>
        <w:t>doublets</w:t>
      </w:r>
      <w:r>
        <w:rPr>
          <w:rFonts w:ascii="Arial Unicode MS" w:cs="Arial Unicode MS"/>
          <w:sz w:val="20"/>
          <w:szCs w:val="20"/>
        </w:rPr>
        <w:t>’</w:t>
      </w:r>
      <w:r>
        <w:rPr>
          <w:rFonts w:ascii="Arial Unicode MS" w:cs="Arial Unicode MS"/>
          <w:sz w:val="20"/>
          <w:szCs w:val="20"/>
        </w:rPr>
        <w:t xml:space="preserve"> were being gated out. The following combinations of antibodies were used to assess the mouse endothelial hierarchy populations: Rat anti-mouse CD31 PE-Cy7 (1:1000) and CD34 Alexa647 (1:100) (Becton Dickinson, NJ, USA), Rat anti-mouse Lineage cocktail Pacific Blue (1:50) (</w:t>
      </w:r>
      <w:proofErr w:type="spellStart"/>
      <w:r>
        <w:rPr>
          <w:rFonts w:ascii="Arial Unicode MS" w:cs="Arial Unicode MS"/>
          <w:sz w:val="20"/>
          <w:szCs w:val="20"/>
        </w:rPr>
        <w:t>Biolgend</w:t>
      </w:r>
      <w:proofErr w:type="spellEnd"/>
      <w:r>
        <w:rPr>
          <w:rFonts w:ascii="Arial Unicode MS" w:cs="Arial Unicode MS"/>
          <w:sz w:val="20"/>
          <w:szCs w:val="20"/>
        </w:rPr>
        <w:t>).</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b/>
          <w:bCs/>
          <w:sz w:val="20"/>
          <w:szCs w:val="20"/>
        </w:rPr>
        <w:t xml:space="preserve">Flow </w:t>
      </w:r>
      <w:proofErr w:type="spellStart"/>
      <w:r>
        <w:rPr>
          <w:rFonts w:ascii="Arial Unicode MS" w:cs="Arial Unicode MS"/>
          <w:b/>
          <w:bCs/>
          <w:sz w:val="20"/>
          <w:szCs w:val="20"/>
        </w:rPr>
        <w:t>Cytometry</w:t>
      </w:r>
      <w:proofErr w:type="spellEnd"/>
      <w:r>
        <w:rPr>
          <w:rFonts w:ascii="Arial Unicode MS" w:cs="Arial Unicode MS"/>
          <w:b/>
          <w:bCs/>
          <w:sz w:val="20"/>
          <w:szCs w:val="20"/>
        </w:rPr>
        <w:t xml:space="preserve"> </w:t>
      </w:r>
      <w:r>
        <w:rPr>
          <w:rFonts w:ascii="Arial Unicode MS" w:cs="Arial Unicode MS"/>
          <w:b/>
          <w:bCs/>
          <w:sz w:val="20"/>
          <w:szCs w:val="20"/>
        </w:rPr>
        <w:t>–</w:t>
      </w:r>
      <w:r>
        <w:rPr>
          <w:rFonts w:ascii="Arial Unicode MS" w:cs="Arial Unicode MS"/>
          <w:b/>
          <w:bCs/>
          <w:sz w:val="20"/>
          <w:szCs w:val="20"/>
        </w:rPr>
        <w:t xml:space="preserve"> Human ECFCs</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Cultured ECFCs were dissociated from the culture flask via </w:t>
      </w:r>
      <w:proofErr w:type="spellStart"/>
      <w:r>
        <w:rPr>
          <w:rFonts w:ascii="Arial Unicode MS" w:cs="Arial Unicode MS"/>
          <w:sz w:val="20"/>
          <w:szCs w:val="20"/>
        </w:rPr>
        <w:t>TrypLE</w:t>
      </w:r>
      <w:proofErr w:type="spellEnd"/>
      <w:r>
        <w:rPr>
          <w:rFonts w:ascii="Arial Unicode MS" w:cs="Arial Unicode MS"/>
          <w:sz w:val="20"/>
          <w:szCs w:val="20"/>
        </w:rPr>
        <w:t>™</w:t>
      </w:r>
      <w:r>
        <w:rPr>
          <w:rFonts w:ascii="Arial Unicode MS" w:cs="Arial Unicode MS"/>
          <w:sz w:val="20"/>
          <w:szCs w:val="20"/>
        </w:rPr>
        <w:t xml:space="preserve"> Express Enzyme (1x) (Invitrogen) and then washed with FACS buffer. The single cell suspension in FACS buffer was then incubated with either mouse anti-human CD34 PE (MCA547GT, Bio-Rad, 1:50) or Mouse anti-human CD90 PE-Cy5 (#328111, </w:t>
      </w:r>
      <w:proofErr w:type="spellStart"/>
      <w:r>
        <w:rPr>
          <w:rFonts w:ascii="Arial Unicode MS" w:cs="Arial Unicode MS"/>
          <w:sz w:val="20"/>
          <w:szCs w:val="20"/>
        </w:rPr>
        <w:t>BioLegend</w:t>
      </w:r>
      <w:proofErr w:type="spellEnd"/>
      <w:r>
        <w:rPr>
          <w:rFonts w:ascii="Arial Unicode MS" w:cs="Arial Unicode MS"/>
          <w:sz w:val="20"/>
          <w:szCs w:val="20"/>
        </w:rPr>
        <w:t xml:space="preserve">, 1:500). FACS acquisition was conducted on the BD </w:t>
      </w:r>
      <w:proofErr w:type="spellStart"/>
      <w:r>
        <w:rPr>
          <w:rFonts w:ascii="Arial Unicode MS" w:cs="Arial Unicode MS"/>
          <w:sz w:val="20"/>
          <w:szCs w:val="20"/>
        </w:rPr>
        <w:t>BD</w:t>
      </w:r>
      <w:proofErr w:type="spellEnd"/>
      <w:r>
        <w:rPr>
          <w:rFonts w:ascii="Arial Unicode MS" w:cs="Arial Unicode MS"/>
          <w:sz w:val="20"/>
          <w:szCs w:val="20"/>
        </w:rPr>
        <w:t xml:space="preserve"> </w:t>
      </w:r>
      <w:proofErr w:type="spellStart"/>
      <w:r>
        <w:rPr>
          <w:rFonts w:ascii="Arial Unicode MS" w:cs="Arial Unicode MS"/>
          <w:sz w:val="20"/>
          <w:szCs w:val="20"/>
        </w:rPr>
        <w:t>LSRFortessa</w:t>
      </w:r>
      <w:proofErr w:type="spellEnd"/>
      <w:r>
        <w:rPr>
          <w:rFonts w:ascii="Arial Unicode MS" w:cs="Arial Unicode MS"/>
          <w:sz w:val="20"/>
          <w:szCs w:val="20"/>
        </w:rPr>
        <w:t>™</w:t>
      </w:r>
      <w:r>
        <w:rPr>
          <w:rFonts w:ascii="Arial Unicode MS" w:cs="Arial Unicode MS"/>
          <w:sz w:val="20"/>
          <w:szCs w:val="20"/>
        </w:rPr>
        <w:t xml:space="preserve"> X-20 Cell </w:t>
      </w:r>
      <w:proofErr w:type="spellStart"/>
      <w:r>
        <w:rPr>
          <w:rFonts w:ascii="Arial Unicode MS" w:cs="Arial Unicode MS"/>
          <w:sz w:val="20"/>
          <w:szCs w:val="20"/>
        </w:rPr>
        <w:t>Analyser</w:t>
      </w:r>
      <w:proofErr w:type="spellEnd"/>
      <w:r>
        <w:rPr>
          <w:rFonts w:ascii="Arial Unicode MS" w:cs="Arial Unicode MS"/>
          <w:sz w:val="20"/>
          <w:szCs w:val="20"/>
        </w:rPr>
        <w:t xml:space="preserve">, with unbiased data analyses performed with </w:t>
      </w:r>
      <w:proofErr w:type="spellStart"/>
      <w:r>
        <w:rPr>
          <w:rFonts w:ascii="Arial Unicode MS" w:cs="Arial Unicode MS"/>
          <w:sz w:val="20"/>
          <w:szCs w:val="20"/>
        </w:rPr>
        <w:t>FlowJo</w:t>
      </w:r>
      <w:proofErr w:type="spellEnd"/>
      <w:r>
        <w:rPr>
          <w:rFonts w:ascii="Arial Unicode MS" w:cs="Arial Unicode MS"/>
          <w:sz w:val="20"/>
          <w:szCs w:val="20"/>
        </w:rPr>
        <w:t xml:space="preserve"> v10 software. </w:t>
      </w:r>
      <w:r>
        <w:rPr>
          <w:rFonts w:ascii="Arial Unicode MS" w:cs="Arial Unicode MS"/>
          <w:sz w:val="20"/>
          <w:szCs w:val="20"/>
        </w:rPr>
        <w:lastRenderedPageBreak/>
        <w:t>Single-stain and fluorescence-minus-one (FMO) control method was used to set voltage, compensation values and gating strategies.</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Western blot</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Cells were lysed in RIPA buffer supplemented with complete Protease Inhibitor (Sigma-Aldrich) followed by sonication. </w:t>
      </w:r>
      <w:proofErr w:type="spellStart"/>
      <w:r>
        <w:rPr>
          <w:rFonts w:ascii="Arial Unicode MS" w:cs="Arial Unicode MS"/>
          <w:sz w:val="20"/>
          <w:szCs w:val="20"/>
        </w:rPr>
        <w:t>Immunoblotting</w:t>
      </w:r>
      <w:proofErr w:type="spellEnd"/>
      <w:r>
        <w:rPr>
          <w:rFonts w:ascii="Arial Unicode MS" w:cs="Arial Unicode MS"/>
          <w:sz w:val="20"/>
          <w:szCs w:val="20"/>
        </w:rPr>
        <w:t xml:space="preserve"> of cell lysates was performed according to standard conditions. </w:t>
      </w:r>
      <w:proofErr w:type="spellStart"/>
      <w:r>
        <w:rPr>
          <w:rFonts w:ascii="Arial Unicode MS" w:cs="Arial Unicode MS"/>
          <w:sz w:val="20"/>
          <w:szCs w:val="20"/>
        </w:rPr>
        <w:t>Immunoblots</w:t>
      </w:r>
      <w:proofErr w:type="spellEnd"/>
      <w:r>
        <w:rPr>
          <w:rFonts w:ascii="Arial Unicode MS" w:cs="Arial Unicode MS"/>
          <w:sz w:val="20"/>
          <w:szCs w:val="20"/>
        </w:rPr>
        <w:t xml:space="preserve"> were </w:t>
      </w:r>
      <w:proofErr w:type="spellStart"/>
      <w:r>
        <w:rPr>
          <w:rFonts w:ascii="Arial Unicode MS" w:cs="Arial Unicode MS"/>
          <w:sz w:val="20"/>
          <w:szCs w:val="20"/>
        </w:rPr>
        <w:t>labelled</w:t>
      </w:r>
      <w:proofErr w:type="spellEnd"/>
      <w:r>
        <w:rPr>
          <w:rFonts w:ascii="Arial Unicode MS" w:cs="Arial Unicode MS"/>
          <w:sz w:val="20"/>
          <w:szCs w:val="20"/>
        </w:rPr>
        <w:t xml:space="preserve"> with following primary antibodies: rabbit anti-SOX9 (1:500, Merck Millipore, Burlington, Massachusetts, USA), rabbit anti-RUNX2 (1:500, </w:t>
      </w:r>
      <w:proofErr w:type="spellStart"/>
      <w:r>
        <w:rPr>
          <w:rFonts w:ascii="Arial Unicode MS" w:cs="Arial Unicode MS"/>
          <w:sz w:val="20"/>
          <w:szCs w:val="20"/>
        </w:rPr>
        <w:t>Abcam</w:t>
      </w:r>
      <w:proofErr w:type="spellEnd"/>
      <w:r>
        <w:rPr>
          <w:rFonts w:ascii="Arial Unicode MS" w:cs="Arial Unicode MS"/>
          <w:sz w:val="20"/>
          <w:szCs w:val="20"/>
        </w:rPr>
        <w:t>) and mouse anti-</w:t>
      </w:r>
      <w:r>
        <w:rPr>
          <w:rFonts w:ascii="Symbol" w:hAnsi="Symbol" w:cs="Arial Unicode MS"/>
          <w:sz w:val="20"/>
          <w:szCs w:val="20"/>
        </w:rPr>
        <w:sym w:font="Symbol" w:char="F062"/>
      </w:r>
      <w:r>
        <w:rPr>
          <w:rFonts w:ascii="Arial Unicode MS" w:cs="Arial Unicode MS"/>
          <w:sz w:val="20"/>
          <w:szCs w:val="20"/>
        </w:rPr>
        <w:t xml:space="preserve">-actin (1:5000, Sigma-Aldrich). Primary antibodies were detected using fluorescently conjugated secondary antibodies: goat anti-rabbit </w:t>
      </w:r>
      <w:proofErr w:type="spellStart"/>
      <w:r>
        <w:rPr>
          <w:rFonts w:ascii="Arial Unicode MS" w:cs="Arial Unicode MS"/>
          <w:sz w:val="20"/>
          <w:szCs w:val="20"/>
        </w:rPr>
        <w:t>IgG</w:t>
      </w:r>
      <w:proofErr w:type="spellEnd"/>
      <w:r>
        <w:rPr>
          <w:rFonts w:ascii="Arial Unicode MS" w:cs="Arial Unicode MS"/>
          <w:sz w:val="20"/>
          <w:szCs w:val="20"/>
        </w:rPr>
        <w:t xml:space="preserve"> </w:t>
      </w:r>
      <w:proofErr w:type="spellStart"/>
      <w:r>
        <w:rPr>
          <w:rFonts w:ascii="Arial Unicode MS" w:cs="Arial Unicode MS"/>
          <w:sz w:val="20"/>
          <w:szCs w:val="20"/>
        </w:rPr>
        <w:t>IRDye</w:t>
      </w:r>
      <w:proofErr w:type="spellEnd"/>
      <w:r>
        <w:rPr>
          <w:rFonts w:ascii="Arial Unicode MS" w:cs="Arial Unicode MS"/>
          <w:sz w:val="20"/>
          <w:szCs w:val="20"/>
        </w:rPr>
        <w:t>®</w:t>
      </w:r>
      <w:r>
        <w:rPr>
          <w:rFonts w:ascii="Arial Unicode MS" w:cs="Arial Unicode MS"/>
          <w:sz w:val="20"/>
          <w:szCs w:val="20"/>
        </w:rPr>
        <w:t xml:space="preserve"> 800CW and goat anti-mouse </w:t>
      </w:r>
      <w:proofErr w:type="spellStart"/>
      <w:r>
        <w:rPr>
          <w:rFonts w:ascii="Arial Unicode MS" w:cs="Arial Unicode MS"/>
          <w:sz w:val="20"/>
          <w:szCs w:val="20"/>
        </w:rPr>
        <w:t>IgG</w:t>
      </w:r>
      <w:proofErr w:type="spellEnd"/>
      <w:r>
        <w:rPr>
          <w:rFonts w:ascii="Arial Unicode MS" w:cs="Arial Unicode MS"/>
          <w:sz w:val="20"/>
          <w:szCs w:val="20"/>
        </w:rPr>
        <w:t xml:space="preserve"> </w:t>
      </w:r>
      <w:proofErr w:type="spellStart"/>
      <w:r>
        <w:rPr>
          <w:rFonts w:ascii="Arial Unicode MS" w:cs="Arial Unicode MS"/>
          <w:sz w:val="20"/>
          <w:szCs w:val="20"/>
        </w:rPr>
        <w:t>IRDye</w:t>
      </w:r>
      <w:proofErr w:type="spellEnd"/>
      <w:r>
        <w:rPr>
          <w:rFonts w:ascii="Arial Unicode MS" w:cs="Arial Unicode MS"/>
          <w:sz w:val="20"/>
          <w:szCs w:val="20"/>
        </w:rPr>
        <w:t>®</w:t>
      </w:r>
      <w:r>
        <w:rPr>
          <w:rFonts w:ascii="Arial Unicode MS" w:cs="Arial Unicode MS"/>
          <w:sz w:val="20"/>
          <w:szCs w:val="20"/>
        </w:rPr>
        <w:t xml:space="preserve"> 680RN (1:2500, LI-COR Biosciences, Lincoln, Nebraska, USA). Detection and quantification of fluorescence intensity were performed using an Odyssey </w:t>
      </w:r>
      <w:proofErr w:type="spellStart"/>
      <w:r>
        <w:rPr>
          <w:rFonts w:ascii="Arial Unicode MS" w:cs="Arial Unicode MS"/>
          <w:sz w:val="20"/>
          <w:szCs w:val="20"/>
        </w:rPr>
        <w:t>CLx</w:t>
      </w:r>
      <w:proofErr w:type="spellEnd"/>
      <w:r>
        <w:rPr>
          <w:rFonts w:ascii="Arial Unicode MS" w:cs="Arial Unicode MS"/>
          <w:sz w:val="20"/>
          <w:szCs w:val="20"/>
        </w:rPr>
        <w:t xml:space="preserve"> imaging system (LI-COR Biosciences, Lincoln) and Odyssey 2.1 software or </w:t>
      </w:r>
      <w:proofErr w:type="spellStart"/>
      <w:r>
        <w:rPr>
          <w:rFonts w:ascii="Arial Unicode MS" w:cs="Arial Unicode MS"/>
          <w:sz w:val="20"/>
          <w:szCs w:val="20"/>
        </w:rPr>
        <w:t>ChemiDoc</w:t>
      </w:r>
      <w:proofErr w:type="spellEnd"/>
      <w:r>
        <w:rPr>
          <w:rFonts w:ascii="Arial Unicode MS" w:cs="Arial Unicode MS"/>
          <w:sz w:val="20"/>
          <w:szCs w:val="20"/>
        </w:rPr>
        <w:t xml:space="preserve"> MP Imaging System and </w:t>
      </w:r>
      <w:proofErr w:type="spellStart"/>
      <w:r>
        <w:rPr>
          <w:rFonts w:ascii="Arial Unicode MS" w:cs="Arial Unicode MS"/>
          <w:sz w:val="20"/>
          <w:szCs w:val="20"/>
        </w:rPr>
        <w:t>ImageLab</w:t>
      </w:r>
      <w:proofErr w:type="spellEnd"/>
      <w:r>
        <w:rPr>
          <w:rFonts w:ascii="Arial Unicode MS" w:cs="Arial Unicode MS"/>
          <w:sz w:val="20"/>
          <w:szCs w:val="20"/>
        </w:rPr>
        <w:t xml:space="preserve"> software v6.1.</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 xml:space="preserve">RNA Extraction, </w:t>
      </w:r>
      <w:proofErr w:type="spellStart"/>
      <w:r>
        <w:rPr>
          <w:rFonts w:ascii="Arial Unicode MS" w:cs="Arial Unicode MS"/>
          <w:b/>
          <w:bCs/>
          <w:sz w:val="20"/>
          <w:szCs w:val="20"/>
        </w:rPr>
        <w:t>cDNA</w:t>
      </w:r>
      <w:proofErr w:type="spellEnd"/>
      <w:r>
        <w:rPr>
          <w:rFonts w:ascii="Arial Unicode MS" w:cs="Arial Unicode MS"/>
          <w:b/>
          <w:bCs/>
          <w:sz w:val="20"/>
          <w:szCs w:val="20"/>
        </w:rPr>
        <w:t xml:space="preserve"> synthesis and </w:t>
      </w:r>
      <w:proofErr w:type="spellStart"/>
      <w:r>
        <w:rPr>
          <w:rFonts w:ascii="Arial Unicode MS" w:cs="Arial Unicode MS"/>
          <w:b/>
          <w:bCs/>
          <w:sz w:val="20"/>
          <w:szCs w:val="20"/>
        </w:rPr>
        <w:t>qPCR</w:t>
      </w:r>
      <w:proofErr w:type="spellEnd"/>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RNA was extracted from FACS sorted or cultured cells using a QIAGEN mini kit (</w:t>
      </w:r>
      <w:proofErr w:type="spellStart"/>
      <w:r>
        <w:rPr>
          <w:rFonts w:ascii="Arial Unicode MS" w:cs="Arial Unicode MS"/>
          <w:sz w:val="20"/>
          <w:szCs w:val="20"/>
        </w:rPr>
        <w:t>Qiagen</w:t>
      </w:r>
      <w:proofErr w:type="spellEnd"/>
      <w:r>
        <w:rPr>
          <w:rFonts w:ascii="Arial Unicode MS" w:cs="Arial Unicode MS"/>
          <w:sz w:val="20"/>
          <w:szCs w:val="20"/>
        </w:rPr>
        <w:t>, Valencia, CA) according to the manufacturer</w:t>
      </w:r>
      <w:r>
        <w:rPr>
          <w:rFonts w:ascii="Arial Unicode MS" w:cs="Arial Unicode MS"/>
          <w:sz w:val="20"/>
          <w:szCs w:val="20"/>
        </w:rPr>
        <w:t>’</w:t>
      </w:r>
      <w:r>
        <w:rPr>
          <w:rFonts w:ascii="Arial Unicode MS" w:cs="Arial Unicode MS"/>
          <w:sz w:val="20"/>
          <w:szCs w:val="20"/>
        </w:rPr>
        <w:t xml:space="preserve">s instructions. RNA quality and concentration were assessed using A260nm/A280nm spectroscopy on the </w:t>
      </w:r>
      <w:proofErr w:type="spellStart"/>
      <w:r>
        <w:rPr>
          <w:rFonts w:ascii="Arial Unicode MS" w:cs="Arial Unicode MS"/>
          <w:sz w:val="20"/>
          <w:szCs w:val="20"/>
        </w:rPr>
        <w:t>Nanodrop</w:t>
      </w:r>
      <w:proofErr w:type="spellEnd"/>
      <w:r>
        <w:rPr>
          <w:rFonts w:ascii="Arial Unicode MS" w:cs="Arial Unicode MS"/>
          <w:sz w:val="20"/>
          <w:szCs w:val="20"/>
        </w:rPr>
        <w:t xml:space="preserve"> ND-1000 (Thermo-scientific, </w:t>
      </w:r>
      <w:proofErr w:type="spellStart"/>
      <w:r>
        <w:rPr>
          <w:rFonts w:ascii="Arial Unicode MS" w:cs="Arial Unicode MS"/>
          <w:sz w:val="20"/>
          <w:szCs w:val="20"/>
        </w:rPr>
        <w:t>Langenselbold</w:t>
      </w:r>
      <w:proofErr w:type="spellEnd"/>
      <w:r>
        <w:rPr>
          <w:rFonts w:ascii="Arial Unicode MS" w:cs="Arial Unicode MS"/>
          <w:sz w:val="20"/>
          <w:szCs w:val="20"/>
        </w:rPr>
        <w:t xml:space="preserve">, Germany). 5-100ng of RNA was used for </w:t>
      </w:r>
      <w:proofErr w:type="spellStart"/>
      <w:r>
        <w:rPr>
          <w:rFonts w:ascii="Arial Unicode MS" w:cs="Arial Unicode MS"/>
          <w:sz w:val="20"/>
          <w:szCs w:val="20"/>
        </w:rPr>
        <w:t>cDNA</w:t>
      </w:r>
      <w:proofErr w:type="spellEnd"/>
      <w:r>
        <w:rPr>
          <w:rFonts w:ascii="Arial Unicode MS" w:cs="Arial Unicode MS"/>
          <w:sz w:val="20"/>
          <w:szCs w:val="20"/>
        </w:rPr>
        <w:t xml:space="preserve"> synthesis using the Superscript III Reverse Transcription Kit (Invitrogen, Mount Waverley, Australia). To quantify relative changes in key gene expression after treatment, Real Time-Quantitative Polymerase Chain Reaction (</w:t>
      </w:r>
      <w:proofErr w:type="spellStart"/>
      <w:r>
        <w:rPr>
          <w:rFonts w:ascii="Arial Unicode MS" w:cs="Arial Unicode MS"/>
          <w:sz w:val="20"/>
          <w:szCs w:val="20"/>
        </w:rPr>
        <w:t>qPCR</w:t>
      </w:r>
      <w:proofErr w:type="spellEnd"/>
      <w:r>
        <w:rPr>
          <w:rFonts w:ascii="Arial Unicode MS" w:cs="Arial Unicode MS"/>
          <w:sz w:val="20"/>
          <w:szCs w:val="20"/>
        </w:rPr>
        <w:t xml:space="preserve">) was conducted on </w:t>
      </w:r>
      <w:proofErr w:type="spellStart"/>
      <w:r>
        <w:rPr>
          <w:rFonts w:ascii="Arial Unicode MS" w:cs="Arial Unicode MS"/>
          <w:sz w:val="20"/>
          <w:szCs w:val="20"/>
        </w:rPr>
        <w:t>cDNA</w:t>
      </w:r>
      <w:proofErr w:type="spellEnd"/>
      <w:r>
        <w:rPr>
          <w:rFonts w:ascii="Arial Unicode MS" w:cs="Arial Unicode MS"/>
          <w:sz w:val="20"/>
          <w:szCs w:val="20"/>
        </w:rPr>
        <w:t xml:space="preserve"> using SYBR Green Master Mix reagent (Applied </w:t>
      </w:r>
      <w:proofErr w:type="spellStart"/>
      <w:r>
        <w:rPr>
          <w:rFonts w:ascii="Arial Unicode MS" w:cs="Arial Unicode MS"/>
          <w:sz w:val="20"/>
          <w:szCs w:val="20"/>
        </w:rPr>
        <w:t>Biosystems</w:t>
      </w:r>
      <w:proofErr w:type="spellEnd"/>
      <w:r>
        <w:rPr>
          <w:rFonts w:ascii="Arial Unicode MS" w:cs="Arial Unicode MS"/>
          <w:sz w:val="20"/>
          <w:szCs w:val="20"/>
        </w:rPr>
        <w:t xml:space="preserve">, United Kingdom). </w:t>
      </w:r>
      <w:r>
        <w:rPr>
          <w:rFonts w:ascii="Arial Unicode MS" w:cs="Arial Unicode MS"/>
          <w:sz w:val="20"/>
          <w:szCs w:val="20"/>
        </w:rPr>
        <w:lastRenderedPageBreak/>
        <w:t xml:space="preserve">Fold change of gene expression was determined using the delta </w:t>
      </w:r>
      <w:proofErr w:type="spellStart"/>
      <w:r>
        <w:rPr>
          <w:rFonts w:ascii="Arial Unicode MS" w:cs="Arial Unicode MS"/>
          <w:sz w:val="20"/>
          <w:szCs w:val="20"/>
        </w:rPr>
        <w:t>delta</w:t>
      </w:r>
      <w:proofErr w:type="spellEnd"/>
      <w:r>
        <w:rPr>
          <w:rFonts w:ascii="Arial Unicode MS" w:cs="Arial Unicode MS"/>
          <w:sz w:val="20"/>
          <w:szCs w:val="20"/>
        </w:rPr>
        <w:t xml:space="preserve"> Ct method. HPRT1 was used as housekeeper. Primer sequences are listed in Supplemental Table</w:t>
      </w:r>
      <w:r>
        <w:rPr>
          <w:rFonts w:ascii="Arial Unicode MS" w:cs="Arial Unicode MS"/>
          <w:sz w:val="20"/>
          <w:szCs w:val="20"/>
        </w:rPr>
        <w:t> </w:t>
      </w:r>
      <w:r>
        <w:rPr>
          <w:rFonts w:ascii="Arial Unicode MS" w:cs="Arial Unicode MS"/>
          <w:sz w:val="20"/>
          <w:szCs w:val="20"/>
        </w:rPr>
        <w:t>2.</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RNA-sequencing</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RNA-</w:t>
      </w:r>
      <w:proofErr w:type="spellStart"/>
      <w:r>
        <w:rPr>
          <w:rFonts w:ascii="Arial Unicode MS" w:cs="Arial Unicode MS"/>
          <w:sz w:val="20"/>
          <w:szCs w:val="20"/>
        </w:rPr>
        <w:t>Seq</w:t>
      </w:r>
      <w:proofErr w:type="spellEnd"/>
      <w:r>
        <w:rPr>
          <w:rFonts w:ascii="Arial Unicode MS" w:cs="Arial Unicode MS"/>
          <w:sz w:val="20"/>
          <w:szCs w:val="20"/>
        </w:rPr>
        <w:t xml:space="preserve"> libraries were prepared using the </w:t>
      </w:r>
      <w:proofErr w:type="spellStart"/>
      <w:r>
        <w:rPr>
          <w:rFonts w:ascii="Arial Unicode MS" w:cs="Arial Unicode MS"/>
          <w:sz w:val="20"/>
          <w:szCs w:val="20"/>
        </w:rPr>
        <w:t>Illumina</w:t>
      </w:r>
      <w:proofErr w:type="spellEnd"/>
      <w:r>
        <w:rPr>
          <w:rFonts w:ascii="Arial Unicode MS" w:cs="Arial Unicode MS"/>
          <w:sz w:val="20"/>
          <w:szCs w:val="20"/>
        </w:rPr>
        <w:t xml:space="preserve"> stranded total RNA prep ligation with </w:t>
      </w:r>
      <w:proofErr w:type="spellStart"/>
      <w:r>
        <w:rPr>
          <w:rFonts w:ascii="Arial Unicode MS" w:cs="Arial Unicode MS"/>
          <w:sz w:val="20"/>
          <w:szCs w:val="20"/>
        </w:rPr>
        <w:t>Ribo</w:t>
      </w:r>
      <w:proofErr w:type="spellEnd"/>
      <w:r>
        <w:rPr>
          <w:rFonts w:ascii="Arial Unicode MS" w:cs="Arial Unicode MS"/>
          <w:sz w:val="20"/>
          <w:szCs w:val="20"/>
        </w:rPr>
        <w:t>-Zero plus kit (</w:t>
      </w:r>
      <w:proofErr w:type="spellStart"/>
      <w:r>
        <w:rPr>
          <w:rFonts w:ascii="Arial Unicode MS" w:cs="Arial Unicode MS"/>
          <w:sz w:val="20"/>
          <w:szCs w:val="20"/>
        </w:rPr>
        <w:t>Illumina</w:t>
      </w:r>
      <w:proofErr w:type="spellEnd"/>
      <w:r>
        <w:rPr>
          <w:rFonts w:ascii="Arial Unicode MS" w:cs="Arial Unicode MS"/>
          <w:sz w:val="20"/>
          <w:szCs w:val="20"/>
        </w:rPr>
        <w:t xml:space="preserve">, 20040529) and IDT for </w:t>
      </w:r>
      <w:proofErr w:type="spellStart"/>
      <w:r>
        <w:rPr>
          <w:rFonts w:ascii="Arial Unicode MS" w:cs="Arial Unicode MS"/>
          <w:sz w:val="20"/>
          <w:szCs w:val="20"/>
        </w:rPr>
        <w:t>Illumina</w:t>
      </w:r>
      <w:proofErr w:type="spellEnd"/>
      <w:r>
        <w:rPr>
          <w:rFonts w:ascii="Arial Unicode MS" w:cs="Arial Unicode MS"/>
          <w:sz w:val="20"/>
          <w:szCs w:val="20"/>
        </w:rPr>
        <w:t xml:space="preserve"> RNA UD Indexes (</w:t>
      </w:r>
      <w:proofErr w:type="spellStart"/>
      <w:r>
        <w:rPr>
          <w:rFonts w:ascii="Arial Unicode MS" w:cs="Arial Unicode MS"/>
          <w:sz w:val="20"/>
          <w:szCs w:val="20"/>
        </w:rPr>
        <w:t>Illumina</w:t>
      </w:r>
      <w:proofErr w:type="spellEnd"/>
      <w:r>
        <w:rPr>
          <w:rFonts w:ascii="Arial Unicode MS" w:cs="Arial Unicode MS"/>
          <w:sz w:val="20"/>
          <w:szCs w:val="20"/>
        </w:rPr>
        <w:t>, 20040553/20040554/20040555/20040556) according to the standard manufacturer</w:t>
      </w:r>
      <w:r>
        <w:rPr>
          <w:rFonts w:ascii="Arial Unicode MS" w:cs="Arial Unicode MS"/>
          <w:sz w:val="20"/>
          <w:szCs w:val="20"/>
        </w:rPr>
        <w:t>’</w:t>
      </w:r>
      <w:r>
        <w:rPr>
          <w:rFonts w:ascii="Arial Unicode MS" w:cs="Arial Unicode MS"/>
          <w:sz w:val="20"/>
          <w:szCs w:val="20"/>
        </w:rPr>
        <w:t>s protocol (</w:t>
      </w:r>
      <w:proofErr w:type="spellStart"/>
      <w:r>
        <w:rPr>
          <w:rFonts w:ascii="Arial Unicode MS" w:cs="Arial Unicode MS"/>
          <w:sz w:val="20"/>
          <w:szCs w:val="20"/>
        </w:rPr>
        <w:t>Illumina</w:t>
      </w:r>
      <w:proofErr w:type="spellEnd"/>
      <w:r>
        <w:rPr>
          <w:rFonts w:ascii="Arial Unicode MS" w:cs="Arial Unicode MS"/>
          <w:sz w:val="20"/>
          <w:szCs w:val="20"/>
        </w:rPr>
        <w:t xml:space="preserve">, Document # 1000000124514 v01). The libraries were quantified on the Perkin Elmer </w:t>
      </w:r>
      <w:proofErr w:type="spellStart"/>
      <w:r>
        <w:rPr>
          <w:rFonts w:ascii="Arial Unicode MS" w:cs="Arial Unicode MS"/>
          <w:sz w:val="20"/>
          <w:szCs w:val="20"/>
        </w:rPr>
        <w:t>LabChip</w:t>
      </w:r>
      <w:proofErr w:type="spellEnd"/>
      <w:r>
        <w:rPr>
          <w:rFonts w:ascii="Arial Unicode MS" w:cs="Arial Unicode MS"/>
          <w:sz w:val="20"/>
          <w:szCs w:val="20"/>
        </w:rPr>
        <w:t xml:space="preserve"> GX Touch with the DNA High Sensitivity Reagent kit (Perkin Elmer, CLS760672). Libraries were pooled in </w:t>
      </w:r>
      <w:proofErr w:type="spellStart"/>
      <w:r>
        <w:rPr>
          <w:rFonts w:ascii="Arial Unicode MS" w:cs="Arial Unicode MS"/>
          <w:sz w:val="20"/>
          <w:szCs w:val="20"/>
        </w:rPr>
        <w:t>equimolar</w:t>
      </w:r>
      <w:proofErr w:type="spellEnd"/>
      <w:r>
        <w:rPr>
          <w:rFonts w:ascii="Arial Unicode MS" w:cs="Arial Unicode MS"/>
          <w:sz w:val="20"/>
          <w:szCs w:val="20"/>
        </w:rPr>
        <w:t xml:space="preserve"> ratios, and the pool was quantified by </w:t>
      </w:r>
      <w:proofErr w:type="spellStart"/>
      <w:r>
        <w:rPr>
          <w:rFonts w:ascii="Arial Unicode MS" w:cs="Arial Unicode MS"/>
          <w:sz w:val="20"/>
          <w:szCs w:val="20"/>
        </w:rPr>
        <w:t>qPCR</w:t>
      </w:r>
      <w:proofErr w:type="spellEnd"/>
      <w:r>
        <w:rPr>
          <w:rFonts w:ascii="Arial Unicode MS" w:cs="Arial Unicode MS"/>
          <w:sz w:val="20"/>
          <w:szCs w:val="20"/>
        </w:rPr>
        <w:t xml:space="preserve"> using the KAPA Library Quantification Kit </w:t>
      </w:r>
      <w:r>
        <w:rPr>
          <w:rFonts w:ascii="Arial Unicode MS" w:cs="Arial Unicode MS"/>
          <w:sz w:val="20"/>
          <w:szCs w:val="20"/>
        </w:rPr>
        <w:t>–</w:t>
      </w:r>
      <w:r>
        <w:rPr>
          <w:rFonts w:ascii="Arial Unicode MS" w:cs="Arial Unicode MS"/>
          <w:sz w:val="20"/>
          <w:szCs w:val="20"/>
        </w:rPr>
        <w:t xml:space="preserve"> </w:t>
      </w:r>
      <w:proofErr w:type="spellStart"/>
      <w:r>
        <w:rPr>
          <w:rFonts w:ascii="Arial Unicode MS" w:cs="Arial Unicode MS"/>
          <w:sz w:val="20"/>
          <w:szCs w:val="20"/>
        </w:rPr>
        <w:t>Illumina</w:t>
      </w:r>
      <w:proofErr w:type="spellEnd"/>
      <w:r>
        <w:rPr>
          <w:rFonts w:ascii="Arial Unicode MS" w:cs="Arial Unicode MS"/>
          <w:sz w:val="20"/>
          <w:szCs w:val="20"/>
        </w:rPr>
        <w:t xml:space="preserve">/Universal (KAPA </w:t>
      </w:r>
      <w:proofErr w:type="spellStart"/>
      <w:r>
        <w:rPr>
          <w:rFonts w:ascii="Arial Unicode MS" w:cs="Arial Unicode MS"/>
          <w:sz w:val="20"/>
          <w:szCs w:val="20"/>
        </w:rPr>
        <w:t>Biosystems</w:t>
      </w:r>
      <w:proofErr w:type="spellEnd"/>
      <w:r>
        <w:rPr>
          <w:rFonts w:ascii="Arial Unicode MS" w:cs="Arial Unicode MS"/>
          <w:sz w:val="20"/>
          <w:szCs w:val="20"/>
        </w:rPr>
        <w:t xml:space="preserve">, KK4824) in combination with the Life Technologies </w:t>
      </w:r>
      <w:proofErr w:type="spellStart"/>
      <w:r>
        <w:rPr>
          <w:rFonts w:ascii="Arial Unicode MS" w:cs="Arial Unicode MS"/>
          <w:sz w:val="20"/>
          <w:szCs w:val="20"/>
        </w:rPr>
        <w:t>Viia</w:t>
      </w:r>
      <w:proofErr w:type="spellEnd"/>
      <w:r>
        <w:rPr>
          <w:rFonts w:ascii="Arial Unicode MS" w:cs="Arial Unicode MS"/>
          <w:sz w:val="20"/>
          <w:szCs w:val="20"/>
        </w:rPr>
        <w:t xml:space="preserve"> 7 real time PCR instrument.</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Sequencing was performed using the </w:t>
      </w:r>
      <w:proofErr w:type="spellStart"/>
      <w:r>
        <w:rPr>
          <w:rFonts w:ascii="Arial Unicode MS" w:cs="Arial Unicode MS"/>
          <w:sz w:val="20"/>
          <w:szCs w:val="20"/>
        </w:rPr>
        <w:t>Illumina</w:t>
      </w:r>
      <w:proofErr w:type="spellEnd"/>
      <w:r>
        <w:rPr>
          <w:rFonts w:ascii="Arial Unicode MS" w:cs="Arial Unicode MS"/>
          <w:sz w:val="20"/>
          <w:szCs w:val="20"/>
        </w:rPr>
        <w:t xml:space="preserve"> NextSeq500 (</w:t>
      </w:r>
      <w:proofErr w:type="spellStart"/>
      <w:r>
        <w:rPr>
          <w:rFonts w:ascii="Arial Unicode MS" w:cs="Arial Unicode MS"/>
          <w:sz w:val="20"/>
          <w:szCs w:val="20"/>
        </w:rPr>
        <w:t>NextSeq</w:t>
      </w:r>
      <w:proofErr w:type="spellEnd"/>
      <w:r>
        <w:rPr>
          <w:rFonts w:ascii="Arial Unicode MS" w:cs="Arial Unicode MS"/>
          <w:sz w:val="20"/>
          <w:szCs w:val="20"/>
        </w:rPr>
        <w:t xml:space="preserve"> control software v4.0.0 / Real Time Analysis v2.11.3). The library pool was diluted and denatured according to the standard </w:t>
      </w:r>
      <w:proofErr w:type="spellStart"/>
      <w:r>
        <w:rPr>
          <w:rFonts w:ascii="Arial Unicode MS" w:cs="Arial Unicode MS"/>
          <w:sz w:val="20"/>
          <w:szCs w:val="20"/>
        </w:rPr>
        <w:t>NextSeq</w:t>
      </w:r>
      <w:proofErr w:type="spellEnd"/>
      <w:r>
        <w:rPr>
          <w:rFonts w:ascii="Arial Unicode MS" w:cs="Arial Unicode MS"/>
          <w:sz w:val="20"/>
          <w:szCs w:val="20"/>
        </w:rPr>
        <w:t xml:space="preserve"> protocol (Document # 15048776 v16) and sequenced to generate single-end 76 </w:t>
      </w:r>
      <w:proofErr w:type="spellStart"/>
      <w:r>
        <w:rPr>
          <w:rFonts w:ascii="Arial Unicode MS" w:cs="Arial Unicode MS"/>
          <w:sz w:val="20"/>
          <w:szCs w:val="20"/>
        </w:rPr>
        <w:t>bp</w:t>
      </w:r>
      <w:proofErr w:type="spellEnd"/>
      <w:r>
        <w:rPr>
          <w:rFonts w:ascii="Arial Unicode MS" w:cs="Arial Unicode MS"/>
          <w:sz w:val="20"/>
          <w:szCs w:val="20"/>
        </w:rPr>
        <w:t xml:space="preserve"> reads using a 75 cycle NextSeq500/550 High Output reagent Kit v2.5 (</w:t>
      </w:r>
      <w:proofErr w:type="spellStart"/>
      <w:r>
        <w:rPr>
          <w:rFonts w:ascii="Arial Unicode MS" w:cs="Arial Unicode MS"/>
          <w:sz w:val="20"/>
          <w:szCs w:val="20"/>
        </w:rPr>
        <w:t>Illumina</w:t>
      </w:r>
      <w:proofErr w:type="spellEnd"/>
      <w:r>
        <w:rPr>
          <w:rFonts w:ascii="Arial Unicode MS" w:cs="Arial Unicode MS"/>
          <w:sz w:val="20"/>
          <w:szCs w:val="20"/>
        </w:rPr>
        <w:t xml:space="preserve">, 20024906). After sequencing, </w:t>
      </w:r>
      <w:proofErr w:type="spellStart"/>
      <w:r>
        <w:rPr>
          <w:rFonts w:ascii="Arial Unicode MS" w:cs="Arial Unicode MS"/>
          <w:sz w:val="20"/>
          <w:szCs w:val="20"/>
        </w:rPr>
        <w:t>fastq</w:t>
      </w:r>
      <w:proofErr w:type="spellEnd"/>
      <w:r>
        <w:rPr>
          <w:rFonts w:ascii="Arial Unicode MS" w:cs="Arial Unicode MS"/>
          <w:sz w:val="20"/>
          <w:szCs w:val="20"/>
        </w:rPr>
        <w:t xml:space="preserve"> files were generated using bcl2fastq2 (v2.20.0.422), which included trimming the first cycle of the insert read due to expected low diversity. Library Preparation and Sequencing was performed at UQ Sequencing Facility based at the Institute for Molecular Bioscience (University of Queensland)</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RNA-</w:t>
      </w:r>
      <w:proofErr w:type="spellStart"/>
      <w:r>
        <w:rPr>
          <w:rFonts w:ascii="Arial Unicode MS" w:cs="Arial Unicode MS"/>
          <w:b/>
          <w:bCs/>
          <w:sz w:val="20"/>
          <w:szCs w:val="20"/>
        </w:rPr>
        <w:t>seq</w:t>
      </w:r>
      <w:proofErr w:type="spellEnd"/>
      <w:r>
        <w:rPr>
          <w:rFonts w:ascii="Arial Unicode MS" w:cs="Arial Unicode MS"/>
          <w:b/>
          <w:bCs/>
          <w:sz w:val="20"/>
          <w:szCs w:val="20"/>
        </w:rPr>
        <w:t xml:space="preserve"> Analysis</w:t>
      </w:r>
    </w:p>
    <w:p w:rsidR="00AD1101" w:rsidRDefault="00AD1101" w:rsidP="00AD1101">
      <w:pPr>
        <w:numPr>
          <w:ilvl w:val="1"/>
          <w:numId w:val="1"/>
        </w:numPr>
        <w:pBdr>
          <w:top w:val="nil"/>
          <w:left w:val="nil"/>
          <w:bottom w:val="nil"/>
          <w:right w:val="nil"/>
          <w:between w:val="nil"/>
        </w:pBdr>
        <w:spacing w:after="160"/>
        <w:ind w:left="720"/>
        <w:contextualSpacing/>
        <w:jc w:val="both"/>
        <w:rPr>
          <w:sz w:val="20"/>
          <w:szCs w:val="20"/>
        </w:rPr>
      </w:pPr>
      <w:r>
        <w:rPr>
          <w:rFonts w:ascii="Arial Unicode MS" w:cs="Arial Unicode MS"/>
          <w:sz w:val="20"/>
          <w:szCs w:val="20"/>
          <w:lang w:val="en-AU"/>
        </w:rPr>
        <w:lastRenderedPageBreak/>
        <w:t xml:space="preserve">DEG analysis and gene set enrichment analysis on bulk </w:t>
      </w:r>
      <w:proofErr w:type="spellStart"/>
      <w:r>
        <w:rPr>
          <w:rFonts w:ascii="Arial Unicode MS" w:cs="Arial Unicode MS"/>
          <w:sz w:val="20"/>
          <w:szCs w:val="20"/>
          <w:lang w:val="en-AU"/>
        </w:rPr>
        <w:t>RNAseq</w:t>
      </w:r>
      <w:proofErr w:type="spellEnd"/>
      <w:r>
        <w:rPr>
          <w:rFonts w:ascii="Arial Unicode MS" w:cs="Arial Unicode MS"/>
          <w:sz w:val="20"/>
          <w:szCs w:val="20"/>
          <w:lang w:val="en-AU"/>
        </w:rPr>
        <w:t xml:space="preserve"> data.</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Read pairs from sequenced libraries were mapped to the human reference genome (GRCh38) and converted to a raw gene count table using the </w:t>
      </w:r>
      <w:proofErr w:type="spellStart"/>
      <w:r>
        <w:rPr>
          <w:rFonts w:ascii="Arial Unicode MS" w:cs="Arial Unicode MS"/>
          <w:sz w:val="20"/>
          <w:szCs w:val="20"/>
        </w:rPr>
        <w:t>Rsubread</w:t>
      </w:r>
      <w:proofErr w:type="spellEnd"/>
      <w:r>
        <w:rPr>
          <w:rFonts w:ascii="Arial Unicode MS" w:cs="Arial Unicode MS"/>
          <w:sz w:val="20"/>
          <w:szCs w:val="20"/>
        </w:rPr>
        <w:t xml:space="preserve"> tool in R </w:t>
      </w:r>
      <w:r>
        <w:rPr>
          <w:rFonts w:ascii="Arial Unicode MS" w:cs="Arial Unicode MS"/>
          <w:sz w:val="20"/>
          <w:szCs w:val="20"/>
          <w:vertAlign w:val="superscript"/>
        </w:rPr>
        <w:t>65</w:t>
      </w:r>
      <w:r>
        <w:rPr>
          <w:rFonts w:ascii="Arial Unicode MS" w:cs="Arial Unicode MS"/>
          <w:sz w:val="20"/>
          <w:szCs w:val="20"/>
        </w:rPr>
        <w:t>After filtering out lowly expressed genes, we performed differential expression analysis across different conditions (</w:t>
      </w:r>
      <w:proofErr w:type="spellStart"/>
      <w:r>
        <w:rPr>
          <w:rFonts w:ascii="Arial Unicode MS" w:cs="Arial Unicode MS"/>
          <w:sz w:val="20"/>
          <w:szCs w:val="20"/>
        </w:rPr>
        <w:t>oxLDL</w:t>
      </w:r>
      <w:proofErr w:type="spellEnd"/>
      <w:r>
        <w:rPr>
          <w:rFonts w:ascii="Arial Unicode MS" w:cs="Arial Unicode MS"/>
          <w:sz w:val="20"/>
          <w:szCs w:val="20"/>
        </w:rPr>
        <w:t xml:space="preserve"> versus vehicle) using the standard </w:t>
      </w:r>
      <w:proofErr w:type="spellStart"/>
      <w:r>
        <w:rPr>
          <w:rFonts w:ascii="Arial Unicode MS" w:cs="Arial Unicode MS"/>
          <w:sz w:val="20"/>
          <w:szCs w:val="20"/>
        </w:rPr>
        <w:t>Limma-Voom</w:t>
      </w:r>
      <w:proofErr w:type="spellEnd"/>
      <w:r>
        <w:rPr>
          <w:rFonts w:ascii="Arial Unicode MS" w:cs="Arial Unicode MS"/>
          <w:sz w:val="20"/>
          <w:szCs w:val="20"/>
        </w:rPr>
        <w:t xml:space="preserve"> pipeline</w:t>
      </w:r>
      <w:r>
        <w:rPr>
          <w:rFonts w:ascii="Arial Unicode MS" w:cs="Arial Unicode MS"/>
          <w:sz w:val="20"/>
          <w:szCs w:val="20"/>
          <w:vertAlign w:val="superscript"/>
        </w:rPr>
        <w:t>66</w:t>
      </w:r>
      <w:r>
        <w:rPr>
          <w:rFonts w:ascii="Arial Unicode MS" w:cs="Arial Unicode MS"/>
          <w:sz w:val="20"/>
          <w:szCs w:val="20"/>
        </w:rPr>
        <w:t>.</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Gene set enrichment analysis was performed using the </w:t>
      </w:r>
      <w:proofErr w:type="spellStart"/>
      <w:r>
        <w:rPr>
          <w:rFonts w:ascii="Arial Unicode MS" w:cs="Arial Unicode MS"/>
          <w:sz w:val="20"/>
          <w:szCs w:val="20"/>
        </w:rPr>
        <w:t>fgsea</w:t>
      </w:r>
      <w:proofErr w:type="spellEnd"/>
      <w:r>
        <w:rPr>
          <w:rFonts w:ascii="Arial Unicode MS" w:cs="Arial Unicode MS"/>
          <w:sz w:val="20"/>
          <w:szCs w:val="20"/>
        </w:rPr>
        <w:t xml:space="preserve"> package. Two endothelial cell signature gene sets were downloaded from the Molecular Signatures Database (</w:t>
      </w:r>
      <w:proofErr w:type="spellStart"/>
      <w:r>
        <w:rPr>
          <w:rFonts w:ascii="Arial Unicode MS" w:cs="Arial Unicode MS"/>
          <w:sz w:val="20"/>
          <w:szCs w:val="20"/>
        </w:rPr>
        <w:t>MsigDB</w:t>
      </w:r>
      <w:proofErr w:type="spellEnd"/>
      <w:r>
        <w:rPr>
          <w:rFonts w:ascii="Arial Unicode MS" w:cs="Arial Unicode MS"/>
          <w:sz w:val="20"/>
          <w:szCs w:val="20"/>
        </w:rPr>
        <w:t xml:space="preserve">) </w:t>
      </w:r>
      <w:r>
        <w:rPr>
          <w:rFonts w:ascii="Arial Unicode MS" w:cs="Arial Unicode MS"/>
          <w:sz w:val="20"/>
          <w:szCs w:val="20"/>
          <w:vertAlign w:val="superscript"/>
        </w:rPr>
        <w:t>67,68</w:t>
      </w:r>
      <w:r>
        <w:rPr>
          <w:rFonts w:ascii="Arial Unicode MS" w:cs="Arial Unicode MS"/>
          <w:sz w:val="20"/>
          <w:szCs w:val="20"/>
        </w:rPr>
        <w:t xml:space="preserve">and a previously published </w:t>
      </w:r>
      <w:proofErr w:type="spellStart"/>
      <w:r>
        <w:rPr>
          <w:rFonts w:ascii="Arial Unicode MS" w:cs="Arial Unicode MS"/>
          <w:sz w:val="20"/>
          <w:szCs w:val="20"/>
        </w:rPr>
        <w:t>RNAseq</w:t>
      </w:r>
      <w:proofErr w:type="spellEnd"/>
      <w:r>
        <w:rPr>
          <w:rFonts w:ascii="Arial Unicode MS" w:cs="Arial Unicode MS"/>
          <w:sz w:val="20"/>
          <w:szCs w:val="20"/>
        </w:rPr>
        <w:t xml:space="preserve"> dataset from our lab</w:t>
      </w:r>
      <w:r>
        <w:rPr>
          <w:rFonts w:ascii="Arial Unicode MS" w:cs="Arial Unicode MS"/>
          <w:sz w:val="20"/>
          <w:szCs w:val="20"/>
          <w:vertAlign w:val="superscript"/>
        </w:rPr>
        <w:t>28</w:t>
      </w:r>
      <w:r>
        <w:rPr>
          <w:rFonts w:ascii="Arial Unicode MS" w:cs="Arial Unicode MS"/>
          <w:sz w:val="20"/>
          <w:szCs w:val="20"/>
        </w:rPr>
        <w:t xml:space="preserve">.The </w:t>
      </w:r>
      <w:proofErr w:type="spellStart"/>
      <w:r>
        <w:rPr>
          <w:rFonts w:ascii="Arial Unicode MS" w:cs="Arial Unicode MS"/>
          <w:sz w:val="20"/>
          <w:szCs w:val="20"/>
        </w:rPr>
        <w:t>mesenchymal</w:t>
      </w:r>
      <w:proofErr w:type="spellEnd"/>
      <w:r>
        <w:rPr>
          <w:rFonts w:ascii="Arial Unicode MS" w:cs="Arial Unicode MS"/>
          <w:sz w:val="20"/>
          <w:szCs w:val="20"/>
        </w:rPr>
        <w:t xml:space="preserve"> cell signature gene set was obtained from the previously published </w:t>
      </w:r>
      <w:proofErr w:type="spellStart"/>
      <w:r>
        <w:rPr>
          <w:rFonts w:ascii="Arial Unicode MS" w:cs="Arial Unicode MS"/>
          <w:sz w:val="20"/>
          <w:szCs w:val="20"/>
        </w:rPr>
        <w:t>RNAseq</w:t>
      </w:r>
      <w:proofErr w:type="spellEnd"/>
      <w:r>
        <w:rPr>
          <w:rFonts w:ascii="Arial Unicode MS" w:cs="Arial Unicode MS"/>
          <w:sz w:val="20"/>
          <w:szCs w:val="20"/>
        </w:rPr>
        <w:t xml:space="preserve"> dataset from our lab</w:t>
      </w:r>
      <w:r>
        <w:rPr>
          <w:rFonts w:ascii="Arial Unicode MS" w:cs="Arial Unicode MS"/>
          <w:sz w:val="20"/>
          <w:szCs w:val="20"/>
          <w:vertAlign w:val="superscript"/>
        </w:rPr>
        <w:t>28</w:t>
      </w:r>
      <w:r>
        <w:rPr>
          <w:rFonts w:ascii="Arial Unicode MS" w:cs="Arial Unicode MS"/>
          <w:sz w:val="20"/>
          <w:szCs w:val="20"/>
        </w:rPr>
        <w:t>The endothelial-to-</w:t>
      </w:r>
      <w:proofErr w:type="spellStart"/>
      <w:r>
        <w:rPr>
          <w:rFonts w:ascii="Arial Unicode MS" w:cs="Arial Unicode MS"/>
          <w:sz w:val="20"/>
          <w:szCs w:val="20"/>
        </w:rPr>
        <w:t>mesenchymal</w:t>
      </w:r>
      <w:proofErr w:type="spellEnd"/>
      <w:r>
        <w:rPr>
          <w:rFonts w:ascii="Arial Unicode MS" w:cs="Arial Unicode MS"/>
          <w:sz w:val="20"/>
          <w:szCs w:val="20"/>
        </w:rPr>
        <w:t xml:space="preserve"> transition (</w:t>
      </w:r>
      <w:proofErr w:type="spellStart"/>
      <w:r>
        <w:rPr>
          <w:rFonts w:ascii="Arial Unicode MS" w:cs="Arial Unicode MS"/>
          <w:sz w:val="20"/>
          <w:szCs w:val="20"/>
        </w:rPr>
        <w:t>EndMT</w:t>
      </w:r>
      <w:proofErr w:type="spellEnd"/>
      <w:r>
        <w:rPr>
          <w:rFonts w:ascii="Arial Unicode MS" w:cs="Arial Unicode MS"/>
          <w:sz w:val="20"/>
          <w:szCs w:val="20"/>
        </w:rPr>
        <w:t xml:space="preserve">) signature gene set was downloaded from a recently published </w:t>
      </w:r>
      <w:proofErr w:type="spellStart"/>
      <w:r>
        <w:rPr>
          <w:rFonts w:ascii="Arial Unicode MS" w:cs="Arial Unicode MS"/>
          <w:sz w:val="20"/>
          <w:szCs w:val="20"/>
        </w:rPr>
        <w:t>RNAseq</w:t>
      </w:r>
      <w:proofErr w:type="spellEnd"/>
      <w:r>
        <w:rPr>
          <w:rFonts w:ascii="Arial Unicode MS" w:cs="Arial Unicode MS"/>
          <w:sz w:val="20"/>
          <w:szCs w:val="20"/>
        </w:rPr>
        <w:t xml:space="preserve"> dataset</w:t>
      </w:r>
      <w:r>
        <w:rPr>
          <w:rFonts w:ascii="Arial Unicode MS" w:cs="Arial Unicode MS"/>
          <w:sz w:val="20"/>
          <w:szCs w:val="20"/>
          <w:vertAlign w:val="superscript"/>
        </w:rPr>
        <w:t>69</w:t>
      </w:r>
      <w:r>
        <w:rPr>
          <w:rFonts w:ascii="Arial Unicode MS" w:cs="Arial Unicode MS"/>
          <w:sz w:val="20"/>
          <w:szCs w:val="20"/>
        </w:rPr>
        <w:t>. Normalized enrichment score (NES) and adjusted p value were calculated for each gene set. Gene sets with high NES were relatively more enriched when compared to gene sets with low NES.</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ATAC sequencing</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The ATAC-</w:t>
      </w:r>
      <w:proofErr w:type="spellStart"/>
      <w:r>
        <w:rPr>
          <w:rFonts w:ascii="Arial Unicode MS" w:cs="Arial Unicode MS"/>
          <w:sz w:val="20"/>
          <w:szCs w:val="20"/>
        </w:rPr>
        <w:t>seq</w:t>
      </w:r>
      <w:proofErr w:type="spellEnd"/>
      <w:r>
        <w:rPr>
          <w:rFonts w:ascii="Arial Unicode MS" w:cs="Arial Unicode MS"/>
          <w:sz w:val="20"/>
          <w:szCs w:val="20"/>
        </w:rPr>
        <w:t xml:space="preserve"> protocol was adapted from previously published articles</w:t>
      </w:r>
      <w:r>
        <w:rPr>
          <w:rFonts w:ascii="Arial Unicode MS" w:cs="Arial Unicode MS"/>
          <w:sz w:val="20"/>
          <w:szCs w:val="20"/>
          <w:vertAlign w:val="superscript"/>
        </w:rPr>
        <w:t>70</w:t>
      </w:r>
      <w:proofErr w:type="gramStart"/>
      <w:r>
        <w:rPr>
          <w:rFonts w:ascii="Arial Unicode MS" w:cs="Arial Unicode MS"/>
          <w:sz w:val="20"/>
          <w:szCs w:val="20"/>
          <w:vertAlign w:val="superscript"/>
        </w:rPr>
        <w:t>,71</w:t>
      </w:r>
      <w:proofErr w:type="gramEnd"/>
      <w:r>
        <w:rPr>
          <w:rFonts w:ascii="Arial Unicode MS" w:cs="Arial Unicode MS"/>
          <w:sz w:val="20"/>
          <w:szCs w:val="20"/>
        </w:rPr>
        <w:t xml:space="preserve">. Briefly, 50,000 ECFCs were </w:t>
      </w:r>
      <w:proofErr w:type="spellStart"/>
      <w:r>
        <w:rPr>
          <w:rFonts w:ascii="Arial Unicode MS" w:cs="Arial Unicode MS"/>
          <w:sz w:val="20"/>
          <w:szCs w:val="20"/>
        </w:rPr>
        <w:t>trypsinized</w:t>
      </w:r>
      <w:proofErr w:type="spellEnd"/>
      <w:r>
        <w:rPr>
          <w:rFonts w:ascii="Arial Unicode MS" w:cs="Arial Unicode MS"/>
          <w:sz w:val="20"/>
          <w:szCs w:val="20"/>
        </w:rPr>
        <w:t xml:space="preserve"> and washed twice in cold PBS. Pelleted cells were lysed and then directly transposed using the TDE1 DNA Enzyme and Buffer kit (</w:t>
      </w:r>
      <w:proofErr w:type="spellStart"/>
      <w:r>
        <w:rPr>
          <w:rFonts w:ascii="Arial Unicode MS" w:cs="Arial Unicode MS"/>
          <w:sz w:val="20"/>
          <w:szCs w:val="20"/>
        </w:rPr>
        <w:t>Illumina</w:t>
      </w:r>
      <w:proofErr w:type="spellEnd"/>
      <w:r>
        <w:rPr>
          <w:rFonts w:ascii="Arial Unicode MS" w:cs="Arial Unicode MS"/>
          <w:sz w:val="20"/>
          <w:szCs w:val="20"/>
        </w:rPr>
        <w:t xml:space="preserve">, CA, US). The transposition reaction was completed with </w:t>
      </w:r>
      <w:proofErr w:type="spellStart"/>
      <w:r>
        <w:rPr>
          <w:rFonts w:ascii="Arial Unicode MS" w:cs="Arial Unicode MS"/>
          <w:sz w:val="20"/>
          <w:szCs w:val="20"/>
        </w:rPr>
        <w:t>thermomixing</w:t>
      </w:r>
      <w:proofErr w:type="spellEnd"/>
      <w:r>
        <w:rPr>
          <w:rFonts w:ascii="Arial Unicode MS" w:cs="Arial Unicode MS"/>
          <w:sz w:val="20"/>
          <w:szCs w:val="20"/>
        </w:rPr>
        <w:t xml:space="preserve"> at 37</w:t>
      </w:r>
      <w:r>
        <w:rPr>
          <w:rFonts w:ascii="Arial Unicode MS" w:cs="Arial Unicode MS"/>
          <w:sz w:val="20"/>
          <w:szCs w:val="20"/>
        </w:rPr>
        <w:t>°</w:t>
      </w:r>
      <w:r>
        <w:rPr>
          <w:rFonts w:ascii="Arial Unicode MS" w:cs="Arial Unicode MS"/>
          <w:sz w:val="20"/>
          <w:szCs w:val="20"/>
        </w:rPr>
        <w:t xml:space="preserve">C for 30 minutes at 300 rpm. Transposed DNA was purified with </w:t>
      </w:r>
      <w:proofErr w:type="spellStart"/>
      <w:r>
        <w:rPr>
          <w:rFonts w:ascii="Arial Unicode MS" w:cs="Arial Unicode MS"/>
          <w:sz w:val="20"/>
          <w:szCs w:val="20"/>
        </w:rPr>
        <w:t>MinElute</w:t>
      </w:r>
      <w:proofErr w:type="spellEnd"/>
      <w:r>
        <w:rPr>
          <w:rFonts w:ascii="Arial Unicode MS" w:cs="Arial Unicode MS"/>
          <w:sz w:val="20"/>
          <w:szCs w:val="20"/>
        </w:rPr>
        <w:t xml:space="preserve"> column cleanup (</w:t>
      </w:r>
      <w:proofErr w:type="spellStart"/>
      <w:r>
        <w:rPr>
          <w:rFonts w:ascii="Arial Unicode MS" w:cs="Arial Unicode MS"/>
          <w:sz w:val="20"/>
          <w:szCs w:val="20"/>
        </w:rPr>
        <w:t>Qiagen</w:t>
      </w:r>
      <w:proofErr w:type="spellEnd"/>
      <w:r>
        <w:rPr>
          <w:rFonts w:ascii="Arial Unicode MS" w:cs="Arial Unicode MS"/>
          <w:sz w:val="20"/>
          <w:szCs w:val="20"/>
        </w:rPr>
        <w:t xml:space="preserve">, Valencia, CA), then amplified for sequencing as previously </w:t>
      </w:r>
      <w:proofErr w:type="gramStart"/>
      <w:r>
        <w:rPr>
          <w:rFonts w:ascii="Arial Unicode MS" w:cs="Arial Unicode MS"/>
          <w:sz w:val="20"/>
          <w:szCs w:val="20"/>
        </w:rPr>
        <w:t>described</w:t>
      </w:r>
      <w:r>
        <w:rPr>
          <w:rFonts w:ascii="Arial Unicode MS" w:cs="Arial Unicode MS"/>
          <w:sz w:val="20"/>
          <w:szCs w:val="20"/>
          <w:vertAlign w:val="superscript"/>
        </w:rPr>
        <w:t>72</w:t>
      </w:r>
      <w:r>
        <w:rPr>
          <w:rFonts w:ascii="Arial Unicode MS" w:cs="Arial Unicode MS"/>
          <w:sz w:val="20"/>
          <w:szCs w:val="20"/>
        </w:rPr>
        <w:t xml:space="preserve"> .</w:t>
      </w:r>
      <w:proofErr w:type="gramEnd"/>
      <w:r>
        <w:rPr>
          <w:rFonts w:ascii="Arial Unicode MS" w:cs="Arial Unicode MS"/>
          <w:sz w:val="20"/>
          <w:szCs w:val="20"/>
        </w:rPr>
        <w:t xml:space="preserve"> Prepared libraries were purified with </w:t>
      </w:r>
      <w:proofErr w:type="spellStart"/>
      <w:r>
        <w:rPr>
          <w:rFonts w:ascii="Arial Unicode MS" w:cs="Arial Unicode MS"/>
          <w:sz w:val="20"/>
          <w:szCs w:val="20"/>
        </w:rPr>
        <w:t>MinElute</w:t>
      </w:r>
      <w:proofErr w:type="spellEnd"/>
      <w:r>
        <w:rPr>
          <w:rFonts w:ascii="Arial Unicode MS" w:cs="Arial Unicode MS"/>
          <w:sz w:val="20"/>
          <w:szCs w:val="20"/>
        </w:rPr>
        <w:t xml:space="preserve"> column clean-up (</w:t>
      </w:r>
      <w:proofErr w:type="spellStart"/>
      <w:r>
        <w:rPr>
          <w:rFonts w:ascii="Arial Unicode MS" w:cs="Arial Unicode MS"/>
          <w:sz w:val="20"/>
          <w:szCs w:val="20"/>
        </w:rPr>
        <w:t>Qiagen</w:t>
      </w:r>
      <w:proofErr w:type="spellEnd"/>
      <w:r>
        <w:rPr>
          <w:rFonts w:ascii="Arial Unicode MS" w:cs="Arial Unicode MS"/>
          <w:sz w:val="20"/>
          <w:szCs w:val="20"/>
        </w:rPr>
        <w:t>). The ATAC-</w:t>
      </w:r>
      <w:proofErr w:type="spellStart"/>
      <w:r>
        <w:rPr>
          <w:rFonts w:ascii="Arial Unicode MS" w:cs="Arial Unicode MS"/>
          <w:sz w:val="20"/>
          <w:szCs w:val="20"/>
        </w:rPr>
        <w:t>seq</w:t>
      </w:r>
      <w:proofErr w:type="spellEnd"/>
      <w:r>
        <w:rPr>
          <w:rFonts w:ascii="Arial Unicode MS" w:cs="Arial Unicode MS"/>
          <w:sz w:val="20"/>
          <w:szCs w:val="20"/>
        </w:rPr>
        <w:t xml:space="preserve"> library pool was quantified on the Agilent </w:t>
      </w:r>
      <w:proofErr w:type="spellStart"/>
      <w:r>
        <w:rPr>
          <w:rFonts w:ascii="Arial Unicode MS" w:cs="Arial Unicode MS"/>
          <w:sz w:val="20"/>
          <w:szCs w:val="20"/>
        </w:rPr>
        <w:t>Bioanalyzer</w:t>
      </w:r>
      <w:proofErr w:type="spellEnd"/>
      <w:r>
        <w:rPr>
          <w:rFonts w:ascii="Arial Unicode MS" w:cs="Arial Unicode MS"/>
          <w:sz w:val="20"/>
          <w:szCs w:val="20"/>
        </w:rPr>
        <w:t xml:space="preserve"> with the High Sensitivity DNA kit (Agilent Technologies, 4067</w:t>
      </w:r>
      <w:r>
        <w:rPr>
          <w:rFonts w:ascii="Arial Unicode MS" w:cs="Arial Unicode MS"/>
          <w:sz w:val="20"/>
          <w:szCs w:val="20"/>
        </w:rPr>
        <w:t>–</w:t>
      </w:r>
      <w:r>
        <w:rPr>
          <w:rFonts w:ascii="Arial Unicode MS" w:cs="Arial Unicode MS"/>
          <w:sz w:val="20"/>
          <w:szCs w:val="20"/>
        </w:rPr>
        <w:t xml:space="preserve">4626). Sequencing was performed using the </w:t>
      </w:r>
      <w:proofErr w:type="spellStart"/>
      <w:r>
        <w:rPr>
          <w:rFonts w:ascii="Arial Unicode MS" w:cs="Arial Unicode MS"/>
          <w:sz w:val="20"/>
          <w:szCs w:val="20"/>
        </w:rPr>
        <w:t>Illumina</w:t>
      </w:r>
      <w:proofErr w:type="spellEnd"/>
      <w:r>
        <w:rPr>
          <w:rFonts w:ascii="Arial Unicode MS" w:cs="Arial Unicode MS"/>
          <w:sz w:val="20"/>
          <w:szCs w:val="20"/>
        </w:rPr>
        <w:t xml:space="preserve"> NextSeq500 (</w:t>
      </w:r>
      <w:proofErr w:type="spellStart"/>
      <w:r>
        <w:rPr>
          <w:rFonts w:ascii="Arial Unicode MS" w:cs="Arial Unicode MS"/>
          <w:sz w:val="20"/>
          <w:szCs w:val="20"/>
        </w:rPr>
        <w:t>NextSeq</w:t>
      </w:r>
      <w:proofErr w:type="spellEnd"/>
      <w:r>
        <w:rPr>
          <w:rFonts w:ascii="Arial Unicode MS" w:cs="Arial Unicode MS"/>
          <w:sz w:val="20"/>
          <w:szCs w:val="20"/>
        </w:rPr>
        <w:t xml:space="preserve"> </w:t>
      </w:r>
      <w:r>
        <w:rPr>
          <w:rFonts w:ascii="Arial Unicode MS" w:cs="Arial Unicode MS"/>
          <w:sz w:val="20"/>
          <w:szCs w:val="20"/>
        </w:rPr>
        <w:lastRenderedPageBreak/>
        <w:t xml:space="preserve">control software v4.0.0 / Real Time Analysis v2.11.3). The library pool was diluted and denatured according to the standard </w:t>
      </w:r>
      <w:proofErr w:type="spellStart"/>
      <w:r>
        <w:rPr>
          <w:rFonts w:ascii="Arial Unicode MS" w:cs="Arial Unicode MS"/>
          <w:sz w:val="20"/>
          <w:szCs w:val="20"/>
        </w:rPr>
        <w:t>NextSeq</w:t>
      </w:r>
      <w:proofErr w:type="spellEnd"/>
      <w:r>
        <w:rPr>
          <w:rFonts w:ascii="Arial Unicode MS" w:cs="Arial Unicode MS"/>
          <w:sz w:val="20"/>
          <w:szCs w:val="20"/>
        </w:rPr>
        <w:t xml:space="preserve"> protocol (Document # 15048776 v16) and sequenced to generate paired-end 76 </w:t>
      </w:r>
      <w:proofErr w:type="spellStart"/>
      <w:r>
        <w:rPr>
          <w:rFonts w:ascii="Arial Unicode MS" w:cs="Arial Unicode MS"/>
          <w:sz w:val="20"/>
          <w:szCs w:val="20"/>
        </w:rPr>
        <w:t>bp</w:t>
      </w:r>
      <w:proofErr w:type="spellEnd"/>
      <w:r>
        <w:rPr>
          <w:rFonts w:ascii="Arial Unicode MS" w:cs="Arial Unicode MS"/>
          <w:sz w:val="20"/>
          <w:szCs w:val="20"/>
        </w:rPr>
        <w:t xml:space="preserve"> reads using a 150 cycle NextSeq500/550 Mid Output reagent Kit v2.5 (</w:t>
      </w:r>
      <w:proofErr w:type="spellStart"/>
      <w:r>
        <w:rPr>
          <w:rFonts w:ascii="Arial Unicode MS" w:cs="Arial Unicode MS"/>
          <w:sz w:val="20"/>
          <w:szCs w:val="20"/>
        </w:rPr>
        <w:t>Illumina</w:t>
      </w:r>
      <w:proofErr w:type="spellEnd"/>
      <w:r>
        <w:rPr>
          <w:rFonts w:ascii="Arial Unicode MS" w:cs="Arial Unicode MS"/>
          <w:sz w:val="20"/>
          <w:szCs w:val="20"/>
        </w:rPr>
        <w:t xml:space="preserve">, 20024904). After sequencing, </w:t>
      </w:r>
      <w:proofErr w:type="spellStart"/>
      <w:r>
        <w:rPr>
          <w:rFonts w:ascii="Arial Unicode MS" w:cs="Arial Unicode MS"/>
          <w:sz w:val="20"/>
          <w:szCs w:val="20"/>
        </w:rPr>
        <w:t>fastq</w:t>
      </w:r>
      <w:proofErr w:type="spellEnd"/>
      <w:r>
        <w:rPr>
          <w:rFonts w:ascii="Arial Unicode MS" w:cs="Arial Unicode MS"/>
          <w:sz w:val="20"/>
          <w:szCs w:val="20"/>
        </w:rPr>
        <w:t xml:space="preserve"> files were generated using bcl2fastq2 (v2.20.0.422).</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Sequencing was performed at UQ Sequencing Facility based at the Institute for Molecular Bioscience (University of Queensland).</w:t>
      </w:r>
    </w:p>
    <w:p w:rsidR="00AD1101" w:rsidRDefault="00AD1101" w:rsidP="00AD1101">
      <w:pPr>
        <w:pBdr>
          <w:top w:val="nil"/>
          <w:left w:val="nil"/>
          <w:bottom w:val="nil"/>
          <w:right w:val="nil"/>
          <w:between w:val="nil"/>
        </w:pBdr>
        <w:spacing w:line="480" w:lineRule="auto"/>
        <w:jc w:val="both"/>
        <w:rPr>
          <w:b/>
          <w:bCs/>
          <w:sz w:val="20"/>
          <w:szCs w:val="20"/>
        </w:rPr>
      </w:pPr>
      <w:r>
        <w:rPr>
          <w:rFonts w:ascii="Arial Unicode MS" w:cs="Arial Unicode MS"/>
          <w:b/>
          <w:bCs/>
          <w:sz w:val="20"/>
          <w:szCs w:val="20"/>
        </w:rPr>
        <w:t>ATAC-</w:t>
      </w:r>
      <w:proofErr w:type="spellStart"/>
      <w:r>
        <w:rPr>
          <w:rFonts w:ascii="Arial Unicode MS" w:cs="Arial Unicode MS"/>
          <w:b/>
          <w:bCs/>
          <w:sz w:val="20"/>
          <w:szCs w:val="20"/>
        </w:rPr>
        <w:t>seq</w:t>
      </w:r>
      <w:proofErr w:type="spellEnd"/>
      <w:r>
        <w:rPr>
          <w:rFonts w:ascii="Arial Unicode MS" w:cs="Arial Unicode MS"/>
          <w:b/>
          <w:bCs/>
          <w:sz w:val="20"/>
          <w:szCs w:val="20"/>
        </w:rPr>
        <w:t xml:space="preserve"> Analysis</w:t>
      </w:r>
    </w:p>
    <w:p w:rsidR="00AD1101" w:rsidRDefault="00AD1101" w:rsidP="00AD1101">
      <w:pPr>
        <w:pBdr>
          <w:top w:val="nil"/>
          <w:left w:val="nil"/>
          <w:bottom w:val="nil"/>
          <w:right w:val="nil"/>
          <w:between w:val="nil"/>
        </w:pBdr>
        <w:spacing w:line="480" w:lineRule="auto"/>
        <w:jc w:val="both"/>
        <w:rPr>
          <w:sz w:val="20"/>
          <w:szCs w:val="20"/>
        </w:rPr>
      </w:pPr>
      <w:r>
        <w:rPr>
          <w:rFonts w:ascii="Arial Unicode MS" w:cs="Arial Unicode MS"/>
          <w:sz w:val="20"/>
          <w:szCs w:val="20"/>
        </w:rPr>
        <w:t xml:space="preserve">Raw paired-end sequencing reads were aligned to the hg19 reference genome using </w:t>
      </w:r>
      <w:proofErr w:type="gramStart"/>
      <w:r>
        <w:rPr>
          <w:rFonts w:ascii="Arial Unicode MS" w:cs="Arial Unicode MS"/>
          <w:sz w:val="20"/>
          <w:szCs w:val="20"/>
        </w:rPr>
        <w:t>Bowtie2</w:t>
      </w:r>
      <w:r>
        <w:rPr>
          <w:rFonts w:ascii="Arial Unicode MS" w:cs="Arial Unicode MS"/>
          <w:sz w:val="20"/>
          <w:szCs w:val="20"/>
          <w:vertAlign w:val="superscript"/>
        </w:rPr>
        <w:t>73</w:t>
      </w:r>
      <w:r>
        <w:rPr>
          <w:rFonts w:ascii="Arial Unicode MS" w:cs="Arial Unicode MS"/>
          <w:sz w:val="20"/>
          <w:szCs w:val="20"/>
        </w:rPr>
        <w:t>(</w:t>
      </w:r>
      <w:proofErr w:type="gramEnd"/>
      <w:r>
        <w:rPr>
          <w:rFonts w:ascii="Arial Unicode MS" w:cs="Arial Unicode MS"/>
          <w:sz w:val="20"/>
          <w:szCs w:val="20"/>
        </w:rPr>
        <w:t xml:space="preserve">version 2.2.9), after removing sequencing adapters with </w:t>
      </w:r>
      <w:proofErr w:type="spellStart"/>
      <w:r>
        <w:rPr>
          <w:rFonts w:ascii="Arial Unicode MS" w:cs="Arial Unicode MS"/>
          <w:sz w:val="20"/>
          <w:szCs w:val="20"/>
        </w:rPr>
        <w:t>Cutadapt</w:t>
      </w:r>
      <w:proofErr w:type="spellEnd"/>
      <w:r>
        <w:rPr>
          <w:rFonts w:ascii="Arial Unicode MS" w:cs="Arial Unicode MS"/>
          <w:sz w:val="20"/>
          <w:szCs w:val="20"/>
        </w:rPr>
        <w:t xml:space="preserve"> (version 1.13). </w:t>
      </w:r>
      <w:proofErr w:type="spellStart"/>
      <w:r>
        <w:rPr>
          <w:rFonts w:ascii="Arial Unicode MS" w:cs="Arial Unicode MS"/>
          <w:sz w:val="20"/>
          <w:szCs w:val="20"/>
        </w:rPr>
        <w:t>Samtools</w:t>
      </w:r>
      <w:proofErr w:type="spellEnd"/>
      <w:r>
        <w:rPr>
          <w:rFonts w:ascii="Arial Unicode MS" w:cs="Arial Unicode MS"/>
          <w:sz w:val="20"/>
          <w:szCs w:val="20"/>
        </w:rPr>
        <w:t xml:space="preserve"> (version 1.9) and Picard were used to filter duplicates, remove reads with mapping quality</w:t>
      </w:r>
      <w:r>
        <w:rPr>
          <w:rFonts w:ascii="Arial Unicode MS" w:cs="Arial Unicode MS"/>
          <w:sz w:val="20"/>
          <w:szCs w:val="20"/>
        </w:rPr>
        <w:t> </w:t>
      </w:r>
      <w:r>
        <w:rPr>
          <w:rFonts w:ascii="Arial Unicode MS" w:cs="Arial Unicode MS"/>
          <w:sz w:val="20"/>
          <w:szCs w:val="20"/>
        </w:rPr>
        <w:t>&lt;</w:t>
      </w:r>
      <w:r>
        <w:rPr>
          <w:rFonts w:ascii="Arial Unicode MS" w:cs="Arial Unicode MS"/>
          <w:sz w:val="20"/>
          <w:szCs w:val="20"/>
        </w:rPr>
        <w:t> </w:t>
      </w:r>
      <w:r>
        <w:rPr>
          <w:rFonts w:ascii="Arial Unicode MS" w:cs="Arial Unicode MS"/>
          <w:sz w:val="20"/>
          <w:szCs w:val="20"/>
        </w:rPr>
        <w:t xml:space="preserve">30, unmapped reads, reads aligning to the mitochondrial chromosome and unplaced </w:t>
      </w:r>
      <w:proofErr w:type="spellStart"/>
      <w:r>
        <w:rPr>
          <w:rFonts w:ascii="Arial Unicode MS" w:cs="Arial Unicode MS"/>
          <w:sz w:val="20"/>
          <w:szCs w:val="20"/>
        </w:rPr>
        <w:t>contigs</w:t>
      </w:r>
      <w:proofErr w:type="spellEnd"/>
      <w:r>
        <w:rPr>
          <w:rFonts w:ascii="Arial Unicode MS" w:cs="Arial Unicode MS"/>
          <w:sz w:val="20"/>
          <w:szCs w:val="20"/>
        </w:rPr>
        <w:t xml:space="preserve">. Quality of library enrichment was evaluated using ENCODE </w:t>
      </w:r>
      <w:proofErr w:type="gramStart"/>
      <w:r>
        <w:rPr>
          <w:rFonts w:ascii="Arial Unicode MS" w:cs="Arial Unicode MS"/>
          <w:sz w:val="20"/>
          <w:szCs w:val="20"/>
        </w:rPr>
        <w:t>metrics,</w:t>
      </w:r>
      <w:proofErr w:type="gramEnd"/>
      <w:r>
        <w:rPr>
          <w:rFonts w:ascii="Arial Unicode MS" w:cs="Arial Unicode MS"/>
          <w:sz w:val="20"/>
          <w:szCs w:val="20"/>
        </w:rPr>
        <w:t xml:space="preserve"> including Transcription Start Site signal</w:t>
      </w:r>
      <w:r>
        <w:rPr>
          <w:rFonts w:ascii="Arial Unicode MS" w:cs="Arial Unicode MS"/>
          <w:sz w:val="20"/>
          <w:szCs w:val="20"/>
        </w:rPr>
        <w:t> </w:t>
      </w:r>
      <w:r>
        <w:rPr>
          <w:rFonts w:ascii="Arial Unicode MS" w:cs="Arial Unicode MS"/>
          <w:sz w:val="20"/>
          <w:szCs w:val="20"/>
        </w:rPr>
        <w:t>&gt;</w:t>
      </w:r>
      <w:r>
        <w:rPr>
          <w:rFonts w:ascii="Arial Unicode MS" w:cs="Arial Unicode MS"/>
          <w:sz w:val="20"/>
          <w:szCs w:val="20"/>
        </w:rPr>
        <w:t> </w:t>
      </w:r>
      <w:r>
        <w:rPr>
          <w:rFonts w:ascii="Arial Unicode MS" w:cs="Arial Unicode MS"/>
          <w:sz w:val="20"/>
          <w:szCs w:val="20"/>
        </w:rPr>
        <w:t>10, and sample concordance examined using clustering analysis. Peaks were called for each sample using MACS2 (version 2.1.2), with parameters</w:t>
      </w:r>
      <w:r>
        <w:rPr>
          <w:rFonts w:ascii="Arial Unicode MS" w:cs="Arial Unicode MS"/>
          <w:sz w:val="20"/>
          <w:szCs w:val="20"/>
        </w:rPr>
        <w:t>“</w:t>
      </w:r>
      <w:r>
        <w:rPr>
          <w:rFonts w:ascii="Arial Unicode MS" w:cs="Arial Unicode MS"/>
          <w:sz w:val="20"/>
          <w:szCs w:val="20"/>
        </w:rPr>
        <w:t>-p 0.01</w:t>
      </w:r>
      <w:r>
        <w:rPr>
          <w:rFonts w:ascii="Arial Unicode MS" w:cs="Arial Unicode MS"/>
          <w:sz w:val="20"/>
          <w:szCs w:val="20"/>
        </w:rPr>
        <w:t>–</w:t>
      </w:r>
      <w:r>
        <w:rPr>
          <w:rFonts w:ascii="Arial Unicode MS" w:cs="Arial Unicode MS"/>
          <w:sz w:val="20"/>
          <w:szCs w:val="20"/>
        </w:rPr>
        <w:t>-</w:t>
      </w:r>
      <w:proofErr w:type="spellStart"/>
      <w:r>
        <w:rPr>
          <w:rFonts w:ascii="Arial Unicode MS" w:cs="Arial Unicode MS"/>
          <w:sz w:val="20"/>
          <w:szCs w:val="20"/>
        </w:rPr>
        <w:t>nomodel</w:t>
      </w:r>
      <w:proofErr w:type="spellEnd"/>
      <w:r>
        <w:rPr>
          <w:rFonts w:ascii="Arial Unicode MS" w:cs="Arial Unicode MS"/>
          <w:sz w:val="20"/>
          <w:szCs w:val="20"/>
        </w:rPr>
        <w:t>–</w:t>
      </w:r>
      <w:r>
        <w:rPr>
          <w:rFonts w:ascii="Arial Unicode MS" w:cs="Arial Unicode MS"/>
          <w:sz w:val="20"/>
          <w:szCs w:val="20"/>
        </w:rPr>
        <w:t>-shift 0</w:t>
      </w:r>
      <w:r>
        <w:rPr>
          <w:rFonts w:ascii="Arial Unicode MS" w:cs="Arial Unicode MS"/>
          <w:sz w:val="20"/>
          <w:szCs w:val="20"/>
        </w:rPr>
        <w:t>–</w:t>
      </w:r>
      <w:r>
        <w:rPr>
          <w:rFonts w:ascii="Arial Unicode MS" w:cs="Arial Unicode MS"/>
          <w:sz w:val="20"/>
          <w:szCs w:val="20"/>
        </w:rPr>
        <w:t>-</w:t>
      </w:r>
      <w:proofErr w:type="spellStart"/>
      <w:r>
        <w:rPr>
          <w:rFonts w:ascii="Arial Unicode MS" w:cs="Arial Unicode MS"/>
          <w:sz w:val="20"/>
          <w:szCs w:val="20"/>
        </w:rPr>
        <w:t>extsize</w:t>
      </w:r>
      <w:proofErr w:type="spellEnd"/>
      <w:r>
        <w:rPr>
          <w:rFonts w:ascii="Arial Unicode MS" w:cs="Arial Unicode MS"/>
          <w:sz w:val="20"/>
          <w:szCs w:val="20"/>
        </w:rPr>
        <w:t xml:space="preserve"> 14</w:t>
      </w:r>
      <w:r>
        <w:rPr>
          <w:rFonts w:ascii="Arial Unicode MS" w:cs="Arial Unicode MS"/>
          <w:sz w:val="20"/>
          <w:szCs w:val="20"/>
        </w:rPr>
        <w:t>”</w:t>
      </w:r>
      <w:r>
        <w:rPr>
          <w:rFonts w:ascii="Arial Unicode MS" w:cs="Arial Unicode MS"/>
          <w:sz w:val="20"/>
          <w:szCs w:val="20"/>
        </w:rPr>
        <w:t xml:space="preserve">. Differentially accessible regions between treated and untreated samples were called using </w:t>
      </w:r>
      <w:proofErr w:type="spellStart"/>
      <w:r>
        <w:rPr>
          <w:rFonts w:ascii="Arial Unicode MS" w:cs="Arial Unicode MS"/>
          <w:sz w:val="20"/>
          <w:szCs w:val="20"/>
        </w:rPr>
        <w:t>DiffBind</w:t>
      </w:r>
      <w:proofErr w:type="spellEnd"/>
      <w:r>
        <w:rPr>
          <w:rFonts w:ascii="Arial Unicode MS" w:cs="Arial Unicode MS"/>
          <w:sz w:val="20"/>
          <w:szCs w:val="20"/>
        </w:rPr>
        <w:t xml:space="preserve"> version 2.14.0, where treatment-dependent peaks were selected as those exhibiting a log fold change</w:t>
      </w:r>
      <w:r>
        <w:rPr>
          <w:rFonts w:ascii="Arial Unicode MS" w:cs="Arial Unicode MS"/>
          <w:sz w:val="20"/>
          <w:szCs w:val="20"/>
        </w:rPr>
        <w:t> </w:t>
      </w:r>
      <w:r>
        <w:rPr>
          <w:rFonts w:ascii="Arial Unicode MS" w:cs="Arial Unicode MS"/>
          <w:sz w:val="20"/>
          <w:szCs w:val="20"/>
        </w:rPr>
        <w:t>&gt;</w:t>
      </w:r>
      <w:r>
        <w:rPr>
          <w:rFonts w:ascii="Arial Unicode MS" w:cs="Arial Unicode MS"/>
          <w:sz w:val="20"/>
          <w:szCs w:val="20"/>
        </w:rPr>
        <w:t> </w:t>
      </w:r>
      <w:r>
        <w:rPr>
          <w:rFonts w:ascii="Arial Unicode MS" w:cs="Arial Unicode MS"/>
          <w:sz w:val="20"/>
          <w:szCs w:val="20"/>
        </w:rPr>
        <w:t>1. Over-represented transcription factor binding motifs within ATAC-</w:t>
      </w:r>
      <w:proofErr w:type="spellStart"/>
      <w:r>
        <w:rPr>
          <w:rFonts w:ascii="Arial Unicode MS" w:cs="Arial Unicode MS"/>
          <w:sz w:val="20"/>
          <w:szCs w:val="20"/>
        </w:rPr>
        <w:t>seq</w:t>
      </w:r>
      <w:proofErr w:type="spellEnd"/>
      <w:r>
        <w:rPr>
          <w:rFonts w:ascii="Arial Unicode MS" w:cs="Arial Unicode MS"/>
          <w:sz w:val="20"/>
          <w:szCs w:val="20"/>
        </w:rPr>
        <w:t xml:space="preserve"> peaks were identified using HOMER version 4.8. We also employed a permutation-based strategy using ENCODE </w:t>
      </w:r>
      <w:proofErr w:type="spellStart"/>
      <w:r>
        <w:rPr>
          <w:rFonts w:ascii="Arial Unicode MS" w:cs="Arial Unicode MS"/>
          <w:sz w:val="20"/>
          <w:szCs w:val="20"/>
        </w:rPr>
        <w:t>dNase-seq</w:t>
      </w:r>
      <w:proofErr w:type="spellEnd"/>
      <w:r>
        <w:rPr>
          <w:rFonts w:ascii="Arial Unicode MS" w:cs="Arial Unicode MS"/>
          <w:sz w:val="20"/>
          <w:szCs w:val="20"/>
        </w:rPr>
        <w:t xml:space="preserve"> </w:t>
      </w:r>
      <w:proofErr w:type="spellStart"/>
      <w:r>
        <w:rPr>
          <w:rFonts w:ascii="Arial Unicode MS" w:cs="Arial Unicode MS"/>
          <w:sz w:val="20"/>
          <w:szCs w:val="20"/>
        </w:rPr>
        <w:t>footprinting</w:t>
      </w:r>
      <w:proofErr w:type="spellEnd"/>
      <w:r>
        <w:rPr>
          <w:rFonts w:ascii="Arial Unicode MS" w:cs="Arial Unicode MS"/>
          <w:sz w:val="20"/>
          <w:szCs w:val="20"/>
        </w:rPr>
        <w:t xml:space="preserve"> data</w:t>
      </w:r>
      <w:r>
        <w:rPr>
          <w:rFonts w:ascii="Arial Unicode MS" w:cs="Arial Unicode MS"/>
          <w:sz w:val="20"/>
          <w:szCs w:val="20"/>
          <w:vertAlign w:val="superscript"/>
        </w:rPr>
        <w:t>74</w:t>
      </w:r>
      <w:r>
        <w:rPr>
          <w:rFonts w:ascii="Arial Unicode MS" w:cs="Arial Unicode MS"/>
          <w:sz w:val="20"/>
          <w:szCs w:val="20"/>
        </w:rPr>
        <w:t xml:space="preserve">. Briefly, motifs for selected TFs (SOX9, GLI1, ZEB1 and CTCF) were intersected with treatment-dependent open chromatin peaks. The observed number of </w:t>
      </w:r>
      <w:r>
        <w:rPr>
          <w:rFonts w:ascii="Arial Unicode MS" w:cs="Arial Unicode MS"/>
          <w:sz w:val="20"/>
          <w:szCs w:val="20"/>
        </w:rPr>
        <w:lastRenderedPageBreak/>
        <w:t xml:space="preserve">intersected motifs was compared to null background sets by computing the overlap in 100 iterations of randomly shuffled, equal sized sets of non-treatment associated peaks. Over-represented pathways based were detected using the </w:t>
      </w:r>
      <w:proofErr w:type="spellStart"/>
      <w:r>
        <w:rPr>
          <w:rFonts w:ascii="Arial Unicode MS" w:cs="Arial Unicode MS"/>
          <w:sz w:val="20"/>
          <w:szCs w:val="20"/>
        </w:rPr>
        <w:t>ReactomePA</w:t>
      </w:r>
      <w:proofErr w:type="spellEnd"/>
      <w:r>
        <w:rPr>
          <w:rFonts w:ascii="Arial Unicode MS" w:cs="Arial Unicode MS"/>
          <w:sz w:val="20"/>
          <w:szCs w:val="20"/>
        </w:rPr>
        <w:t xml:space="preserve"> </w:t>
      </w:r>
      <w:proofErr w:type="spellStart"/>
      <w:r>
        <w:rPr>
          <w:rFonts w:ascii="Arial Unicode MS" w:cs="Arial Unicode MS"/>
          <w:sz w:val="20"/>
          <w:szCs w:val="20"/>
        </w:rPr>
        <w:t>Bioconductor</w:t>
      </w:r>
      <w:proofErr w:type="spellEnd"/>
      <w:r>
        <w:rPr>
          <w:rFonts w:ascii="Arial Unicode MS" w:cs="Arial Unicode MS"/>
          <w:sz w:val="20"/>
          <w:szCs w:val="20"/>
        </w:rPr>
        <w:t xml:space="preserve"> package</w:t>
      </w:r>
      <w:r>
        <w:rPr>
          <w:rFonts w:ascii="Arial Unicode MS" w:cs="Arial Unicode MS"/>
          <w:sz w:val="20"/>
          <w:szCs w:val="20"/>
          <w:vertAlign w:val="superscript"/>
        </w:rPr>
        <w:t>75</w:t>
      </w:r>
      <w:r>
        <w:rPr>
          <w:rFonts w:ascii="Arial Unicode MS" w:cs="Arial Unicode MS"/>
          <w:sz w:val="20"/>
          <w:szCs w:val="20"/>
        </w:rPr>
        <w:t>, by assigning differential peaks to genes within 5 kb.</w:t>
      </w:r>
    </w:p>
    <w:p w:rsidR="00AD1101" w:rsidRDefault="00AD1101" w:rsidP="00AD1101">
      <w:pPr>
        <w:spacing w:after="160" w:line="360" w:lineRule="auto"/>
        <w:contextualSpacing/>
        <w:jc w:val="both"/>
        <w:rPr>
          <w:b/>
          <w:bCs/>
          <w:sz w:val="20"/>
          <w:szCs w:val="20"/>
        </w:rPr>
      </w:pPr>
      <w:r>
        <w:rPr>
          <w:rFonts w:ascii="Arial Unicode MS" w:cs="Arial Unicode MS"/>
          <w:b/>
          <w:bCs/>
          <w:sz w:val="20"/>
          <w:szCs w:val="20"/>
          <w:lang w:val="en-AU"/>
        </w:rPr>
        <w:t>Supplementary Table</w:t>
      </w:r>
      <w:r>
        <w:rPr>
          <w:rFonts w:ascii="Arial Unicode MS" w:cs="Arial Unicode MS"/>
          <w:b/>
          <w:bCs/>
          <w:sz w:val="20"/>
          <w:szCs w:val="20"/>
          <w:lang w:val="en-AU"/>
        </w:rPr>
        <w:t> </w:t>
      </w:r>
      <w:r>
        <w:rPr>
          <w:rFonts w:ascii="Arial Unicode MS" w:cs="Arial Unicode MS"/>
          <w:b/>
          <w:bCs/>
          <w:sz w:val="20"/>
          <w:szCs w:val="20"/>
          <w:lang w:val="en-AU"/>
        </w:rPr>
        <w:t>1 - Antibodies</w:t>
      </w:r>
    </w:p>
    <w:p w:rsidR="00AD1101" w:rsidRDefault="00AD1101" w:rsidP="00AD1101">
      <w:pPr>
        <w:spacing w:after="160" w:line="360" w:lineRule="auto"/>
        <w:contextualSpacing/>
        <w:jc w:val="both"/>
        <w:rPr>
          <w:b/>
          <w:bCs/>
          <w:sz w:val="20"/>
          <w:szCs w:val="20"/>
        </w:rPr>
      </w:pPr>
      <w:r>
        <w:rPr>
          <w:rFonts w:ascii="Arial Unicode MS" w:cs="Arial Unicode MS"/>
          <w:b/>
          <w:bCs/>
          <w:sz w:val="20"/>
          <w:szCs w:val="20"/>
          <w:lang w:val="en-AU"/>
        </w:rPr>
        <w:t>Table</w:t>
      </w:r>
      <w:r>
        <w:rPr>
          <w:rFonts w:ascii="Arial Unicode MS" w:cs="Arial Unicode MS"/>
          <w:b/>
          <w:bCs/>
          <w:sz w:val="20"/>
          <w:szCs w:val="20"/>
          <w:lang w:val="en-AU"/>
        </w:rPr>
        <w:t> </w:t>
      </w:r>
      <w:r>
        <w:rPr>
          <w:rFonts w:ascii="Arial Unicode MS" w:cs="Arial Unicode MS"/>
          <w:b/>
          <w:bCs/>
          <w:sz w:val="20"/>
          <w:szCs w:val="20"/>
          <w:lang w:val="en-AU"/>
        </w:rPr>
        <w:t xml:space="preserve">1.1 </w:t>
      </w:r>
      <w:r>
        <w:rPr>
          <w:rFonts w:ascii="Arial Unicode MS" w:cs="Arial Unicode MS"/>
          <w:b/>
          <w:bCs/>
          <w:sz w:val="20"/>
          <w:szCs w:val="20"/>
          <w:lang w:val="en-AU"/>
        </w:rPr>
        <w:t>–</w:t>
      </w:r>
      <w:r>
        <w:rPr>
          <w:rFonts w:ascii="Arial Unicode MS" w:cs="Arial Unicode MS"/>
          <w:b/>
          <w:bCs/>
          <w:sz w:val="20"/>
          <w:szCs w:val="20"/>
          <w:lang w:val="en-AU"/>
        </w:rPr>
        <w:t xml:space="preserve"> Mouse endovascular progenitor hierarchy panel</w:t>
      </w:r>
    </w:p>
    <w:tbl>
      <w:tblPr>
        <w:tblW w:w="0" w:type="auto"/>
        <w:tblLook w:val="04A0" w:firstRow="1" w:lastRow="0" w:firstColumn="1" w:lastColumn="0" w:noHBand="0" w:noVBand="1"/>
      </w:tblPr>
      <w:tblGrid>
        <w:gridCol w:w="2304"/>
        <w:gridCol w:w="1744"/>
        <w:gridCol w:w="1473"/>
        <w:gridCol w:w="1265"/>
        <w:gridCol w:w="2456"/>
      </w:tblGrid>
      <w:tr w:rsidR="00AD1101" w:rsidTr="00942BC9">
        <w:tc>
          <w:tcPr>
            <w:tcW w:w="2370"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Protein Target</w:t>
            </w:r>
          </w:p>
        </w:tc>
        <w:tc>
          <w:tcPr>
            <w:tcW w:w="1768"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Manufacturer </w:t>
            </w:r>
          </w:p>
        </w:tc>
        <w:tc>
          <w:tcPr>
            <w:tcW w:w="1066"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RRID</w:t>
            </w:r>
          </w:p>
        </w:tc>
        <w:tc>
          <w:tcPr>
            <w:tcW w:w="1291"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Dilution</w:t>
            </w:r>
          </w:p>
        </w:tc>
        <w:tc>
          <w:tcPr>
            <w:tcW w:w="2521"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Conjugated </w:t>
            </w:r>
          </w:p>
          <w:p w:rsidR="00AD1101" w:rsidRDefault="00AD1101" w:rsidP="00942BC9">
            <w:pPr>
              <w:spacing w:after="160" w:line="360" w:lineRule="auto"/>
              <w:contextualSpacing/>
              <w:jc w:val="both"/>
              <w:rPr>
                <w:b/>
                <w:bCs/>
                <w:sz w:val="20"/>
                <w:szCs w:val="20"/>
              </w:rPr>
            </w:pPr>
            <w:proofErr w:type="spellStart"/>
            <w:r>
              <w:rPr>
                <w:rFonts w:ascii="Arial Unicode MS" w:cs="Arial Unicode MS"/>
                <w:b/>
                <w:bCs/>
                <w:sz w:val="20"/>
                <w:szCs w:val="20"/>
                <w:lang w:val="en-AU"/>
              </w:rPr>
              <w:t>Fluorophore</w:t>
            </w:r>
            <w:proofErr w:type="spellEnd"/>
          </w:p>
        </w:tc>
      </w:tr>
      <w:tr w:rsidR="00AD1101" w:rsidTr="00942BC9">
        <w:tc>
          <w:tcPr>
            <w:tcW w:w="2370" w:type="dxa"/>
            <w:vAlign w:val="center"/>
          </w:tcPr>
          <w:p w:rsidR="00AD1101" w:rsidRDefault="00AD1101" w:rsidP="00942BC9">
            <w:pPr>
              <w:spacing w:after="160" w:line="360" w:lineRule="auto"/>
              <w:contextualSpacing/>
              <w:jc w:val="both"/>
              <w:rPr>
                <w:sz w:val="20"/>
                <w:szCs w:val="20"/>
              </w:rPr>
            </w:pPr>
            <w:r>
              <w:rPr>
                <w:rFonts w:ascii="Arial Unicode MS" w:eastAsiaTheme="minorEastAsia" w:cs="Arial Unicode MS"/>
                <w:color w:val="000000"/>
                <w:sz w:val="20"/>
                <w:szCs w:val="20"/>
                <w:lang w:val="en-AU"/>
              </w:rPr>
              <w:t>Endogenous YFP</w:t>
            </w:r>
          </w:p>
        </w:tc>
        <w:tc>
          <w:tcPr>
            <w:tcW w:w="1768" w:type="dxa"/>
            <w:vAlign w:val="center"/>
          </w:tcPr>
          <w:p w:rsidR="00AD1101" w:rsidRDefault="00AD1101" w:rsidP="00942BC9">
            <w:pPr>
              <w:spacing w:after="160" w:line="360" w:lineRule="auto"/>
              <w:contextualSpacing/>
              <w:jc w:val="both"/>
              <w:rPr>
                <w:sz w:val="20"/>
                <w:szCs w:val="20"/>
              </w:rPr>
            </w:pPr>
            <w:r>
              <w:rPr>
                <w:rFonts w:ascii="Arial Unicode MS" w:eastAsiaTheme="minorEastAsia" w:cs="Arial Unicode MS"/>
                <w:color w:val="000000"/>
                <w:sz w:val="20"/>
                <w:szCs w:val="20"/>
                <w:lang w:val="en-AU"/>
              </w:rPr>
              <w:t>Endogenous</w:t>
            </w:r>
          </w:p>
        </w:tc>
        <w:tc>
          <w:tcPr>
            <w:tcW w:w="1066" w:type="dxa"/>
            <w:vAlign w:val="center"/>
          </w:tcPr>
          <w:p w:rsidR="00AD1101" w:rsidRDefault="00AD1101" w:rsidP="00942BC9">
            <w:pPr>
              <w:spacing w:after="160" w:line="360" w:lineRule="auto"/>
              <w:contextualSpacing/>
              <w:jc w:val="both"/>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lang w:val="en-AU"/>
              </w:rPr>
              <w:t>N/A</w:t>
            </w:r>
          </w:p>
        </w:tc>
        <w:tc>
          <w:tcPr>
            <w:tcW w:w="1291" w:type="dxa"/>
            <w:vAlign w:val="center"/>
          </w:tcPr>
          <w:p w:rsidR="00AD1101" w:rsidRDefault="00AD1101" w:rsidP="00942BC9">
            <w:pPr>
              <w:spacing w:after="160" w:line="360" w:lineRule="auto"/>
              <w:contextualSpacing/>
              <w:jc w:val="both"/>
              <w:rPr>
                <w:sz w:val="20"/>
                <w:szCs w:val="20"/>
              </w:rPr>
            </w:pPr>
            <w:r>
              <w:rPr>
                <w:rFonts w:ascii="Arial Unicode MS" w:eastAsiaTheme="minorEastAsia" w:cs="Arial Unicode MS"/>
                <w:color w:val="000000"/>
                <w:sz w:val="20"/>
                <w:szCs w:val="20"/>
                <w:lang w:val="en-AU"/>
              </w:rPr>
              <w:t>N/A</w:t>
            </w:r>
          </w:p>
        </w:tc>
        <w:tc>
          <w:tcPr>
            <w:tcW w:w="2521" w:type="dxa"/>
            <w:vAlign w:val="center"/>
          </w:tcPr>
          <w:p w:rsidR="00AD1101" w:rsidRDefault="00AD1101" w:rsidP="00942BC9">
            <w:pPr>
              <w:spacing w:after="160" w:line="360" w:lineRule="auto"/>
              <w:contextualSpacing/>
              <w:jc w:val="both"/>
              <w:rPr>
                <w:sz w:val="20"/>
                <w:szCs w:val="20"/>
              </w:rPr>
            </w:pPr>
            <w:r>
              <w:rPr>
                <w:rFonts w:ascii="Arial Unicode MS" w:eastAsiaTheme="minorEastAsia" w:cs="Arial Unicode MS"/>
                <w:color w:val="000000"/>
                <w:sz w:val="20"/>
                <w:szCs w:val="20"/>
                <w:lang w:val="en-AU"/>
              </w:rPr>
              <w:t>YFP</w:t>
            </w:r>
          </w:p>
        </w:tc>
      </w:tr>
      <w:tr w:rsidR="00AD1101" w:rsidTr="00942BC9">
        <w:trPr>
          <w:trHeight w:val="309"/>
        </w:trPr>
        <w:tc>
          <w:tcPr>
            <w:tcW w:w="237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Rat-anti-mouse CD31</w:t>
            </w:r>
          </w:p>
        </w:tc>
        <w:tc>
          <w:tcPr>
            <w:tcW w:w="1768"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BD Biosciences, 561410</w:t>
            </w:r>
          </w:p>
        </w:tc>
        <w:tc>
          <w:tcPr>
            <w:tcW w:w="1066"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AB_10612003</w:t>
            </w:r>
          </w:p>
        </w:tc>
        <w:tc>
          <w:tcPr>
            <w:tcW w:w="1291"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1:600</w:t>
            </w:r>
          </w:p>
        </w:tc>
        <w:tc>
          <w:tcPr>
            <w:tcW w:w="2521"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PE-Cy7</w:t>
            </w:r>
          </w:p>
        </w:tc>
      </w:tr>
      <w:tr w:rsidR="00AD1101" w:rsidTr="00942BC9">
        <w:trPr>
          <w:trHeight w:val="308"/>
        </w:trPr>
        <w:tc>
          <w:tcPr>
            <w:tcW w:w="237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Rat-anti-mouse CD34</w:t>
            </w:r>
          </w:p>
        </w:tc>
        <w:tc>
          <w:tcPr>
            <w:tcW w:w="1768"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BD Biosciences, 560230</w:t>
            </w:r>
          </w:p>
        </w:tc>
        <w:tc>
          <w:tcPr>
            <w:tcW w:w="1066"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AB_1645200</w:t>
            </w:r>
          </w:p>
        </w:tc>
        <w:tc>
          <w:tcPr>
            <w:tcW w:w="1291"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1:150</w:t>
            </w:r>
          </w:p>
        </w:tc>
        <w:tc>
          <w:tcPr>
            <w:tcW w:w="2521"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AlexaFluor647</w:t>
            </w:r>
          </w:p>
        </w:tc>
      </w:tr>
      <w:tr w:rsidR="00AD1101" w:rsidTr="00942BC9">
        <w:tc>
          <w:tcPr>
            <w:tcW w:w="2370" w:type="dxa"/>
            <w:vAlign w:val="center"/>
          </w:tcPr>
          <w:p w:rsidR="00AD1101" w:rsidRDefault="00AD1101" w:rsidP="00942BC9">
            <w:pPr>
              <w:autoSpaceDE w:val="0"/>
              <w:autoSpaceDN w:val="0"/>
              <w:adjustRightInd w:val="0"/>
              <w:rPr>
                <w:sz w:val="20"/>
                <w:szCs w:val="20"/>
              </w:rPr>
            </w:pPr>
            <w:r>
              <w:rPr>
                <w:rFonts w:ascii="Arial Unicode MS" w:cs="Arial Unicode MS"/>
                <w:color w:val="000000"/>
                <w:sz w:val="20"/>
                <w:szCs w:val="20"/>
                <w:lang w:val="en-AU"/>
              </w:rPr>
              <w:t>Rat-anti-mouse Lineage Cocktail (Gr-1, Ter-119, CD3, CD11b, CD45)</w:t>
            </w:r>
          </w:p>
        </w:tc>
        <w:tc>
          <w:tcPr>
            <w:tcW w:w="1768" w:type="dxa"/>
            <w:vAlign w:val="center"/>
          </w:tcPr>
          <w:p w:rsidR="00AD1101" w:rsidRDefault="00AD1101" w:rsidP="00942BC9">
            <w:pPr>
              <w:spacing w:after="160" w:line="360" w:lineRule="auto"/>
              <w:contextualSpacing/>
              <w:jc w:val="both"/>
              <w:rPr>
                <w:sz w:val="20"/>
                <w:szCs w:val="20"/>
              </w:rPr>
            </w:pPr>
            <w:proofErr w:type="spellStart"/>
            <w:r>
              <w:rPr>
                <w:rFonts w:ascii="Arial Unicode MS" w:cs="Arial Unicode MS"/>
                <w:sz w:val="20"/>
                <w:szCs w:val="20"/>
                <w:lang w:val="en-AU"/>
              </w:rPr>
              <w:t>BioLegend</w:t>
            </w:r>
            <w:proofErr w:type="spellEnd"/>
            <w:r>
              <w:rPr>
                <w:rFonts w:ascii="Arial Unicode MS" w:cs="Arial Unicode MS"/>
                <w:sz w:val="20"/>
                <w:szCs w:val="20"/>
                <w:lang w:val="en-AU"/>
              </w:rPr>
              <w:t>,</w:t>
            </w:r>
          </w:p>
          <w:p w:rsidR="00AD1101" w:rsidRDefault="00AD1101" w:rsidP="00942BC9">
            <w:pPr>
              <w:spacing w:after="160" w:line="360" w:lineRule="auto"/>
              <w:contextualSpacing/>
              <w:jc w:val="both"/>
              <w:rPr>
                <w:sz w:val="20"/>
                <w:szCs w:val="20"/>
              </w:rPr>
            </w:pPr>
            <w:r>
              <w:rPr>
                <w:rFonts w:ascii="Arial Unicode MS" w:cs="Arial Unicode MS"/>
                <w:sz w:val="20"/>
                <w:szCs w:val="20"/>
                <w:lang w:val="en-AU"/>
              </w:rPr>
              <w:t>133310</w:t>
            </w:r>
          </w:p>
        </w:tc>
        <w:tc>
          <w:tcPr>
            <w:tcW w:w="1066"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AB_11150779</w:t>
            </w:r>
          </w:p>
        </w:tc>
        <w:tc>
          <w:tcPr>
            <w:tcW w:w="1291"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1:50</w:t>
            </w:r>
          </w:p>
        </w:tc>
        <w:tc>
          <w:tcPr>
            <w:tcW w:w="2521"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Pacific Blue</w:t>
            </w:r>
          </w:p>
        </w:tc>
      </w:tr>
      <w:tr w:rsidR="00AD1101" w:rsidTr="00942BC9">
        <w:tc>
          <w:tcPr>
            <w:tcW w:w="2370"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7</w:t>
            </w:r>
            <w:r>
              <w:rPr>
                <w:rFonts w:ascii="Arial Unicode MS" w:cs="Arial Unicode MS"/>
                <w:sz w:val="20"/>
                <w:szCs w:val="20"/>
                <w:lang w:val="en-AU"/>
              </w:rPr>
              <w:t>’</w:t>
            </w:r>
            <w:r>
              <w:rPr>
                <w:rFonts w:ascii="Arial Unicode MS" w:cs="Arial Unicode MS"/>
                <w:sz w:val="20"/>
                <w:szCs w:val="20"/>
                <w:lang w:val="en-AU"/>
              </w:rPr>
              <w:t>AAD viability stain</w:t>
            </w:r>
          </w:p>
        </w:tc>
        <w:tc>
          <w:tcPr>
            <w:tcW w:w="1768" w:type="dxa"/>
            <w:vAlign w:val="center"/>
          </w:tcPr>
          <w:p w:rsidR="00AD1101" w:rsidRDefault="00AD1101" w:rsidP="00942BC9">
            <w:pPr>
              <w:spacing w:after="160" w:line="360" w:lineRule="auto"/>
              <w:contextualSpacing/>
              <w:jc w:val="both"/>
              <w:rPr>
                <w:sz w:val="20"/>
                <w:szCs w:val="20"/>
              </w:rPr>
            </w:pPr>
            <w:proofErr w:type="spellStart"/>
            <w:r>
              <w:rPr>
                <w:rFonts w:ascii="Arial Unicode MS" w:cs="Arial Unicode MS"/>
                <w:sz w:val="20"/>
                <w:szCs w:val="20"/>
                <w:lang w:val="en-AU"/>
              </w:rPr>
              <w:t>BioLegend</w:t>
            </w:r>
            <w:proofErr w:type="spellEnd"/>
          </w:p>
          <w:p w:rsidR="00AD1101" w:rsidRDefault="00AD1101" w:rsidP="00942BC9">
            <w:pPr>
              <w:spacing w:after="160" w:line="360" w:lineRule="auto"/>
              <w:contextualSpacing/>
              <w:jc w:val="both"/>
              <w:rPr>
                <w:sz w:val="20"/>
                <w:szCs w:val="20"/>
              </w:rPr>
            </w:pPr>
            <w:r>
              <w:rPr>
                <w:rFonts w:ascii="Arial Unicode MS" w:cs="Arial Unicode MS"/>
                <w:sz w:val="20"/>
                <w:szCs w:val="20"/>
                <w:lang w:val="en-AU"/>
              </w:rPr>
              <w:t>420404</w:t>
            </w:r>
          </w:p>
        </w:tc>
        <w:tc>
          <w:tcPr>
            <w:tcW w:w="1066"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N/A</w:t>
            </w:r>
          </w:p>
        </w:tc>
        <w:tc>
          <w:tcPr>
            <w:tcW w:w="1291"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1:20</w:t>
            </w:r>
          </w:p>
        </w:tc>
        <w:tc>
          <w:tcPr>
            <w:tcW w:w="2521"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PE-Cy5</w:t>
            </w:r>
          </w:p>
        </w:tc>
      </w:tr>
    </w:tbl>
    <w:p w:rsidR="00AD1101" w:rsidRDefault="00AD1101" w:rsidP="00AD1101">
      <w:pPr>
        <w:spacing w:after="160" w:line="360" w:lineRule="auto"/>
        <w:contextualSpacing/>
        <w:jc w:val="both"/>
        <w:rPr>
          <w:b/>
          <w:bCs/>
          <w:sz w:val="20"/>
          <w:szCs w:val="20"/>
        </w:rPr>
      </w:pPr>
    </w:p>
    <w:p w:rsidR="00AD1101" w:rsidRDefault="00AD1101" w:rsidP="00AD1101">
      <w:pPr>
        <w:spacing w:after="160" w:line="360" w:lineRule="auto"/>
        <w:contextualSpacing/>
        <w:jc w:val="both"/>
        <w:rPr>
          <w:b/>
          <w:bCs/>
          <w:sz w:val="20"/>
          <w:szCs w:val="20"/>
        </w:rPr>
      </w:pPr>
      <w:r>
        <w:rPr>
          <w:rFonts w:ascii="Arial Unicode MS" w:cs="Arial Unicode MS"/>
          <w:b/>
          <w:bCs/>
          <w:sz w:val="20"/>
          <w:szCs w:val="20"/>
          <w:lang w:val="en-AU"/>
        </w:rPr>
        <w:t>Table</w:t>
      </w:r>
      <w:r>
        <w:rPr>
          <w:rFonts w:ascii="Arial Unicode MS" w:cs="Arial Unicode MS"/>
          <w:b/>
          <w:bCs/>
          <w:sz w:val="20"/>
          <w:szCs w:val="20"/>
          <w:lang w:val="en-AU"/>
        </w:rPr>
        <w:t> </w:t>
      </w:r>
      <w:r>
        <w:rPr>
          <w:rFonts w:ascii="Arial Unicode MS" w:cs="Arial Unicode MS"/>
          <w:b/>
          <w:bCs/>
          <w:sz w:val="20"/>
          <w:szCs w:val="20"/>
          <w:lang w:val="en-AU"/>
        </w:rPr>
        <w:t xml:space="preserve">1.2 </w:t>
      </w:r>
      <w:r>
        <w:rPr>
          <w:rFonts w:ascii="Arial Unicode MS" w:cs="Arial Unicode MS"/>
          <w:b/>
          <w:bCs/>
          <w:sz w:val="20"/>
          <w:szCs w:val="20"/>
          <w:lang w:val="en-AU"/>
        </w:rPr>
        <w:t>–</w:t>
      </w:r>
      <w:r>
        <w:rPr>
          <w:rFonts w:ascii="Arial Unicode MS" w:cs="Arial Unicode MS"/>
          <w:b/>
          <w:bCs/>
          <w:sz w:val="20"/>
          <w:szCs w:val="20"/>
          <w:lang w:val="en-AU"/>
        </w:rPr>
        <w:t xml:space="preserve"> Mouse aortic myeloid panel</w:t>
      </w:r>
    </w:p>
    <w:tbl>
      <w:tblPr>
        <w:tblW w:w="0" w:type="auto"/>
        <w:tblLook w:val="04A0" w:firstRow="1" w:lastRow="0" w:firstColumn="1" w:lastColumn="0" w:noHBand="0" w:noVBand="1"/>
      </w:tblPr>
      <w:tblGrid>
        <w:gridCol w:w="2083"/>
        <w:gridCol w:w="1700"/>
        <w:gridCol w:w="1215"/>
        <w:gridCol w:w="1753"/>
        <w:gridCol w:w="2265"/>
      </w:tblGrid>
      <w:tr w:rsidR="00AD1101" w:rsidTr="00942BC9">
        <w:tc>
          <w:tcPr>
            <w:tcW w:w="2083"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Protein Target</w:t>
            </w:r>
          </w:p>
        </w:tc>
        <w:tc>
          <w:tcPr>
            <w:tcW w:w="1700"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Manufacturer </w:t>
            </w:r>
          </w:p>
        </w:tc>
        <w:tc>
          <w:tcPr>
            <w:tcW w:w="1215"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Dilution</w:t>
            </w:r>
          </w:p>
        </w:tc>
        <w:tc>
          <w:tcPr>
            <w:tcW w:w="1753"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RRID</w:t>
            </w:r>
          </w:p>
        </w:tc>
        <w:tc>
          <w:tcPr>
            <w:tcW w:w="2265"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Conjugated </w:t>
            </w:r>
            <w:proofErr w:type="spellStart"/>
            <w:r>
              <w:rPr>
                <w:rFonts w:ascii="Arial Unicode MS" w:cs="Arial Unicode MS"/>
                <w:b/>
                <w:bCs/>
                <w:sz w:val="20"/>
                <w:szCs w:val="20"/>
                <w:lang w:val="en-AU"/>
              </w:rPr>
              <w:t>Fluorophore</w:t>
            </w:r>
            <w:proofErr w:type="spellEnd"/>
          </w:p>
        </w:tc>
      </w:tr>
      <w:tr w:rsidR="00AD1101" w:rsidTr="00942BC9">
        <w:trPr>
          <w:trHeight w:val="299"/>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CD45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BD Biosciences, 563410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1:800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AB_2738189</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BV650 </w:t>
            </w:r>
          </w:p>
        </w:tc>
      </w:tr>
      <w:tr w:rsidR="00AD1101" w:rsidTr="00942BC9">
        <w:trPr>
          <w:trHeight w:val="299"/>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CD64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BD Biosciences, 652872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BV421</w:t>
            </w:r>
          </w:p>
        </w:tc>
      </w:tr>
      <w:tr w:rsidR="00AD1101" w:rsidTr="00942BC9">
        <w:trPr>
          <w:trHeight w:val="161"/>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MHCII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BioLegend</w:t>
            </w:r>
            <w:proofErr w:type="spellEnd"/>
            <w:r>
              <w:rPr>
                <w:rFonts w:ascii="Arial Unicode MS" w:eastAsiaTheme="minorEastAsia" w:cs="Arial Unicode MS"/>
                <w:color w:val="000000"/>
                <w:sz w:val="20"/>
                <w:szCs w:val="20"/>
              </w:rPr>
              <w:t xml:space="preserve">, </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109905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1:100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AB_313454</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FITC </w:t>
            </w:r>
          </w:p>
        </w:tc>
      </w:tr>
      <w:tr w:rsidR="00AD1101" w:rsidTr="00942BC9">
        <w:trPr>
          <w:trHeight w:val="161"/>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CD11b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BioLegend</w:t>
            </w:r>
            <w:proofErr w:type="spellEnd"/>
            <w:r>
              <w:rPr>
                <w:rFonts w:ascii="Arial Unicode MS" w:eastAsiaTheme="minorEastAsia" w:cs="Arial Unicode MS"/>
                <w:color w:val="000000"/>
                <w:sz w:val="20"/>
                <w:szCs w:val="20"/>
              </w:rPr>
              <w:t xml:space="preserve">, </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101227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AB_893233</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PerCP</w:t>
            </w:r>
            <w:proofErr w:type="spellEnd"/>
            <w:r>
              <w:rPr>
                <w:rFonts w:ascii="Arial Unicode MS" w:eastAsiaTheme="minorEastAsia" w:cs="Arial Unicode MS"/>
                <w:color w:val="000000"/>
                <w:sz w:val="20"/>
                <w:szCs w:val="20"/>
              </w:rPr>
              <w:t xml:space="preserve">/Cy5.5 </w:t>
            </w:r>
          </w:p>
        </w:tc>
      </w:tr>
      <w:tr w:rsidR="00AD1101" w:rsidTr="00942BC9">
        <w:trPr>
          <w:trHeight w:val="161"/>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lastRenderedPageBreak/>
              <w:t xml:space="preserve">Hamster-anti-mouse CD11c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BioLegend</w:t>
            </w:r>
            <w:proofErr w:type="spellEnd"/>
            <w:r>
              <w:rPr>
                <w:rFonts w:ascii="Arial Unicode MS" w:eastAsiaTheme="minorEastAsia" w:cs="Arial Unicode MS"/>
                <w:color w:val="000000"/>
                <w:sz w:val="20"/>
                <w:szCs w:val="20"/>
              </w:rPr>
              <w:t xml:space="preserve">, </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117317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AB_493569</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PE/Cy7 </w:t>
            </w:r>
          </w:p>
        </w:tc>
      </w:tr>
      <w:tr w:rsidR="00AD1101" w:rsidTr="00942BC9">
        <w:trPr>
          <w:trHeight w:val="161"/>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Ly6g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BioLegend</w:t>
            </w:r>
            <w:proofErr w:type="spellEnd"/>
            <w:r>
              <w:rPr>
                <w:rFonts w:ascii="Arial Unicode MS" w:eastAsiaTheme="minorEastAsia" w:cs="Arial Unicode MS"/>
                <w:color w:val="000000"/>
                <w:sz w:val="20"/>
                <w:szCs w:val="20"/>
              </w:rPr>
              <w:t xml:space="preserve">, </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127607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AB_1186104</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PE </w:t>
            </w:r>
          </w:p>
        </w:tc>
      </w:tr>
      <w:tr w:rsidR="00AD1101" w:rsidTr="00942BC9">
        <w:trPr>
          <w:trHeight w:val="161"/>
        </w:trPr>
        <w:tc>
          <w:tcPr>
            <w:tcW w:w="208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Rat-anti-mouse Ly6c </w:t>
            </w:r>
          </w:p>
        </w:tc>
        <w:tc>
          <w:tcPr>
            <w:tcW w:w="1700"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proofErr w:type="spellStart"/>
            <w:r>
              <w:rPr>
                <w:rFonts w:ascii="Arial Unicode MS" w:eastAsiaTheme="minorEastAsia" w:cs="Arial Unicode MS"/>
                <w:color w:val="000000"/>
                <w:sz w:val="20"/>
                <w:szCs w:val="20"/>
              </w:rPr>
              <w:t>BioLegend</w:t>
            </w:r>
            <w:proofErr w:type="spellEnd"/>
            <w:r>
              <w:rPr>
                <w:rFonts w:ascii="Arial Unicode MS" w:eastAsiaTheme="minorEastAsia" w:cs="Arial Unicode MS"/>
                <w:color w:val="000000"/>
                <w:sz w:val="20"/>
                <w:szCs w:val="20"/>
              </w:rPr>
              <w:t xml:space="preserve">, </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128025 </w:t>
            </w:r>
          </w:p>
        </w:tc>
        <w:tc>
          <w:tcPr>
            <w:tcW w:w="121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5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AB_10643867</w:t>
            </w:r>
          </w:p>
        </w:tc>
        <w:tc>
          <w:tcPr>
            <w:tcW w:w="2265"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APC</w:t>
            </w:r>
          </w:p>
        </w:tc>
      </w:tr>
      <w:tr w:rsidR="00AD1101" w:rsidTr="00942BC9">
        <w:tc>
          <w:tcPr>
            <w:tcW w:w="2083"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7</w:t>
            </w:r>
            <w:r>
              <w:rPr>
                <w:rFonts w:ascii="Arial Unicode MS" w:cs="Arial Unicode MS"/>
                <w:sz w:val="20"/>
                <w:szCs w:val="20"/>
                <w:lang w:val="en-AU"/>
              </w:rPr>
              <w:t>’</w:t>
            </w:r>
            <w:r>
              <w:rPr>
                <w:rFonts w:ascii="Arial Unicode MS" w:cs="Arial Unicode MS"/>
                <w:sz w:val="20"/>
                <w:szCs w:val="20"/>
                <w:lang w:val="en-AU"/>
              </w:rPr>
              <w:t>AAD viability stain</w:t>
            </w:r>
          </w:p>
        </w:tc>
        <w:tc>
          <w:tcPr>
            <w:tcW w:w="1700" w:type="dxa"/>
            <w:vAlign w:val="center"/>
          </w:tcPr>
          <w:p w:rsidR="00AD1101" w:rsidRDefault="00AD1101" w:rsidP="00942BC9">
            <w:pPr>
              <w:spacing w:after="160" w:line="360" w:lineRule="auto"/>
              <w:contextualSpacing/>
              <w:jc w:val="both"/>
              <w:rPr>
                <w:sz w:val="20"/>
                <w:szCs w:val="20"/>
              </w:rPr>
            </w:pPr>
            <w:proofErr w:type="spellStart"/>
            <w:r>
              <w:rPr>
                <w:rFonts w:ascii="Arial Unicode MS" w:cs="Arial Unicode MS"/>
                <w:sz w:val="20"/>
                <w:szCs w:val="20"/>
                <w:lang w:val="en-AU"/>
              </w:rPr>
              <w:t>BioLegend</w:t>
            </w:r>
            <w:proofErr w:type="spellEnd"/>
          </w:p>
          <w:p w:rsidR="00AD1101" w:rsidRDefault="00AD1101" w:rsidP="00942BC9">
            <w:pPr>
              <w:spacing w:after="160" w:line="360" w:lineRule="auto"/>
              <w:contextualSpacing/>
              <w:jc w:val="both"/>
              <w:rPr>
                <w:sz w:val="20"/>
                <w:szCs w:val="20"/>
              </w:rPr>
            </w:pPr>
            <w:r>
              <w:rPr>
                <w:rFonts w:ascii="Arial Unicode MS" w:cs="Arial Unicode MS"/>
                <w:sz w:val="20"/>
                <w:szCs w:val="20"/>
                <w:lang w:val="en-AU"/>
              </w:rPr>
              <w:t>420404</w:t>
            </w:r>
          </w:p>
        </w:tc>
        <w:tc>
          <w:tcPr>
            <w:tcW w:w="1215"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1:20</w:t>
            </w:r>
          </w:p>
        </w:tc>
        <w:tc>
          <w:tcPr>
            <w:tcW w:w="1753"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N/A</w:t>
            </w:r>
          </w:p>
        </w:tc>
        <w:tc>
          <w:tcPr>
            <w:tcW w:w="2265" w:type="dxa"/>
            <w:vAlign w:val="center"/>
          </w:tcPr>
          <w:p w:rsidR="00AD1101" w:rsidRDefault="00AD1101" w:rsidP="00942BC9">
            <w:pPr>
              <w:spacing w:after="160" w:line="360" w:lineRule="auto"/>
              <w:contextualSpacing/>
              <w:jc w:val="both"/>
              <w:rPr>
                <w:sz w:val="20"/>
                <w:szCs w:val="20"/>
              </w:rPr>
            </w:pPr>
            <w:r>
              <w:rPr>
                <w:rFonts w:ascii="Arial Unicode MS" w:cs="Arial Unicode MS"/>
                <w:sz w:val="20"/>
                <w:szCs w:val="20"/>
                <w:lang w:val="en-AU"/>
              </w:rPr>
              <w:t>PE-Cy5</w:t>
            </w:r>
          </w:p>
        </w:tc>
      </w:tr>
    </w:tbl>
    <w:p w:rsidR="00AD1101" w:rsidRDefault="00AD1101" w:rsidP="00AD1101">
      <w:pPr>
        <w:spacing w:after="160" w:line="360" w:lineRule="auto"/>
        <w:contextualSpacing/>
        <w:jc w:val="both"/>
        <w:rPr>
          <w:b/>
          <w:bCs/>
          <w:sz w:val="20"/>
          <w:szCs w:val="20"/>
        </w:rPr>
      </w:pPr>
    </w:p>
    <w:p w:rsidR="00AD1101" w:rsidRDefault="00AD1101" w:rsidP="00AD1101">
      <w:pPr>
        <w:spacing w:after="160" w:line="360" w:lineRule="auto"/>
        <w:contextualSpacing/>
        <w:jc w:val="both"/>
        <w:rPr>
          <w:b/>
          <w:bCs/>
          <w:sz w:val="20"/>
          <w:szCs w:val="20"/>
        </w:rPr>
      </w:pPr>
      <w:r>
        <w:rPr>
          <w:rFonts w:ascii="Arial Unicode MS" w:cs="Arial Unicode MS"/>
          <w:b/>
          <w:bCs/>
          <w:sz w:val="20"/>
          <w:szCs w:val="20"/>
          <w:lang w:val="en-AU"/>
        </w:rPr>
        <w:t>Table</w:t>
      </w:r>
      <w:r>
        <w:rPr>
          <w:rFonts w:ascii="Arial Unicode MS" w:cs="Arial Unicode MS"/>
          <w:b/>
          <w:bCs/>
          <w:sz w:val="20"/>
          <w:szCs w:val="20"/>
          <w:lang w:val="en-AU"/>
        </w:rPr>
        <w:t> </w:t>
      </w:r>
      <w:r>
        <w:rPr>
          <w:rFonts w:ascii="Arial Unicode MS" w:cs="Arial Unicode MS"/>
          <w:b/>
          <w:bCs/>
          <w:sz w:val="20"/>
          <w:szCs w:val="20"/>
          <w:lang w:val="en-AU"/>
        </w:rPr>
        <w:t xml:space="preserve">1.3 </w:t>
      </w:r>
      <w:r>
        <w:rPr>
          <w:rFonts w:ascii="Arial Unicode MS" w:cs="Arial Unicode MS"/>
          <w:b/>
          <w:bCs/>
          <w:sz w:val="20"/>
          <w:szCs w:val="20"/>
          <w:lang w:val="en-AU"/>
        </w:rPr>
        <w:t>–</w:t>
      </w:r>
      <w:r>
        <w:rPr>
          <w:rFonts w:ascii="Arial Unicode MS" w:cs="Arial Unicode MS"/>
          <w:b/>
          <w:bCs/>
          <w:sz w:val="20"/>
          <w:szCs w:val="20"/>
          <w:lang w:val="en-AU"/>
        </w:rPr>
        <w:t xml:space="preserve"> Human ECFC </w:t>
      </w:r>
      <w:proofErr w:type="spellStart"/>
      <w:r>
        <w:rPr>
          <w:rFonts w:ascii="Arial Unicode MS" w:cs="Arial Unicode MS"/>
          <w:b/>
          <w:bCs/>
          <w:sz w:val="20"/>
          <w:szCs w:val="20"/>
          <w:lang w:val="en-AU"/>
        </w:rPr>
        <w:t>EndMT</w:t>
      </w:r>
      <w:proofErr w:type="spellEnd"/>
    </w:p>
    <w:tbl>
      <w:tblPr>
        <w:tblW w:w="0" w:type="auto"/>
        <w:tblLook w:val="04A0" w:firstRow="1" w:lastRow="0" w:firstColumn="1" w:lastColumn="0" w:noHBand="0" w:noVBand="1"/>
      </w:tblPr>
      <w:tblGrid>
        <w:gridCol w:w="2039"/>
        <w:gridCol w:w="1699"/>
        <w:gridCol w:w="1213"/>
        <w:gridCol w:w="1742"/>
        <w:gridCol w:w="2323"/>
      </w:tblGrid>
      <w:tr w:rsidR="00AD1101" w:rsidTr="00942BC9">
        <w:tc>
          <w:tcPr>
            <w:tcW w:w="2039"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Protein Target</w:t>
            </w:r>
          </w:p>
        </w:tc>
        <w:tc>
          <w:tcPr>
            <w:tcW w:w="1699"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Manufacturer </w:t>
            </w:r>
          </w:p>
        </w:tc>
        <w:tc>
          <w:tcPr>
            <w:tcW w:w="1213"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Dilution</w:t>
            </w:r>
          </w:p>
        </w:tc>
        <w:tc>
          <w:tcPr>
            <w:tcW w:w="1742"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RRID</w:t>
            </w:r>
          </w:p>
        </w:tc>
        <w:tc>
          <w:tcPr>
            <w:tcW w:w="2323" w:type="dxa"/>
            <w:vAlign w:val="center"/>
          </w:tcPr>
          <w:p w:rsidR="00AD1101" w:rsidRDefault="00AD1101" w:rsidP="00942BC9">
            <w:pPr>
              <w:spacing w:after="160" w:line="360" w:lineRule="auto"/>
              <w:contextualSpacing/>
              <w:jc w:val="both"/>
              <w:rPr>
                <w:b/>
                <w:bCs/>
                <w:sz w:val="20"/>
                <w:szCs w:val="20"/>
              </w:rPr>
            </w:pPr>
            <w:r>
              <w:rPr>
                <w:rFonts w:ascii="Arial Unicode MS" w:cs="Arial Unicode MS"/>
                <w:b/>
                <w:bCs/>
                <w:sz w:val="20"/>
                <w:szCs w:val="20"/>
                <w:lang w:val="en-AU"/>
              </w:rPr>
              <w:t xml:space="preserve">Conjugated </w:t>
            </w:r>
            <w:proofErr w:type="spellStart"/>
            <w:r>
              <w:rPr>
                <w:rFonts w:ascii="Arial Unicode MS" w:cs="Arial Unicode MS"/>
                <w:b/>
                <w:bCs/>
                <w:sz w:val="20"/>
                <w:szCs w:val="20"/>
                <w:lang w:val="en-AU"/>
              </w:rPr>
              <w:t>Fluorophore</w:t>
            </w:r>
            <w:proofErr w:type="spellEnd"/>
          </w:p>
        </w:tc>
      </w:tr>
      <w:tr w:rsidR="00AD1101" w:rsidTr="00942BC9">
        <w:trPr>
          <w:trHeight w:val="299"/>
        </w:trPr>
        <w:tc>
          <w:tcPr>
            <w:tcW w:w="203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Mouse-anti-human CD34 </w:t>
            </w:r>
          </w:p>
        </w:tc>
        <w:tc>
          <w:tcPr>
            <w:tcW w:w="169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Bio-Rad Laboratories,</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MCA547GT </w:t>
            </w:r>
          </w:p>
        </w:tc>
        <w:tc>
          <w:tcPr>
            <w:tcW w:w="121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1:50</w:t>
            </w:r>
          </w:p>
        </w:tc>
        <w:tc>
          <w:tcPr>
            <w:tcW w:w="1742" w:type="dxa"/>
            <w:vAlign w:val="center"/>
          </w:tcPr>
          <w:p w:rsidR="00AD1101" w:rsidRDefault="00AD1101" w:rsidP="00942BC9">
            <w:pPr>
              <w:autoSpaceDE w:val="0"/>
              <w:autoSpaceDN w:val="0"/>
              <w:adjustRightInd w:val="0"/>
              <w:jc w:val="center"/>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AB_2063000</w:t>
            </w:r>
          </w:p>
        </w:tc>
        <w:tc>
          <w:tcPr>
            <w:tcW w:w="232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PE</w:t>
            </w:r>
          </w:p>
        </w:tc>
      </w:tr>
      <w:tr w:rsidR="00AD1101" w:rsidTr="00942BC9">
        <w:trPr>
          <w:trHeight w:val="299"/>
        </w:trPr>
        <w:tc>
          <w:tcPr>
            <w:tcW w:w="203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Mouse-anti-human CD31  </w:t>
            </w:r>
          </w:p>
        </w:tc>
        <w:tc>
          <w:tcPr>
            <w:tcW w:w="169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BD Biosciences, 561653 </w:t>
            </w:r>
          </w:p>
        </w:tc>
        <w:tc>
          <w:tcPr>
            <w:tcW w:w="121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1:200 </w:t>
            </w:r>
          </w:p>
        </w:tc>
        <w:tc>
          <w:tcPr>
            <w:tcW w:w="1742"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AB_10896326</w:t>
            </w:r>
          </w:p>
        </w:tc>
        <w:tc>
          <w:tcPr>
            <w:tcW w:w="232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BV421</w:t>
            </w:r>
          </w:p>
        </w:tc>
      </w:tr>
      <w:tr w:rsidR="00AD1101" w:rsidTr="00942BC9">
        <w:trPr>
          <w:trHeight w:val="161"/>
        </w:trPr>
        <w:tc>
          <w:tcPr>
            <w:tcW w:w="203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Mouse-anti-human CD90 </w:t>
            </w:r>
          </w:p>
        </w:tc>
        <w:tc>
          <w:tcPr>
            <w:tcW w:w="169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BD Biosciences,</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555597 </w:t>
            </w:r>
          </w:p>
        </w:tc>
        <w:tc>
          <w:tcPr>
            <w:tcW w:w="121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1:1000</w:t>
            </w:r>
          </w:p>
        </w:tc>
        <w:tc>
          <w:tcPr>
            <w:tcW w:w="1742"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AB_395971</w:t>
            </w:r>
          </w:p>
        </w:tc>
        <w:tc>
          <w:tcPr>
            <w:tcW w:w="232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PE-Cy5 </w:t>
            </w:r>
          </w:p>
        </w:tc>
      </w:tr>
      <w:tr w:rsidR="00AD1101" w:rsidTr="00942BC9">
        <w:trPr>
          <w:trHeight w:val="161"/>
        </w:trPr>
        <w:tc>
          <w:tcPr>
            <w:tcW w:w="203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FVS700 </w:t>
            </w:r>
          </w:p>
        </w:tc>
        <w:tc>
          <w:tcPr>
            <w:tcW w:w="1699"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BD Biosciences,</w:t>
            </w:r>
          </w:p>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564997</w:t>
            </w:r>
          </w:p>
        </w:tc>
        <w:tc>
          <w:tcPr>
            <w:tcW w:w="121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1:8000</w:t>
            </w:r>
          </w:p>
        </w:tc>
        <w:tc>
          <w:tcPr>
            <w:tcW w:w="1742"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AB_2869637</w:t>
            </w:r>
          </w:p>
        </w:tc>
        <w:tc>
          <w:tcPr>
            <w:tcW w:w="2323" w:type="dxa"/>
            <w:vAlign w:val="center"/>
          </w:tcPr>
          <w:p w:rsidR="00AD1101" w:rsidRDefault="00AD1101" w:rsidP="00942BC9">
            <w:pPr>
              <w:autoSpaceDE w:val="0"/>
              <w:autoSpaceDN w:val="0"/>
              <w:adjustRightInd w:val="0"/>
              <w:rPr>
                <w:rFonts w:ascii="Arial Unicode MS" w:eastAsiaTheme="minorEastAsia" w:hAnsi="Arial Unicode MS" w:cs="Arial Unicode MS"/>
                <w:color w:val="000000"/>
                <w:sz w:val="20"/>
                <w:szCs w:val="20"/>
              </w:rPr>
            </w:pPr>
            <w:r>
              <w:rPr>
                <w:rFonts w:ascii="Arial Unicode MS" w:eastAsiaTheme="minorEastAsia" w:cs="Arial Unicode MS"/>
                <w:color w:val="000000"/>
                <w:sz w:val="20"/>
                <w:szCs w:val="20"/>
              </w:rPr>
              <w:t xml:space="preserve">AlexaFluor700 </w:t>
            </w:r>
          </w:p>
        </w:tc>
      </w:tr>
    </w:tbl>
    <w:p w:rsidR="00AD1101" w:rsidRDefault="00AD1101" w:rsidP="00AD1101">
      <w:pPr>
        <w:jc w:val="both"/>
        <w:rPr>
          <w:b/>
          <w:bCs/>
          <w:sz w:val="20"/>
          <w:szCs w:val="20"/>
        </w:rPr>
      </w:pPr>
    </w:p>
    <w:p w:rsidR="00AD1101" w:rsidRDefault="00AD1101" w:rsidP="00AD1101">
      <w:pPr>
        <w:spacing w:line="480" w:lineRule="auto"/>
        <w:jc w:val="both"/>
        <w:rPr>
          <w:b/>
          <w:bCs/>
          <w:sz w:val="20"/>
          <w:szCs w:val="20"/>
        </w:rPr>
      </w:pPr>
      <w:r>
        <w:rPr>
          <w:rFonts w:ascii="Arial Unicode MS" w:cs="Arial Unicode MS"/>
          <w:b/>
          <w:bCs/>
          <w:sz w:val="20"/>
          <w:szCs w:val="20"/>
        </w:rPr>
        <w:t>Supplementary Table</w:t>
      </w:r>
      <w:r>
        <w:rPr>
          <w:rFonts w:ascii="Arial Unicode MS" w:cs="Arial Unicode MS"/>
          <w:b/>
          <w:bCs/>
          <w:sz w:val="20"/>
          <w:szCs w:val="20"/>
        </w:rPr>
        <w:t> </w:t>
      </w:r>
      <w:r>
        <w:rPr>
          <w:rFonts w:ascii="Arial Unicode MS" w:cs="Arial Unicode MS"/>
          <w:b/>
          <w:bCs/>
          <w:sz w:val="20"/>
          <w:szCs w:val="20"/>
        </w:rPr>
        <w:t xml:space="preserve">2 </w:t>
      </w:r>
      <w:r>
        <w:rPr>
          <w:rFonts w:ascii="Arial Unicode MS" w:cs="Arial Unicode MS"/>
          <w:b/>
          <w:bCs/>
          <w:sz w:val="20"/>
          <w:szCs w:val="20"/>
        </w:rPr>
        <w:t>–</w:t>
      </w:r>
      <w:r>
        <w:rPr>
          <w:rFonts w:ascii="Arial Unicode MS" w:cs="Arial Unicode MS"/>
          <w:b/>
          <w:bCs/>
          <w:sz w:val="20"/>
          <w:szCs w:val="20"/>
        </w:rPr>
        <w:t xml:space="preserve"> </w:t>
      </w:r>
      <w:proofErr w:type="spellStart"/>
      <w:r>
        <w:rPr>
          <w:rFonts w:ascii="Arial Unicode MS" w:cs="Arial Unicode MS"/>
          <w:b/>
          <w:bCs/>
          <w:sz w:val="20"/>
          <w:szCs w:val="20"/>
        </w:rPr>
        <w:t>qPCR</w:t>
      </w:r>
      <w:proofErr w:type="spellEnd"/>
      <w:r>
        <w:rPr>
          <w:rFonts w:ascii="Arial Unicode MS" w:cs="Arial Unicode MS"/>
          <w:b/>
          <w:bCs/>
          <w:sz w:val="20"/>
          <w:szCs w:val="20"/>
        </w:rPr>
        <w:t xml:space="preserve"> Primers</w:t>
      </w:r>
    </w:p>
    <w:tbl>
      <w:tblPr>
        <w:tblpPr w:leftFromText="180" w:rightFromText="180" w:vertAnchor="page" w:horzAnchor="margin" w:tblpY="2094"/>
        <w:tblW w:w="9006" w:type="dxa"/>
        <w:tblLayout w:type="fixed"/>
        <w:tblCellMar>
          <w:left w:w="0" w:type="dxa"/>
          <w:right w:w="0" w:type="dxa"/>
        </w:tblCellMar>
        <w:tblLook w:val="04A0" w:firstRow="1" w:lastRow="0" w:firstColumn="1" w:lastColumn="0" w:noHBand="0" w:noVBand="1"/>
      </w:tblPr>
      <w:tblGrid>
        <w:gridCol w:w="1124"/>
        <w:gridCol w:w="3859"/>
        <w:gridCol w:w="4023"/>
      </w:tblGrid>
      <w:tr w:rsidR="00AD1101" w:rsidTr="00942BC9">
        <w:trPr>
          <w:trHeight w:val="432"/>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b/>
                <w:bCs/>
                <w:color w:val="000000"/>
                <w:kern w:val="24"/>
                <w:sz w:val="20"/>
                <w:szCs w:val="20"/>
                <w:lang w:eastAsia="zh-CN"/>
              </w:rPr>
              <w:t>Target</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b/>
                <w:bCs/>
                <w:color w:val="000000"/>
                <w:kern w:val="24"/>
                <w:sz w:val="20"/>
                <w:szCs w:val="20"/>
                <w:lang w:eastAsia="zh-CN"/>
              </w:rPr>
              <w:t>Forward Primer</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b/>
                <w:bCs/>
                <w:color w:val="000000"/>
                <w:kern w:val="24"/>
                <w:sz w:val="20"/>
                <w:szCs w:val="20"/>
                <w:lang w:eastAsia="zh-CN"/>
              </w:rPr>
              <w:t>Reverse Primer</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i/>
                <w:iCs/>
                <w:color w:val="000000"/>
                <w:kern w:val="24"/>
                <w:sz w:val="20"/>
                <w:szCs w:val="20"/>
                <w:lang w:eastAsia="zh-CN"/>
              </w:rPr>
              <w:lastRenderedPageBreak/>
              <w:t>HPRT</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CCTGGCGTCGTGATTAGTGAT</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AGACGTTCAGTCCTGTCCATAA</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i/>
                <w:iCs/>
                <w:color w:val="000000"/>
                <w:kern w:val="24"/>
                <w:sz w:val="20"/>
                <w:szCs w:val="20"/>
                <w:lang w:eastAsia="zh-CN"/>
              </w:rPr>
              <w:t>SOX9</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AGCGAACGCACATCAAGAC</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CTGTAGGCGATCTGTTGGGG</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i/>
                <w:iCs/>
                <w:color w:val="000000"/>
                <w:kern w:val="24"/>
                <w:sz w:val="20"/>
                <w:szCs w:val="20"/>
                <w:lang w:eastAsia="zh-CN"/>
              </w:rPr>
              <w:t>HEY1</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TGGAGAGGCGCCGCTGTAGTTA</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D1101" w:rsidRDefault="00AD1101" w:rsidP="00942BC9">
            <w:pPr>
              <w:spacing w:line="360" w:lineRule="auto"/>
              <w:rPr>
                <w:rFonts w:ascii="Arial Unicode MS" w:hAnsi="Arial Unicode MS" w:cs="Arial Unicode MS"/>
                <w:sz w:val="20"/>
                <w:szCs w:val="20"/>
                <w:lang w:eastAsia="zh-CN"/>
              </w:rPr>
            </w:pPr>
            <w:r>
              <w:rPr>
                <w:rFonts w:ascii="Arial Unicode MS" w:cs="Arial Unicode MS"/>
                <w:color w:val="000000"/>
                <w:kern w:val="24"/>
                <w:sz w:val="20"/>
                <w:szCs w:val="20"/>
                <w:lang w:eastAsia="zh-CN"/>
              </w:rPr>
              <w:t>CAAGGGCGTGCGCGTCAAAGTA</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i/>
                <w:iCs/>
                <w:color w:val="000000"/>
                <w:kern w:val="24"/>
                <w:sz w:val="20"/>
                <w:szCs w:val="20"/>
                <w:lang w:eastAsia="zh-CN"/>
              </w:rPr>
            </w:pPr>
            <w:r>
              <w:rPr>
                <w:rFonts w:ascii="Arial Unicode MS" w:cs="Arial Unicode MS"/>
                <w:i/>
                <w:iCs/>
                <w:color w:val="000000"/>
                <w:kern w:val="24"/>
                <w:sz w:val="20"/>
                <w:szCs w:val="20"/>
                <w:lang w:eastAsia="zh-CN"/>
              </w:rPr>
              <w:t>FSP-1</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GCCCTGGATGTGATGGTGT</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TCGTTGTCCCTGTTGCTGTC</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i/>
                <w:iCs/>
                <w:color w:val="000000"/>
                <w:kern w:val="24"/>
                <w:sz w:val="20"/>
                <w:szCs w:val="20"/>
                <w:lang w:eastAsia="zh-CN"/>
              </w:rPr>
            </w:pPr>
            <w:r>
              <w:rPr>
                <w:rFonts w:ascii="Arial Unicode MS" w:cs="Arial Unicode MS"/>
                <w:i/>
                <w:iCs/>
                <w:color w:val="000000"/>
                <w:kern w:val="24"/>
                <w:sz w:val="20"/>
                <w:szCs w:val="20"/>
                <w:lang w:eastAsia="zh-CN"/>
              </w:rPr>
              <w:t>RUNX2</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GTTATGAAAAACCAAGTAGCAAGG</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GTAATCTGACTCTGTCCTTGTGGAT</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i/>
                <w:iCs/>
                <w:color w:val="000000"/>
                <w:kern w:val="24"/>
                <w:sz w:val="20"/>
                <w:szCs w:val="20"/>
                <w:lang w:eastAsia="zh-CN"/>
              </w:rPr>
            </w:pPr>
            <w:r>
              <w:rPr>
                <w:rFonts w:ascii="Arial Unicode MS" w:cs="Arial Unicode MS"/>
                <w:i/>
                <w:iCs/>
                <w:color w:val="000000"/>
                <w:kern w:val="24"/>
                <w:sz w:val="20"/>
                <w:szCs w:val="20"/>
                <w:lang w:eastAsia="zh-CN"/>
              </w:rPr>
              <w:t>SNAI</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CTTTTTCTTGCCCTCACTGC</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ACAGCAGCCAGATTCCTCAT</w:t>
            </w:r>
          </w:p>
        </w:tc>
      </w:tr>
      <w:tr w:rsidR="00AD1101" w:rsidTr="00942BC9">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i/>
                <w:iCs/>
                <w:color w:val="000000"/>
                <w:kern w:val="24"/>
                <w:sz w:val="20"/>
                <w:szCs w:val="20"/>
                <w:lang w:eastAsia="zh-CN"/>
              </w:rPr>
            </w:pPr>
            <w:r>
              <w:rPr>
                <w:rFonts w:ascii="Arial Unicode MS" w:cs="Arial Unicode MS"/>
                <w:i/>
                <w:iCs/>
                <w:color w:val="000000"/>
                <w:kern w:val="24"/>
                <w:sz w:val="20"/>
                <w:szCs w:val="20"/>
                <w:lang w:eastAsia="zh-CN"/>
              </w:rPr>
              <w:t>CDH5</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CAGCCCAAAGTGTGTGAGAA</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AD1101" w:rsidRDefault="00AD1101" w:rsidP="00942BC9">
            <w:pPr>
              <w:spacing w:line="360" w:lineRule="auto"/>
              <w:rPr>
                <w:rFonts w:ascii="Arial Unicode MS" w:hAnsi="Arial Unicode MS" w:cs="Arial Unicode MS"/>
                <w:color w:val="000000"/>
                <w:kern w:val="24"/>
                <w:sz w:val="20"/>
                <w:szCs w:val="20"/>
                <w:lang w:eastAsia="zh-CN"/>
              </w:rPr>
            </w:pPr>
            <w:r>
              <w:rPr>
                <w:rFonts w:ascii="Arial Unicode MS" w:cs="Arial Unicode MS"/>
                <w:color w:val="000000"/>
                <w:kern w:val="24"/>
                <w:sz w:val="20"/>
                <w:szCs w:val="20"/>
                <w:lang w:eastAsia="zh-CN"/>
              </w:rPr>
              <w:t>TGTGATGTTGGCCGTGTTAT</w:t>
            </w:r>
          </w:p>
        </w:tc>
      </w:tr>
    </w:tbl>
    <w:p w:rsidR="00E04AFE" w:rsidRDefault="00AD1101"/>
    <w:sectPr w:rsidR="00E04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463D9"/>
    <w:multiLevelType w:val="multilevel"/>
    <w:tmpl w:val="AD3A0AA2"/>
    <w:lvl w:ilvl="0">
      <w:start w:val="1"/>
      <w:numFmt w:val="decimal"/>
      <w:lvlText w:val="%1"/>
      <w:lvlJc w:val="left"/>
      <w:pPr>
        <w:ind w:left="360" w:hanging="360"/>
      </w:pPr>
      <w:rPr>
        <w:rFonts w:hint="default"/>
      </w:rPr>
    </w:lvl>
    <w:lvl w:ilvl="1">
      <w:start w:val="26"/>
      <w:numFmt w:val="upperLetter"/>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101"/>
    <w:rsid w:val="00AD1101"/>
    <w:rsid w:val="00D8778E"/>
    <w:rsid w:val="00FB16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101"/>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101"/>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sv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Sindhuja Arunpandian (Integra)</dc:creator>
  <cp:lastModifiedBy>Sindhuja Arunpandian (Integra)</cp:lastModifiedBy>
  <cp:revision>1</cp:revision>
  <dcterms:created xsi:type="dcterms:W3CDTF">2024-04-27T11:03:00Z</dcterms:created>
  <dcterms:modified xsi:type="dcterms:W3CDTF">2024-04-27T11:05:00Z</dcterms:modified>
</cp:coreProperties>
</file>